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715010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32"/>
          <w:szCs w:val="32"/>
          <w:b w:val="1"/>
          <w:bCs w:val="1"/>
          <w:color w:val="auto"/>
        </w:rPr>
        <w:t>____________</w:t>
      </w:r>
    </w:p>
    <w:p>
      <w:pPr>
        <w:spacing w:after="0" w:line="2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52"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32"/>
          <w:szCs w:val="32"/>
          <w:b w:val="1"/>
          <w:bCs w:val="1"/>
          <w:color w:val="auto"/>
        </w:rPr>
        <w:t>____________</w:t>
      </w:r>
    </w:p>
    <w:p>
      <w:pPr>
        <w:spacing w:after="0" w:line="2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1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February 7, 2023</w:t>
      </w: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CROWN HOLDINGS, INC.</w:t>
      </w:r>
    </w:p>
    <w:p>
      <w:pPr>
        <w:spacing w:after="0" w:line="5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07" w:lineRule="exact"/>
        <w:rPr>
          <w:sz w:val="24"/>
          <w:szCs w:val="24"/>
          <w:color w:val="auto"/>
        </w:rPr>
      </w:pPr>
    </w:p>
    <w:tbl>
      <w:tblPr>
        <w:tblLayout w:type="fixed"/>
        <w:tblInd w:w="1020" w:type="dxa"/>
        <w:tblCellMar>
          <w:top w:w="0" w:type="dxa"/>
          <w:left w:w="0" w:type="dxa"/>
          <w:bottom w:w="0" w:type="dxa"/>
          <w:right w:w="0" w:type="dxa"/>
        </w:tblCellMar>
      </w:tblPr>
      <w:tr>
        <w:trPr>
          <w:trHeight w:val="233"/>
        </w:trPr>
        <w:tc>
          <w:tcPr>
            <w:tcW w:w="3160" w:type="dxa"/>
            <w:vAlign w:val="bottom"/>
          </w:tcPr>
          <w:p>
            <w:pPr>
              <w:jc w:val="center"/>
              <w:ind w:right="850"/>
              <w:spacing w:after="0"/>
              <w:rPr>
                <w:sz w:val="20"/>
                <w:szCs w:val="20"/>
                <w:color w:val="auto"/>
              </w:rPr>
            </w:pPr>
            <w:r>
              <w:rPr>
                <w:rFonts w:ascii="Times New Roman" w:cs="Times New Roman" w:eastAsia="Times New Roman" w:hAnsi="Times New Roman"/>
                <w:sz w:val="18"/>
                <w:szCs w:val="18"/>
                <w:b w:val="1"/>
                <w:bCs w:val="1"/>
                <w:color w:val="auto"/>
                <w:w w:val="99"/>
              </w:rPr>
              <w:t>Pennsylvania</w:t>
            </w:r>
          </w:p>
        </w:tc>
        <w:tc>
          <w:tcPr>
            <w:tcW w:w="310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000-50189</w:t>
            </w:r>
          </w:p>
        </w:tc>
        <w:tc>
          <w:tcPr>
            <w:tcW w:w="2500" w:type="dxa"/>
            <w:vAlign w:val="bottom"/>
          </w:tcPr>
          <w:p>
            <w:pPr>
              <w:jc w:val="center"/>
              <w:ind w:left="1070"/>
              <w:spacing w:after="0"/>
              <w:rPr>
                <w:sz w:val="20"/>
                <w:szCs w:val="20"/>
                <w:color w:val="auto"/>
              </w:rPr>
            </w:pPr>
            <w:r>
              <w:rPr>
                <w:rFonts w:ascii="Times New Roman" w:cs="Times New Roman" w:eastAsia="Times New Roman" w:hAnsi="Times New Roman"/>
                <w:sz w:val="18"/>
                <w:szCs w:val="18"/>
                <w:b w:val="1"/>
                <w:bCs w:val="1"/>
                <w:color w:val="auto"/>
                <w:w w:val="98"/>
              </w:rPr>
              <w:t>75-3099507</w:t>
            </w:r>
          </w:p>
        </w:tc>
      </w:tr>
      <w:tr>
        <w:trPr>
          <w:trHeight w:val="189"/>
        </w:trPr>
        <w:tc>
          <w:tcPr>
            <w:tcW w:w="3160" w:type="dxa"/>
            <w:vAlign w:val="bottom"/>
          </w:tcPr>
          <w:p>
            <w:pPr>
              <w:jc w:val="center"/>
              <w:ind w:right="870"/>
              <w:spacing w:after="0" w:line="189" w:lineRule="exact"/>
              <w:rPr>
                <w:sz w:val="20"/>
                <w:szCs w:val="20"/>
                <w:color w:val="auto"/>
              </w:rPr>
            </w:pPr>
            <w:r>
              <w:rPr>
                <w:rFonts w:ascii="Times New Roman" w:cs="Times New Roman" w:eastAsia="Times New Roman" w:hAnsi="Times New Roman"/>
                <w:sz w:val="18"/>
                <w:szCs w:val="18"/>
                <w:color w:val="auto"/>
              </w:rPr>
              <w:t>(State or Other Jurisdiction of</w:t>
            </w:r>
          </w:p>
        </w:tc>
        <w:tc>
          <w:tcPr>
            <w:tcW w:w="3100" w:type="dxa"/>
            <w:vAlign w:val="bottom"/>
          </w:tcPr>
          <w:p>
            <w:pPr>
              <w:jc w:val="center"/>
              <w:ind w:right="150"/>
              <w:spacing w:after="0" w:line="189" w:lineRule="exact"/>
              <w:rPr>
                <w:sz w:val="20"/>
                <w:szCs w:val="20"/>
                <w:color w:val="auto"/>
              </w:rPr>
            </w:pPr>
            <w:r>
              <w:rPr>
                <w:rFonts w:ascii="Times New Roman" w:cs="Times New Roman" w:eastAsia="Times New Roman" w:hAnsi="Times New Roman"/>
                <w:sz w:val="18"/>
                <w:szCs w:val="18"/>
                <w:color w:val="auto"/>
              </w:rPr>
              <w:t>(Commission</w:t>
            </w:r>
          </w:p>
        </w:tc>
        <w:tc>
          <w:tcPr>
            <w:tcW w:w="2500" w:type="dxa"/>
            <w:vAlign w:val="bottom"/>
          </w:tcPr>
          <w:p>
            <w:pPr>
              <w:jc w:val="center"/>
              <w:ind w:left="1070"/>
              <w:spacing w:after="0" w:line="189"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3160" w:type="dxa"/>
            <w:vAlign w:val="bottom"/>
          </w:tcPr>
          <w:p>
            <w:pPr>
              <w:jc w:val="center"/>
              <w:ind w:right="87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310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File Number)</w:t>
            </w:r>
          </w:p>
        </w:tc>
        <w:tc>
          <w:tcPr>
            <w:tcW w:w="2500" w:type="dxa"/>
            <w:vAlign w:val="bottom"/>
          </w:tcPr>
          <w:p>
            <w:pPr>
              <w:jc w:val="center"/>
              <w:ind w:left="1070"/>
              <w:spacing w:after="0"/>
              <w:rPr>
                <w:sz w:val="20"/>
                <w:szCs w:val="20"/>
                <w:color w:val="auto"/>
              </w:rPr>
            </w:pPr>
            <w:r>
              <w:rPr>
                <w:rFonts w:ascii="Times New Roman" w:cs="Times New Roman" w:eastAsia="Times New Roman" w:hAnsi="Times New Roman"/>
                <w:sz w:val="18"/>
                <w:szCs w:val="18"/>
                <w:color w:val="auto"/>
                <w:w w:val="99"/>
              </w:rPr>
              <w:t>Identification No.)</w:t>
            </w:r>
          </w:p>
        </w:tc>
      </w:tr>
    </w:tbl>
    <w:p>
      <w:pPr>
        <w:spacing w:after="0" w:line="2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770 Township Line Road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Yardley, Pennsylvania 19067</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(215) 698-5100</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(Address, Including Zip Code, and Telephone Number, Including Area Code, of Registrant's Principal Executive Offices)</w:t>
      </w:r>
    </w:p>
    <w:p>
      <w:pPr>
        <w:spacing w:after="0" w:line="1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28"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32" w:lineRule="exact"/>
        <w:rPr>
          <w:sz w:val="24"/>
          <w:szCs w:val="24"/>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98"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3" w:lineRule="exact"/>
        <w:rPr>
          <w:sz w:val="24"/>
          <w:szCs w:val="24"/>
          <w:color w:val="auto"/>
        </w:rPr>
      </w:pPr>
    </w:p>
    <w:tbl>
      <w:tblPr>
        <w:tblLayout w:type="fixed"/>
        <w:tblInd w:w="0" w:type="dxa"/>
        <w:tblCellMar>
          <w:top w:w="0" w:type="dxa"/>
          <w:left w:w="0" w:type="dxa"/>
          <w:bottom w:w="0" w:type="dxa"/>
          <w:right w:w="0" w:type="dxa"/>
        </w:tblCellMar>
      </w:tblPr>
      <w:tr>
        <w:trPr>
          <w:trHeight w:val="213"/>
        </w:trPr>
        <w:tc>
          <w:tcPr>
            <w:tcW w:w="2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Title of each class</w:t>
            </w:r>
          </w:p>
        </w:tc>
        <w:tc>
          <w:tcPr>
            <w:tcW w:w="17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Trading Symbols</w:t>
            </w:r>
          </w:p>
        </w:tc>
        <w:tc>
          <w:tcPr>
            <w:tcW w:w="688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07"/>
        </w:trPr>
        <w:tc>
          <w:tcPr>
            <w:tcW w:w="25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Common Stock $5.00 Par Value</w:t>
            </w:r>
          </w:p>
        </w:tc>
        <w:tc>
          <w:tcPr>
            <w:tcW w:w="1780" w:type="dxa"/>
            <w:vAlign w:val="bottom"/>
            <w:tcBorders>
              <w:top w:val="single" w:sz="8" w:color="auto"/>
            </w:tcBorders>
          </w:tcPr>
          <w:p>
            <w:pPr>
              <w:ind w:left="480"/>
              <w:spacing w:after="0"/>
              <w:rPr>
                <w:sz w:val="20"/>
                <w:szCs w:val="20"/>
                <w:color w:val="auto"/>
              </w:rPr>
            </w:pPr>
            <w:r>
              <w:rPr>
                <w:rFonts w:ascii="Times New Roman" w:cs="Times New Roman" w:eastAsia="Times New Roman" w:hAnsi="Times New Roman"/>
                <w:sz w:val="16"/>
                <w:szCs w:val="16"/>
                <w:color w:val="auto"/>
              </w:rPr>
              <w:t>CCK</w:t>
            </w:r>
          </w:p>
        </w:tc>
        <w:tc>
          <w:tcPr>
            <w:tcW w:w="5480" w:type="dxa"/>
            <w:vAlign w:val="bottom"/>
            <w:tcBorders>
              <w:top w:val="single" w:sz="8" w:color="auto"/>
            </w:tcBorders>
          </w:tcPr>
          <w:p>
            <w:pPr>
              <w:ind w:left="200"/>
              <w:spacing w:after="0"/>
              <w:rPr>
                <w:sz w:val="20"/>
                <w:szCs w:val="20"/>
                <w:color w:val="auto"/>
              </w:rPr>
            </w:pPr>
            <w:r>
              <w:rPr>
                <w:rFonts w:ascii="Times New Roman" w:cs="Times New Roman" w:eastAsia="Times New Roman" w:hAnsi="Times New Roman"/>
                <w:sz w:val="16"/>
                <w:szCs w:val="16"/>
                <w:color w:val="auto"/>
              </w:rPr>
              <w:t>New York Stock Exchange</w:t>
            </w:r>
          </w:p>
        </w:tc>
        <w:tc>
          <w:tcPr>
            <w:tcW w:w="1400" w:type="dxa"/>
            <w:vAlign w:val="bottom"/>
          </w:tcPr>
          <w:p>
            <w:pPr>
              <w:spacing w:after="0"/>
              <w:rPr>
                <w:sz w:val="17"/>
                <w:szCs w:val="17"/>
                <w:color w:val="auto"/>
              </w:rPr>
            </w:pPr>
          </w:p>
        </w:tc>
      </w:tr>
      <w:tr>
        <w:trPr>
          <w:trHeight w:val="216"/>
        </w:trPr>
        <w:tc>
          <w:tcPr>
            <w:tcW w:w="2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7 3/8% Debentures Due 2026</w:t>
            </w:r>
          </w:p>
        </w:tc>
        <w:tc>
          <w:tcPr>
            <w:tcW w:w="17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CCK26</w:t>
            </w:r>
          </w:p>
        </w:tc>
        <w:tc>
          <w:tcPr>
            <w:tcW w:w="688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New York Stock Exchange</w:t>
            </w:r>
          </w:p>
        </w:tc>
      </w:tr>
      <w:tr>
        <w:trPr>
          <w:trHeight w:val="216"/>
        </w:trPr>
        <w:tc>
          <w:tcPr>
            <w:tcW w:w="2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7 1/2% Debentures Due 2096</w:t>
            </w:r>
          </w:p>
        </w:tc>
        <w:tc>
          <w:tcPr>
            <w:tcW w:w="17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CCK96</w:t>
            </w:r>
          </w:p>
        </w:tc>
        <w:tc>
          <w:tcPr>
            <w:tcW w:w="688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New York Stock Exchange</w:t>
            </w:r>
          </w:p>
        </w:tc>
      </w:tr>
      <w:tr>
        <w:trPr>
          <w:trHeight w:val="202"/>
        </w:trPr>
        <w:tc>
          <w:tcPr>
            <w:tcW w:w="258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spacing w:after="0"/>
              <w:rPr>
                <w:sz w:val="17"/>
                <w:szCs w:val="17"/>
                <w:color w:val="auto"/>
              </w:rPr>
            </w:pPr>
          </w:p>
        </w:tc>
        <w:tc>
          <w:tcPr>
            <w:tcW w:w="54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r>
      <w:tr>
        <w:trPr>
          <w:trHeight w:val="979"/>
        </w:trPr>
        <w:tc>
          <w:tcPr>
            <w:tcW w:w="258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548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798" w:gutter="0" w:footer="0" w:header="0"/>
        </w:sectPr>
      </w:pPr>
    </w:p>
    <w:bookmarkStart w:id="1" w:name="page2"/>
    <w:bookmarkEnd w:id="1"/>
    <w:p>
      <w:pPr>
        <w:spacing w:after="0" w:line="36" w:lineRule="exact"/>
        <w:rPr>
          <w:sz w:val="20"/>
          <w:szCs w:val="20"/>
          <w:color w:val="auto"/>
        </w:rPr>
      </w:pPr>
    </w:p>
    <w:p>
      <w:pPr>
        <w:jc w:val="right"/>
        <w:ind w:right="3419"/>
        <w:spacing w:after="0"/>
        <w:rPr>
          <w:sz w:val="20"/>
          <w:szCs w:val="20"/>
          <w:color w:val="auto"/>
        </w:rPr>
      </w:pPr>
      <w:r>
        <w:rPr>
          <w:rFonts w:ascii="Times New Roman" w:cs="Times New Roman" w:eastAsia="Times New Roman" w:hAnsi="Times New Roman"/>
          <w:sz w:val="22"/>
          <w:szCs w:val="22"/>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2.02. RESULTS OF OPERATIONS AND FINANCIAL CONDITION</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9.01. FINANCIAL STATEMENTS AND EXHIBITS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INDEX TO EXHIBITS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EX-99 PRESS RELEASE</w:t>
      </w:r>
    </w:p>
    <w:p>
      <w:pPr>
        <w:sectPr>
          <w:pgSz w:w="11900" w:h="16838" w:orient="portrait"/>
          <w:cols w:equalWidth="0" w:num="1">
            <w:col w:w="10139"/>
          </w:cols>
          <w:pgMar w:left="32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637540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b w:val="1"/>
          <w:bCs w:val="1"/>
          <w:color w:val="auto"/>
        </w:rPr>
        <w:t>Item 2.02. Results of Operations and Financial Condition</w:t>
      </w:r>
    </w:p>
    <w:p>
      <w:pPr>
        <w:spacing w:after="0" w:line="10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On February 7, 2023 Crown Holdings, Inc. issued a press release announcing its earnings for the fourth quarter ended December 31, 2022. A copy of the press release is attached hereto as Exhibit 99 and incorporated herein by reference.</w:t>
      </w:r>
    </w:p>
    <w:p>
      <w:pPr>
        <w:spacing w:after="0" w:line="19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The information in this Report shall not be deemed to be "filed" for purposes of Section 18 of the Securities Exchange Act of 1934, as amended, (the "Exchange Act") or otherwise subject to the liability of that section, and shall not be deemed incorporated by reference in any filing under the Securities Act of 1933, as amended, or the Exchange Act, except as shall be expressly set forth by specific reference in such filing.</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9.01. Financial Statements and Exhibits</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 Exhibits.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following is furnished as an exhibit to this report.</w:t>
      </w:r>
    </w:p>
    <w:p>
      <w:pPr>
        <w:spacing w:after="0" w:line="85" w:lineRule="exact"/>
        <w:rPr>
          <w:sz w:val="20"/>
          <w:szCs w:val="20"/>
          <w:color w:val="auto"/>
        </w:rPr>
      </w:pPr>
    </w:p>
    <w:p>
      <w:pPr>
        <w:ind w:left="500" w:hanging="492"/>
        <w:spacing w:after="0"/>
        <w:tabs>
          <w:tab w:leader="none" w:pos="50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0000FF"/>
        </w:rPr>
        <w:t>Press release, dated February 7, 2023, issued by Crown Holdings, Inc.</w:t>
      </w:r>
    </w:p>
    <w:p>
      <w:pPr>
        <w:spacing w:after="0" w:line="29"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2"/>
          <w:szCs w:val="22"/>
          <w:color w:val="auto"/>
        </w:rPr>
        <w:t>104</w:t>
      </w:r>
      <w:r>
        <w:rPr>
          <w:sz w:val="20"/>
          <w:szCs w:val="20"/>
          <w:color w:val="auto"/>
        </w:rPr>
        <w:tab/>
      </w:r>
      <w:r>
        <w:rPr>
          <w:rFonts w:ascii="Times New Roman" w:cs="Times New Roman" w:eastAsia="Times New Roman" w:hAnsi="Times New Roman"/>
          <w:sz w:val="21"/>
          <w:szCs w:val="21"/>
          <w:color w:val="auto"/>
        </w:rPr>
        <w:t>Cover Page Interactive Data File (embedded within the Inline XBRL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615315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0"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22"/>
          <w:szCs w:val="22"/>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hereunto duly authorized.</w:t>
      </w:r>
    </w:p>
    <w:p>
      <w:pPr>
        <w:spacing w:after="0" w:line="4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2"/>
          <w:szCs w:val="22"/>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22"/>
          <w:szCs w:val="22"/>
          <w:color w:val="auto"/>
        </w:rPr>
        <w:t>By: /s/ Christy L. Kalaus</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2"/>
          <w:szCs w:val="22"/>
          <w:color w:val="auto"/>
        </w:rPr>
        <w:t>Christy L. Kalaus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-160020</wp:posOffset>
            </wp:positionV>
            <wp:extent cx="32575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57550" cy="8890"/>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2"/>
          <w:szCs w:val="22"/>
          <w:color w:val="auto"/>
        </w:rPr>
        <w:t>Vice President and Corporate Controller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February 7,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314" w:right="339" w:bottom="1440" w:gutter="0" w:footer="0" w:header="0"/>
        </w:sectPr>
      </w:pPr>
    </w:p>
    <w:bookmarkStart w:id="4" w:name="page5"/>
    <w:bookmarkEnd w:id="4"/>
    <w:p>
      <w:pPr>
        <w:ind w:left="80"/>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-132080</wp:posOffset>
            </wp:positionV>
            <wp:extent cx="1551305" cy="4972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51305" cy="497205"/>
                    </a:xfrm>
                    <a:prstGeom prst="rect">
                      <a:avLst/>
                    </a:prstGeom>
                    <a:noFill/>
                  </pic:spPr>
                </pic:pic>
              </a:graphicData>
            </a:graphic>
          </wp:anchor>
        </w:drawing>
      </w:r>
    </w:p>
    <w:p>
      <w:pPr>
        <w:spacing w:after="0" w:line="209" w:lineRule="exact"/>
        <w:rPr>
          <w:sz w:val="20"/>
          <w:szCs w:val="20"/>
          <w:color w:val="auto"/>
        </w:rPr>
      </w:pPr>
    </w:p>
    <w:p>
      <w:pPr>
        <w:ind w:left="80"/>
        <w:spacing w:after="0"/>
        <w:rPr>
          <w:sz w:val="20"/>
          <w:szCs w:val="20"/>
          <w:color w:val="auto"/>
        </w:rPr>
      </w:pPr>
      <w:r>
        <w:rPr>
          <w:rFonts w:ascii="Arial" w:cs="Arial" w:eastAsia="Arial" w:hAnsi="Arial"/>
          <w:sz w:val="14"/>
          <w:szCs w:val="14"/>
          <w:color w:val="auto"/>
        </w:rPr>
        <w:t>Corporate Headquarters</w:t>
      </w:r>
    </w:p>
    <w:p>
      <w:pPr>
        <w:ind w:left="80"/>
        <w:spacing w:after="0" w:line="221" w:lineRule="auto"/>
        <w:rPr>
          <w:sz w:val="20"/>
          <w:szCs w:val="20"/>
          <w:color w:val="auto"/>
        </w:rPr>
      </w:pPr>
      <w:r>
        <w:rPr>
          <w:rFonts w:ascii="Arial" w:cs="Arial" w:eastAsia="Arial" w:hAnsi="Arial"/>
          <w:sz w:val="14"/>
          <w:szCs w:val="14"/>
          <w:color w:val="auto"/>
        </w:rPr>
        <w:t>770 Township Line Road</w:t>
      </w:r>
    </w:p>
    <w:p>
      <w:pPr>
        <w:ind w:left="80"/>
        <w:spacing w:after="0"/>
        <w:rPr>
          <w:sz w:val="20"/>
          <w:szCs w:val="20"/>
          <w:color w:val="auto"/>
        </w:rPr>
      </w:pPr>
      <w:r>
        <w:rPr>
          <w:rFonts w:ascii="Arial" w:cs="Arial" w:eastAsia="Arial" w:hAnsi="Arial"/>
          <w:sz w:val="14"/>
          <w:szCs w:val="14"/>
          <w:color w:val="auto"/>
        </w:rPr>
        <w:t>Yardley, PA 19067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314960</wp:posOffset>
            </wp:positionV>
            <wp:extent cx="685800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0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CROWN HOLDINGS, INC. REPORTS FOURTH QUARTER 2022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90805</wp:posOffset>
            </wp:positionV>
            <wp:extent cx="685800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00" cy="34290"/>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b w:val="1"/>
          <w:bCs w:val="1"/>
          <w:color w:val="auto"/>
        </w:rPr>
        <w:t xml:space="preserve">Yardley, PA - February 7, 2023. </w:t>
      </w:r>
      <w:r>
        <w:rPr>
          <w:rFonts w:ascii="Times New Roman" w:cs="Times New Roman" w:eastAsia="Times New Roman" w:hAnsi="Times New Roman"/>
          <w:sz w:val="18"/>
          <w:szCs w:val="18"/>
          <w:color w:val="auto"/>
        </w:rPr>
        <w:t>Crown Holdings, Inc. (NYSE: CCK) today announced its financial results for the fourth quarter ended December 31,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2022.</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Highlights</w:t>
      </w:r>
    </w:p>
    <w:p>
      <w:pPr>
        <w:spacing w:after="0" w:line="225"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Fourth quarter and full year reported diluted earnings per share of $.74 and $5.99</w:t>
      </w:r>
    </w:p>
    <w:p>
      <w:pPr>
        <w:spacing w:after="0" w:line="19" w:lineRule="exact"/>
        <w:rPr>
          <w:rFonts w:ascii="Times New Roman" w:cs="Times New Roman" w:eastAsia="Times New Roman" w:hAnsi="Times New Roman"/>
          <w:sz w:val="18"/>
          <w:szCs w:val="18"/>
          <w:color w:val="auto"/>
        </w:rPr>
      </w:pPr>
    </w:p>
    <w:p>
      <w:pPr>
        <w:ind w:left="660" w:hanging="328"/>
        <w:spacing w:after="0" w:line="234" w:lineRule="auto"/>
        <w:tabs>
          <w:tab w:leader="none" w:pos="6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Fourth quarter and full year adjusted diluted earnings per share of $1.17 and $6.75</w:t>
      </w:r>
    </w:p>
    <w:p>
      <w:pPr>
        <w:ind w:left="660" w:hanging="328"/>
        <w:spacing w:after="0" w:line="234" w:lineRule="auto"/>
        <w:tabs>
          <w:tab w:leader="none" w:pos="6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Global beverage can shipments grew 3% for the fourth quarter and full year</w:t>
      </w:r>
    </w:p>
    <w:p>
      <w:pPr>
        <w:ind w:left="660" w:hanging="328"/>
        <w:spacing w:after="0"/>
        <w:tabs>
          <w:tab w:leader="none" w:pos="6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Global beverage can shipments expected to grow mid-single digits in 2023</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Fourth Quarter Results</w:t>
      </w:r>
    </w:p>
    <w:p>
      <w:pPr>
        <w:spacing w:after="0" w:line="2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Net sales in the fourth quarter were $3,012 million compared to $3,054 million in the fourth quarter of 2021 reflecting the pass through of higher raw material costs and increased beverage sales unit volumes, offset by lower volumes in the Transit Packaging businesses and unfavorable foreign currency translation of $92 million.</w:t>
      </w:r>
    </w:p>
    <w:p>
      <w:pPr>
        <w:spacing w:after="0" w:line="21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Income from operations was $229 million in the fourth quarter compared to $303 million in the fourth quarter of 2021. Segment income in the fourth quarter of 2022 was $292 million compared to $357 million in the prior year fourth quarter reflecting costs associated with higher inventory levels, lower cost absorption from planned inventory reductions and higher energy prices.</w:t>
      </w:r>
    </w:p>
    <w:p>
      <w:pPr>
        <w:spacing w:after="0" w:line="21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Commenting on the quarter, Timothy J. Donahue, Chairman, President and Chief Executive Officer, stated, “The operating environment remained challenging in the fourth quarter, as the impacts from inflation and higher interest rates adversely affected the Company's income performance. Global beverage can shipments advanced 3% in the quarter with North America up modestly.</w:t>
      </w:r>
    </w:p>
    <w:p>
      <w:pPr>
        <w:spacing w:after="0" w:line="20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“Continued global volume growth across beverage cans coupled with the contractual recovery of raw material and other inflationary costs is expected to meaningfully improve segment income performance in 2023. The Transit business is expected to benefit from a much lower cost structure, the result of a significant overhead reduction program and the non-recurrence of steel cost headwinds that affected 2022 performance.</w:t>
      </w:r>
    </w:p>
    <w:p>
      <w:pPr>
        <w:spacing w:after="0" w:line="204"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“Our measured approach to beverage can expansion remains on schedule to meet global customer demand. In the United States, the first line of our new plant in Martinsville, Virginia began shipments to customers in November, and the second line will commence commercial production this month. In Mesquite, Nevada we expect to begin commercial production from line one in June and line two in October. Across Europe the Company is adding much needed capacity to our system with high-speed production lines being added to facilities in Parma, Italy and Agoncillo, Spain with startups expected in March and May, respectively. Additionally, the previously announced relocation of beverage can operations to our new site in Peterborough, United Kingdom is underway with the first line expected to commence production late in the second quarter and the second line in August. In North American Food, our capacity expansion has principally centered on expanding pet food can capacity with the third two-piece steel production line to the Owatonna, Minnesota plant completed in November. Additionally, the Company is installing a pet food can line to the Dubuque, Iowa plant with operations expected to commence in the third quarter."</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was $90 million in the fourth quarter of 2022 compared to $50 million in 2021 reflecting higher outstanding debt and higher interest rates.</w:t>
      </w:r>
    </w:p>
    <w:p>
      <w:pPr>
        <w:spacing w:after="0" w:line="23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Net income attributable to Crown Holdings in the fourth quarter was $89 million compared to a net loss of $1,001 million in the fourth quarter of 2021. Reported diluted earnings per share were $0.74 in the fourth quarter of 2022 compared to a reported diluted loss per share of $7.95 in 2021. Adjusted diluted earnings per share were $1.17 compared to $1.66 in 2021.</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Full Year Results</w:t>
      </w:r>
    </w:p>
    <w:p>
      <w:pPr>
        <w:spacing w:after="0" w:line="2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Net sales for the full year of 2022 were $12,943 million compared to $11,394 million in 2021, primarily due to the pass through of higher raw material costs and increased beverage sales unit volumes, which more than offset unfavorable foreign currency translation of $372 million.</w:t>
      </w:r>
    </w:p>
    <w:p>
      <w:pPr>
        <w:sectPr>
          <w:pgSz w:w="11900" w:h="16838" w:orient="portrait"/>
          <w:cols w:equalWidth="0" w:num="1">
            <w:col w:w="11240"/>
          </w:cols>
          <w:pgMar w:left="320" w:top="49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Page 1 of 12</w:t>
      </w:r>
    </w:p>
    <w:p>
      <w:pPr>
        <w:sectPr>
          <w:pgSz w:w="11900" w:h="16838" w:orient="portrait"/>
          <w:cols w:equalWidth="0" w:num="1">
            <w:col w:w="11240"/>
          </w:cols>
          <w:pgMar w:left="320" w:top="493" w:right="339" w:bottom="1440" w:gutter="0" w:footer="0" w:header="0"/>
          <w:type w:val="continuous"/>
        </w:sectPr>
      </w:pPr>
    </w:p>
    <w:bookmarkStart w:id="5" w:name="page6"/>
    <w:bookmarkEnd w:id="5"/>
    <w:p>
      <w:pPr>
        <w:ind w:left="80"/>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-132080</wp:posOffset>
            </wp:positionV>
            <wp:extent cx="1551305" cy="4972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51305" cy="497205"/>
                    </a:xfrm>
                    <a:prstGeom prst="rect">
                      <a:avLst/>
                    </a:prstGeom>
                    <a:noFill/>
                  </pic:spPr>
                </pic:pic>
              </a:graphicData>
            </a:graphic>
          </wp:anchor>
        </w:drawing>
      </w:r>
    </w:p>
    <w:p>
      <w:pPr>
        <w:spacing w:after="0" w:line="209" w:lineRule="exact"/>
        <w:rPr>
          <w:sz w:val="20"/>
          <w:szCs w:val="20"/>
          <w:color w:val="auto"/>
        </w:rPr>
      </w:pPr>
    </w:p>
    <w:p>
      <w:pPr>
        <w:ind w:left="80"/>
        <w:spacing w:after="0"/>
        <w:rPr>
          <w:sz w:val="20"/>
          <w:szCs w:val="20"/>
          <w:color w:val="auto"/>
        </w:rPr>
      </w:pPr>
      <w:r>
        <w:rPr>
          <w:rFonts w:ascii="Arial" w:cs="Arial" w:eastAsia="Arial" w:hAnsi="Arial"/>
          <w:sz w:val="14"/>
          <w:szCs w:val="14"/>
          <w:color w:val="auto"/>
        </w:rPr>
        <w:t>Corporate Headquarters</w:t>
      </w:r>
    </w:p>
    <w:p>
      <w:pPr>
        <w:ind w:left="80"/>
        <w:spacing w:after="0" w:line="221" w:lineRule="auto"/>
        <w:rPr>
          <w:sz w:val="20"/>
          <w:szCs w:val="20"/>
          <w:color w:val="auto"/>
        </w:rPr>
      </w:pPr>
      <w:r>
        <w:rPr>
          <w:rFonts w:ascii="Arial" w:cs="Arial" w:eastAsia="Arial" w:hAnsi="Arial"/>
          <w:sz w:val="14"/>
          <w:szCs w:val="14"/>
          <w:color w:val="auto"/>
        </w:rPr>
        <w:t>770 Township Line Road</w:t>
      </w:r>
    </w:p>
    <w:p>
      <w:pPr>
        <w:ind w:left="80"/>
        <w:spacing w:after="0"/>
        <w:rPr>
          <w:sz w:val="20"/>
          <w:szCs w:val="20"/>
          <w:color w:val="auto"/>
        </w:rPr>
      </w:pPr>
      <w:r>
        <w:rPr>
          <w:rFonts w:ascii="Arial" w:cs="Arial" w:eastAsia="Arial" w:hAnsi="Arial"/>
          <w:sz w:val="14"/>
          <w:szCs w:val="14"/>
          <w:color w:val="auto"/>
        </w:rPr>
        <w:t>Yardley, PA 19067</w:t>
      </w:r>
    </w:p>
    <w:p>
      <w:pPr>
        <w:spacing w:after="0" w:line="200" w:lineRule="exact"/>
        <w:rPr>
          <w:sz w:val="20"/>
          <w:szCs w:val="20"/>
          <w:color w:val="auto"/>
        </w:rPr>
      </w:pPr>
    </w:p>
    <w:p>
      <w:pPr>
        <w:spacing w:after="0" w:line="23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Income from operations was $1,336 million for the full year 2022 compared to $1,363 million in 2021. Segment income for the full year 2022 was $1,443 million versus $1,500 million in the prior year period, primarily due to costs associated with higher inventory levels, higher energy prices and unfavorable foreign currency translation of $29 million.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was $284 million for the full year 2022 compared to $253 million in 2021 primarily due to higher interest rates.</w:t>
      </w:r>
    </w:p>
    <w:p>
      <w:pPr>
        <w:spacing w:after="0" w:line="23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Net income attributable to Crown Holdings in 2022 was $727 million compared to a loss of $560 million in 2021. Reported diluted earnings per share were $5.99 compared to a diluted loss per share of $4.30 in 2021 and adjusted diluted earnings per share were $6.75 compared to $7.66 in 2021.</w:t>
      </w:r>
    </w:p>
    <w:p>
      <w:pPr>
        <w:spacing w:after="0" w:line="18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Company repurchased $722 million, or 6.4 million shares of its common stock. The Company has remaining Board authorization to repurchase an additional $2.3 billion through December 2024. Since reinitiating the share repurchase program in 2021, we have now repurchased 15.3 million or 11% of our shares then outstanding.</w:t>
      </w:r>
    </w:p>
    <w:p>
      <w:pPr>
        <w:spacing w:after="0" w:line="2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supplemental information is provided below: a reconciliation from net income and diluted earnings per share to adjusted net income and adjusted diluted earnings per share and the impact of foreign currency translation.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2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With improved results expected in each of our global beverage can businesses as well as in Transit Packaging, adjusted EBITDA is anticipated to grow in the range of 8-12% in 2023.</w:t>
      </w:r>
    </w:p>
    <w:p>
      <w:pPr>
        <w:spacing w:after="0" w:line="20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Company currently estimates full year 2023 adjusted diluted earnings per share to be in the range of $6.20 to $6.40, including a $0.40 per diluted share year over year impact from additional noncash pension and postretirement. As a result of higher average outstanding borrowings and higher interest rates, net interest expense is expected to be approximately $400 million in 2023, an increase of more than $130 million or $0.80 per diluted share compared to 2022.</w:t>
      </w:r>
    </w:p>
    <w:p>
      <w:pPr>
        <w:spacing w:after="0" w:line="2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expects the adjusted effective income tax rate to be between 24% and 25% compared to 23.6% in 2022 and adjusted free cash flow to be approximately $500 million after $900 million in capital expenditures.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First quarter adjusted diluted earnings per share is expected to be in the range of $1.00 to $1.10 which includes headwinds from higher interest and pension expense as well as the negative year on year impact from steel repricing.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Measures</w:t>
      </w:r>
    </w:p>
    <w:p>
      <w:pPr>
        <w:spacing w:after="0" w:line="20"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Segment income, adjusted free cash flow, adjusted net leverage ratio, adjusted net income, the adjusted effective tax rate, adjusted diluted earnings per share, net interest expense, EBITDA and adjusted EBITDA are not defined terms under U.S. generally accepted accounting principles (non-GAAP measures). Non-GAAP measures should not be considered in isolation or as a substitute for income from operations, net income, diluted earnings per share, effective tax rates, interest expense, interest income, cash flow or leverage ratio data prepared in accordance with U.S. GAAP and may not be comparable to calculations of similarly titled measures by other companies.</w:t>
      </w:r>
    </w:p>
    <w:p>
      <w:pPr>
        <w:spacing w:after="0" w:line="214"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The Company views segment income as the principal measure of the performance of its operations and adjusted free cash flow and adjusted net leverage ratio as the principal measure of its liquidity. The Company considers all of these measures in the allocation of resources. Adjusted free cash flow has certain limitations, however, including that it does not represent the residual cash flow available for discretionary expenditures since other non-discretionary expenditures, such as mandatory debt service requirements, are not deducted from the measure. The amount of mandatory versus discretionary expenditures can vary significantly between periods. Reconciliations of estimated adjusted diluted earnings per share for the first quarter and full year of 2023 to estimated diluted earnings per share on a GAAP basis are not provided in this release due to the unavailability of estimates of the following, the timing and magnitude of which the Company is unable to reliably forecast without unreasonable efforts, which are excluded from estimated adjusted diluted earnings per share and could have a significant impact on earnings per share on a GAAP basis: gains or losses on the sale of businesses or other assets, restructuring and other costs, asset impairment charges, asbestos-related charges, losses from early extinguishment of debt, pension settlement and curtailment charges, the tax and noncontrolling interest impact of the items above, and the impact of tax law changes or other tax matters. We have not provided a reconciliation of the range of anticipated growth of projected adjusted EBITDA to the most comparable GAAP measures due to the inherent difficulty in forecasting and quantifying certain amounts that are necessary for such reconciliation, including restructuring and other charges which are event-driven. The Company believes that adjusted net income, the adjusted effective tax rate and adjusted diluted earnings per share are useful in evaluating the Company’s operations as these measures are adjusted for items that affect comparability between periods. The Company believes that adjusted free cash flow and adjusted net leverage ratio provide meaningful measures of liquidity and a useful basis for assessing the Company’s ability to fund its activities, including the financing of acquisitions, debt repayments, share</w:t>
      </w:r>
    </w:p>
    <w:p>
      <w:pPr>
        <w:sectPr>
          <w:pgSz w:w="11900" w:h="16838" w:orient="portrait"/>
          <w:cols w:equalWidth="0" w:num="1">
            <w:col w:w="11240"/>
          </w:cols>
          <w:pgMar w:left="320" w:top="601" w:right="339" w:bottom="1440" w:gutter="0" w:footer="0" w:header="0"/>
        </w:sect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Page 2 of 12</w:t>
      </w:r>
    </w:p>
    <w:p>
      <w:pPr>
        <w:sectPr>
          <w:pgSz w:w="11900" w:h="16838" w:orient="portrait"/>
          <w:cols w:equalWidth="0" w:num="1">
            <w:col w:w="11240"/>
          </w:cols>
          <w:pgMar w:left="320" w:top="601" w:right="339" w:bottom="1440" w:gutter="0" w:footer="0" w:header="0"/>
          <w:type w:val="continuous"/>
        </w:sectPr>
      </w:pPr>
    </w:p>
    <w:bookmarkStart w:id="6" w:name="page7"/>
    <w:bookmarkEnd w:id="6"/>
    <w:p>
      <w:pPr>
        <w:ind w:left="80"/>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-132080</wp:posOffset>
            </wp:positionV>
            <wp:extent cx="1551305" cy="4972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51305" cy="497205"/>
                    </a:xfrm>
                    <a:prstGeom prst="rect">
                      <a:avLst/>
                    </a:prstGeom>
                    <a:noFill/>
                  </pic:spPr>
                </pic:pic>
              </a:graphicData>
            </a:graphic>
          </wp:anchor>
        </w:drawing>
      </w:r>
    </w:p>
    <w:p>
      <w:pPr>
        <w:spacing w:after="0" w:line="209" w:lineRule="exact"/>
        <w:rPr>
          <w:sz w:val="20"/>
          <w:szCs w:val="20"/>
          <w:color w:val="auto"/>
        </w:rPr>
      </w:pPr>
    </w:p>
    <w:p>
      <w:pPr>
        <w:ind w:left="80"/>
        <w:spacing w:after="0"/>
        <w:rPr>
          <w:sz w:val="20"/>
          <w:szCs w:val="20"/>
          <w:color w:val="auto"/>
        </w:rPr>
      </w:pPr>
      <w:r>
        <w:rPr>
          <w:rFonts w:ascii="Arial" w:cs="Arial" w:eastAsia="Arial" w:hAnsi="Arial"/>
          <w:sz w:val="14"/>
          <w:szCs w:val="14"/>
          <w:color w:val="auto"/>
        </w:rPr>
        <w:t>Corporate Headquarters</w:t>
      </w:r>
    </w:p>
    <w:p>
      <w:pPr>
        <w:ind w:left="80"/>
        <w:spacing w:after="0" w:line="221" w:lineRule="auto"/>
        <w:rPr>
          <w:sz w:val="20"/>
          <w:szCs w:val="20"/>
          <w:color w:val="auto"/>
        </w:rPr>
      </w:pPr>
      <w:r>
        <w:rPr>
          <w:rFonts w:ascii="Arial" w:cs="Arial" w:eastAsia="Arial" w:hAnsi="Arial"/>
          <w:sz w:val="14"/>
          <w:szCs w:val="14"/>
          <w:color w:val="auto"/>
        </w:rPr>
        <w:t>770 Township Line Road</w:t>
      </w:r>
    </w:p>
    <w:p>
      <w:pPr>
        <w:ind w:left="80"/>
        <w:spacing w:after="0"/>
        <w:rPr>
          <w:sz w:val="20"/>
          <w:szCs w:val="20"/>
          <w:color w:val="auto"/>
        </w:rPr>
      </w:pPr>
      <w:r>
        <w:rPr>
          <w:rFonts w:ascii="Arial" w:cs="Arial" w:eastAsia="Arial" w:hAnsi="Arial"/>
          <w:sz w:val="14"/>
          <w:szCs w:val="14"/>
          <w:color w:val="auto"/>
        </w:rPr>
        <w:t>Yardley, PA 19067</w:t>
      </w:r>
    </w:p>
    <w:p>
      <w:pPr>
        <w:spacing w:after="0" w:line="200" w:lineRule="exact"/>
        <w:rPr>
          <w:sz w:val="20"/>
          <w:szCs w:val="20"/>
          <w:color w:val="auto"/>
        </w:rPr>
      </w:pPr>
    </w:p>
    <w:p>
      <w:pPr>
        <w:spacing w:after="0" w:line="23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repurchases or dividends. Segment income, adjusted free cash flow, adjusted net leverage ratio, the adjusted effective tax rate, adjusted net income, adjusted diluted earnings per share and adjusted EBITDA are derived from the Company’s Consolidated Statements of Operations and Cash Flows and Consolidated Balance Sheets, as applicable, and reconciliations to segment income, adjusted free cash flow, net leverage ratio, the adjusted effective tax rate, adjusted net income, adjusted diluted earnings per share and adjusted EBITDA can be found within this release.</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w:t>
      </w:r>
    </w:p>
    <w:p>
      <w:pPr>
        <w:spacing w:after="0" w:line="2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 xml:space="preserve">The Company will hold a conference call tomorrow, February 8, 2023 at 9:00 a.m. (EST) to discuss this news release. Forward-looking and other material information may be discussed on the conference call. The dial-in numbers for the conference call are 630-395-0194 or toll-free 888-324-8108 and the access password is “packaging.” A live webcast of the call will be made available to the public on the internet at the Company’s website, </w:t>
      </w:r>
      <w:r>
        <w:rPr>
          <w:rFonts w:ascii="Times New Roman" w:cs="Times New Roman" w:eastAsia="Times New Roman" w:hAnsi="Times New Roman"/>
          <w:sz w:val="18"/>
          <w:szCs w:val="18"/>
          <w:color w:val="0000FF"/>
        </w:rPr>
        <w:t>www.crowncork.com</w:t>
      </w:r>
      <w:r>
        <w:rPr>
          <w:rFonts w:ascii="Times New Roman" w:cs="Times New Roman" w:eastAsia="Times New Roman" w:hAnsi="Times New Roman"/>
          <w:sz w:val="18"/>
          <w:szCs w:val="18"/>
          <w:color w:val="000000"/>
        </w:rPr>
        <w:t>. A replay of the conference call will be available for a one-week period ending at midnight on February 15, 2023. The telephone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numbers for the replay are 203-369-3348 or toll free 800-813-5534.</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Except for historical information, all other information in this press release consists of forward-looking statements. These forward-looking statements involve a number of risks, uncertainties and other factors, including the future impact of the coronavirus pandemic on the Company’s operations, including the Company’s ability to continue to operate its plants, distribute its products, and maintain its supply chain; the future impact of currency translation; the continuation of performance and market trends in 2023, including consumer preference for beverage cans and increasing global beverage can demand; the future impact of inflation, including the potential for higher interest rates and energy prices and the Company's ability to recover raw material and other inflationary costs; future demand for food cans; the Company’s ability to successfully complete its previously announced capacity expansion projects and begin production within expected timelines, including any delays related to the pandemic; and the impact of overhead reduction efforts in the Transit business, that may cause actual results to be materially different from those expressed or implied in the forward-looking statements. Important factors that could cause the statements made in this press release or the actual results of operations or financial condition of the Company to differ are discussed under the caption "Forward Looking Statements" in the Company's Form 10-K Annual Report for the year ended December 31, 2021 and in subsequent filings made prior to or after the date hereof. The Company does not intend to review or revise any particular forward-looking statement in light of future events.</w:t>
      </w:r>
    </w:p>
    <w:p>
      <w:pPr>
        <w:spacing w:after="0" w:line="2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Crown Holdings, Inc., through its subsidiaries, is a worldwide leader in the design, manufacture and sale of packaging products for consumer goods and industrial products. World headquarters are located in Yardley, Pennsylvania.</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contact:</w:t>
      </w:r>
    </w:p>
    <w:p>
      <w:pPr>
        <w:spacing w:after="0" w:line="16" w:lineRule="exact"/>
        <w:rPr>
          <w:sz w:val="20"/>
          <w:szCs w:val="20"/>
          <w:color w:val="auto"/>
        </w:rPr>
      </w:pPr>
    </w:p>
    <w:p>
      <w:pPr>
        <w:ind w:right="4520"/>
        <w:spacing w:after="0" w:line="271" w:lineRule="auto"/>
        <w:rPr>
          <w:sz w:val="20"/>
          <w:szCs w:val="20"/>
          <w:color w:val="auto"/>
        </w:rPr>
      </w:pPr>
      <w:r>
        <w:rPr>
          <w:rFonts w:ascii="Times New Roman" w:cs="Times New Roman" w:eastAsia="Times New Roman" w:hAnsi="Times New Roman"/>
          <w:sz w:val="17"/>
          <w:szCs w:val="17"/>
          <w:color w:val="auto"/>
        </w:rPr>
        <w:t>Kevin C. Clothier, Senior Vice President and Chief Financial Officer, (215) 698-5281 Thomas T. Fischer, Vice President, Investor Relations and Corporate Affairs, (215) 552-3720</w:t>
      </w:r>
    </w:p>
    <w:p>
      <w:pPr>
        <w:spacing w:after="0" w:line="200" w:lineRule="exact"/>
        <w:rPr>
          <w:sz w:val="20"/>
          <w:szCs w:val="20"/>
          <w:color w:val="auto"/>
        </w:rPr>
      </w:pPr>
    </w:p>
    <w:p>
      <w:pPr>
        <w:spacing w:after="0" w:line="226" w:lineRule="exact"/>
        <w:rPr>
          <w:sz w:val="20"/>
          <w:szCs w:val="20"/>
          <w:color w:val="auto"/>
        </w:rPr>
      </w:pPr>
    </w:p>
    <w:p>
      <w:pPr>
        <w:ind w:right="480"/>
        <w:spacing w:after="0" w:line="271" w:lineRule="auto"/>
        <w:rPr>
          <w:sz w:val="20"/>
          <w:szCs w:val="20"/>
          <w:color w:val="auto"/>
        </w:rPr>
      </w:pPr>
      <w:r>
        <w:rPr>
          <w:rFonts w:ascii="Times New Roman" w:cs="Times New Roman" w:eastAsia="Times New Roman" w:hAnsi="Times New Roman"/>
          <w:sz w:val="18"/>
          <w:szCs w:val="18"/>
          <w:b w:val="1"/>
          <w:bCs w:val="1"/>
          <w:color w:val="auto"/>
        </w:rPr>
        <w:t>Unaudited Consolidated Statements of Operations, Balance Sheets, Statements of Cash Flows, Segment Information and Supplemental Data follow.</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3 of 12</w:t>
      </w:r>
    </w:p>
    <w:p>
      <w:pPr>
        <w:sectPr>
          <w:pgSz w:w="11900" w:h="16838" w:orient="portrait"/>
          <w:cols w:equalWidth="0" w:num="1">
            <w:col w:w="11240"/>
          </w:cols>
          <w:pgMar w:left="320" w:top="601" w:right="339" w:bottom="1440" w:gutter="0" w:footer="0" w:header="0"/>
        </w:sectPr>
      </w:pPr>
    </w:p>
    <w:bookmarkStart w:id="7" w:name="page8"/>
    <w:bookmarkEnd w:id="7"/>
    <w:p>
      <w:pPr>
        <w:ind w:left="60"/>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5530215</wp:posOffset>
            </wp:positionH>
            <wp:positionV relativeFrom="paragraph">
              <wp:posOffset>-132080</wp:posOffset>
            </wp:positionV>
            <wp:extent cx="1551305" cy="4972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51305" cy="497205"/>
                    </a:xfrm>
                    <a:prstGeom prst="rect">
                      <a:avLst/>
                    </a:prstGeom>
                    <a:noFill/>
                  </pic:spPr>
                </pic:pic>
              </a:graphicData>
            </a:graphic>
          </wp:anchor>
        </w:drawing>
      </w:r>
    </w:p>
    <w:p>
      <w:pPr>
        <w:spacing w:after="0" w:line="209" w:lineRule="exact"/>
        <w:rPr>
          <w:sz w:val="20"/>
          <w:szCs w:val="20"/>
          <w:color w:val="auto"/>
        </w:rPr>
      </w:pPr>
    </w:p>
    <w:p>
      <w:pPr>
        <w:ind w:left="60"/>
        <w:spacing w:after="0"/>
        <w:rPr>
          <w:sz w:val="20"/>
          <w:szCs w:val="20"/>
          <w:color w:val="auto"/>
        </w:rPr>
      </w:pPr>
      <w:r>
        <w:rPr>
          <w:rFonts w:ascii="Arial" w:cs="Arial" w:eastAsia="Arial" w:hAnsi="Arial"/>
          <w:sz w:val="14"/>
          <w:szCs w:val="14"/>
          <w:color w:val="auto"/>
        </w:rPr>
        <w:t>Corporate Headquarters</w:t>
      </w:r>
    </w:p>
    <w:p>
      <w:pPr>
        <w:ind w:left="60"/>
        <w:spacing w:after="0" w:line="221" w:lineRule="auto"/>
        <w:rPr>
          <w:sz w:val="20"/>
          <w:szCs w:val="20"/>
          <w:color w:val="auto"/>
        </w:rPr>
      </w:pPr>
      <w:r>
        <w:rPr>
          <w:rFonts w:ascii="Arial" w:cs="Arial" w:eastAsia="Arial" w:hAnsi="Arial"/>
          <w:sz w:val="14"/>
          <w:szCs w:val="14"/>
          <w:color w:val="auto"/>
        </w:rPr>
        <w:t>770 Township Line Road</w:t>
      </w:r>
    </w:p>
    <w:p>
      <w:pPr>
        <w:ind w:left="60"/>
        <w:spacing w:after="0"/>
        <w:rPr>
          <w:sz w:val="20"/>
          <w:szCs w:val="20"/>
          <w:color w:val="auto"/>
        </w:rPr>
      </w:pPr>
      <w:r>
        <w:rPr>
          <w:rFonts w:ascii="Arial" w:cs="Arial" w:eastAsia="Arial" w:hAnsi="Arial"/>
          <w:sz w:val="14"/>
          <w:szCs w:val="14"/>
          <w:color w:val="auto"/>
        </w:rPr>
        <w:t>Yardley, PA 19067</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u w:val="single" w:color="auto"/>
          <w:color w:val="auto"/>
        </w:rPr>
        <w:t>Consolidated Statements of Operations (Unaudited)</w:t>
      </w:r>
    </w:p>
    <w:p>
      <w:pPr>
        <w:spacing w:after="0" w:line="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(in millions, except share and per share data)</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40" w:type="dxa"/>
            <w:vAlign w:val="bottom"/>
            <w:gridSpan w:val="5"/>
          </w:tcPr>
          <w:p>
            <w:pPr>
              <w:ind w:left="60"/>
              <w:spacing w:after="0"/>
              <w:rPr>
                <w:sz w:val="20"/>
                <w:szCs w:val="20"/>
                <w:color w:val="auto"/>
              </w:rPr>
            </w:pPr>
            <w:r>
              <w:rPr>
                <w:rFonts w:ascii="Times New Roman" w:cs="Times New Roman" w:eastAsia="Times New Roman" w:hAnsi="Times New Roman"/>
                <w:sz w:val="16"/>
                <w:szCs w:val="16"/>
                <w:b w:val="1"/>
                <w:bCs w:val="1"/>
                <w:color w:val="auto"/>
              </w:rPr>
              <w:t>Three Months Ended December 31,</w:t>
            </w:r>
          </w:p>
        </w:tc>
        <w:tc>
          <w:tcPr>
            <w:tcW w:w="280" w:type="dxa"/>
            <w:vAlign w:val="bottom"/>
          </w:tcPr>
          <w:p>
            <w:pPr>
              <w:spacing w:after="0"/>
              <w:rPr>
                <w:sz w:val="18"/>
                <w:szCs w:val="18"/>
                <w:color w:val="auto"/>
              </w:rPr>
            </w:pPr>
          </w:p>
        </w:tc>
        <w:tc>
          <w:tcPr>
            <w:tcW w:w="2660" w:type="dxa"/>
            <w:vAlign w:val="bottom"/>
            <w:gridSpan w:val="4"/>
          </w:tcPr>
          <w:p>
            <w:pPr>
              <w:jc w:val="right"/>
              <w:ind w:right="49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0" w:type="dxa"/>
            <w:vAlign w:val="bottom"/>
          </w:tcPr>
          <w:p>
            <w:pPr>
              <w:spacing w:after="0"/>
              <w:rPr>
                <w:sz w:val="1"/>
                <w:szCs w:val="1"/>
                <w:color w:val="auto"/>
              </w:rPr>
            </w:pPr>
          </w:p>
        </w:tc>
      </w:tr>
      <w:tr>
        <w:trPr>
          <w:trHeight w:val="226"/>
        </w:trPr>
        <w:tc>
          <w:tcPr>
            <w:tcW w:w="49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8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38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8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23"/>
        </w:trPr>
        <w:tc>
          <w:tcPr>
            <w:tcW w:w="4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3,012</w:t>
            </w:r>
          </w:p>
        </w:tc>
        <w:tc>
          <w:tcPr>
            <w:tcW w:w="38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3,054</w:t>
            </w:r>
          </w:p>
        </w:tc>
        <w:tc>
          <w:tcPr>
            <w:tcW w:w="38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12,943</w:t>
            </w:r>
          </w:p>
        </w:tc>
        <w:tc>
          <w:tcPr>
            <w:tcW w:w="38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11,394</w:t>
            </w:r>
          </w:p>
        </w:tc>
        <w:tc>
          <w:tcPr>
            <w:tcW w:w="0" w:type="dxa"/>
            <w:vAlign w:val="bottom"/>
          </w:tcPr>
          <w:p>
            <w:pPr>
              <w:spacing w:after="0"/>
              <w:rPr>
                <w:sz w:val="1"/>
                <w:szCs w:val="1"/>
                <w:color w:val="auto"/>
              </w:rPr>
            </w:pPr>
          </w:p>
        </w:tc>
      </w:tr>
      <w:tr>
        <w:trPr>
          <w:trHeight w:val="367"/>
        </w:trPr>
        <w:tc>
          <w:tcPr>
            <w:tcW w:w="4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Cost of products sold</w:t>
            </w:r>
          </w:p>
        </w:tc>
        <w:tc>
          <w:tcPr>
            <w:tcW w:w="180" w:type="dxa"/>
            <w:vAlign w:val="bottom"/>
          </w:tcPr>
          <w:p>
            <w:pPr>
              <w:spacing w:after="0"/>
              <w:rPr>
                <w:sz w:val="24"/>
                <w:szCs w:val="24"/>
                <w:color w:val="auto"/>
              </w:rPr>
            </w:pPr>
          </w:p>
        </w:tc>
        <w:tc>
          <w:tcPr>
            <w:tcW w:w="11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2,509</w:t>
            </w: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2,481</w:t>
            </w: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10,643</w:t>
            </w: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9,029</w:t>
            </w:r>
          </w:p>
        </w:tc>
        <w:tc>
          <w:tcPr>
            <w:tcW w:w="0" w:type="dxa"/>
            <w:vAlign w:val="bottom"/>
          </w:tcPr>
          <w:p>
            <w:pPr>
              <w:spacing w:after="0"/>
              <w:rPr>
                <w:sz w:val="1"/>
                <w:szCs w:val="1"/>
                <w:color w:val="auto"/>
              </w:rPr>
            </w:pPr>
          </w:p>
        </w:tc>
      </w:tr>
      <w:tr>
        <w:trPr>
          <w:trHeight w:val="229"/>
        </w:trPr>
        <w:tc>
          <w:tcPr>
            <w:tcW w:w="4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Pr>
          <w:p>
            <w:pPr>
              <w:spacing w:after="0"/>
              <w:rPr>
                <w:sz w:val="19"/>
                <w:szCs w:val="19"/>
                <w:color w:val="auto"/>
              </w:rPr>
            </w:pPr>
          </w:p>
        </w:tc>
        <w:tc>
          <w:tcPr>
            <w:tcW w:w="11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114</w:t>
            </w: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111</w:t>
            </w: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460</w:t>
            </w: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447</w:t>
            </w:r>
          </w:p>
        </w:tc>
        <w:tc>
          <w:tcPr>
            <w:tcW w:w="0" w:type="dxa"/>
            <w:vAlign w:val="bottom"/>
          </w:tcPr>
          <w:p>
            <w:pPr>
              <w:spacing w:after="0"/>
              <w:rPr>
                <w:sz w:val="1"/>
                <w:szCs w:val="1"/>
                <w:color w:val="auto"/>
              </w:rPr>
            </w:pPr>
          </w:p>
        </w:tc>
      </w:tr>
      <w:tr>
        <w:trPr>
          <w:trHeight w:val="229"/>
        </w:trPr>
        <w:tc>
          <w:tcPr>
            <w:tcW w:w="4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Selling and administrative expense</w:t>
            </w:r>
          </w:p>
        </w:tc>
        <w:tc>
          <w:tcPr>
            <w:tcW w:w="180" w:type="dxa"/>
            <w:vAlign w:val="bottom"/>
          </w:tcPr>
          <w:p>
            <w:pPr>
              <w:spacing w:after="0"/>
              <w:rPr>
                <w:sz w:val="19"/>
                <w:szCs w:val="19"/>
                <w:color w:val="auto"/>
              </w:rPr>
            </w:pPr>
          </w:p>
        </w:tc>
        <w:tc>
          <w:tcPr>
            <w:tcW w:w="11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137</w:t>
            </w: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145</w:t>
            </w: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556</w:t>
            </w: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583</w:t>
            </w:r>
          </w:p>
        </w:tc>
        <w:tc>
          <w:tcPr>
            <w:tcW w:w="0" w:type="dxa"/>
            <w:vAlign w:val="bottom"/>
          </w:tcPr>
          <w:p>
            <w:pPr>
              <w:spacing w:after="0"/>
              <w:rPr>
                <w:sz w:val="1"/>
                <w:szCs w:val="1"/>
                <w:color w:val="auto"/>
              </w:rPr>
            </w:pPr>
          </w:p>
        </w:tc>
      </w:tr>
      <w:tr>
        <w:trPr>
          <w:trHeight w:val="234"/>
        </w:trPr>
        <w:tc>
          <w:tcPr>
            <w:tcW w:w="4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Restructuring and other</w:t>
            </w: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23</w:t>
            </w:r>
          </w:p>
        </w:tc>
        <w:tc>
          <w:tcPr>
            <w:tcW w:w="3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14</w:t>
            </w:r>
          </w:p>
        </w:tc>
        <w:tc>
          <w:tcPr>
            <w:tcW w:w="3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(52)</w:t>
            </w:r>
          </w:p>
        </w:tc>
        <w:tc>
          <w:tcPr>
            <w:tcW w:w="3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8"/>
        </w:trPr>
        <w:tc>
          <w:tcPr>
            <w:tcW w:w="4960" w:type="dxa"/>
            <w:vAlign w:val="bottom"/>
          </w:tcPr>
          <w:p>
            <w:pPr>
              <w:spacing w:after="0" w:line="218" w:lineRule="exact"/>
              <w:rPr>
                <w:sz w:val="20"/>
                <w:szCs w:val="20"/>
                <w:color w:val="auto"/>
              </w:rPr>
            </w:pPr>
            <w:r>
              <w:rPr>
                <w:rFonts w:ascii="Times New Roman" w:cs="Times New Roman" w:eastAsia="Times New Roman" w:hAnsi="Times New Roman"/>
                <w:sz w:val="18"/>
                <w:szCs w:val="18"/>
                <w:b w:val="1"/>
                <w:bCs w:val="1"/>
                <w:color w:val="auto"/>
              </w:rPr>
              <w:t xml:space="preserve">Income from operations </w:t>
            </w:r>
            <w:r>
              <w:rPr>
                <w:rFonts w:ascii="Times New Roman" w:cs="Times New Roman" w:eastAsia="Times New Roman" w:hAnsi="Times New Roman"/>
                <w:sz w:val="23"/>
                <w:szCs w:val="23"/>
                <w:b w:val="1"/>
                <w:bCs w:val="1"/>
                <w:color w:val="auto"/>
                <w:vertAlign w:val="superscript"/>
              </w:rPr>
              <w:t>(1)</w:t>
            </w:r>
          </w:p>
        </w:tc>
        <w:tc>
          <w:tcPr>
            <w:tcW w:w="180" w:type="dxa"/>
            <w:vAlign w:val="bottom"/>
          </w:tcPr>
          <w:p>
            <w:pPr>
              <w:spacing w:after="0"/>
              <w:rPr>
                <w:sz w:val="18"/>
                <w:szCs w:val="18"/>
                <w:color w:val="auto"/>
              </w:rPr>
            </w:pPr>
          </w:p>
        </w:tc>
        <w:tc>
          <w:tcPr>
            <w:tcW w:w="11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229</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303</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1,336</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1,363</w:t>
            </w:r>
          </w:p>
        </w:tc>
        <w:tc>
          <w:tcPr>
            <w:tcW w:w="0" w:type="dxa"/>
            <w:vAlign w:val="bottom"/>
          </w:tcPr>
          <w:p>
            <w:pPr>
              <w:spacing w:after="0"/>
              <w:rPr>
                <w:sz w:val="1"/>
                <w:szCs w:val="1"/>
                <w:color w:val="auto"/>
              </w:rPr>
            </w:pPr>
          </w:p>
        </w:tc>
      </w:tr>
      <w:tr>
        <w:trPr>
          <w:trHeight w:val="230"/>
        </w:trPr>
        <w:tc>
          <w:tcPr>
            <w:tcW w:w="4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Pension settlements and curtailments</w:t>
            </w: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1,520</w:t>
            </w: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w:t>
            </w: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1,520</w:t>
            </w:r>
          </w:p>
        </w:tc>
        <w:tc>
          <w:tcPr>
            <w:tcW w:w="0" w:type="dxa"/>
            <w:vAlign w:val="bottom"/>
          </w:tcPr>
          <w:p>
            <w:pPr>
              <w:spacing w:after="0"/>
              <w:rPr>
                <w:sz w:val="1"/>
                <w:szCs w:val="1"/>
                <w:color w:val="auto"/>
              </w:rPr>
            </w:pPr>
          </w:p>
        </w:tc>
      </w:tr>
      <w:tr>
        <w:trPr>
          <w:trHeight w:val="229"/>
        </w:trPr>
        <w:tc>
          <w:tcPr>
            <w:tcW w:w="4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pension and postretirement</w:t>
            </w:r>
          </w:p>
        </w:tc>
        <w:tc>
          <w:tcPr>
            <w:tcW w:w="180" w:type="dxa"/>
            <w:vAlign w:val="bottom"/>
          </w:tcPr>
          <w:p>
            <w:pPr>
              <w:spacing w:after="0"/>
              <w:rPr>
                <w:sz w:val="19"/>
                <w:szCs w:val="19"/>
                <w:color w:val="auto"/>
              </w:rPr>
            </w:pPr>
          </w:p>
        </w:tc>
        <w:tc>
          <w:tcPr>
            <w:tcW w:w="11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(3)</w:t>
            </w: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w:t>
            </w: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(17)</w:t>
            </w: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4"/>
        </w:trPr>
        <w:tc>
          <w:tcPr>
            <w:tcW w:w="4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Foreign exchange</w:t>
            </w: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4</w:t>
            </w:r>
          </w:p>
        </w:tc>
        <w:tc>
          <w:tcPr>
            <w:tcW w:w="3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(44)</w:t>
            </w:r>
          </w:p>
        </w:tc>
        <w:tc>
          <w:tcPr>
            <w:tcW w:w="3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16</w:t>
            </w:r>
          </w:p>
        </w:tc>
        <w:tc>
          <w:tcPr>
            <w:tcW w:w="3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18"/>
        </w:trPr>
        <w:tc>
          <w:tcPr>
            <w:tcW w:w="4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Earnings (loss) before interest and taxes</w:t>
            </w:r>
          </w:p>
        </w:tc>
        <w:tc>
          <w:tcPr>
            <w:tcW w:w="180" w:type="dxa"/>
            <w:vAlign w:val="bottom"/>
          </w:tcPr>
          <w:p>
            <w:pPr>
              <w:spacing w:after="0"/>
              <w:rPr>
                <w:sz w:val="18"/>
                <w:szCs w:val="18"/>
                <w:color w:val="auto"/>
              </w:rPr>
            </w:pPr>
          </w:p>
        </w:tc>
        <w:tc>
          <w:tcPr>
            <w:tcW w:w="11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228</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(1,172)</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1,336</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(107)</w:t>
            </w:r>
          </w:p>
        </w:tc>
        <w:tc>
          <w:tcPr>
            <w:tcW w:w="0" w:type="dxa"/>
            <w:vAlign w:val="bottom"/>
          </w:tcPr>
          <w:p>
            <w:pPr>
              <w:spacing w:after="0"/>
              <w:rPr>
                <w:sz w:val="1"/>
                <w:szCs w:val="1"/>
                <w:color w:val="auto"/>
              </w:rPr>
            </w:pPr>
          </w:p>
        </w:tc>
      </w:tr>
      <w:tr>
        <w:trPr>
          <w:trHeight w:val="230"/>
        </w:trPr>
        <w:tc>
          <w:tcPr>
            <w:tcW w:w="4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tcPr>
          <w:p>
            <w:pPr>
              <w:spacing w:after="0"/>
              <w:rPr>
                <w:sz w:val="19"/>
                <w:szCs w:val="19"/>
                <w:color w:val="auto"/>
              </w:rPr>
            </w:pPr>
          </w:p>
        </w:tc>
        <w:tc>
          <w:tcPr>
            <w:tcW w:w="11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90</w:t>
            </w: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50</w:t>
            </w: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284</w:t>
            </w: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253</w:t>
            </w:r>
          </w:p>
        </w:tc>
        <w:tc>
          <w:tcPr>
            <w:tcW w:w="0" w:type="dxa"/>
            <w:vAlign w:val="bottom"/>
          </w:tcPr>
          <w:p>
            <w:pPr>
              <w:spacing w:after="0"/>
              <w:rPr>
                <w:sz w:val="1"/>
                <w:szCs w:val="1"/>
                <w:color w:val="auto"/>
              </w:rPr>
            </w:pPr>
          </w:p>
        </w:tc>
      </w:tr>
      <w:tr>
        <w:trPr>
          <w:trHeight w:val="229"/>
        </w:trPr>
        <w:tc>
          <w:tcPr>
            <w:tcW w:w="4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income</w:t>
            </w:r>
          </w:p>
        </w:tc>
        <w:tc>
          <w:tcPr>
            <w:tcW w:w="180" w:type="dxa"/>
            <w:vAlign w:val="bottom"/>
          </w:tcPr>
          <w:p>
            <w:pPr>
              <w:spacing w:after="0"/>
              <w:rPr>
                <w:sz w:val="19"/>
                <w:szCs w:val="19"/>
                <w:color w:val="auto"/>
              </w:rPr>
            </w:pPr>
          </w:p>
        </w:tc>
        <w:tc>
          <w:tcPr>
            <w:tcW w:w="11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(6)</w:t>
            </w: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(4)</w:t>
            </w: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(15)</w:t>
            </w: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34"/>
        </w:trPr>
        <w:tc>
          <w:tcPr>
            <w:tcW w:w="4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68</w:t>
            </w:r>
          </w:p>
        </w:tc>
        <w:tc>
          <w:tcPr>
            <w:tcW w:w="3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11</w:t>
            </w:r>
          </w:p>
        </w:tc>
        <w:tc>
          <w:tcPr>
            <w:tcW w:w="3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18"/>
        </w:trPr>
        <w:tc>
          <w:tcPr>
            <w:tcW w:w="4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(loss) from continuing operations before income taxes</w:t>
            </w:r>
          </w:p>
        </w:tc>
        <w:tc>
          <w:tcPr>
            <w:tcW w:w="180" w:type="dxa"/>
            <w:vAlign w:val="bottom"/>
          </w:tcPr>
          <w:p>
            <w:pPr>
              <w:spacing w:after="0"/>
              <w:rPr>
                <w:sz w:val="18"/>
                <w:szCs w:val="18"/>
                <w:color w:val="auto"/>
              </w:rPr>
            </w:pPr>
          </w:p>
        </w:tc>
        <w:tc>
          <w:tcPr>
            <w:tcW w:w="11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144</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(1,286)</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1,056</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(419)</w:t>
            </w:r>
          </w:p>
        </w:tc>
        <w:tc>
          <w:tcPr>
            <w:tcW w:w="0" w:type="dxa"/>
            <w:vAlign w:val="bottom"/>
          </w:tcPr>
          <w:p>
            <w:pPr>
              <w:spacing w:after="0"/>
              <w:rPr>
                <w:sz w:val="1"/>
                <w:szCs w:val="1"/>
                <w:color w:val="auto"/>
              </w:rPr>
            </w:pPr>
          </w:p>
        </w:tc>
      </w:tr>
      <w:tr>
        <w:trPr>
          <w:trHeight w:val="230"/>
        </w:trPr>
        <w:tc>
          <w:tcPr>
            <w:tcW w:w="4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180" w:type="dxa"/>
            <w:vAlign w:val="bottom"/>
          </w:tcPr>
          <w:p>
            <w:pPr>
              <w:spacing w:after="0"/>
              <w:rPr>
                <w:sz w:val="19"/>
                <w:szCs w:val="19"/>
                <w:color w:val="auto"/>
              </w:rPr>
            </w:pPr>
          </w:p>
        </w:tc>
        <w:tc>
          <w:tcPr>
            <w:tcW w:w="11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25</w:t>
            </w: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(342)</w:t>
            </w: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243</w:t>
            </w: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34"/>
        </w:trPr>
        <w:tc>
          <w:tcPr>
            <w:tcW w:w="4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Equity earnings (loss)</w:t>
            </w: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3</w:t>
            </w:r>
          </w:p>
        </w:tc>
        <w:tc>
          <w:tcPr>
            <w:tcW w:w="3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(7)</w:t>
            </w:r>
          </w:p>
        </w:tc>
        <w:tc>
          <w:tcPr>
            <w:tcW w:w="3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42</w:t>
            </w:r>
          </w:p>
        </w:tc>
        <w:tc>
          <w:tcPr>
            <w:tcW w:w="3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3"/>
        </w:trPr>
        <w:tc>
          <w:tcPr>
            <w:tcW w:w="4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(loss) from continuing operations</w:t>
            </w: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122</w:t>
            </w:r>
          </w:p>
        </w:tc>
        <w:tc>
          <w:tcPr>
            <w:tcW w:w="3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(951)</w:t>
            </w:r>
          </w:p>
        </w:tc>
        <w:tc>
          <w:tcPr>
            <w:tcW w:w="3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855</w:t>
            </w:r>
          </w:p>
        </w:tc>
        <w:tc>
          <w:tcPr>
            <w:tcW w:w="3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(359)</w:t>
            </w:r>
          </w:p>
        </w:tc>
        <w:tc>
          <w:tcPr>
            <w:tcW w:w="0" w:type="dxa"/>
            <w:vAlign w:val="bottom"/>
          </w:tcPr>
          <w:p>
            <w:pPr>
              <w:spacing w:after="0"/>
              <w:rPr>
                <w:sz w:val="1"/>
                <w:szCs w:val="1"/>
                <w:color w:val="auto"/>
              </w:rPr>
            </w:pPr>
          </w:p>
        </w:tc>
      </w:tr>
      <w:tr>
        <w:trPr>
          <w:trHeight w:val="218"/>
        </w:trPr>
        <w:tc>
          <w:tcPr>
            <w:tcW w:w="4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Income from discontinued operations, net of tax</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234"/>
        </w:trPr>
        <w:tc>
          <w:tcPr>
            <w:tcW w:w="4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Loss from disposal</w:t>
            </w: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(9)</w:t>
            </w:r>
          </w:p>
        </w:tc>
        <w:tc>
          <w:tcPr>
            <w:tcW w:w="3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(208)</w:t>
            </w:r>
          </w:p>
        </w:tc>
        <w:tc>
          <w:tcPr>
            <w:tcW w:w="0" w:type="dxa"/>
            <w:vAlign w:val="bottom"/>
          </w:tcPr>
          <w:p>
            <w:pPr>
              <w:spacing w:after="0"/>
              <w:rPr>
                <w:sz w:val="1"/>
                <w:szCs w:val="1"/>
                <w:color w:val="auto"/>
              </w:rPr>
            </w:pPr>
          </w:p>
        </w:tc>
      </w:tr>
      <w:tr>
        <w:trPr>
          <w:trHeight w:val="223"/>
        </w:trPr>
        <w:tc>
          <w:tcPr>
            <w:tcW w:w="4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from discontinued operations</w:t>
            </w: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(9)</w:t>
            </w:r>
          </w:p>
        </w:tc>
        <w:tc>
          <w:tcPr>
            <w:tcW w:w="3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(52)</w:t>
            </w:r>
          </w:p>
        </w:tc>
        <w:tc>
          <w:tcPr>
            <w:tcW w:w="0" w:type="dxa"/>
            <w:vAlign w:val="bottom"/>
          </w:tcPr>
          <w:p>
            <w:pPr>
              <w:spacing w:after="0"/>
              <w:rPr>
                <w:sz w:val="1"/>
                <w:szCs w:val="1"/>
                <w:color w:val="auto"/>
              </w:rPr>
            </w:pPr>
          </w:p>
        </w:tc>
      </w:tr>
      <w:tr>
        <w:trPr>
          <w:trHeight w:val="218"/>
        </w:trPr>
        <w:tc>
          <w:tcPr>
            <w:tcW w:w="4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80" w:type="dxa"/>
            <w:vAlign w:val="bottom"/>
          </w:tcPr>
          <w:p>
            <w:pPr>
              <w:spacing w:after="0"/>
              <w:rPr>
                <w:sz w:val="18"/>
                <w:szCs w:val="18"/>
                <w:color w:val="auto"/>
              </w:rPr>
            </w:pPr>
          </w:p>
        </w:tc>
        <w:tc>
          <w:tcPr>
            <w:tcW w:w="11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122</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(960)</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855</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(411)</w:t>
            </w:r>
          </w:p>
        </w:tc>
        <w:tc>
          <w:tcPr>
            <w:tcW w:w="0" w:type="dxa"/>
            <w:vAlign w:val="bottom"/>
          </w:tcPr>
          <w:p>
            <w:pPr>
              <w:spacing w:after="0"/>
              <w:rPr>
                <w:sz w:val="1"/>
                <w:szCs w:val="1"/>
                <w:color w:val="auto"/>
              </w:rPr>
            </w:pPr>
          </w:p>
        </w:tc>
      </w:tr>
      <w:tr>
        <w:trPr>
          <w:trHeight w:val="180"/>
        </w:trPr>
        <w:tc>
          <w:tcPr>
            <w:tcW w:w="4960" w:type="dxa"/>
            <w:vAlign w:val="bottom"/>
          </w:tcPr>
          <w:p>
            <w:pPr>
              <w:ind w:left="160"/>
              <w:spacing w:after="0" w:line="181" w:lineRule="exact"/>
              <w:rPr>
                <w:sz w:val="20"/>
                <w:szCs w:val="20"/>
                <w:color w:val="auto"/>
              </w:rPr>
            </w:pPr>
            <w:r>
              <w:rPr>
                <w:rFonts w:ascii="Times New Roman" w:cs="Times New Roman" w:eastAsia="Times New Roman" w:hAnsi="Times New Roman"/>
                <w:sz w:val="18"/>
                <w:szCs w:val="18"/>
                <w:color w:val="auto"/>
              </w:rPr>
              <w:t>Net income from continuing operations attributable to</w:t>
            </w:r>
          </w:p>
        </w:tc>
        <w:tc>
          <w:tcPr>
            <w:tcW w:w="180" w:type="dxa"/>
            <w:vAlign w:val="bottom"/>
          </w:tcPr>
          <w:p>
            <w:pPr>
              <w:spacing w:after="0"/>
              <w:rPr>
                <w:sz w:val="15"/>
                <w:szCs w:val="15"/>
                <w:color w:val="auto"/>
              </w:rPr>
            </w:pPr>
          </w:p>
        </w:tc>
        <w:tc>
          <w:tcPr>
            <w:tcW w:w="110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color w:val="auto"/>
              </w:rPr>
              <w:t>33</w:t>
            </w: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color w:val="auto"/>
              </w:rPr>
              <w:t>41</w:t>
            </w: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color w:val="auto"/>
              </w:rPr>
              <w:t>128</w:t>
            </w: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148"/>
        </w:trPr>
        <w:tc>
          <w:tcPr>
            <w:tcW w:w="496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8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496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3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3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4"/>
        </w:trPr>
        <w:tc>
          <w:tcPr>
            <w:tcW w:w="4960" w:type="dxa"/>
            <w:vAlign w:val="bottom"/>
          </w:tcPr>
          <w:p>
            <w:pPr>
              <w:ind w:left="160"/>
              <w:spacing w:after="0" w:line="184" w:lineRule="exact"/>
              <w:rPr>
                <w:sz w:val="20"/>
                <w:szCs w:val="20"/>
                <w:color w:val="auto"/>
              </w:rPr>
            </w:pPr>
            <w:r>
              <w:rPr>
                <w:rFonts w:ascii="Times New Roman" w:cs="Times New Roman" w:eastAsia="Times New Roman" w:hAnsi="Times New Roman"/>
                <w:sz w:val="18"/>
                <w:szCs w:val="18"/>
                <w:color w:val="auto"/>
              </w:rPr>
              <w:t>Net income from discontinued operations attributable to</w:t>
            </w: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49"/>
        </w:trPr>
        <w:tc>
          <w:tcPr>
            <w:tcW w:w="496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4960" w:type="dxa"/>
            <w:vAlign w:val="bottom"/>
            <w:vMerge w:val="continue"/>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4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(loss) attributable to Crown Holdings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89</w:t>
            </w:r>
          </w:p>
        </w:tc>
        <w:tc>
          <w:tcPr>
            <w:tcW w:w="38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(1,001)</w:t>
            </w:r>
          </w:p>
        </w:tc>
        <w:tc>
          <w:tcPr>
            <w:tcW w:w="38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727</w:t>
            </w:r>
          </w:p>
        </w:tc>
        <w:tc>
          <w:tcPr>
            <w:tcW w:w="38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(560)</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ind w:left="5160" w:right="5160" w:hanging="4929"/>
        <w:spacing w:after="0" w:line="971" w:lineRule="auto"/>
        <w:tabs>
          <w:tab w:leader="none" w:pos="420" w:val="left"/>
        </w:tabs>
        <w:numPr>
          <w:ilvl w:val="0"/>
          <w:numId w:val="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Reconciliation from income from operations to segment income follows. Page 4 of 12</w:t>
      </w:r>
    </w:p>
    <w:p>
      <w:pPr>
        <w:sectPr>
          <w:pgSz w:w="11900" w:h="16838" w:orient="portrait"/>
          <w:cols w:equalWidth="0" w:num="1">
            <w:col w:w="11220"/>
          </w:cols>
          <w:pgMar w:left="340" w:top="601" w:right="339" w:bottom="1440" w:gutter="0" w:footer="0" w:header="0"/>
        </w:sectPr>
      </w:pPr>
    </w:p>
    <w:bookmarkStart w:id="8" w:name="page9"/>
    <w:bookmarkEnd w:id="8"/>
    <w:p>
      <w:pPr>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5492115</wp:posOffset>
            </wp:positionH>
            <wp:positionV relativeFrom="paragraph">
              <wp:posOffset>-132080</wp:posOffset>
            </wp:positionV>
            <wp:extent cx="1551305" cy="4972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51305" cy="49720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color w:val="auto"/>
        </w:rPr>
        <w:t>Corporate Headquarters</w:t>
      </w:r>
    </w:p>
    <w:p>
      <w:pPr>
        <w:spacing w:after="0" w:line="221" w:lineRule="auto"/>
        <w:rPr>
          <w:sz w:val="20"/>
          <w:szCs w:val="20"/>
          <w:color w:val="auto"/>
        </w:rPr>
      </w:pPr>
      <w:r>
        <w:rPr>
          <w:rFonts w:ascii="Arial" w:cs="Arial" w:eastAsia="Arial" w:hAnsi="Arial"/>
          <w:sz w:val="14"/>
          <w:szCs w:val="14"/>
          <w:color w:val="auto"/>
        </w:rPr>
        <w:t>770 Township Line Road</w:t>
      </w:r>
    </w:p>
    <w:p>
      <w:pPr>
        <w:spacing w:after="0"/>
        <w:rPr>
          <w:sz w:val="20"/>
          <w:szCs w:val="20"/>
          <w:color w:val="auto"/>
        </w:rPr>
      </w:pPr>
      <w:r>
        <w:rPr>
          <w:rFonts w:ascii="Arial" w:cs="Arial" w:eastAsia="Arial" w:hAnsi="Arial"/>
          <w:sz w:val="14"/>
          <w:szCs w:val="14"/>
          <w:color w:val="auto"/>
        </w:rPr>
        <w:t>Yardley, PA 19067</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u w:val="single" w:color="auto"/>
          <w:color w:val="auto"/>
        </w:rPr>
        <w:t>Earnings Per Share (Unaudited)</w:t>
      </w:r>
    </w:p>
    <w:p>
      <w:pPr>
        <w:spacing w:after="0" w:line="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(in millions, except share and per share data)</w:t>
      </w:r>
    </w:p>
    <w:p>
      <w:pPr>
        <w:spacing w:after="0" w:line="284" w:lineRule="exact"/>
        <w:rPr>
          <w:sz w:val="20"/>
          <w:szCs w:val="20"/>
          <w:color w:val="auto"/>
        </w:rPr>
      </w:pPr>
    </w:p>
    <w:tbl>
      <w:tblPr>
        <w:tblLayout w:type="fixed"/>
        <w:tblInd w:w="80" w:type="dxa"/>
        <w:tblCellMar>
          <w:top w:w="0" w:type="dxa"/>
          <w:left w:w="0" w:type="dxa"/>
          <w:bottom w:w="0" w:type="dxa"/>
          <w:right w:w="0" w:type="dxa"/>
        </w:tblCellMar>
      </w:tblPr>
      <w:tr>
        <w:trPr>
          <w:trHeight w:val="215"/>
        </w:trPr>
        <w:tc>
          <w:tcPr>
            <w:tcW w:w="5580" w:type="dxa"/>
            <w:vAlign w:val="bottom"/>
          </w:tcPr>
          <w:p>
            <w:pPr>
              <w:spacing w:after="0"/>
              <w:rPr>
                <w:sz w:val="18"/>
                <w:szCs w:val="18"/>
                <w:color w:val="auto"/>
              </w:rPr>
            </w:pPr>
          </w:p>
        </w:tc>
        <w:tc>
          <w:tcPr>
            <w:tcW w:w="2760" w:type="dxa"/>
            <w:vAlign w:val="bottom"/>
            <w:gridSpan w:val="6"/>
          </w:tcPr>
          <w:p>
            <w:pPr>
              <w:ind w:left="80"/>
              <w:spacing w:after="0"/>
              <w:rPr>
                <w:sz w:val="20"/>
                <w:szCs w:val="20"/>
                <w:color w:val="auto"/>
              </w:rPr>
            </w:pPr>
            <w:r>
              <w:rPr>
                <w:rFonts w:ascii="Times New Roman" w:cs="Times New Roman" w:eastAsia="Times New Roman" w:hAnsi="Times New Roman"/>
                <w:sz w:val="16"/>
                <w:szCs w:val="16"/>
                <w:b w:val="1"/>
                <w:bCs w:val="1"/>
                <w:color w:val="auto"/>
              </w:rPr>
              <w:t>Three Months Ended December 31,</w:t>
            </w:r>
          </w:p>
        </w:tc>
        <w:tc>
          <w:tcPr>
            <w:tcW w:w="260" w:type="dxa"/>
            <w:vAlign w:val="bottom"/>
          </w:tcPr>
          <w:p>
            <w:pPr>
              <w:spacing w:after="0"/>
              <w:rPr>
                <w:sz w:val="18"/>
                <w:szCs w:val="18"/>
                <w:color w:val="auto"/>
              </w:rPr>
            </w:pPr>
          </w:p>
        </w:tc>
        <w:tc>
          <w:tcPr>
            <w:tcW w:w="2360" w:type="dxa"/>
            <w:vAlign w:val="bottom"/>
            <w:gridSpan w:val="4"/>
          </w:tcPr>
          <w:p>
            <w:pPr>
              <w:jc w:val="right"/>
              <w:ind w:right="33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0" w:type="dxa"/>
            <w:vAlign w:val="bottom"/>
          </w:tcPr>
          <w:p>
            <w:pPr>
              <w:spacing w:after="0"/>
              <w:rPr>
                <w:sz w:val="1"/>
                <w:szCs w:val="1"/>
                <w:color w:val="auto"/>
              </w:rPr>
            </w:pPr>
          </w:p>
        </w:tc>
      </w:tr>
      <w:tr>
        <w:trPr>
          <w:trHeight w:val="226"/>
        </w:trPr>
        <w:tc>
          <w:tcPr>
            <w:tcW w:w="55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income (loss) attributable to Crown Holdings</w:t>
            </w: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4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05"/>
        </w:trPr>
        <w:tc>
          <w:tcPr>
            <w:tcW w:w="558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5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From continuing operations</w:t>
            </w: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89</w:t>
            </w:r>
          </w:p>
        </w:tc>
        <w:tc>
          <w:tcPr>
            <w:tcW w:w="14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(992)</w:t>
            </w:r>
          </w:p>
        </w:tc>
        <w:tc>
          <w:tcPr>
            <w:tcW w:w="1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727</w:t>
            </w:r>
          </w:p>
        </w:tc>
        <w:tc>
          <w:tcPr>
            <w:tcW w:w="1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(507)</w:t>
            </w:r>
          </w:p>
        </w:tc>
        <w:tc>
          <w:tcPr>
            <w:tcW w:w="0" w:type="dxa"/>
            <w:vAlign w:val="bottom"/>
          </w:tcPr>
          <w:p>
            <w:pPr>
              <w:spacing w:after="0"/>
              <w:rPr>
                <w:sz w:val="1"/>
                <w:szCs w:val="1"/>
                <w:color w:val="auto"/>
              </w:rPr>
            </w:pPr>
          </w:p>
        </w:tc>
      </w:tr>
      <w:tr>
        <w:trPr>
          <w:trHeight w:val="238"/>
        </w:trPr>
        <w:tc>
          <w:tcPr>
            <w:tcW w:w="5580" w:type="dxa"/>
            <w:vAlign w:val="bottom"/>
          </w:tcPr>
          <w:p>
            <w:pPr>
              <w:ind w:left="160"/>
              <w:spacing w:after="0" w:line="237" w:lineRule="exact"/>
              <w:rPr>
                <w:sz w:val="20"/>
                <w:szCs w:val="20"/>
                <w:color w:val="auto"/>
              </w:rPr>
            </w:pPr>
            <w:r>
              <w:rPr>
                <w:rFonts w:ascii="Times New Roman" w:cs="Times New Roman" w:eastAsia="Times New Roman" w:hAnsi="Times New Roman"/>
                <w:sz w:val="18"/>
                <w:szCs w:val="18"/>
                <w:color w:val="auto"/>
              </w:rPr>
              <w:t xml:space="preserve">From discontinued operations </w:t>
            </w:r>
            <w:r>
              <w:rPr>
                <w:rFonts w:ascii="Times New Roman" w:cs="Times New Roman" w:eastAsia="Times New Roman" w:hAnsi="Times New Roman"/>
                <w:sz w:val="23"/>
                <w:szCs w:val="23"/>
                <w:color w:val="auto"/>
                <w:vertAlign w:val="superscript"/>
              </w:rPr>
              <w:t>(1)</w:t>
            </w: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23"/>
        </w:trPr>
        <w:tc>
          <w:tcPr>
            <w:tcW w:w="558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89</w:t>
            </w:r>
          </w:p>
        </w:tc>
        <w:tc>
          <w:tcPr>
            <w:tcW w:w="14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(1,001)</w:t>
            </w:r>
          </w:p>
        </w:tc>
        <w:tc>
          <w:tcPr>
            <w:tcW w:w="14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rPr>
              <w:t>727</w:t>
            </w:r>
          </w:p>
        </w:tc>
        <w:tc>
          <w:tcPr>
            <w:tcW w:w="14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(560)</w:t>
            </w:r>
          </w:p>
        </w:tc>
        <w:tc>
          <w:tcPr>
            <w:tcW w:w="0" w:type="dxa"/>
            <w:vAlign w:val="bottom"/>
          </w:tcPr>
          <w:p>
            <w:pPr>
              <w:spacing w:after="0"/>
              <w:rPr>
                <w:sz w:val="1"/>
                <w:szCs w:val="1"/>
                <w:color w:val="auto"/>
              </w:rPr>
            </w:pPr>
          </w:p>
        </w:tc>
      </w:tr>
      <w:tr>
        <w:trPr>
          <w:trHeight w:val="20"/>
        </w:trPr>
        <w:tc>
          <w:tcPr>
            <w:tcW w:w="55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Earnings (loss) per share attributable to Crown Holdings:</w:t>
            </w: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558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Basic earnings (loss) per share from continuing operations</w:t>
            </w: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0.75</w:t>
            </w:r>
          </w:p>
        </w:tc>
        <w:tc>
          <w:tcPr>
            <w:tcW w:w="14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(7.87)</w:t>
            </w:r>
          </w:p>
        </w:tc>
        <w:tc>
          <w:tcPr>
            <w:tcW w:w="1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6.01</w:t>
            </w:r>
          </w:p>
        </w:tc>
        <w:tc>
          <w:tcPr>
            <w:tcW w:w="1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(3.89)</w:t>
            </w:r>
          </w:p>
        </w:tc>
        <w:tc>
          <w:tcPr>
            <w:tcW w:w="0" w:type="dxa"/>
            <w:vAlign w:val="bottom"/>
          </w:tcPr>
          <w:p>
            <w:pPr>
              <w:spacing w:after="0"/>
              <w:rPr>
                <w:sz w:val="1"/>
                <w:szCs w:val="1"/>
                <w:color w:val="auto"/>
              </w:rPr>
            </w:pPr>
          </w:p>
        </w:tc>
      </w:tr>
      <w:tr>
        <w:trPr>
          <w:trHeight w:val="234"/>
        </w:trPr>
        <w:tc>
          <w:tcPr>
            <w:tcW w:w="5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Basic earnings (loss) per share from discontinued operations</w:t>
            </w: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(0.08)</w:t>
            </w: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(0.41)</w:t>
            </w:r>
          </w:p>
        </w:tc>
        <w:tc>
          <w:tcPr>
            <w:tcW w:w="0" w:type="dxa"/>
            <w:vAlign w:val="bottom"/>
          </w:tcPr>
          <w:p>
            <w:pPr>
              <w:spacing w:after="0"/>
              <w:rPr>
                <w:sz w:val="1"/>
                <w:szCs w:val="1"/>
                <w:color w:val="auto"/>
              </w:rPr>
            </w:pPr>
          </w:p>
        </w:tc>
      </w:tr>
      <w:tr>
        <w:trPr>
          <w:trHeight w:val="223"/>
        </w:trPr>
        <w:tc>
          <w:tcPr>
            <w:tcW w:w="558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Basic earnings (loss) per common share</w:t>
            </w:r>
          </w:p>
        </w:tc>
        <w:tc>
          <w:tcPr>
            <w:tcW w:w="2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0.75</w:t>
            </w:r>
          </w:p>
        </w:tc>
        <w:tc>
          <w:tcPr>
            <w:tcW w:w="14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(7.95)</w:t>
            </w:r>
          </w:p>
        </w:tc>
        <w:tc>
          <w:tcPr>
            <w:tcW w:w="14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rPr>
              <w:t>6.01</w:t>
            </w:r>
          </w:p>
        </w:tc>
        <w:tc>
          <w:tcPr>
            <w:tcW w:w="14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(4.30)</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1"/>
        </w:trPr>
        <w:tc>
          <w:tcPr>
            <w:tcW w:w="5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Diluted earnings (loss) per common share from continuing operations</w:t>
            </w: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0.74</w:t>
            </w:r>
          </w:p>
        </w:tc>
        <w:tc>
          <w:tcPr>
            <w:tcW w:w="140" w:type="dxa"/>
            <w:vAlign w:val="bottom"/>
          </w:tcPr>
          <w:p>
            <w:pPr>
              <w:spacing w:after="0"/>
              <w:rPr>
                <w:sz w:val="24"/>
                <w:szCs w:val="24"/>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(7.87)</w:t>
            </w:r>
          </w:p>
        </w:tc>
        <w:tc>
          <w:tcPr>
            <w:tcW w:w="140" w:type="dxa"/>
            <w:vAlign w:val="bottom"/>
          </w:tcPr>
          <w:p>
            <w:pPr>
              <w:spacing w:after="0"/>
              <w:rPr>
                <w:sz w:val="24"/>
                <w:szCs w:val="24"/>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5.99</w:t>
            </w:r>
          </w:p>
        </w:tc>
        <w:tc>
          <w:tcPr>
            <w:tcW w:w="140" w:type="dxa"/>
            <w:vAlign w:val="bottom"/>
          </w:tcPr>
          <w:p>
            <w:pPr>
              <w:spacing w:after="0"/>
              <w:rPr>
                <w:sz w:val="24"/>
                <w:szCs w:val="24"/>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(3.89)</w:t>
            </w:r>
          </w:p>
        </w:tc>
        <w:tc>
          <w:tcPr>
            <w:tcW w:w="0" w:type="dxa"/>
            <w:vAlign w:val="bottom"/>
          </w:tcPr>
          <w:p>
            <w:pPr>
              <w:spacing w:after="0"/>
              <w:rPr>
                <w:sz w:val="1"/>
                <w:szCs w:val="1"/>
                <w:color w:val="auto"/>
              </w:rPr>
            </w:pPr>
          </w:p>
        </w:tc>
      </w:tr>
      <w:tr>
        <w:trPr>
          <w:trHeight w:val="234"/>
        </w:trPr>
        <w:tc>
          <w:tcPr>
            <w:tcW w:w="5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Diluted earnings (loss) per common share from discontinued operations</w:t>
            </w: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(0.08)</w:t>
            </w: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(0.41)</w:t>
            </w:r>
          </w:p>
        </w:tc>
        <w:tc>
          <w:tcPr>
            <w:tcW w:w="0" w:type="dxa"/>
            <w:vAlign w:val="bottom"/>
          </w:tcPr>
          <w:p>
            <w:pPr>
              <w:spacing w:after="0"/>
              <w:rPr>
                <w:sz w:val="1"/>
                <w:szCs w:val="1"/>
                <w:color w:val="auto"/>
              </w:rPr>
            </w:pPr>
          </w:p>
        </w:tc>
      </w:tr>
      <w:tr>
        <w:trPr>
          <w:trHeight w:val="223"/>
        </w:trPr>
        <w:tc>
          <w:tcPr>
            <w:tcW w:w="558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Diluted earnings (loss) per common share</w:t>
            </w:r>
          </w:p>
        </w:tc>
        <w:tc>
          <w:tcPr>
            <w:tcW w:w="2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0.74</w:t>
            </w:r>
          </w:p>
        </w:tc>
        <w:tc>
          <w:tcPr>
            <w:tcW w:w="14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(7.95)</w:t>
            </w:r>
          </w:p>
        </w:tc>
        <w:tc>
          <w:tcPr>
            <w:tcW w:w="14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rPr>
              <w:t>5.99</w:t>
            </w:r>
          </w:p>
        </w:tc>
        <w:tc>
          <w:tcPr>
            <w:tcW w:w="14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(4.30)</w:t>
            </w:r>
          </w:p>
        </w:tc>
        <w:tc>
          <w:tcPr>
            <w:tcW w:w="0" w:type="dxa"/>
            <w:vAlign w:val="bottom"/>
          </w:tcPr>
          <w:p>
            <w:pPr>
              <w:spacing w:after="0"/>
              <w:rPr>
                <w:sz w:val="1"/>
                <w:szCs w:val="1"/>
                <w:color w:val="auto"/>
              </w:rPr>
            </w:pPr>
          </w:p>
        </w:tc>
      </w:tr>
      <w:tr>
        <w:trPr>
          <w:trHeight w:val="21"/>
        </w:trPr>
        <w:tc>
          <w:tcPr>
            <w:tcW w:w="5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47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common shares outstanding:</w:t>
            </w:r>
          </w:p>
        </w:tc>
        <w:tc>
          <w:tcPr>
            <w:tcW w:w="22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r>
      <w:tr>
        <w:trPr>
          <w:trHeight w:val="229"/>
        </w:trPr>
        <w:tc>
          <w:tcPr>
            <w:tcW w:w="4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22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119,160,922</w:t>
            </w:r>
          </w:p>
        </w:tc>
        <w:tc>
          <w:tcPr>
            <w:tcW w:w="14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125,990,933</w:t>
            </w:r>
          </w:p>
        </w:tc>
        <w:tc>
          <w:tcPr>
            <w:tcW w:w="13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120,855,695</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130,376,215</w:t>
            </w:r>
          </w:p>
        </w:tc>
      </w:tr>
      <w:tr>
        <w:trPr>
          <w:trHeight w:val="230"/>
        </w:trPr>
        <w:tc>
          <w:tcPr>
            <w:tcW w:w="4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22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119,498,979</w:t>
            </w:r>
          </w:p>
        </w:tc>
        <w:tc>
          <w:tcPr>
            <w:tcW w:w="14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126,762,186</w:t>
            </w:r>
          </w:p>
        </w:tc>
        <w:tc>
          <w:tcPr>
            <w:tcW w:w="13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121,376,604</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131,348,050</w:t>
            </w:r>
          </w:p>
        </w:tc>
      </w:tr>
      <w:tr>
        <w:trPr>
          <w:trHeight w:val="234"/>
        </w:trPr>
        <w:tc>
          <w:tcPr>
            <w:tcW w:w="4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Actual common shares outstanding</w:t>
            </w:r>
          </w:p>
        </w:tc>
        <w:tc>
          <w:tcPr>
            <w:tcW w:w="22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119,945,302</w:t>
            </w:r>
          </w:p>
        </w:tc>
        <w:tc>
          <w:tcPr>
            <w:tcW w:w="14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126,131,799</w:t>
            </w:r>
          </w:p>
        </w:tc>
        <w:tc>
          <w:tcPr>
            <w:tcW w:w="13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119,945,302</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126,131,799</w:t>
            </w:r>
          </w:p>
        </w:tc>
      </w:tr>
    </w:tbl>
    <w:p>
      <w:pPr>
        <w:spacing w:after="0" w:line="200" w:lineRule="exact"/>
        <w:rPr>
          <w:sz w:val="20"/>
          <w:szCs w:val="20"/>
          <w:color w:val="auto"/>
        </w:rPr>
      </w:pPr>
    </w:p>
    <w:p>
      <w:pPr>
        <w:spacing w:after="0" w:line="317" w:lineRule="exact"/>
        <w:rPr>
          <w:sz w:val="20"/>
          <w:szCs w:val="20"/>
          <w:color w:val="auto"/>
        </w:rPr>
      </w:pPr>
    </w:p>
    <w:p>
      <w:pPr>
        <w:ind w:left="1240" w:hanging="178"/>
        <w:spacing w:after="0"/>
        <w:tabs>
          <w:tab w:leader="none" w:pos="1240" w:val="left"/>
        </w:tabs>
        <w:numPr>
          <w:ilvl w:val="0"/>
          <w:numId w:val="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Discontinued operations does not include any allocation of interest expense or indirect costs.</w:t>
      </w:r>
    </w:p>
    <w:p>
      <w:pPr>
        <w:spacing w:after="0" w:line="200" w:lineRule="exact"/>
        <w:rPr>
          <w:rFonts w:ascii="Times New Roman" w:cs="Times New Roman" w:eastAsia="Times New Roman" w:hAnsi="Times New Roman"/>
          <w:sz w:val="22"/>
          <w:szCs w:val="22"/>
          <w:color w:val="auto"/>
          <w:vertAlign w:val="superscript"/>
        </w:rPr>
      </w:pPr>
    </w:p>
    <w:p>
      <w:pPr>
        <w:spacing w:after="0" w:line="200" w:lineRule="exact"/>
        <w:rPr>
          <w:rFonts w:ascii="Times New Roman" w:cs="Times New Roman" w:eastAsia="Times New Roman" w:hAnsi="Times New Roman"/>
          <w:sz w:val="22"/>
          <w:szCs w:val="22"/>
          <w:color w:val="auto"/>
          <w:vertAlign w:val="superscript"/>
        </w:rPr>
      </w:pPr>
    </w:p>
    <w:p>
      <w:pPr>
        <w:spacing w:after="0" w:line="200" w:lineRule="exact"/>
        <w:rPr>
          <w:rFonts w:ascii="Times New Roman" w:cs="Times New Roman" w:eastAsia="Times New Roman" w:hAnsi="Times New Roman"/>
          <w:sz w:val="22"/>
          <w:szCs w:val="22"/>
          <w:color w:val="auto"/>
          <w:vertAlign w:val="superscript"/>
        </w:rPr>
      </w:pPr>
    </w:p>
    <w:p>
      <w:pPr>
        <w:spacing w:after="0" w:line="200" w:lineRule="exact"/>
        <w:rPr>
          <w:rFonts w:ascii="Times New Roman" w:cs="Times New Roman" w:eastAsia="Times New Roman" w:hAnsi="Times New Roman"/>
          <w:sz w:val="22"/>
          <w:szCs w:val="22"/>
          <w:color w:val="auto"/>
          <w:vertAlign w:val="superscript"/>
        </w:rPr>
      </w:pPr>
    </w:p>
    <w:p>
      <w:pPr>
        <w:spacing w:after="0" w:line="261" w:lineRule="exact"/>
        <w:rPr>
          <w:rFonts w:ascii="Times New Roman" w:cs="Times New Roman" w:eastAsia="Times New Roman" w:hAnsi="Times New Roman"/>
          <w:sz w:val="22"/>
          <w:szCs w:val="22"/>
          <w:color w:val="auto"/>
          <w:vertAlign w:val="superscript"/>
        </w:rPr>
      </w:pPr>
    </w:p>
    <w:p>
      <w:pPr>
        <w:ind w:left="5100"/>
        <w:spacing w:after="0"/>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Page 5 of 12</w:t>
      </w:r>
    </w:p>
    <w:p>
      <w:pPr>
        <w:sectPr>
          <w:pgSz w:w="11900" w:h="16838" w:orient="portrait"/>
          <w:cols w:equalWidth="0" w:num="1">
            <w:col w:w="11040"/>
          </w:cols>
          <w:pgMar w:left="400" w:top="601" w:right="459" w:bottom="1440" w:gutter="0" w:footer="0" w:header="0"/>
        </w:sectPr>
      </w:pPr>
    </w:p>
    <w:bookmarkStart w:id="9" w:name="page10"/>
    <w:bookmarkEnd w:id="9"/>
    <w:p>
      <w:pPr>
        <w:ind w:left="80"/>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-132080</wp:posOffset>
            </wp:positionV>
            <wp:extent cx="1551305" cy="4972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51305" cy="497205"/>
                    </a:xfrm>
                    <a:prstGeom prst="rect">
                      <a:avLst/>
                    </a:prstGeom>
                    <a:noFill/>
                  </pic:spPr>
                </pic:pic>
              </a:graphicData>
            </a:graphic>
          </wp:anchor>
        </w:drawing>
      </w:r>
    </w:p>
    <w:p>
      <w:pPr>
        <w:spacing w:after="0" w:line="209" w:lineRule="exact"/>
        <w:rPr>
          <w:sz w:val="20"/>
          <w:szCs w:val="20"/>
          <w:color w:val="auto"/>
        </w:rPr>
      </w:pPr>
    </w:p>
    <w:p>
      <w:pPr>
        <w:ind w:left="80"/>
        <w:spacing w:after="0"/>
        <w:rPr>
          <w:sz w:val="20"/>
          <w:szCs w:val="20"/>
          <w:color w:val="auto"/>
        </w:rPr>
      </w:pPr>
      <w:r>
        <w:rPr>
          <w:rFonts w:ascii="Arial" w:cs="Arial" w:eastAsia="Arial" w:hAnsi="Arial"/>
          <w:sz w:val="14"/>
          <w:szCs w:val="14"/>
          <w:color w:val="auto"/>
        </w:rPr>
        <w:t>Corporate Headquarters</w:t>
      </w:r>
    </w:p>
    <w:p>
      <w:pPr>
        <w:ind w:left="80"/>
        <w:spacing w:after="0" w:line="221" w:lineRule="auto"/>
        <w:rPr>
          <w:sz w:val="20"/>
          <w:szCs w:val="20"/>
          <w:color w:val="auto"/>
        </w:rPr>
      </w:pPr>
      <w:r>
        <w:rPr>
          <w:rFonts w:ascii="Arial" w:cs="Arial" w:eastAsia="Arial" w:hAnsi="Arial"/>
          <w:sz w:val="14"/>
          <w:szCs w:val="14"/>
          <w:color w:val="auto"/>
        </w:rPr>
        <w:t>770 Township Line Road</w:t>
      </w:r>
    </w:p>
    <w:p>
      <w:pPr>
        <w:ind w:left="80"/>
        <w:spacing w:after="0"/>
        <w:rPr>
          <w:sz w:val="20"/>
          <w:szCs w:val="20"/>
          <w:color w:val="auto"/>
        </w:rPr>
      </w:pPr>
      <w:r>
        <w:rPr>
          <w:rFonts w:ascii="Arial" w:cs="Arial" w:eastAsia="Arial" w:hAnsi="Arial"/>
          <w:sz w:val="14"/>
          <w:szCs w:val="14"/>
          <w:color w:val="auto"/>
        </w:rPr>
        <w:t>Yardley, PA 19067</w:t>
      </w:r>
    </w:p>
    <w:p>
      <w:pPr>
        <w:spacing w:after="0" w:line="200" w:lineRule="exact"/>
        <w:rPr>
          <w:sz w:val="20"/>
          <w:szCs w:val="20"/>
          <w:color w:val="auto"/>
        </w:rPr>
      </w:pPr>
    </w:p>
    <w:p>
      <w:pPr>
        <w:spacing w:after="0" w:line="32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Supplemental Financial Data (Unaudited)</w:t>
      </w:r>
    </w:p>
    <w:p>
      <w:pPr>
        <w:spacing w:after="0" w:line="31"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from Income from Operations to Segment Income</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views segment income, as defined below, as a principal measure of performance of its operations and for the allocation of resources. Segment income is defined by the Company as income from operations adjusted to exclude intangibles amortization charges and provisions for restructuring and other.</w:t>
      </w:r>
    </w:p>
    <w:p>
      <w:pPr>
        <w:spacing w:after="0" w:line="69" w:lineRule="exact"/>
        <w:rPr>
          <w:sz w:val="20"/>
          <w:szCs w:val="20"/>
          <w:color w:val="auto"/>
        </w:rPr>
      </w:pPr>
    </w:p>
    <w:tbl>
      <w:tblPr>
        <w:tblLayout w:type="fixed"/>
        <w:tblInd w:w="1400" w:type="dxa"/>
        <w:tblCellMar>
          <w:top w:w="0" w:type="dxa"/>
          <w:left w:w="0" w:type="dxa"/>
          <w:bottom w:w="0" w:type="dxa"/>
          <w:right w:w="0" w:type="dxa"/>
        </w:tblCellMar>
      </w:tblPr>
      <w:tr>
        <w:trPr>
          <w:trHeight w:val="207"/>
        </w:trPr>
        <w:tc>
          <w:tcPr>
            <w:tcW w:w="2760" w:type="dxa"/>
            <w:vAlign w:val="bottom"/>
          </w:tcPr>
          <w:p>
            <w:pPr>
              <w:spacing w:after="0"/>
              <w:rPr>
                <w:sz w:val="17"/>
                <w:szCs w:val="17"/>
                <w:color w:val="auto"/>
              </w:rPr>
            </w:pPr>
          </w:p>
        </w:tc>
        <w:tc>
          <w:tcPr>
            <w:tcW w:w="31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December</w:t>
            </w:r>
          </w:p>
        </w:tc>
        <w:tc>
          <w:tcPr>
            <w:tcW w:w="180" w:type="dxa"/>
            <w:vAlign w:val="bottom"/>
          </w:tcPr>
          <w:p>
            <w:pPr>
              <w:spacing w:after="0"/>
              <w:rPr>
                <w:sz w:val="17"/>
                <w:szCs w:val="17"/>
                <w:color w:val="auto"/>
              </w:rPr>
            </w:pPr>
          </w:p>
        </w:tc>
        <w:tc>
          <w:tcPr>
            <w:tcW w:w="2420" w:type="dxa"/>
            <w:vAlign w:val="bottom"/>
            <w:gridSpan w:val="4"/>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38"/>
        </w:trPr>
        <w:tc>
          <w:tcPr>
            <w:tcW w:w="276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31,</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4"/>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760" w:type="dxa"/>
            <w:vAlign w:val="bottom"/>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3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5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37"/>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6"/>
              </w:rPr>
              <w:t>229</w:t>
            </w:r>
          </w:p>
        </w:tc>
        <w:tc>
          <w:tcPr>
            <w:tcW w:w="4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303</w:t>
            </w:r>
          </w:p>
        </w:tc>
        <w:tc>
          <w:tcPr>
            <w:tcW w:w="5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1,336</w:t>
            </w:r>
          </w:p>
        </w:tc>
        <w:tc>
          <w:tcPr>
            <w:tcW w:w="2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1,363</w:t>
            </w:r>
          </w:p>
        </w:tc>
        <w:tc>
          <w:tcPr>
            <w:tcW w:w="0" w:type="dxa"/>
            <w:vAlign w:val="bottom"/>
          </w:tcPr>
          <w:p>
            <w:pPr>
              <w:spacing w:after="0"/>
              <w:rPr>
                <w:sz w:val="1"/>
                <w:szCs w:val="1"/>
                <w:color w:val="auto"/>
              </w:rPr>
            </w:pPr>
          </w:p>
        </w:tc>
      </w:tr>
      <w:tr>
        <w:trPr>
          <w:trHeight w:val="257"/>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Intangibles amortization</w:t>
            </w:r>
          </w:p>
        </w:tc>
        <w:tc>
          <w:tcPr>
            <w:tcW w:w="760" w:type="dxa"/>
            <w:vAlign w:val="bottom"/>
          </w:tcPr>
          <w:p>
            <w:pPr>
              <w:spacing w:after="0"/>
              <w:rPr>
                <w:sz w:val="22"/>
                <w:szCs w:val="22"/>
                <w:color w:val="auto"/>
              </w:rPr>
            </w:pPr>
          </w:p>
        </w:tc>
        <w:tc>
          <w:tcPr>
            <w:tcW w:w="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w:t>
            </w: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w:t>
            </w:r>
          </w:p>
        </w:tc>
        <w:tc>
          <w:tcPr>
            <w:tcW w:w="5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159</w:t>
            </w: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5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and other</w:t>
            </w:r>
          </w:p>
        </w:tc>
        <w:tc>
          <w:tcPr>
            <w:tcW w:w="76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w:t>
            </w:r>
          </w:p>
        </w:tc>
        <w:tc>
          <w:tcPr>
            <w:tcW w:w="2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c>
          <w:tcPr>
            <w:tcW w:w="5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23"/>
        </w:trPr>
        <w:tc>
          <w:tcPr>
            <w:tcW w:w="2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Segment income</w:t>
            </w: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6"/>
              </w:rPr>
              <w:t>292</w:t>
            </w:r>
          </w:p>
        </w:tc>
        <w:tc>
          <w:tcPr>
            <w:tcW w:w="22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357</w:t>
            </w:r>
          </w:p>
        </w:tc>
        <w:tc>
          <w:tcPr>
            <w:tcW w:w="5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1,443</w:t>
            </w:r>
          </w:p>
        </w:tc>
        <w:tc>
          <w:tcPr>
            <w:tcW w:w="2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1,500</w:t>
            </w: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Segment Information</w:t>
      </w:r>
    </w:p>
    <w:p>
      <w:pPr>
        <w:spacing w:after="0" w:line="121" w:lineRule="exact"/>
        <w:rPr>
          <w:sz w:val="20"/>
          <w:szCs w:val="20"/>
          <w:color w:val="auto"/>
        </w:rPr>
      </w:pPr>
    </w:p>
    <w:tbl>
      <w:tblPr>
        <w:tblLayout w:type="fixed"/>
        <w:tblInd w:w="1320" w:type="dxa"/>
        <w:tblCellMar>
          <w:top w:w="0" w:type="dxa"/>
          <w:left w:w="0" w:type="dxa"/>
          <w:bottom w:w="0" w:type="dxa"/>
          <w:right w:w="0" w:type="dxa"/>
        </w:tblCellMar>
      </w:tblPr>
      <w:tr>
        <w:trPr>
          <w:trHeight w:val="207"/>
        </w:trPr>
        <w:tc>
          <w:tcPr>
            <w:tcW w:w="27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0" w:type="dxa"/>
            <w:vAlign w:val="bottom"/>
          </w:tcPr>
          <w:p>
            <w:pPr>
              <w:spacing w:after="0"/>
              <w:rPr>
                <w:sz w:val="18"/>
                <w:szCs w:val="18"/>
                <w:color w:val="auto"/>
              </w:rPr>
            </w:pPr>
          </w:p>
        </w:tc>
        <w:tc>
          <w:tcPr>
            <w:tcW w:w="3240" w:type="dxa"/>
            <w:vAlign w:val="bottom"/>
            <w:gridSpan w:val="10"/>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Three Months Ended December</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0" w:type="dxa"/>
            <w:vAlign w:val="bottom"/>
            <w:gridSpan w:val="5"/>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198"/>
        </w:trPr>
        <w:tc>
          <w:tcPr>
            <w:tcW w:w="274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gridSpan w:val="3"/>
          </w:tcPr>
          <w:p>
            <w:pPr>
              <w:jc w:val="right"/>
              <w:ind w:right="20"/>
              <w:spacing w:after="0" w:line="198" w:lineRule="exact"/>
              <w:rPr>
                <w:sz w:val="20"/>
                <w:szCs w:val="20"/>
                <w:color w:val="auto"/>
              </w:rPr>
            </w:pPr>
            <w:r>
              <w:rPr>
                <w:rFonts w:ascii="Times New Roman" w:cs="Times New Roman" w:eastAsia="Times New Roman" w:hAnsi="Times New Roman"/>
                <w:sz w:val="18"/>
                <w:szCs w:val="18"/>
                <w:b w:val="1"/>
                <w:bCs w:val="1"/>
                <w:color w:val="auto"/>
                <w:w w:val="97"/>
              </w:rPr>
              <w:t>31,</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0" w:type="dxa"/>
            <w:vAlign w:val="bottom"/>
            <w:gridSpan w:val="5"/>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 w:type="dxa"/>
            <w:vAlign w:val="bottom"/>
            <w:tcBorders>
              <w:top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7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18"/>
        </w:trPr>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Americas Beverage</w:t>
            </w:r>
          </w:p>
        </w:tc>
        <w:tc>
          <w:tcPr>
            <w:tcW w:w="2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1,201</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5,126</w:t>
            </w:r>
          </w:p>
        </w:tc>
        <w:tc>
          <w:tcPr>
            <w:tcW w:w="220" w:type="dxa"/>
            <w:vAlign w:val="bottom"/>
          </w:tcPr>
          <w:p>
            <w:pPr>
              <w:spacing w:after="0"/>
              <w:rPr>
                <w:sz w:val="18"/>
                <w:szCs w:val="18"/>
                <w:color w:val="auto"/>
              </w:rPr>
            </w:pPr>
          </w:p>
        </w:tc>
        <w:tc>
          <w:tcPr>
            <w:tcW w:w="2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4,441</w:t>
            </w:r>
          </w:p>
        </w:tc>
        <w:tc>
          <w:tcPr>
            <w:tcW w:w="0" w:type="dxa"/>
            <w:vAlign w:val="bottom"/>
          </w:tcPr>
          <w:p>
            <w:pPr>
              <w:spacing w:after="0"/>
              <w:rPr>
                <w:sz w:val="1"/>
                <w:szCs w:val="1"/>
                <w:color w:val="auto"/>
              </w:rPr>
            </w:pPr>
          </w:p>
        </w:tc>
      </w:tr>
      <w:tr>
        <w:trPr>
          <w:trHeight w:val="229"/>
        </w:trPr>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European Beverage</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2,114</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1,843</w:t>
            </w:r>
          </w:p>
        </w:tc>
        <w:tc>
          <w:tcPr>
            <w:tcW w:w="0" w:type="dxa"/>
            <w:vAlign w:val="bottom"/>
          </w:tcPr>
          <w:p>
            <w:pPr>
              <w:spacing w:after="0"/>
              <w:rPr>
                <w:sz w:val="1"/>
                <w:szCs w:val="1"/>
                <w:color w:val="auto"/>
              </w:rPr>
            </w:pPr>
          </w:p>
        </w:tc>
      </w:tr>
      <w:tr>
        <w:trPr>
          <w:trHeight w:val="230"/>
        </w:trPr>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Asia Pacific</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1,615</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1,322</w:t>
            </w:r>
          </w:p>
        </w:tc>
        <w:tc>
          <w:tcPr>
            <w:tcW w:w="0" w:type="dxa"/>
            <w:vAlign w:val="bottom"/>
          </w:tcPr>
          <w:p>
            <w:pPr>
              <w:spacing w:after="0"/>
              <w:rPr>
                <w:sz w:val="1"/>
                <w:szCs w:val="1"/>
                <w:color w:val="auto"/>
              </w:rPr>
            </w:pPr>
          </w:p>
        </w:tc>
      </w:tr>
      <w:tr>
        <w:trPr>
          <w:trHeight w:val="230"/>
        </w:trPr>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Transit Packaging</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2,545</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2,530</w:t>
            </w:r>
          </w:p>
        </w:tc>
        <w:tc>
          <w:tcPr>
            <w:tcW w:w="0" w:type="dxa"/>
            <w:vAlign w:val="bottom"/>
          </w:tcPr>
          <w:p>
            <w:pPr>
              <w:spacing w:after="0"/>
              <w:rPr>
                <w:sz w:val="1"/>
                <w:szCs w:val="1"/>
                <w:color w:val="auto"/>
              </w:rPr>
            </w:pPr>
          </w:p>
        </w:tc>
      </w:tr>
      <w:tr>
        <w:trPr>
          <w:trHeight w:val="234"/>
        </w:trPr>
        <w:tc>
          <w:tcPr>
            <w:tcW w:w="2740" w:type="dxa"/>
            <w:vAlign w:val="bottom"/>
            <w:gridSpan w:val="3"/>
          </w:tcPr>
          <w:p>
            <w:pPr>
              <w:spacing w:after="0" w:line="234"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3"/>
                <w:szCs w:val="23"/>
                <w:color w:val="auto"/>
                <w:vertAlign w:val="superscript"/>
              </w:rPr>
              <w:t>(1)</w:t>
            </w: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1,543</w:t>
            </w:r>
          </w:p>
        </w:tc>
        <w:tc>
          <w:tcPr>
            <w:tcW w:w="2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1,258</w:t>
            </w:r>
          </w:p>
        </w:tc>
        <w:tc>
          <w:tcPr>
            <w:tcW w:w="0" w:type="dxa"/>
            <w:vAlign w:val="bottom"/>
          </w:tcPr>
          <w:p>
            <w:pPr>
              <w:spacing w:after="0"/>
              <w:rPr>
                <w:sz w:val="1"/>
                <w:szCs w:val="1"/>
                <w:color w:val="auto"/>
              </w:rPr>
            </w:pPr>
          </w:p>
        </w:tc>
      </w:tr>
      <w:tr>
        <w:trPr>
          <w:trHeight w:val="223"/>
        </w:trPr>
        <w:tc>
          <w:tcPr>
            <w:tcW w:w="2740" w:type="dxa"/>
            <w:vAlign w:val="bottom"/>
            <w:gridSpan w:val="3"/>
          </w:tcPr>
          <w:p>
            <w:pPr>
              <w:ind w:left="240"/>
              <w:spacing w:after="0"/>
              <w:rPr>
                <w:sz w:val="20"/>
                <w:szCs w:val="20"/>
                <w:color w:val="auto"/>
              </w:rPr>
            </w:pPr>
            <w:r>
              <w:rPr>
                <w:rFonts w:ascii="Times New Roman" w:cs="Times New Roman" w:eastAsia="Times New Roman" w:hAnsi="Times New Roman"/>
                <w:sz w:val="18"/>
                <w:szCs w:val="18"/>
                <w:b w:val="1"/>
                <w:bCs w:val="1"/>
                <w:color w:val="auto"/>
              </w:rPr>
              <w:t>Total net sales</w:t>
            </w:r>
          </w:p>
        </w:tc>
        <w:tc>
          <w:tcPr>
            <w:tcW w:w="28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3,012</w:t>
            </w:r>
          </w:p>
        </w:tc>
        <w:tc>
          <w:tcPr>
            <w:tcW w:w="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3,054</w:t>
            </w: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12,943</w:t>
            </w:r>
          </w:p>
        </w:tc>
        <w:tc>
          <w:tcPr>
            <w:tcW w:w="220" w:type="dxa"/>
            <w:vAlign w:val="bottom"/>
          </w:tcPr>
          <w:p>
            <w:pPr>
              <w:spacing w:after="0"/>
              <w:rPr>
                <w:sz w:val="19"/>
                <w:szCs w:val="19"/>
                <w:color w:val="auto"/>
              </w:rPr>
            </w:pPr>
          </w:p>
        </w:tc>
        <w:tc>
          <w:tcPr>
            <w:tcW w:w="26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11,394</w:t>
            </w:r>
          </w:p>
        </w:tc>
        <w:tc>
          <w:tcPr>
            <w:tcW w:w="0" w:type="dxa"/>
            <w:vAlign w:val="bottom"/>
          </w:tcPr>
          <w:p>
            <w:pPr>
              <w:spacing w:after="0"/>
              <w:rPr>
                <w:sz w:val="1"/>
                <w:szCs w:val="1"/>
                <w:color w:val="auto"/>
              </w:rPr>
            </w:pPr>
          </w:p>
        </w:tc>
      </w:tr>
      <w:tr>
        <w:trPr>
          <w:trHeight w:val="21"/>
        </w:trPr>
        <w:tc>
          <w:tcPr>
            <w:tcW w:w="27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Segment Income</w:t>
            </w: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41"/>
        </w:trPr>
        <w:tc>
          <w:tcPr>
            <w:tcW w:w="2740" w:type="dxa"/>
            <w:vAlign w:val="bottom"/>
            <w:gridSpan w:val="3"/>
            <w:vMerge w:val="continue"/>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80" w:type="dxa"/>
            <w:vAlign w:val="bottom"/>
            <w:gridSpan w:val="2"/>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1"/>
        </w:trPr>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Americas Beverage</w:t>
            </w:r>
          </w:p>
        </w:tc>
        <w:tc>
          <w:tcPr>
            <w:tcW w:w="2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520" w:type="dxa"/>
            <w:vAlign w:val="bottom"/>
            <w:gridSpan w:val="5"/>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220" w:type="dxa"/>
            <w:vAlign w:val="bottom"/>
          </w:tcPr>
          <w:p>
            <w:pPr>
              <w:spacing w:after="0"/>
              <w:rPr>
                <w:sz w:val="24"/>
                <w:szCs w:val="24"/>
                <w:color w:val="auto"/>
              </w:rPr>
            </w:pPr>
          </w:p>
        </w:tc>
        <w:tc>
          <w:tcPr>
            <w:tcW w:w="2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0" w:type="dxa"/>
            <w:vAlign w:val="bottom"/>
          </w:tcPr>
          <w:p>
            <w:pPr>
              <w:spacing w:after="0"/>
              <w:rPr>
                <w:sz w:val="1"/>
                <w:szCs w:val="1"/>
                <w:color w:val="auto"/>
              </w:rPr>
            </w:pPr>
          </w:p>
        </w:tc>
      </w:tr>
      <w:tr>
        <w:trPr>
          <w:trHeight w:val="229"/>
        </w:trPr>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European Beverage</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0" w:type="dxa"/>
            <w:vAlign w:val="bottom"/>
          </w:tcPr>
          <w:p>
            <w:pPr>
              <w:spacing w:after="0"/>
              <w:rPr>
                <w:sz w:val="1"/>
                <w:szCs w:val="1"/>
                <w:color w:val="auto"/>
              </w:rPr>
            </w:pPr>
          </w:p>
        </w:tc>
      </w:tr>
      <w:tr>
        <w:trPr>
          <w:trHeight w:val="230"/>
        </w:trPr>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Asia Pacific</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226"/>
        </w:trPr>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Transit Packaging</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0" w:type="dxa"/>
            <w:vAlign w:val="bottom"/>
          </w:tcPr>
          <w:p>
            <w:pPr>
              <w:spacing w:after="0"/>
              <w:rPr>
                <w:sz w:val="1"/>
                <w:szCs w:val="1"/>
                <w:color w:val="auto"/>
              </w:rPr>
            </w:pPr>
          </w:p>
        </w:tc>
      </w:tr>
      <w:tr>
        <w:trPr>
          <w:trHeight w:val="233"/>
        </w:trPr>
        <w:tc>
          <w:tcPr>
            <w:tcW w:w="2740" w:type="dxa"/>
            <w:vAlign w:val="bottom"/>
            <w:gridSpan w:val="3"/>
          </w:tcPr>
          <w:p>
            <w:pPr>
              <w:spacing w:after="0" w:line="233"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3"/>
                <w:szCs w:val="23"/>
                <w:color w:val="auto"/>
                <w:vertAlign w:val="superscript"/>
              </w:rPr>
              <w:t>(1)</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180"/>
        </w:trPr>
        <w:tc>
          <w:tcPr>
            <w:tcW w:w="2740" w:type="dxa"/>
            <w:vAlign w:val="bottom"/>
            <w:gridSpan w:val="3"/>
          </w:tcPr>
          <w:p>
            <w:pPr>
              <w:spacing w:after="0" w:line="181" w:lineRule="exact"/>
              <w:rPr>
                <w:sz w:val="20"/>
                <w:szCs w:val="20"/>
                <w:color w:val="auto"/>
              </w:rPr>
            </w:pPr>
            <w:r>
              <w:rPr>
                <w:rFonts w:ascii="Times New Roman" w:cs="Times New Roman" w:eastAsia="Times New Roman" w:hAnsi="Times New Roman"/>
                <w:sz w:val="18"/>
                <w:szCs w:val="18"/>
                <w:color w:val="auto"/>
              </w:rPr>
              <w:t>Corporate and other unallocated</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items</w:t>
            </w:r>
          </w:p>
        </w:tc>
        <w:tc>
          <w:tcPr>
            <w:tcW w:w="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tcBorders>
              <w:bottom w:val="single" w:sz="8" w:color="auto"/>
            </w:tcBorders>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223"/>
        </w:trPr>
        <w:tc>
          <w:tcPr>
            <w:tcW w:w="2740" w:type="dxa"/>
            <w:vAlign w:val="bottom"/>
            <w:gridSpan w:val="3"/>
          </w:tcPr>
          <w:p>
            <w:pPr>
              <w:ind w:left="240"/>
              <w:spacing w:after="0"/>
              <w:rPr>
                <w:sz w:val="20"/>
                <w:szCs w:val="20"/>
                <w:color w:val="auto"/>
              </w:rPr>
            </w:pPr>
            <w:r>
              <w:rPr>
                <w:rFonts w:ascii="Times New Roman" w:cs="Times New Roman" w:eastAsia="Times New Roman" w:hAnsi="Times New Roman"/>
                <w:sz w:val="18"/>
                <w:szCs w:val="18"/>
                <w:b w:val="1"/>
                <w:bCs w:val="1"/>
                <w:color w:val="auto"/>
              </w:rPr>
              <w:t>Total segment income</w:t>
            </w:r>
          </w:p>
        </w:tc>
        <w:tc>
          <w:tcPr>
            <w:tcW w:w="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292</w:t>
            </w:r>
          </w:p>
        </w:tc>
        <w:tc>
          <w:tcPr>
            <w:tcW w:w="40" w:type="dxa"/>
            <w:vAlign w:val="bottom"/>
            <w:tcBorders>
              <w:bottom w:val="single" w:sz="8" w:color="auto"/>
            </w:tcBorders>
            <w:gridSpan w:val="2"/>
          </w:tcPr>
          <w:p>
            <w:pPr>
              <w:spacing w:after="0"/>
              <w:rPr>
                <w:sz w:val="19"/>
                <w:szCs w:val="19"/>
                <w:color w:val="auto"/>
              </w:rPr>
            </w:pPr>
          </w:p>
        </w:tc>
        <w:tc>
          <w:tcPr>
            <w:tcW w:w="240" w:type="dxa"/>
            <w:vAlign w:val="bottom"/>
            <w:gridSpan w:val="2"/>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357</w:t>
            </w:r>
          </w:p>
        </w:tc>
        <w:tc>
          <w:tcPr>
            <w:tcW w:w="2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1,443</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1,500</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500" w:right="60" w:hanging="492"/>
        <w:spacing w:after="0" w:line="222" w:lineRule="auto"/>
        <w:tabs>
          <w:tab w:leader="none" w:pos="195"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the Company’s food can, aerosol can and closures businesses in North America, and beverage tooling and equipment operations in the U.S. and United Kingdom.</w:t>
      </w:r>
    </w:p>
    <w:p>
      <w:pPr>
        <w:sectPr>
          <w:pgSz w:w="11900" w:h="16838" w:orient="portrait"/>
          <w:cols w:equalWidth="0" w:num="1">
            <w:col w:w="11240"/>
          </w:cols>
          <w:pgMar w:left="320" w:top="601" w:right="339" w:bottom="47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Page 6 of 12</w:t>
      </w:r>
    </w:p>
    <w:p>
      <w:pPr>
        <w:sectPr>
          <w:pgSz w:w="11900" w:h="16838" w:orient="portrait"/>
          <w:cols w:equalWidth="0" w:num="1">
            <w:col w:w="11240"/>
          </w:cols>
          <w:pgMar w:left="320" w:top="601" w:right="339" w:bottom="472" w:gutter="0" w:footer="0" w:header="0"/>
          <w:type w:val="continuous"/>
        </w:sectPr>
      </w:pPr>
    </w:p>
    <w:bookmarkStart w:id="10" w:name="page11"/>
    <w:bookmarkEnd w:id="10"/>
    <w:p>
      <w:pPr>
        <w:ind w:left="80"/>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-132080</wp:posOffset>
            </wp:positionV>
            <wp:extent cx="1551305" cy="4972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51305" cy="497205"/>
                    </a:xfrm>
                    <a:prstGeom prst="rect">
                      <a:avLst/>
                    </a:prstGeom>
                    <a:noFill/>
                  </pic:spPr>
                </pic:pic>
              </a:graphicData>
            </a:graphic>
          </wp:anchor>
        </w:drawing>
      </w:r>
    </w:p>
    <w:p>
      <w:pPr>
        <w:spacing w:after="0" w:line="209" w:lineRule="exact"/>
        <w:rPr>
          <w:sz w:val="20"/>
          <w:szCs w:val="20"/>
          <w:color w:val="auto"/>
        </w:rPr>
      </w:pPr>
    </w:p>
    <w:p>
      <w:pPr>
        <w:ind w:left="80"/>
        <w:spacing w:after="0"/>
        <w:rPr>
          <w:sz w:val="20"/>
          <w:szCs w:val="20"/>
          <w:color w:val="auto"/>
        </w:rPr>
      </w:pPr>
      <w:r>
        <w:rPr>
          <w:rFonts w:ascii="Arial" w:cs="Arial" w:eastAsia="Arial" w:hAnsi="Arial"/>
          <w:sz w:val="14"/>
          <w:szCs w:val="14"/>
          <w:color w:val="auto"/>
        </w:rPr>
        <w:t>Corporate Headquarters</w:t>
      </w:r>
    </w:p>
    <w:p>
      <w:pPr>
        <w:ind w:left="80"/>
        <w:spacing w:after="0" w:line="221" w:lineRule="auto"/>
        <w:rPr>
          <w:sz w:val="20"/>
          <w:szCs w:val="20"/>
          <w:color w:val="auto"/>
        </w:rPr>
      </w:pPr>
      <w:r>
        <w:rPr>
          <w:rFonts w:ascii="Arial" w:cs="Arial" w:eastAsia="Arial" w:hAnsi="Arial"/>
          <w:sz w:val="14"/>
          <w:szCs w:val="14"/>
          <w:color w:val="auto"/>
        </w:rPr>
        <w:t>770 Township Line Road</w:t>
      </w:r>
    </w:p>
    <w:p>
      <w:pPr>
        <w:ind w:left="80"/>
        <w:spacing w:after="0"/>
        <w:rPr>
          <w:sz w:val="20"/>
          <w:szCs w:val="20"/>
          <w:color w:val="auto"/>
        </w:rPr>
      </w:pPr>
      <w:r>
        <w:rPr>
          <w:rFonts w:ascii="Arial" w:cs="Arial" w:eastAsia="Arial" w:hAnsi="Arial"/>
          <w:sz w:val="14"/>
          <w:szCs w:val="14"/>
          <w:color w:val="auto"/>
        </w:rPr>
        <w:t>Yardley, PA 19067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Supplemental Data (Unaudited)</w:t>
      </w:r>
    </w:p>
    <w:p>
      <w:pPr>
        <w:spacing w:after="0" w:line="31"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from Net Income and Diluted Earnings Per Share to Adjusted Net Income and Adjusted Diluted Earnings Per Share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reconciles reported net income and diluted earnings per share attributable to the Company to adjusted net income and adjusted diluted</w:t>
      </w:r>
    </w:p>
    <w:p>
      <w:pPr>
        <w:spacing w:after="0" w:line="3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earnings per share, as used elsewhere in this release. Some or all of each reconciling item is reported within discontinued operations in the Consolidated Statement of Operations.</w:t>
      </w:r>
    </w:p>
    <w:p>
      <w:pPr>
        <w:spacing w:after="0" w:line="200" w:lineRule="exact"/>
        <w:rPr>
          <w:sz w:val="20"/>
          <w:szCs w:val="20"/>
          <w:color w:val="auto"/>
        </w:rPr>
      </w:pPr>
    </w:p>
    <w:p>
      <w:pPr>
        <w:spacing w:after="0" w:line="211" w:lineRule="exact"/>
        <w:rPr>
          <w:sz w:val="20"/>
          <w:szCs w:val="20"/>
          <w:color w:val="auto"/>
        </w:rPr>
      </w:pPr>
    </w:p>
    <w:tbl>
      <w:tblPr>
        <w:tblLayout w:type="fixed"/>
        <w:tblInd w:w="940" w:type="dxa"/>
        <w:tblCellMar>
          <w:top w:w="0" w:type="dxa"/>
          <w:left w:w="0" w:type="dxa"/>
          <w:bottom w:w="0" w:type="dxa"/>
          <w:right w:w="0" w:type="dxa"/>
        </w:tblCellMar>
      </w:tblPr>
      <w:tr>
        <w:trPr>
          <w:trHeight w:val="242"/>
        </w:trPr>
        <w:tc>
          <w:tcPr>
            <w:tcW w:w="3220" w:type="dxa"/>
            <w:vAlign w:val="bottom"/>
          </w:tcPr>
          <w:p>
            <w:pPr>
              <w:spacing w:after="0"/>
              <w:rPr>
                <w:sz w:val="21"/>
                <w:szCs w:val="21"/>
                <w:color w:val="auto"/>
              </w:rPr>
            </w:pPr>
          </w:p>
        </w:tc>
        <w:tc>
          <w:tcPr>
            <w:tcW w:w="3200" w:type="dxa"/>
            <w:vAlign w:val="bottom"/>
            <w:gridSpan w:val="9"/>
          </w:tcPr>
          <w:p>
            <w:pPr>
              <w:ind w:left="160"/>
              <w:spacing w:after="0"/>
              <w:rPr>
                <w:sz w:val="20"/>
                <w:szCs w:val="20"/>
                <w:color w:val="auto"/>
              </w:rPr>
            </w:pPr>
            <w:r>
              <w:rPr>
                <w:rFonts w:ascii="Times New Roman" w:cs="Times New Roman" w:eastAsia="Times New Roman" w:hAnsi="Times New Roman"/>
                <w:sz w:val="18"/>
                <w:szCs w:val="18"/>
                <w:b w:val="1"/>
                <w:bCs w:val="1"/>
                <w:color w:val="auto"/>
              </w:rPr>
              <w:t>Three Months Ended December 31,</w:t>
            </w:r>
          </w:p>
        </w:tc>
        <w:tc>
          <w:tcPr>
            <w:tcW w:w="520" w:type="dxa"/>
            <w:vAlign w:val="bottom"/>
          </w:tcPr>
          <w:p>
            <w:pPr>
              <w:spacing w:after="0"/>
              <w:rPr>
                <w:sz w:val="21"/>
                <w:szCs w:val="21"/>
                <w:color w:val="auto"/>
              </w:rPr>
            </w:pPr>
          </w:p>
        </w:tc>
        <w:tc>
          <w:tcPr>
            <w:tcW w:w="2460" w:type="dxa"/>
            <w:vAlign w:val="bottom"/>
            <w:gridSpan w:val="7"/>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w w:val="99"/>
              </w:rPr>
              <w:t>Year Ended December 31,</w:t>
            </w:r>
          </w:p>
        </w:tc>
        <w:tc>
          <w:tcPr>
            <w:tcW w:w="0" w:type="dxa"/>
            <w:vAlign w:val="bottom"/>
          </w:tcPr>
          <w:p>
            <w:pPr>
              <w:spacing w:after="0"/>
              <w:rPr>
                <w:sz w:val="1"/>
                <w:szCs w:val="1"/>
                <w:color w:val="auto"/>
              </w:rPr>
            </w:pPr>
          </w:p>
        </w:tc>
      </w:tr>
      <w:tr>
        <w:trPr>
          <w:trHeight w:val="223"/>
        </w:trPr>
        <w:tc>
          <w:tcPr>
            <w:tcW w:w="32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income (loss)/diluted earnings (loss)</w:t>
            </w:r>
          </w:p>
        </w:tc>
        <w:tc>
          <w:tcPr>
            <w:tcW w:w="1360" w:type="dxa"/>
            <w:vAlign w:val="bottom"/>
            <w:tcBorders>
              <w:top w:val="single" w:sz="8" w:color="auto"/>
              <w:bottom w:val="single" w:sz="8" w:color="auto"/>
            </w:tcBorders>
            <w:gridSpan w:val="3"/>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Borders>
              <w:top w:val="single" w:sz="8" w:color="auto"/>
            </w:tcBorders>
          </w:tcPr>
          <w:p>
            <w:pPr>
              <w:spacing w:after="0"/>
              <w:rPr>
                <w:sz w:val="19"/>
                <w:szCs w:val="19"/>
                <w:color w:val="auto"/>
              </w:rPr>
            </w:pPr>
          </w:p>
        </w:tc>
        <w:tc>
          <w:tcPr>
            <w:tcW w:w="94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600" w:type="dxa"/>
            <w:vAlign w:val="bottom"/>
            <w:tcBorders>
              <w:top w:val="single" w:sz="8" w:color="auto"/>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Borders>
              <w:top w:val="single" w:sz="8" w:color="auto"/>
              <w:bottom w:val="single" w:sz="8" w:color="auto"/>
            </w:tcBorders>
            <w:gridSpan w:val="4"/>
          </w:tcPr>
          <w:p>
            <w:pPr>
              <w:jc w:val="right"/>
              <w:ind w:right="500"/>
              <w:spacing w:after="0"/>
              <w:rPr>
                <w:sz w:val="20"/>
                <w:szCs w:val="20"/>
                <w:color w:val="auto"/>
              </w:rPr>
            </w:pPr>
            <w:r>
              <w:rPr>
                <w:rFonts w:ascii="Times New Roman" w:cs="Times New Roman" w:eastAsia="Times New Roman" w:hAnsi="Times New Roman"/>
                <w:sz w:val="17"/>
                <w:szCs w:val="17"/>
                <w:b w:val="1"/>
                <w:bCs w:val="1"/>
                <w:color w:val="auto"/>
              </w:rPr>
              <w:t>2022</w:t>
            </w:r>
          </w:p>
        </w:tc>
        <w:tc>
          <w:tcPr>
            <w:tcW w:w="160" w:type="dxa"/>
            <w:vAlign w:val="bottom"/>
            <w:tcBorders>
              <w:top w:val="single" w:sz="8" w:color="auto"/>
            </w:tcBorders>
          </w:tcPr>
          <w:p>
            <w:pPr>
              <w:spacing w:after="0"/>
              <w:rPr>
                <w:sz w:val="19"/>
                <w:szCs w:val="19"/>
                <w:color w:val="auto"/>
              </w:rPr>
            </w:pPr>
          </w:p>
        </w:tc>
        <w:tc>
          <w:tcPr>
            <w:tcW w:w="1460" w:type="dxa"/>
            <w:vAlign w:val="bottom"/>
            <w:tcBorders>
              <w:top w:val="single" w:sz="8" w:color="auto"/>
              <w:bottom w:val="single" w:sz="8" w:color="auto"/>
            </w:tcBorders>
            <w:gridSpan w:val="3"/>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2021</w:t>
            </w:r>
          </w:p>
        </w:tc>
        <w:tc>
          <w:tcPr>
            <w:tcW w:w="0" w:type="dxa"/>
            <w:vAlign w:val="bottom"/>
          </w:tcPr>
          <w:p>
            <w:pPr>
              <w:spacing w:after="0"/>
              <w:rPr>
                <w:sz w:val="1"/>
                <w:szCs w:val="1"/>
                <w:color w:val="auto"/>
              </w:rPr>
            </w:pPr>
          </w:p>
        </w:tc>
      </w:tr>
      <w:tr>
        <w:trPr>
          <w:trHeight w:val="160"/>
        </w:trPr>
        <w:tc>
          <w:tcPr>
            <w:tcW w:w="3220" w:type="dxa"/>
            <w:vAlign w:val="bottom"/>
            <w:vMerge w:val="continue"/>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3220" w:type="dxa"/>
            <w:vAlign w:val="bottom"/>
          </w:tcPr>
          <w:p>
            <w:pPr>
              <w:spacing w:after="0" w:line="184" w:lineRule="exact"/>
              <w:rPr>
                <w:sz w:val="20"/>
                <w:szCs w:val="20"/>
                <w:color w:val="auto"/>
              </w:rPr>
            </w:pPr>
            <w:r>
              <w:rPr>
                <w:rFonts w:ascii="Times New Roman" w:cs="Times New Roman" w:eastAsia="Times New Roman" w:hAnsi="Times New Roman"/>
                <w:sz w:val="18"/>
                <w:szCs w:val="18"/>
                <w:b w:val="1"/>
                <w:bCs w:val="1"/>
                <w:color w:val="auto"/>
              </w:rPr>
              <w:t>per share attributable to Crown</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$89</w:t>
            </w:r>
          </w:p>
        </w:tc>
        <w:tc>
          <w:tcPr>
            <w:tcW w:w="140" w:type="dxa"/>
            <w:vAlign w:val="bottom"/>
          </w:tcPr>
          <w:p>
            <w:pPr>
              <w:spacing w:after="0"/>
              <w:rPr>
                <w:sz w:val="16"/>
                <w:szCs w:val="16"/>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$0.74</w:t>
            </w:r>
          </w:p>
        </w:tc>
        <w:tc>
          <w:tcPr>
            <w:tcW w:w="160" w:type="dxa"/>
            <w:vAlign w:val="bottom"/>
          </w:tcPr>
          <w:p>
            <w:pPr>
              <w:spacing w:after="0"/>
              <w:rPr>
                <w:sz w:val="16"/>
                <w:szCs w:val="16"/>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$(1,001)</w:t>
            </w: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$(7.95)</w:t>
            </w:r>
          </w:p>
        </w:tc>
        <w:tc>
          <w:tcPr>
            <w:tcW w:w="140" w:type="dxa"/>
            <w:vAlign w:val="bottom"/>
          </w:tcPr>
          <w:p>
            <w:pPr>
              <w:spacing w:after="0"/>
              <w:rPr>
                <w:sz w:val="16"/>
                <w:szCs w:val="16"/>
                <w:color w:val="auto"/>
              </w:rPr>
            </w:pPr>
          </w:p>
        </w:tc>
        <w:tc>
          <w:tcPr>
            <w:tcW w:w="520" w:type="dxa"/>
            <w:vAlign w:val="bottom"/>
            <w:vMerge w:val="restart"/>
          </w:tcPr>
          <w:p>
            <w:pPr>
              <w:jc w:val="center"/>
              <w:ind w:left="14"/>
              <w:spacing w:after="0"/>
              <w:rPr>
                <w:sz w:val="20"/>
                <w:szCs w:val="20"/>
                <w:color w:val="auto"/>
              </w:rPr>
            </w:pPr>
            <w:r>
              <w:rPr>
                <w:rFonts w:ascii="Times New Roman" w:cs="Times New Roman" w:eastAsia="Times New Roman" w:hAnsi="Times New Roman"/>
                <w:sz w:val="17"/>
                <w:szCs w:val="17"/>
                <w:b w:val="1"/>
                <w:bCs w:val="1"/>
                <w:color w:val="auto"/>
                <w:w w:val="99"/>
              </w:rPr>
              <w:t>$727</w:t>
            </w:r>
          </w:p>
        </w:tc>
        <w:tc>
          <w:tcPr>
            <w:tcW w:w="840" w:type="dxa"/>
            <w:vAlign w:val="bottom"/>
            <w:gridSpan w:val="3"/>
            <w:vMerge w:val="restart"/>
          </w:tcPr>
          <w:p>
            <w:pPr>
              <w:jc w:val="center"/>
              <w:ind w:left="154"/>
              <w:spacing w:after="0"/>
              <w:rPr>
                <w:sz w:val="20"/>
                <w:szCs w:val="20"/>
                <w:color w:val="auto"/>
              </w:rPr>
            </w:pPr>
            <w:r>
              <w:rPr>
                <w:rFonts w:ascii="Times New Roman" w:cs="Times New Roman" w:eastAsia="Times New Roman" w:hAnsi="Times New Roman"/>
                <w:sz w:val="17"/>
                <w:szCs w:val="17"/>
                <w:b w:val="1"/>
                <w:bCs w:val="1"/>
                <w:color w:val="auto"/>
              </w:rPr>
              <w:t>$5.99</w:t>
            </w:r>
          </w:p>
        </w:tc>
        <w:tc>
          <w:tcPr>
            <w:tcW w:w="160" w:type="dxa"/>
            <w:vAlign w:val="bottom"/>
          </w:tcPr>
          <w:p>
            <w:pPr>
              <w:spacing w:after="0"/>
              <w:rPr>
                <w:sz w:val="16"/>
                <w:szCs w:val="16"/>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$(560)</w:t>
            </w:r>
          </w:p>
        </w:tc>
        <w:tc>
          <w:tcPr>
            <w:tcW w:w="140" w:type="dxa"/>
            <w:vAlign w:val="bottom"/>
          </w:tcPr>
          <w:p>
            <w:pPr>
              <w:spacing w:after="0"/>
              <w:rPr>
                <w:sz w:val="16"/>
                <w:szCs w:val="16"/>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$(4.30)</w:t>
            </w:r>
          </w:p>
        </w:tc>
        <w:tc>
          <w:tcPr>
            <w:tcW w:w="0" w:type="dxa"/>
            <w:vAlign w:val="bottom"/>
          </w:tcPr>
          <w:p>
            <w:pPr>
              <w:spacing w:after="0"/>
              <w:rPr>
                <w:sz w:val="1"/>
                <w:szCs w:val="1"/>
                <w:color w:val="auto"/>
              </w:rPr>
            </w:pPr>
          </w:p>
        </w:tc>
      </w:tr>
      <w:tr>
        <w:trPr>
          <w:trHeight w:val="238"/>
        </w:trPr>
        <w:tc>
          <w:tcPr>
            <w:tcW w:w="3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Holdings, as reported</w:t>
            </w:r>
          </w:p>
        </w:tc>
        <w:tc>
          <w:tcPr>
            <w:tcW w:w="62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vMerge w:val="continue"/>
          </w:tcPr>
          <w:p>
            <w:pPr>
              <w:spacing w:after="0"/>
              <w:rPr>
                <w:sz w:val="20"/>
                <w:szCs w:val="20"/>
                <w:color w:val="auto"/>
              </w:rPr>
            </w:pPr>
          </w:p>
        </w:tc>
        <w:tc>
          <w:tcPr>
            <w:tcW w:w="840" w:type="dxa"/>
            <w:vAlign w:val="bottom"/>
            <w:gridSpan w:val="3"/>
            <w:vMerge w:val="continue"/>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93"/>
        </w:trPr>
        <w:tc>
          <w:tcPr>
            <w:tcW w:w="3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Intangibles amortization </w:t>
            </w:r>
            <w:r>
              <w:rPr>
                <w:rFonts w:ascii="Times New Roman" w:cs="Times New Roman" w:eastAsia="Times New Roman" w:hAnsi="Times New Roman"/>
                <w:sz w:val="23"/>
                <w:szCs w:val="23"/>
                <w:color w:val="auto"/>
                <w:vertAlign w:val="superscript"/>
              </w:rPr>
              <w:t>(1)</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40</w:t>
            </w:r>
          </w:p>
        </w:tc>
        <w:tc>
          <w:tcPr>
            <w:tcW w:w="14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0.34</w:t>
            </w:r>
          </w:p>
        </w:tc>
        <w:tc>
          <w:tcPr>
            <w:tcW w:w="16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40</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0.32</w:t>
            </w:r>
          </w:p>
        </w:tc>
        <w:tc>
          <w:tcPr>
            <w:tcW w:w="140" w:type="dxa"/>
            <w:vAlign w:val="bottom"/>
          </w:tcPr>
          <w:p>
            <w:pPr>
              <w:spacing w:after="0"/>
              <w:rPr>
                <w:sz w:val="24"/>
                <w:szCs w:val="24"/>
                <w:color w:val="auto"/>
              </w:rPr>
            </w:pPr>
          </w:p>
        </w:tc>
        <w:tc>
          <w:tcPr>
            <w:tcW w:w="520" w:type="dxa"/>
            <w:vAlign w:val="bottom"/>
          </w:tcPr>
          <w:p>
            <w:pPr>
              <w:jc w:val="center"/>
              <w:ind w:left="14"/>
              <w:spacing w:after="0"/>
              <w:rPr>
                <w:sz w:val="20"/>
                <w:szCs w:val="20"/>
                <w:color w:val="auto"/>
              </w:rPr>
            </w:pPr>
            <w:r>
              <w:rPr>
                <w:rFonts w:ascii="Times New Roman" w:cs="Times New Roman" w:eastAsia="Times New Roman" w:hAnsi="Times New Roman"/>
                <w:sz w:val="17"/>
                <w:szCs w:val="17"/>
                <w:color w:val="auto"/>
              </w:rPr>
              <w:t>159</w:t>
            </w:r>
          </w:p>
        </w:tc>
        <w:tc>
          <w:tcPr>
            <w:tcW w:w="840" w:type="dxa"/>
            <w:vAlign w:val="bottom"/>
            <w:gridSpan w:val="3"/>
          </w:tcPr>
          <w:p>
            <w:pPr>
              <w:jc w:val="center"/>
              <w:ind w:left="134"/>
              <w:spacing w:after="0"/>
              <w:rPr>
                <w:sz w:val="20"/>
                <w:szCs w:val="20"/>
                <w:color w:val="auto"/>
              </w:rPr>
            </w:pPr>
            <w:r>
              <w:rPr>
                <w:rFonts w:ascii="Times New Roman" w:cs="Times New Roman" w:eastAsia="Times New Roman" w:hAnsi="Times New Roman"/>
                <w:sz w:val="17"/>
                <w:szCs w:val="17"/>
                <w:color w:val="auto"/>
              </w:rPr>
              <w:t>1.31</w:t>
            </w:r>
          </w:p>
        </w:tc>
        <w:tc>
          <w:tcPr>
            <w:tcW w:w="16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170</w:t>
            </w:r>
          </w:p>
        </w:tc>
        <w:tc>
          <w:tcPr>
            <w:tcW w:w="14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1.29</w:t>
            </w:r>
          </w:p>
        </w:tc>
        <w:tc>
          <w:tcPr>
            <w:tcW w:w="0" w:type="dxa"/>
            <w:vAlign w:val="bottom"/>
          </w:tcPr>
          <w:p>
            <w:pPr>
              <w:spacing w:after="0"/>
              <w:rPr>
                <w:sz w:val="1"/>
                <w:szCs w:val="1"/>
                <w:color w:val="auto"/>
              </w:rPr>
            </w:pPr>
          </w:p>
        </w:tc>
      </w:tr>
      <w:tr>
        <w:trPr>
          <w:trHeight w:val="270"/>
        </w:trPr>
        <w:tc>
          <w:tcPr>
            <w:tcW w:w="3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Restructuring and other </w:t>
            </w:r>
            <w:r>
              <w:rPr>
                <w:rFonts w:ascii="Times New Roman" w:cs="Times New Roman" w:eastAsia="Times New Roman" w:hAnsi="Times New Roman"/>
                <w:sz w:val="23"/>
                <w:szCs w:val="23"/>
                <w:color w:val="auto"/>
                <w:vertAlign w:val="superscript"/>
              </w:rPr>
              <w:t>(2)</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23</w:t>
            </w:r>
          </w:p>
        </w:tc>
        <w:tc>
          <w:tcPr>
            <w:tcW w:w="140" w:type="dxa"/>
            <w:vAlign w:val="bottom"/>
          </w:tcPr>
          <w:p>
            <w:pPr>
              <w:spacing w:after="0"/>
              <w:rPr>
                <w:sz w:val="23"/>
                <w:szCs w:val="23"/>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0.19</w:t>
            </w:r>
          </w:p>
        </w:tc>
        <w:tc>
          <w:tcPr>
            <w:tcW w:w="160" w:type="dxa"/>
            <w:vAlign w:val="bottom"/>
          </w:tcPr>
          <w:p>
            <w:pPr>
              <w:spacing w:after="0"/>
              <w:rPr>
                <w:sz w:val="23"/>
                <w:szCs w:val="23"/>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0.11</w:t>
            </w:r>
          </w:p>
        </w:tc>
        <w:tc>
          <w:tcPr>
            <w:tcW w:w="140" w:type="dxa"/>
            <w:vAlign w:val="bottom"/>
          </w:tcPr>
          <w:p>
            <w:pPr>
              <w:spacing w:after="0"/>
              <w:rPr>
                <w:sz w:val="23"/>
                <w:szCs w:val="23"/>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(52)</w:t>
            </w:r>
          </w:p>
        </w:tc>
        <w:tc>
          <w:tcPr>
            <w:tcW w:w="840" w:type="dxa"/>
            <w:vAlign w:val="bottom"/>
            <w:gridSpan w:val="3"/>
          </w:tcPr>
          <w:p>
            <w:pPr>
              <w:jc w:val="center"/>
              <w:ind w:left="154"/>
              <w:spacing w:after="0"/>
              <w:rPr>
                <w:sz w:val="20"/>
                <w:szCs w:val="20"/>
                <w:color w:val="auto"/>
              </w:rPr>
            </w:pPr>
            <w:r>
              <w:rPr>
                <w:rFonts w:ascii="Times New Roman" w:cs="Times New Roman" w:eastAsia="Times New Roman" w:hAnsi="Times New Roman"/>
                <w:sz w:val="17"/>
                <w:szCs w:val="17"/>
                <w:color w:val="auto"/>
                <w:w w:val="97"/>
              </w:rPr>
              <w:t>(0.43)</w:t>
            </w:r>
          </w:p>
        </w:tc>
        <w:tc>
          <w:tcPr>
            <w:tcW w:w="160" w:type="dxa"/>
            <w:vAlign w:val="bottom"/>
          </w:tcPr>
          <w:p>
            <w:pPr>
              <w:spacing w:after="0"/>
              <w:rPr>
                <w:sz w:val="23"/>
                <w:szCs w:val="23"/>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(26)</w:t>
            </w:r>
          </w:p>
        </w:tc>
        <w:tc>
          <w:tcPr>
            <w:tcW w:w="140" w:type="dxa"/>
            <w:vAlign w:val="bottom"/>
          </w:tcPr>
          <w:p>
            <w:pPr>
              <w:spacing w:after="0"/>
              <w:rPr>
                <w:sz w:val="23"/>
                <w:szCs w:val="23"/>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(0.20)</w:t>
            </w:r>
          </w:p>
        </w:tc>
        <w:tc>
          <w:tcPr>
            <w:tcW w:w="0" w:type="dxa"/>
            <w:vAlign w:val="bottom"/>
          </w:tcPr>
          <w:p>
            <w:pPr>
              <w:spacing w:after="0"/>
              <w:rPr>
                <w:sz w:val="1"/>
                <w:szCs w:val="1"/>
                <w:color w:val="auto"/>
              </w:rPr>
            </w:pPr>
          </w:p>
        </w:tc>
      </w:tr>
      <w:tr>
        <w:trPr>
          <w:trHeight w:val="270"/>
        </w:trPr>
        <w:tc>
          <w:tcPr>
            <w:tcW w:w="3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Loss on debt extinguishment </w:t>
            </w:r>
            <w:r>
              <w:rPr>
                <w:rFonts w:ascii="Times New Roman" w:cs="Times New Roman" w:eastAsia="Times New Roman" w:hAnsi="Times New Roman"/>
                <w:sz w:val="23"/>
                <w:szCs w:val="23"/>
                <w:color w:val="auto"/>
                <w:vertAlign w:val="superscript"/>
              </w:rPr>
              <w:t>(3)</w:t>
            </w: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68</w:t>
            </w: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0.54</w:t>
            </w:r>
          </w:p>
        </w:tc>
        <w:tc>
          <w:tcPr>
            <w:tcW w:w="140" w:type="dxa"/>
            <w:vAlign w:val="bottom"/>
          </w:tcPr>
          <w:p>
            <w:pPr>
              <w:spacing w:after="0"/>
              <w:rPr>
                <w:sz w:val="23"/>
                <w:szCs w:val="23"/>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11</w:t>
            </w:r>
          </w:p>
        </w:tc>
        <w:tc>
          <w:tcPr>
            <w:tcW w:w="840" w:type="dxa"/>
            <w:vAlign w:val="bottom"/>
            <w:gridSpan w:val="3"/>
          </w:tcPr>
          <w:p>
            <w:pPr>
              <w:jc w:val="center"/>
              <w:ind w:left="134"/>
              <w:spacing w:after="0"/>
              <w:rPr>
                <w:sz w:val="20"/>
                <w:szCs w:val="20"/>
                <w:color w:val="auto"/>
              </w:rPr>
            </w:pPr>
            <w:r>
              <w:rPr>
                <w:rFonts w:ascii="Times New Roman" w:cs="Times New Roman" w:eastAsia="Times New Roman" w:hAnsi="Times New Roman"/>
                <w:sz w:val="17"/>
                <w:szCs w:val="17"/>
                <w:color w:val="auto"/>
              </w:rPr>
              <w:t>0.09</w:t>
            </w:r>
          </w:p>
        </w:tc>
        <w:tc>
          <w:tcPr>
            <w:tcW w:w="160" w:type="dxa"/>
            <w:vAlign w:val="bottom"/>
          </w:tcPr>
          <w:p>
            <w:pPr>
              <w:spacing w:after="0"/>
              <w:rPr>
                <w:sz w:val="23"/>
                <w:szCs w:val="23"/>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68</w:t>
            </w:r>
          </w:p>
        </w:tc>
        <w:tc>
          <w:tcPr>
            <w:tcW w:w="140" w:type="dxa"/>
            <w:vAlign w:val="bottom"/>
          </w:tcPr>
          <w:p>
            <w:pPr>
              <w:spacing w:after="0"/>
              <w:rPr>
                <w:sz w:val="23"/>
                <w:szCs w:val="23"/>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0.52</w:t>
            </w:r>
          </w:p>
        </w:tc>
        <w:tc>
          <w:tcPr>
            <w:tcW w:w="0" w:type="dxa"/>
            <w:vAlign w:val="bottom"/>
          </w:tcPr>
          <w:p>
            <w:pPr>
              <w:spacing w:after="0"/>
              <w:rPr>
                <w:sz w:val="1"/>
                <w:szCs w:val="1"/>
                <w:color w:val="auto"/>
              </w:rPr>
            </w:pPr>
          </w:p>
        </w:tc>
      </w:tr>
      <w:tr>
        <w:trPr>
          <w:trHeight w:val="270"/>
        </w:trPr>
        <w:tc>
          <w:tcPr>
            <w:tcW w:w="3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 xml:space="preserve">Foreign exchange gain </w:t>
            </w:r>
            <w:r>
              <w:rPr>
                <w:rFonts w:ascii="Times New Roman" w:cs="Times New Roman" w:eastAsia="Times New Roman" w:hAnsi="Times New Roman"/>
                <w:sz w:val="23"/>
                <w:szCs w:val="23"/>
                <w:color w:val="auto"/>
                <w:vertAlign w:val="superscript"/>
              </w:rPr>
              <w:t>(4)</w:t>
            </w: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(47)</w:t>
            </w: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(0.37)</w:t>
            </w:r>
          </w:p>
        </w:tc>
        <w:tc>
          <w:tcPr>
            <w:tcW w:w="1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(47)</w:t>
            </w:r>
          </w:p>
        </w:tc>
        <w:tc>
          <w:tcPr>
            <w:tcW w:w="140" w:type="dxa"/>
            <w:vAlign w:val="bottom"/>
          </w:tcPr>
          <w:p>
            <w:pPr>
              <w:spacing w:after="0"/>
              <w:rPr>
                <w:sz w:val="23"/>
                <w:szCs w:val="23"/>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(0.36)</w:t>
            </w:r>
          </w:p>
        </w:tc>
        <w:tc>
          <w:tcPr>
            <w:tcW w:w="0" w:type="dxa"/>
            <w:vAlign w:val="bottom"/>
          </w:tcPr>
          <w:p>
            <w:pPr>
              <w:spacing w:after="0"/>
              <w:rPr>
                <w:sz w:val="1"/>
                <w:szCs w:val="1"/>
                <w:color w:val="auto"/>
              </w:rPr>
            </w:pPr>
          </w:p>
        </w:tc>
      </w:tr>
      <w:tr>
        <w:trPr>
          <w:trHeight w:val="270"/>
        </w:trPr>
        <w:tc>
          <w:tcPr>
            <w:tcW w:w="3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Pension settlements/curtailments </w:t>
            </w:r>
            <w:r>
              <w:rPr>
                <w:rFonts w:ascii="Times New Roman" w:cs="Times New Roman" w:eastAsia="Times New Roman" w:hAnsi="Times New Roman"/>
                <w:sz w:val="23"/>
                <w:szCs w:val="23"/>
                <w:color w:val="auto"/>
                <w:vertAlign w:val="superscript"/>
              </w:rPr>
              <w:t>(5)</w:t>
            </w: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1,520</w:t>
            </w: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12.04</w:t>
            </w:r>
          </w:p>
        </w:tc>
        <w:tc>
          <w:tcPr>
            <w:tcW w:w="140" w:type="dxa"/>
            <w:vAlign w:val="bottom"/>
          </w:tcPr>
          <w:p>
            <w:pPr>
              <w:spacing w:after="0"/>
              <w:rPr>
                <w:sz w:val="23"/>
                <w:szCs w:val="23"/>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1,520</w:t>
            </w:r>
          </w:p>
        </w:tc>
        <w:tc>
          <w:tcPr>
            <w:tcW w:w="140" w:type="dxa"/>
            <w:vAlign w:val="bottom"/>
          </w:tcPr>
          <w:p>
            <w:pPr>
              <w:spacing w:after="0"/>
              <w:rPr>
                <w:sz w:val="23"/>
                <w:szCs w:val="23"/>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11.61</w:t>
            </w:r>
          </w:p>
        </w:tc>
        <w:tc>
          <w:tcPr>
            <w:tcW w:w="0" w:type="dxa"/>
            <w:vAlign w:val="bottom"/>
          </w:tcPr>
          <w:p>
            <w:pPr>
              <w:spacing w:after="0"/>
              <w:rPr>
                <w:sz w:val="1"/>
                <w:szCs w:val="1"/>
                <w:color w:val="auto"/>
              </w:rPr>
            </w:pPr>
          </w:p>
        </w:tc>
      </w:tr>
      <w:tr>
        <w:trPr>
          <w:trHeight w:val="270"/>
        </w:trPr>
        <w:tc>
          <w:tcPr>
            <w:tcW w:w="3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Loss from discontinued operations </w:t>
            </w:r>
            <w:r>
              <w:rPr>
                <w:rFonts w:ascii="Times New Roman" w:cs="Times New Roman" w:eastAsia="Times New Roman" w:hAnsi="Times New Roman"/>
                <w:sz w:val="23"/>
                <w:szCs w:val="23"/>
                <w:color w:val="auto"/>
                <w:vertAlign w:val="superscript"/>
              </w:rPr>
              <w:t>(6)</w:t>
            </w: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0.07</w:t>
            </w:r>
          </w:p>
        </w:tc>
        <w:tc>
          <w:tcPr>
            <w:tcW w:w="1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208</w:t>
            </w:r>
          </w:p>
        </w:tc>
        <w:tc>
          <w:tcPr>
            <w:tcW w:w="140" w:type="dxa"/>
            <w:vAlign w:val="bottom"/>
          </w:tcPr>
          <w:p>
            <w:pPr>
              <w:spacing w:after="0"/>
              <w:rPr>
                <w:sz w:val="23"/>
                <w:szCs w:val="23"/>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1.58</w:t>
            </w:r>
          </w:p>
        </w:tc>
        <w:tc>
          <w:tcPr>
            <w:tcW w:w="0" w:type="dxa"/>
            <w:vAlign w:val="bottom"/>
          </w:tcPr>
          <w:p>
            <w:pPr>
              <w:spacing w:after="0"/>
              <w:rPr>
                <w:sz w:val="1"/>
                <w:szCs w:val="1"/>
                <w:color w:val="auto"/>
              </w:rPr>
            </w:pPr>
          </w:p>
        </w:tc>
      </w:tr>
      <w:tr>
        <w:trPr>
          <w:trHeight w:val="257"/>
        </w:trPr>
        <w:tc>
          <w:tcPr>
            <w:tcW w:w="3220" w:type="dxa"/>
            <w:vAlign w:val="bottom"/>
          </w:tcPr>
          <w:p>
            <w:pPr>
              <w:ind w:left="220"/>
              <w:spacing w:after="0" w:line="256" w:lineRule="exact"/>
              <w:rPr>
                <w:sz w:val="20"/>
                <w:szCs w:val="20"/>
                <w:color w:val="auto"/>
              </w:rPr>
            </w:pPr>
            <w:r>
              <w:rPr>
                <w:rFonts w:ascii="Times New Roman" w:cs="Times New Roman" w:eastAsia="Times New Roman" w:hAnsi="Times New Roman"/>
                <w:sz w:val="18"/>
                <w:szCs w:val="18"/>
                <w:color w:val="auto"/>
              </w:rPr>
              <w:t xml:space="preserve">Income taxes </w:t>
            </w:r>
            <w:r>
              <w:rPr>
                <w:rFonts w:ascii="Times New Roman" w:cs="Times New Roman" w:eastAsia="Times New Roman" w:hAnsi="Times New Roman"/>
                <w:sz w:val="23"/>
                <w:szCs w:val="23"/>
                <w:color w:val="auto"/>
                <w:vertAlign w:val="superscript"/>
              </w:rPr>
              <w:t>(7)</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140" w:type="dxa"/>
            <w:vAlign w:val="bottom"/>
          </w:tcPr>
          <w:p>
            <w:pPr>
              <w:spacing w:after="0"/>
              <w:rPr>
                <w:sz w:val="22"/>
                <w:szCs w:val="22"/>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(0.12)</w:t>
            </w:r>
          </w:p>
        </w:tc>
        <w:tc>
          <w:tcPr>
            <w:tcW w:w="16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(399)</w:t>
            </w: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(3.15)</w:t>
            </w:r>
          </w:p>
        </w:tc>
        <w:tc>
          <w:tcPr>
            <w:tcW w:w="140" w:type="dxa"/>
            <w:vAlign w:val="bottom"/>
          </w:tcPr>
          <w:p>
            <w:pPr>
              <w:spacing w:after="0"/>
              <w:rPr>
                <w:sz w:val="22"/>
                <w:szCs w:val="22"/>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(34)</w:t>
            </w:r>
          </w:p>
        </w:tc>
        <w:tc>
          <w:tcPr>
            <w:tcW w:w="840" w:type="dxa"/>
            <w:vAlign w:val="bottom"/>
            <w:gridSpan w:val="3"/>
          </w:tcPr>
          <w:p>
            <w:pPr>
              <w:jc w:val="center"/>
              <w:ind w:left="154"/>
              <w:spacing w:after="0"/>
              <w:rPr>
                <w:sz w:val="20"/>
                <w:szCs w:val="20"/>
                <w:color w:val="auto"/>
              </w:rPr>
            </w:pPr>
            <w:r>
              <w:rPr>
                <w:rFonts w:ascii="Times New Roman" w:cs="Times New Roman" w:eastAsia="Times New Roman" w:hAnsi="Times New Roman"/>
                <w:sz w:val="17"/>
                <w:szCs w:val="17"/>
                <w:color w:val="auto"/>
                <w:w w:val="97"/>
              </w:rPr>
              <w:t>(0.28)</w:t>
            </w:r>
          </w:p>
        </w:tc>
        <w:tc>
          <w:tcPr>
            <w:tcW w:w="16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(343)</w:t>
            </w:r>
          </w:p>
        </w:tc>
        <w:tc>
          <w:tcPr>
            <w:tcW w:w="14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(2.61)</w:t>
            </w:r>
          </w:p>
        </w:tc>
        <w:tc>
          <w:tcPr>
            <w:tcW w:w="0" w:type="dxa"/>
            <w:vAlign w:val="bottom"/>
          </w:tcPr>
          <w:p>
            <w:pPr>
              <w:spacing w:after="0"/>
              <w:rPr>
                <w:sz w:val="1"/>
                <w:szCs w:val="1"/>
                <w:color w:val="auto"/>
              </w:rPr>
            </w:pPr>
          </w:p>
        </w:tc>
      </w:tr>
      <w:tr>
        <w:trPr>
          <w:trHeight w:val="256"/>
        </w:trPr>
        <w:tc>
          <w:tcPr>
            <w:tcW w:w="3220" w:type="dxa"/>
            <w:vAlign w:val="bottom"/>
          </w:tcPr>
          <w:p>
            <w:pPr>
              <w:ind w:left="220"/>
              <w:spacing w:after="0" w:line="256" w:lineRule="exact"/>
              <w:rPr>
                <w:sz w:val="20"/>
                <w:szCs w:val="20"/>
                <w:color w:val="auto"/>
              </w:rPr>
            </w:pPr>
            <w:r>
              <w:rPr>
                <w:rFonts w:ascii="Times New Roman" w:cs="Times New Roman" w:eastAsia="Times New Roman" w:hAnsi="Times New Roman"/>
                <w:sz w:val="18"/>
                <w:szCs w:val="18"/>
                <w:color w:val="auto"/>
              </w:rPr>
              <w:t xml:space="preserve">Equity earnings </w:t>
            </w:r>
            <w:r>
              <w:rPr>
                <w:rFonts w:ascii="Times New Roman" w:cs="Times New Roman" w:eastAsia="Times New Roman" w:hAnsi="Times New Roman"/>
                <w:sz w:val="23"/>
                <w:szCs w:val="23"/>
                <w:color w:val="auto"/>
                <w:vertAlign w:val="superscript"/>
              </w:rPr>
              <w:t>(8)</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40" w:type="dxa"/>
            <w:vAlign w:val="bottom"/>
          </w:tcPr>
          <w:p>
            <w:pPr>
              <w:spacing w:after="0"/>
              <w:rPr>
                <w:sz w:val="22"/>
                <w:szCs w:val="22"/>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0.02</w:t>
            </w:r>
          </w:p>
        </w:tc>
        <w:tc>
          <w:tcPr>
            <w:tcW w:w="16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0.05</w:t>
            </w:r>
          </w:p>
        </w:tc>
        <w:tc>
          <w:tcPr>
            <w:tcW w:w="140" w:type="dxa"/>
            <w:vAlign w:val="bottom"/>
          </w:tcPr>
          <w:p>
            <w:pPr>
              <w:spacing w:after="0"/>
              <w:rPr>
                <w:sz w:val="22"/>
                <w:szCs w:val="22"/>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8</w:t>
            </w:r>
          </w:p>
        </w:tc>
        <w:tc>
          <w:tcPr>
            <w:tcW w:w="840" w:type="dxa"/>
            <w:vAlign w:val="bottom"/>
            <w:gridSpan w:val="3"/>
          </w:tcPr>
          <w:p>
            <w:pPr>
              <w:jc w:val="center"/>
              <w:ind w:left="134"/>
              <w:spacing w:after="0"/>
              <w:rPr>
                <w:sz w:val="20"/>
                <w:szCs w:val="20"/>
                <w:color w:val="auto"/>
              </w:rPr>
            </w:pPr>
            <w:r>
              <w:rPr>
                <w:rFonts w:ascii="Times New Roman" w:cs="Times New Roman" w:eastAsia="Times New Roman" w:hAnsi="Times New Roman"/>
                <w:sz w:val="17"/>
                <w:szCs w:val="17"/>
                <w:color w:val="auto"/>
              </w:rPr>
              <w:t>0.07</w:t>
            </w:r>
          </w:p>
        </w:tc>
        <w:tc>
          <w:tcPr>
            <w:tcW w:w="16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6</w:t>
            </w:r>
          </w:p>
        </w:tc>
        <w:tc>
          <w:tcPr>
            <w:tcW w:w="14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0.05</w:t>
            </w:r>
          </w:p>
        </w:tc>
        <w:tc>
          <w:tcPr>
            <w:tcW w:w="0" w:type="dxa"/>
            <w:vAlign w:val="bottom"/>
          </w:tcPr>
          <w:p>
            <w:pPr>
              <w:spacing w:after="0"/>
              <w:rPr>
                <w:sz w:val="1"/>
                <w:szCs w:val="1"/>
                <w:color w:val="auto"/>
              </w:rPr>
            </w:pPr>
          </w:p>
        </w:tc>
      </w:tr>
      <w:tr>
        <w:trPr>
          <w:trHeight w:val="238"/>
        </w:trPr>
        <w:tc>
          <w:tcPr>
            <w:tcW w:w="3220" w:type="dxa"/>
            <w:vAlign w:val="bottom"/>
          </w:tcPr>
          <w:p>
            <w:pPr>
              <w:ind w:left="220"/>
              <w:spacing w:after="0" w:line="237" w:lineRule="exact"/>
              <w:rPr>
                <w:sz w:val="20"/>
                <w:szCs w:val="20"/>
                <w:color w:val="auto"/>
              </w:rPr>
            </w:pPr>
            <w:r>
              <w:rPr>
                <w:rFonts w:ascii="Times New Roman" w:cs="Times New Roman" w:eastAsia="Times New Roman" w:hAnsi="Times New Roman"/>
                <w:sz w:val="18"/>
                <w:szCs w:val="18"/>
                <w:color w:val="auto"/>
              </w:rPr>
              <w:t xml:space="preserve">Noncontrolling interests </w:t>
            </w:r>
            <w:r>
              <w:rPr>
                <w:rFonts w:ascii="Times New Roman" w:cs="Times New Roman" w:eastAsia="Times New Roman" w:hAnsi="Times New Roman"/>
                <w:sz w:val="23"/>
                <w:szCs w:val="23"/>
                <w:color w:val="auto"/>
                <w:vertAlign w:val="superscript"/>
              </w:rPr>
              <w:t>(9)</w:t>
            </w:r>
          </w:p>
        </w:tc>
        <w:tc>
          <w:tcPr>
            <w:tcW w:w="6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10</w:t>
            </w:r>
          </w:p>
        </w:tc>
        <w:tc>
          <w:tcPr>
            <w:tcW w:w="140" w:type="dxa"/>
            <w:vAlign w:val="bottom"/>
          </w:tcPr>
          <w:p>
            <w:pPr>
              <w:spacing w:after="0"/>
              <w:rPr>
                <w:sz w:val="20"/>
                <w:szCs w:val="20"/>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0.08</w:t>
            </w:r>
          </w:p>
        </w:tc>
        <w:tc>
          <w:tcPr>
            <w:tcW w:w="0" w:type="dxa"/>
            <w:vAlign w:val="bottom"/>
          </w:tcPr>
          <w:p>
            <w:pPr>
              <w:spacing w:after="0"/>
              <w:rPr>
                <w:sz w:val="1"/>
                <w:szCs w:val="1"/>
                <w:color w:val="auto"/>
              </w:rPr>
            </w:pPr>
          </w:p>
        </w:tc>
      </w:tr>
      <w:tr>
        <w:trPr>
          <w:trHeight w:val="169"/>
        </w:trPr>
        <w:tc>
          <w:tcPr>
            <w:tcW w:w="3220" w:type="dxa"/>
            <w:vAlign w:val="bottom"/>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Adjusted net income/diluted earnings per</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$140</w:t>
            </w:r>
          </w:p>
        </w:tc>
        <w:tc>
          <w:tcPr>
            <w:tcW w:w="140" w:type="dxa"/>
            <w:vAlign w:val="bottom"/>
          </w:tcPr>
          <w:p>
            <w:pPr>
              <w:spacing w:after="0"/>
              <w:rPr>
                <w:sz w:val="14"/>
                <w:szCs w:val="14"/>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$1.17</w:t>
            </w:r>
          </w:p>
        </w:tc>
        <w:tc>
          <w:tcPr>
            <w:tcW w:w="160" w:type="dxa"/>
            <w:vAlign w:val="bottom"/>
          </w:tcPr>
          <w:p>
            <w:pPr>
              <w:spacing w:after="0"/>
              <w:rPr>
                <w:sz w:val="14"/>
                <w:szCs w:val="14"/>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$210</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$1.66</w:t>
            </w:r>
          </w:p>
        </w:tc>
        <w:tc>
          <w:tcPr>
            <w:tcW w:w="140" w:type="dxa"/>
            <w:vAlign w:val="bottom"/>
          </w:tcPr>
          <w:p>
            <w:pPr>
              <w:spacing w:after="0"/>
              <w:rPr>
                <w:sz w:val="14"/>
                <w:szCs w:val="14"/>
                <w:color w:val="auto"/>
              </w:rPr>
            </w:pP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$820</w:t>
            </w:r>
          </w:p>
        </w:tc>
        <w:tc>
          <w:tcPr>
            <w:tcW w:w="840" w:type="dxa"/>
            <w:vAlign w:val="bottom"/>
            <w:gridSpan w:val="3"/>
            <w:vMerge w:val="restart"/>
          </w:tcPr>
          <w:p>
            <w:pPr>
              <w:jc w:val="center"/>
              <w:ind w:left="154"/>
              <w:spacing w:after="0"/>
              <w:rPr>
                <w:sz w:val="20"/>
                <w:szCs w:val="20"/>
                <w:color w:val="auto"/>
              </w:rPr>
            </w:pPr>
            <w:r>
              <w:rPr>
                <w:rFonts w:ascii="Times New Roman" w:cs="Times New Roman" w:eastAsia="Times New Roman" w:hAnsi="Times New Roman"/>
                <w:sz w:val="18"/>
                <w:szCs w:val="18"/>
                <w:b w:val="1"/>
                <w:bCs w:val="1"/>
                <w:color w:val="auto"/>
                <w:w w:val="98"/>
              </w:rPr>
              <w:t>$6.75</w:t>
            </w:r>
          </w:p>
        </w:tc>
        <w:tc>
          <w:tcPr>
            <w:tcW w:w="160" w:type="dxa"/>
            <w:vAlign w:val="bottom"/>
          </w:tcPr>
          <w:p>
            <w:pPr>
              <w:spacing w:after="0"/>
              <w:rPr>
                <w:sz w:val="14"/>
                <w:szCs w:val="14"/>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$1,006</w:t>
            </w:r>
          </w:p>
        </w:tc>
        <w:tc>
          <w:tcPr>
            <w:tcW w:w="140" w:type="dxa"/>
            <w:vAlign w:val="bottom"/>
          </w:tcPr>
          <w:p>
            <w:pPr>
              <w:spacing w:after="0"/>
              <w:rPr>
                <w:sz w:val="14"/>
                <w:szCs w:val="14"/>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$7.66</w:t>
            </w:r>
          </w:p>
        </w:tc>
        <w:tc>
          <w:tcPr>
            <w:tcW w:w="0" w:type="dxa"/>
            <w:vAlign w:val="bottom"/>
          </w:tcPr>
          <w:p>
            <w:pPr>
              <w:spacing w:after="0"/>
              <w:rPr>
                <w:sz w:val="1"/>
                <w:szCs w:val="1"/>
                <w:color w:val="auto"/>
              </w:rPr>
            </w:pPr>
          </w:p>
        </w:tc>
      </w:tr>
      <w:tr>
        <w:trPr>
          <w:trHeight w:val="203"/>
        </w:trPr>
        <w:tc>
          <w:tcPr>
            <w:tcW w:w="322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 xml:space="preserve">share </w:t>
            </w:r>
            <w:r>
              <w:rPr>
                <w:rFonts w:ascii="Times New Roman" w:cs="Times New Roman" w:eastAsia="Times New Roman" w:hAnsi="Times New Roman"/>
                <w:sz w:val="22"/>
                <w:szCs w:val="22"/>
                <w:color w:val="auto"/>
                <w:vertAlign w:val="superscript"/>
              </w:rPr>
              <w:t>(10)</w:t>
            </w:r>
          </w:p>
        </w:tc>
        <w:tc>
          <w:tcPr>
            <w:tcW w:w="6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vMerge w:val="continue"/>
          </w:tcPr>
          <w:p>
            <w:pPr>
              <w:spacing w:after="0"/>
              <w:rPr>
                <w:sz w:val="17"/>
                <w:szCs w:val="17"/>
                <w:color w:val="auto"/>
              </w:rPr>
            </w:pPr>
          </w:p>
        </w:tc>
        <w:tc>
          <w:tcPr>
            <w:tcW w:w="840" w:type="dxa"/>
            <w:vAlign w:val="bottom"/>
            <w:gridSpan w:val="3"/>
            <w:vMerge w:val="continue"/>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86"/>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Effective tax rate as reported </w:t>
            </w:r>
            <w:r>
              <w:rPr>
                <w:rFonts w:ascii="Times New Roman" w:cs="Times New Roman" w:eastAsia="Times New Roman" w:hAnsi="Times New Roman"/>
                <w:sz w:val="23"/>
                <w:szCs w:val="23"/>
                <w:color w:val="auto"/>
                <w:vertAlign w:val="superscript"/>
              </w:rPr>
              <w:t>(11)</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17.4%</w:t>
            </w: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26.6%</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23.0%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(16.9)%</w:t>
            </w: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Adjusted effective tax rate </w:t>
            </w:r>
            <w:r>
              <w:rPr>
                <w:rFonts w:ascii="Times New Roman" w:cs="Times New Roman" w:eastAsia="Times New Roman" w:hAnsi="Times New Roman"/>
                <w:sz w:val="23"/>
                <w:szCs w:val="23"/>
                <w:color w:val="auto"/>
                <w:vertAlign w:val="superscript"/>
              </w:rPr>
              <w:t>(11)</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18.8%</w:t>
            </w: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18.5%</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23.6%</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22.5%</w:t>
            </w: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Adjusted net income, adjusted diluted earnings per share and the adjusted effective tax rate are non-GAAP measures and are not meant to be considered in isolation or as a substitute for net income, diluted earnings per share and effective tax rates determined in accordance with U.S. generally accepted accounting principles. The Company believes these non-GAAP measures provide useful information to evaluate the performance of the Company’s ongoing business.</w:t>
      </w:r>
    </w:p>
    <w:p>
      <w:pPr>
        <w:spacing w:after="0" w:line="208" w:lineRule="exact"/>
        <w:rPr>
          <w:sz w:val="20"/>
          <w:szCs w:val="20"/>
          <w:color w:val="auto"/>
        </w:rPr>
      </w:pPr>
    </w:p>
    <w:p>
      <w:pPr>
        <w:jc w:val="both"/>
        <w:ind w:left="420" w:right="140" w:hanging="331"/>
        <w:spacing w:after="0" w:line="226" w:lineRule="auto"/>
        <w:tabs>
          <w:tab w:leader="none" w:pos="408"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 the fourth quarter and full year of 2022, the Company recorded charges of $40 million ($30 million net of tax) and $159 million ($122 million net of tax) for intangibles amortization arising from prior acquisitions. In the fourth quarter and full year of 2021, the Company recorded charges of $40 million ($31 million net of tax) and $170 million ($130 million net of tax) for intangibles amortization.</w:t>
      </w:r>
    </w:p>
    <w:p>
      <w:pPr>
        <w:spacing w:after="0" w:line="211" w:lineRule="exact"/>
        <w:rPr>
          <w:rFonts w:ascii="Times New Roman" w:cs="Times New Roman" w:eastAsia="Times New Roman" w:hAnsi="Times New Roman"/>
          <w:sz w:val="23"/>
          <w:szCs w:val="23"/>
          <w:color w:val="auto"/>
          <w:vertAlign w:val="superscript"/>
        </w:rPr>
      </w:pPr>
    </w:p>
    <w:p>
      <w:pPr>
        <w:ind w:left="420" w:right="160" w:hanging="331"/>
        <w:spacing w:after="0" w:line="223" w:lineRule="auto"/>
        <w:tabs>
          <w:tab w:leader="none" w:pos="408"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 the fourth quarter and full year of 2022, the Company recorded net restructuring and other charges of $23 million ($18 million net of tax) and net restructuring and other gains of $52 million ($55 million net of tax), including a gain of $113 million for the sale of the Transit Packaging segment's Kiwiplan business and a charge of $29 million for a Transit Packaging overhead cost reduction program, both in the second quarter. In the fourth quarter and full year of 2021, the Company recorded net restructuring and other charges of $14 million ($11 million net of tax) and gains of $26 million ($16 million net of tax).</w:t>
      </w:r>
    </w:p>
    <w:p>
      <w:pPr>
        <w:spacing w:after="0" w:line="3" w:lineRule="exact"/>
        <w:rPr>
          <w:rFonts w:ascii="Times New Roman" w:cs="Times New Roman" w:eastAsia="Times New Roman" w:hAnsi="Times New Roman"/>
          <w:sz w:val="23"/>
          <w:szCs w:val="23"/>
          <w:color w:val="auto"/>
          <w:vertAlign w:val="superscript"/>
        </w:rPr>
      </w:pPr>
    </w:p>
    <w:p>
      <w:pPr>
        <w:ind w:left="420" w:right="20" w:hanging="331"/>
        <w:spacing w:after="0" w:line="212" w:lineRule="auto"/>
        <w:tabs>
          <w:tab w:leader="none" w:pos="408"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For the full year of 2022, the Company recorded loss on debt extinguishment of $11 ($10 net of tax) for the early redemption of senior notes due 2023 and the refinancing of its revolving credit facility and term loans. In the fourth quarter of 2021, the</w:t>
      </w:r>
    </w:p>
    <w:p>
      <w:pPr>
        <w:sectPr>
          <w:pgSz w:w="11900" w:h="16838" w:orient="portrait"/>
          <w:cols w:equalWidth="0" w:num="1">
            <w:col w:w="11240"/>
          </w:cols>
          <w:pgMar w:left="320" w:top="601" w:right="339" w:bottom="144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Page 7 of 12</w:t>
      </w:r>
    </w:p>
    <w:p>
      <w:pPr>
        <w:sectPr>
          <w:pgSz w:w="11900" w:h="16838" w:orient="portrait"/>
          <w:cols w:equalWidth="0" w:num="1">
            <w:col w:w="11240"/>
          </w:cols>
          <w:pgMar w:left="320" w:top="601" w:right="3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5492115</wp:posOffset>
            </wp:positionH>
            <wp:positionV relativeFrom="paragraph">
              <wp:posOffset>-132080</wp:posOffset>
            </wp:positionV>
            <wp:extent cx="1551305" cy="4972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51305" cy="49720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color w:val="auto"/>
        </w:rPr>
        <w:t>Corporate Headquarters</w:t>
      </w:r>
    </w:p>
    <w:p>
      <w:pPr>
        <w:spacing w:after="0" w:line="221" w:lineRule="auto"/>
        <w:rPr>
          <w:sz w:val="20"/>
          <w:szCs w:val="20"/>
          <w:color w:val="auto"/>
        </w:rPr>
      </w:pPr>
      <w:r>
        <w:rPr>
          <w:rFonts w:ascii="Arial" w:cs="Arial" w:eastAsia="Arial" w:hAnsi="Arial"/>
          <w:sz w:val="14"/>
          <w:szCs w:val="14"/>
          <w:color w:val="auto"/>
        </w:rPr>
        <w:t>770 Township Line Road</w:t>
      </w:r>
    </w:p>
    <w:p>
      <w:pPr>
        <w:spacing w:after="0"/>
        <w:rPr>
          <w:sz w:val="20"/>
          <w:szCs w:val="20"/>
          <w:color w:val="auto"/>
        </w:rPr>
      </w:pPr>
      <w:r>
        <w:rPr>
          <w:rFonts w:ascii="Arial" w:cs="Arial" w:eastAsia="Arial" w:hAnsi="Arial"/>
          <w:sz w:val="14"/>
          <w:szCs w:val="14"/>
          <w:color w:val="auto"/>
        </w:rPr>
        <w:t>Yardley, PA 19067</w:t>
      </w:r>
    </w:p>
    <w:p>
      <w:pPr>
        <w:spacing w:after="0" w:line="2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Company recorded a charge of $68 million ($56 million net of tax) primarily for premiums paid on the early extinguishment of bonds.</w:t>
      </w:r>
    </w:p>
    <w:p>
      <w:pPr>
        <w:spacing w:after="0" w:line="239" w:lineRule="exact"/>
        <w:rPr>
          <w:sz w:val="20"/>
          <w:szCs w:val="20"/>
          <w:color w:val="auto"/>
        </w:rPr>
      </w:pPr>
    </w:p>
    <w:p>
      <w:pPr>
        <w:ind w:left="340" w:hanging="331"/>
        <w:spacing w:after="0" w:line="222" w:lineRule="auto"/>
        <w:tabs>
          <w:tab w:leader="none" w:pos="328"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 the fourth quarter of 2021, the Company recorded foreign exchange gains of $47 million ($35 million net of tax) arising from the remeasurement in local currency of U.S. dollar monetary asset balances in its operations in Turkey.</w:t>
      </w:r>
    </w:p>
    <w:p>
      <w:pPr>
        <w:spacing w:after="0" w:line="211" w:lineRule="exact"/>
        <w:rPr>
          <w:rFonts w:ascii="Times New Roman" w:cs="Times New Roman" w:eastAsia="Times New Roman" w:hAnsi="Times New Roman"/>
          <w:sz w:val="23"/>
          <w:szCs w:val="23"/>
          <w:color w:val="auto"/>
          <w:vertAlign w:val="superscript"/>
        </w:rPr>
      </w:pPr>
    </w:p>
    <w:p>
      <w:pPr>
        <w:ind w:left="340" w:right="180" w:hanging="331"/>
        <w:spacing w:after="0" w:line="222" w:lineRule="auto"/>
        <w:tabs>
          <w:tab w:leader="none" w:pos="328"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 the fourth quarter of 2021, the Company recorded $1,520 million ($1,152 million net of tax) primarily related to the settlement of its UK pension plan obligations.</w:t>
      </w:r>
    </w:p>
    <w:p>
      <w:pPr>
        <w:spacing w:after="0" w:line="211" w:lineRule="exact"/>
        <w:rPr>
          <w:rFonts w:ascii="Times New Roman" w:cs="Times New Roman" w:eastAsia="Times New Roman" w:hAnsi="Times New Roman"/>
          <w:sz w:val="23"/>
          <w:szCs w:val="23"/>
          <w:color w:val="auto"/>
          <w:vertAlign w:val="superscript"/>
        </w:rPr>
      </w:pPr>
    </w:p>
    <w:p>
      <w:pPr>
        <w:ind w:left="340" w:right="480" w:hanging="331"/>
        <w:spacing w:after="0" w:line="222" w:lineRule="auto"/>
        <w:tabs>
          <w:tab w:leader="none" w:pos="328"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 the fourth quarter and full year of 2021, the Company recorded after-tax charges of $9 million and $208 million (primarily due to cumulative translation adjustments and tax charges) in connection with the sale of its European Tinplate operations.</w:t>
      </w:r>
    </w:p>
    <w:p>
      <w:pPr>
        <w:spacing w:after="0" w:line="198" w:lineRule="exact"/>
        <w:rPr>
          <w:rFonts w:ascii="Times New Roman" w:cs="Times New Roman" w:eastAsia="Times New Roman" w:hAnsi="Times New Roman"/>
          <w:sz w:val="23"/>
          <w:szCs w:val="23"/>
          <w:color w:val="auto"/>
          <w:vertAlign w:val="superscript"/>
        </w:rPr>
      </w:pPr>
    </w:p>
    <w:p>
      <w:pPr>
        <w:ind w:left="340" w:right="160" w:hanging="331"/>
        <w:spacing w:after="0" w:line="226" w:lineRule="auto"/>
        <w:tabs>
          <w:tab w:leader="none" w:pos="328"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Company recorded income tax benefits of $14 million and $34 million in the fourth quarter and full year of 2022 and $399 million and $343 million in the fourth quarter and full year of 2021 related to tax matters including tax law changes, tax settlements, valuation allowance adjustments and the items described above.</w:t>
      </w:r>
    </w:p>
    <w:p>
      <w:pPr>
        <w:spacing w:after="0" w:line="211" w:lineRule="exact"/>
        <w:rPr>
          <w:rFonts w:ascii="Times New Roman" w:cs="Times New Roman" w:eastAsia="Times New Roman" w:hAnsi="Times New Roman"/>
          <w:sz w:val="23"/>
          <w:szCs w:val="23"/>
          <w:color w:val="auto"/>
          <w:vertAlign w:val="superscript"/>
        </w:rPr>
      </w:pPr>
    </w:p>
    <w:p>
      <w:pPr>
        <w:ind w:left="340" w:right="280" w:hanging="331"/>
        <w:spacing w:after="0" w:line="222" w:lineRule="auto"/>
        <w:tabs>
          <w:tab w:leader="none" w:pos="328"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 the fourth quarter and full year of 2022 and 2021, the Company recorded its proportional share of intangible amortization and inventory step-up charges recorded by its equity method affiliate, Eviosys. These charges were recorded net of tax by the Company in the line Equity earnings.</w:t>
      </w:r>
    </w:p>
    <w:p>
      <w:pPr>
        <w:spacing w:after="0" w:line="181" w:lineRule="exact"/>
        <w:rPr>
          <w:rFonts w:ascii="Times New Roman" w:cs="Times New Roman" w:eastAsia="Times New Roman" w:hAnsi="Times New Roman"/>
          <w:sz w:val="23"/>
          <w:szCs w:val="23"/>
          <w:color w:val="auto"/>
          <w:vertAlign w:val="superscript"/>
        </w:rPr>
      </w:pPr>
    </w:p>
    <w:p>
      <w:pPr>
        <w:ind w:left="320" w:hanging="311"/>
        <w:spacing w:after="0"/>
        <w:tabs>
          <w:tab w:leader="none" w:pos="320"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 2021, the Company recorded noncontrolling interest charges of $10 million related to the items described above.</w:t>
      </w:r>
    </w:p>
    <w:p>
      <w:pPr>
        <w:spacing w:after="0" w:line="211" w:lineRule="exact"/>
        <w:rPr>
          <w:rFonts w:ascii="Times New Roman" w:cs="Times New Roman" w:eastAsia="Times New Roman" w:hAnsi="Times New Roman"/>
          <w:sz w:val="23"/>
          <w:szCs w:val="23"/>
          <w:color w:val="auto"/>
          <w:vertAlign w:val="superscript"/>
        </w:rPr>
      </w:pPr>
    </w:p>
    <w:p>
      <w:pPr>
        <w:ind w:left="340" w:right="600" w:hanging="331"/>
        <w:spacing w:after="0" w:line="222" w:lineRule="auto"/>
        <w:tabs>
          <w:tab w:leader="none" w:pos="332"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full year of 2021 includes $161 million of adjusted net income and $1.23 of adjusted diluted earnings per share for the European Tinplate business that was sold in August 2021.</w:t>
      </w:r>
    </w:p>
    <w:p>
      <w:pPr>
        <w:spacing w:after="0" w:line="211" w:lineRule="exact"/>
        <w:rPr>
          <w:rFonts w:ascii="Times New Roman" w:cs="Times New Roman" w:eastAsia="Times New Roman" w:hAnsi="Times New Roman"/>
          <w:sz w:val="23"/>
          <w:szCs w:val="23"/>
          <w:color w:val="auto"/>
          <w:vertAlign w:val="superscript"/>
        </w:rPr>
      </w:pPr>
    </w:p>
    <w:p>
      <w:pPr>
        <w:ind w:left="340" w:right="40" w:hanging="331"/>
        <w:spacing w:after="0" w:line="222" w:lineRule="auto"/>
        <w:tabs>
          <w:tab w:leader="none" w:pos="328"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reported and adjusted effective tax rates include income from discontinued operations, which is reported net of tax in the statement of operations. Income tax effects on adjusted net income were calculated using the applicable tax rates of the underlying jurisdiction.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Page 8 of 12</w:t>
      </w:r>
    </w:p>
    <w:p>
      <w:pPr>
        <w:sectPr>
          <w:pgSz w:w="11900" w:h="16838" w:orient="portrait"/>
          <w:cols w:equalWidth="0" w:num="1">
            <w:col w:w="11140"/>
          </w:cols>
          <w:pgMar w:left="400" w:top="601" w:right="359" w:bottom="1440" w:gutter="0" w:footer="0" w:header="0"/>
        </w:sectPr>
      </w:pPr>
    </w:p>
    <w:bookmarkStart w:id="12" w:name="page13"/>
    <w:bookmarkEnd w:id="12"/>
    <w:p>
      <w:pPr>
        <w:ind w:left="80"/>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-132080</wp:posOffset>
            </wp:positionV>
            <wp:extent cx="1551305" cy="4972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551305" cy="497205"/>
                    </a:xfrm>
                    <a:prstGeom prst="rect">
                      <a:avLst/>
                    </a:prstGeom>
                    <a:noFill/>
                  </pic:spPr>
                </pic:pic>
              </a:graphicData>
            </a:graphic>
          </wp:anchor>
        </w:drawing>
      </w:r>
    </w:p>
    <w:p>
      <w:pPr>
        <w:spacing w:after="0" w:line="209" w:lineRule="exact"/>
        <w:rPr>
          <w:sz w:val="20"/>
          <w:szCs w:val="20"/>
          <w:color w:val="auto"/>
        </w:rPr>
      </w:pPr>
    </w:p>
    <w:p>
      <w:pPr>
        <w:ind w:left="80"/>
        <w:spacing w:after="0"/>
        <w:rPr>
          <w:sz w:val="20"/>
          <w:szCs w:val="20"/>
          <w:color w:val="auto"/>
        </w:rPr>
      </w:pPr>
      <w:r>
        <w:rPr>
          <w:rFonts w:ascii="Arial" w:cs="Arial" w:eastAsia="Arial" w:hAnsi="Arial"/>
          <w:sz w:val="14"/>
          <w:szCs w:val="14"/>
          <w:color w:val="auto"/>
        </w:rPr>
        <w:t>Corporate Headquarters</w:t>
      </w:r>
    </w:p>
    <w:p>
      <w:pPr>
        <w:ind w:left="80"/>
        <w:spacing w:after="0" w:line="221" w:lineRule="auto"/>
        <w:rPr>
          <w:sz w:val="20"/>
          <w:szCs w:val="20"/>
          <w:color w:val="auto"/>
        </w:rPr>
      </w:pPr>
      <w:r>
        <w:rPr>
          <w:rFonts w:ascii="Arial" w:cs="Arial" w:eastAsia="Arial" w:hAnsi="Arial"/>
          <w:sz w:val="14"/>
          <w:szCs w:val="14"/>
          <w:color w:val="auto"/>
        </w:rPr>
        <w:t>770 Township Line Road</w:t>
      </w:r>
    </w:p>
    <w:p>
      <w:pPr>
        <w:ind w:left="80"/>
        <w:spacing w:after="0"/>
        <w:rPr>
          <w:sz w:val="20"/>
          <w:szCs w:val="20"/>
          <w:color w:val="auto"/>
        </w:rPr>
      </w:pPr>
      <w:r>
        <w:rPr>
          <w:rFonts w:ascii="Arial" w:cs="Arial" w:eastAsia="Arial" w:hAnsi="Arial"/>
          <w:sz w:val="14"/>
          <w:szCs w:val="14"/>
          <w:color w:val="auto"/>
        </w:rPr>
        <w:t>Yardley, PA 19067</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00" w:type="dxa"/>
            <w:vAlign w:val="bottom"/>
          </w:tcPr>
          <w:p>
            <w:pPr>
              <w:spacing w:after="0"/>
              <w:rPr>
                <w:sz w:val="17"/>
                <w:szCs w:val="17"/>
                <w:color w:val="auto"/>
              </w:rPr>
            </w:pPr>
          </w:p>
        </w:tc>
        <w:tc>
          <w:tcPr>
            <w:tcW w:w="6900" w:type="dxa"/>
            <w:vAlign w:val="bottom"/>
            <w:gridSpan w:val="7"/>
          </w:tcPr>
          <w:p>
            <w:pPr>
              <w:ind w:left="2000"/>
              <w:spacing w:after="0"/>
              <w:rPr>
                <w:sz w:val="20"/>
                <w:szCs w:val="20"/>
                <w:color w:val="auto"/>
              </w:rPr>
            </w:pPr>
            <w:r>
              <w:rPr>
                <w:rFonts w:ascii="Times New Roman" w:cs="Times New Roman" w:eastAsia="Times New Roman" w:hAnsi="Times New Roman"/>
                <w:sz w:val="18"/>
                <w:szCs w:val="18"/>
                <w:b w:val="1"/>
                <w:bCs w:val="1"/>
                <w:color w:val="auto"/>
              </w:rPr>
              <w:t>Consolidated Balance Sheets (Condensed &amp; Unaudited)</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15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1660" w:type="dxa"/>
            <w:vAlign w:val="bottom"/>
            <w:tcBorders>
              <w:top w:val="single" w:sz="8" w:color="auto"/>
            </w:tcBorders>
            <w:gridSpan w:val="2"/>
          </w:tcPr>
          <w:p>
            <w:pPr>
              <w:jc w:val="right"/>
              <w:ind w:right="450"/>
              <w:spacing w:after="0"/>
              <w:rPr>
                <w:sz w:val="20"/>
                <w:szCs w:val="20"/>
                <w:color w:val="auto"/>
              </w:rPr>
            </w:pPr>
            <w:r>
              <w:rPr>
                <w:rFonts w:ascii="Times New Roman" w:cs="Times New Roman" w:eastAsia="Times New Roman" w:hAnsi="Times New Roman"/>
                <w:sz w:val="18"/>
                <w:szCs w:val="18"/>
                <w:color w:val="auto"/>
              </w:rPr>
              <w:t>(in millions)</w:t>
            </w:r>
          </w:p>
        </w:tc>
        <w:tc>
          <w:tcPr>
            <w:tcW w:w="10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500" w:type="dxa"/>
            <w:vAlign w:val="bottom"/>
          </w:tcPr>
          <w:p>
            <w:pPr>
              <w:spacing w:after="0"/>
              <w:rPr>
                <w:sz w:val="23"/>
                <w:szCs w:val="23"/>
                <w:color w:val="auto"/>
              </w:rPr>
            </w:pPr>
          </w:p>
        </w:tc>
        <w:tc>
          <w:tcPr>
            <w:tcW w:w="34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6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1500" w:type="dxa"/>
            <w:vAlign w:val="bottom"/>
          </w:tcPr>
          <w:p>
            <w:pPr>
              <w:spacing w:after="0"/>
              <w:rPr>
                <w:sz w:val="21"/>
                <w:szCs w:val="21"/>
                <w:color w:val="auto"/>
              </w:rPr>
            </w:pPr>
          </w:p>
        </w:tc>
        <w:tc>
          <w:tcPr>
            <w:tcW w:w="34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1500" w:type="dxa"/>
            <w:vAlign w:val="bottom"/>
          </w:tcPr>
          <w:p>
            <w:pPr>
              <w:spacing w:after="0"/>
              <w:rPr>
                <w:sz w:val="23"/>
                <w:szCs w:val="23"/>
                <w:color w:val="auto"/>
              </w:rPr>
            </w:pPr>
          </w:p>
        </w:tc>
        <w:tc>
          <w:tcPr>
            <w:tcW w:w="34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3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500" w:type="dxa"/>
            <w:vAlign w:val="bottom"/>
          </w:tcPr>
          <w:p>
            <w:pPr>
              <w:spacing w:after="0"/>
              <w:rPr>
                <w:sz w:val="23"/>
                <w:szCs w:val="23"/>
                <w:color w:val="auto"/>
              </w:rPr>
            </w:pPr>
          </w:p>
        </w:tc>
        <w:tc>
          <w:tcPr>
            <w:tcW w:w="3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531</w:t>
            </w: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500" w:type="dxa"/>
            <w:vAlign w:val="bottom"/>
          </w:tcPr>
          <w:p>
            <w:pPr>
              <w:spacing w:after="0"/>
              <w:rPr>
                <w:sz w:val="23"/>
                <w:szCs w:val="23"/>
                <w:color w:val="auto"/>
              </w:rPr>
            </w:pPr>
          </w:p>
        </w:tc>
        <w:tc>
          <w:tcPr>
            <w:tcW w:w="3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Receivables, net</w:t>
            </w:r>
          </w:p>
        </w:tc>
        <w:tc>
          <w:tcPr>
            <w:tcW w:w="13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1,843</w:t>
            </w: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1,889</w:t>
            </w: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500" w:type="dxa"/>
            <w:vAlign w:val="bottom"/>
          </w:tcPr>
          <w:p>
            <w:pPr>
              <w:spacing w:after="0"/>
              <w:rPr>
                <w:sz w:val="23"/>
                <w:szCs w:val="23"/>
                <w:color w:val="auto"/>
              </w:rPr>
            </w:pPr>
          </w:p>
        </w:tc>
        <w:tc>
          <w:tcPr>
            <w:tcW w:w="3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Inventories</w:t>
            </w:r>
          </w:p>
        </w:tc>
        <w:tc>
          <w:tcPr>
            <w:tcW w:w="13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2,014</w:t>
            </w: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1,735</w:t>
            </w: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500" w:type="dxa"/>
            <w:vAlign w:val="bottom"/>
          </w:tcPr>
          <w:p>
            <w:pPr>
              <w:spacing w:after="0"/>
              <w:rPr>
                <w:sz w:val="23"/>
                <w:szCs w:val="23"/>
                <w:color w:val="auto"/>
              </w:rPr>
            </w:pPr>
          </w:p>
        </w:tc>
        <w:tc>
          <w:tcPr>
            <w:tcW w:w="3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3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243</w:t>
            </w: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500" w:type="dxa"/>
            <w:vAlign w:val="bottom"/>
          </w:tcPr>
          <w:p>
            <w:pPr>
              <w:spacing w:after="0"/>
              <w:rPr>
                <w:sz w:val="23"/>
                <w:szCs w:val="23"/>
                <w:color w:val="auto"/>
              </w:rPr>
            </w:pPr>
          </w:p>
        </w:tc>
        <w:tc>
          <w:tcPr>
            <w:tcW w:w="3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Current assets held for sale</w:t>
            </w:r>
          </w:p>
        </w:tc>
        <w:tc>
          <w:tcPr>
            <w:tcW w:w="13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97</w:t>
            </w: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1500" w:type="dxa"/>
            <w:vAlign w:val="bottom"/>
          </w:tcPr>
          <w:p>
            <w:pPr>
              <w:spacing w:after="0"/>
              <w:rPr>
                <w:sz w:val="21"/>
                <w:szCs w:val="21"/>
                <w:color w:val="auto"/>
              </w:rPr>
            </w:pPr>
          </w:p>
        </w:tc>
        <w:tc>
          <w:tcPr>
            <w:tcW w:w="346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3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4,659</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4,495</w:t>
            </w: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0"/>
        </w:trPr>
        <w:tc>
          <w:tcPr>
            <w:tcW w:w="1500" w:type="dxa"/>
            <w:vAlign w:val="bottom"/>
          </w:tcPr>
          <w:p>
            <w:pPr>
              <w:spacing w:after="0"/>
              <w:rPr>
                <w:sz w:val="24"/>
                <w:szCs w:val="24"/>
                <w:color w:val="auto"/>
              </w:rPr>
            </w:pPr>
          </w:p>
        </w:tc>
        <w:tc>
          <w:tcPr>
            <w:tcW w:w="3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Goodwill and intangible assets, net</w:t>
            </w: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4,309</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4,532</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500" w:type="dxa"/>
            <w:vAlign w:val="bottom"/>
          </w:tcPr>
          <w:p>
            <w:pPr>
              <w:spacing w:after="0"/>
              <w:rPr>
                <w:sz w:val="23"/>
                <w:szCs w:val="23"/>
                <w:color w:val="auto"/>
              </w:rPr>
            </w:pPr>
          </w:p>
        </w:tc>
        <w:tc>
          <w:tcPr>
            <w:tcW w:w="3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3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4,540</w:t>
            </w: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4,036</w:t>
            </w: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500" w:type="dxa"/>
            <w:vAlign w:val="bottom"/>
          </w:tcPr>
          <w:p>
            <w:pPr>
              <w:spacing w:after="0"/>
              <w:rPr>
                <w:sz w:val="23"/>
                <w:szCs w:val="23"/>
                <w:color w:val="auto"/>
              </w:rPr>
            </w:pPr>
          </w:p>
        </w:tc>
        <w:tc>
          <w:tcPr>
            <w:tcW w:w="3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13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795</w:t>
            </w: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500" w:type="dxa"/>
            <w:vAlign w:val="bottom"/>
          </w:tcPr>
          <w:p>
            <w:pPr>
              <w:spacing w:after="0"/>
              <w:rPr>
                <w:sz w:val="21"/>
                <w:szCs w:val="21"/>
                <w:color w:val="auto"/>
              </w:rPr>
            </w:pPr>
          </w:p>
        </w:tc>
        <w:tc>
          <w:tcPr>
            <w:tcW w:w="346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14,301</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13,858</w:t>
            </w: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3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3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77"/>
        </w:trPr>
        <w:tc>
          <w:tcPr>
            <w:tcW w:w="1500" w:type="dxa"/>
            <w:vAlign w:val="bottom"/>
          </w:tcPr>
          <w:p>
            <w:pPr>
              <w:spacing w:after="0"/>
              <w:rPr>
                <w:sz w:val="24"/>
                <w:szCs w:val="24"/>
                <w:color w:val="auto"/>
              </w:rPr>
            </w:pPr>
          </w:p>
        </w:tc>
        <w:tc>
          <w:tcPr>
            <w:tcW w:w="3460" w:type="dxa"/>
            <w:vAlign w:val="bottom"/>
            <w:gridSpan w:val="2"/>
            <w:vMerge w:val="continue"/>
          </w:tcPr>
          <w:p>
            <w:pPr>
              <w:spacing w:after="0"/>
              <w:rPr>
                <w:sz w:val="24"/>
                <w:szCs w:val="24"/>
                <w:color w:val="auto"/>
              </w:rPr>
            </w:pP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500" w:type="dxa"/>
            <w:vAlign w:val="bottom"/>
          </w:tcPr>
          <w:p>
            <w:pPr>
              <w:spacing w:after="0"/>
              <w:rPr>
                <w:sz w:val="23"/>
                <w:szCs w:val="23"/>
                <w:color w:val="auto"/>
              </w:rPr>
            </w:pPr>
          </w:p>
        </w:tc>
        <w:tc>
          <w:tcPr>
            <w:tcW w:w="34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3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500" w:type="dxa"/>
            <w:vAlign w:val="bottom"/>
          </w:tcPr>
          <w:p>
            <w:pPr>
              <w:spacing w:after="0"/>
              <w:rPr>
                <w:sz w:val="23"/>
                <w:szCs w:val="23"/>
                <w:color w:val="auto"/>
              </w:rPr>
            </w:pPr>
          </w:p>
        </w:tc>
        <w:tc>
          <w:tcPr>
            <w:tcW w:w="3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Short-term debt</w:t>
            </w:r>
          </w:p>
        </w:tc>
        <w:tc>
          <w:tcPr>
            <w:tcW w:w="16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75</w:t>
            </w: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500" w:type="dxa"/>
            <w:vAlign w:val="bottom"/>
          </w:tcPr>
          <w:p>
            <w:pPr>
              <w:spacing w:after="0"/>
              <w:rPr>
                <w:sz w:val="23"/>
                <w:szCs w:val="23"/>
                <w:color w:val="auto"/>
              </w:rPr>
            </w:pPr>
          </w:p>
        </w:tc>
        <w:tc>
          <w:tcPr>
            <w:tcW w:w="3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13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135</w:t>
            </w: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500" w:type="dxa"/>
            <w:vAlign w:val="bottom"/>
          </w:tcPr>
          <w:p>
            <w:pPr>
              <w:spacing w:after="0"/>
              <w:rPr>
                <w:sz w:val="23"/>
                <w:szCs w:val="23"/>
                <w:color w:val="auto"/>
              </w:rPr>
            </w:pPr>
          </w:p>
        </w:tc>
        <w:tc>
          <w:tcPr>
            <w:tcW w:w="3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3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3,747</w:t>
            </w: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3,909</w:t>
            </w: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500" w:type="dxa"/>
            <w:vAlign w:val="bottom"/>
          </w:tcPr>
          <w:p>
            <w:pPr>
              <w:spacing w:after="0"/>
              <w:rPr>
                <w:sz w:val="23"/>
                <w:szCs w:val="23"/>
                <w:color w:val="auto"/>
              </w:rPr>
            </w:pPr>
          </w:p>
        </w:tc>
        <w:tc>
          <w:tcPr>
            <w:tcW w:w="3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Current liabilities held for sale</w:t>
            </w:r>
          </w:p>
        </w:tc>
        <w:tc>
          <w:tcPr>
            <w:tcW w:w="13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1500" w:type="dxa"/>
            <w:vAlign w:val="bottom"/>
          </w:tcPr>
          <w:p>
            <w:pPr>
              <w:spacing w:after="0"/>
              <w:rPr>
                <w:sz w:val="21"/>
                <w:szCs w:val="21"/>
                <w:color w:val="auto"/>
              </w:rPr>
            </w:pPr>
          </w:p>
        </w:tc>
        <w:tc>
          <w:tcPr>
            <w:tcW w:w="346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3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3,932</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4,133</w:t>
            </w: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0"/>
        </w:trPr>
        <w:tc>
          <w:tcPr>
            <w:tcW w:w="1500" w:type="dxa"/>
            <w:vAlign w:val="bottom"/>
          </w:tcPr>
          <w:p>
            <w:pPr>
              <w:spacing w:after="0"/>
              <w:rPr>
                <w:sz w:val="24"/>
                <w:szCs w:val="24"/>
                <w:color w:val="auto"/>
              </w:rPr>
            </w:pPr>
          </w:p>
        </w:tc>
        <w:tc>
          <w:tcPr>
            <w:tcW w:w="3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Long-term debt, excluding current maturities</w:t>
            </w: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6,792</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6,052</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500" w:type="dxa"/>
            <w:vAlign w:val="bottom"/>
          </w:tcPr>
          <w:p>
            <w:pPr>
              <w:spacing w:after="0"/>
              <w:rPr>
                <w:sz w:val="23"/>
                <w:szCs w:val="23"/>
                <w:color w:val="auto"/>
              </w:rPr>
            </w:pPr>
          </w:p>
        </w:tc>
        <w:tc>
          <w:tcPr>
            <w:tcW w:w="3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3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1,290</w:t>
            </w: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1,343</w:t>
            </w: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0"/>
        </w:trPr>
        <w:tc>
          <w:tcPr>
            <w:tcW w:w="1500" w:type="dxa"/>
            <w:vAlign w:val="bottom"/>
          </w:tcPr>
          <w:p>
            <w:pPr>
              <w:spacing w:after="0"/>
              <w:rPr>
                <w:sz w:val="24"/>
                <w:szCs w:val="24"/>
                <w:color w:val="auto"/>
              </w:rPr>
            </w:pPr>
          </w:p>
        </w:tc>
        <w:tc>
          <w:tcPr>
            <w:tcW w:w="3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418</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500" w:type="dxa"/>
            <w:vAlign w:val="bottom"/>
          </w:tcPr>
          <w:p>
            <w:pPr>
              <w:spacing w:after="0"/>
              <w:rPr>
                <w:sz w:val="23"/>
                <w:szCs w:val="23"/>
                <w:color w:val="auto"/>
              </w:rPr>
            </w:pPr>
          </w:p>
        </w:tc>
        <w:tc>
          <w:tcPr>
            <w:tcW w:w="3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Crown Holdings shareholders' equity</w:t>
            </w:r>
          </w:p>
        </w:tc>
        <w:tc>
          <w:tcPr>
            <w:tcW w:w="13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1,849</w:t>
            </w: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1,912</w:t>
            </w: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1500" w:type="dxa"/>
            <w:vAlign w:val="bottom"/>
          </w:tcPr>
          <w:p>
            <w:pPr>
              <w:spacing w:after="0"/>
              <w:rPr>
                <w:sz w:val="21"/>
                <w:szCs w:val="21"/>
                <w:color w:val="auto"/>
              </w:rPr>
            </w:pPr>
          </w:p>
        </w:tc>
        <w:tc>
          <w:tcPr>
            <w:tcW w:w="3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equity</w:t>
            </w:r>
          </w:p>
        </w:tc>
        <w:tc>
          <w:tcPr>
            <w:tcW w:w="13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2,287</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2,330</w:t>
            </w: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500" w:type="dxa"/>
            <w:vAlign w:val="bottom"/>
          </w:tcPr>
          <w:p>
            <w:pPr>
              <w:spacing w:after="0"/>
              <w:rPr>
                <w:sz w:val="19"/>
                <w:szCs w:val="19"/>
                <w:color w:val="auto"/>
              </w:rPr>
            </w:pPr>
          </w:p>
        </w:tc>
        <w:tc>
          <w:tcPr>
            <w:tcW w:w="346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136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14,301</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13,858</w:t>
            </w: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46"/>
        </w:trPr>
        <w:tc>
          <w:tcPr>
            <w:tcW w:w="150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9 of 12</w:t>
      </w:r>
    </w:p>
    <w:p>
      <w:pPr>
        <w:sectPr>
          <w:pgSz w:w="11900" w:h="16838" w:orient="portrait"/>
          <w:cols w:equalWidth="0" w:num="1">
            <w:col w:w="11240"/>
          </w:cols>
          <w:pgMar w:left="320" w:top="601" w:right="339" w:bottom="1440" w:gutter="0" w:footer="0" w:header="0"/>
        </w:sectPr>
      </w:pPr>
    </w:p>
    <w:bookmarkStart w:id="13" w:name="page14"/>
    <w:bookmarkEnd w:id="13"/>
    <w:p>
      <w:pPr>
        <w:ind w:left="80"/>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-132080</wp:posOffset>
            </wp:positionV>
            <wp:extent cx="1551305" cy="4972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551305" cy="497205"/>
                    </a:xfrm>
                    <a:prstGeom prst="rect">
                      <a:avLst/>
                    </a:prstGeom>
                    <a:noFill/>
                  </pic:spPr>
                </pic:pic>
              </a:graphicData>
            </a:graphic>
          </wp:anchor>
        </w:drawing>
      </w:r>
    </w:p>
    <w:p>
      <w:pPr>
        <w:spacing w:after="0" w:line="209" w:lineRule="exact"/>
        <w:rPr>
          <w:sz w:val="20"/>
          <w:szCs w:val="20"/>
          <w:color w:val="auto"/>
        </w:rPr>
      </w:pPr>
    </w:p>
    <w:p>
      <w:pPr>
        <w:ind w:left="80"/>
        <w:spacing w:after="0"/>
        <w:rPr>
          <w:sz w:val="20"/>
          <w:szCs w:val="20"/>
          <w:color w:val="auto"/>
        </w:rPr>
      </w:pPr>
      <w:r>
        <w:rPr>
          <w:rFonts w:ascii="Arial" w:cs="Arial" w:eastAsia="Arial" w:hAnsi="Arial"/>
          <w:sz w:val="14"/>
          <w:szCs w:val="14"/>
          <w:color w:val="auto"/>
        </w:rPr>
        <w:t>Corporate Headquarters</w:t>
      </w:r>
    </w:p>
    <w:p>
      <w:pPr>
        <w:ind w:left="80"/>
        <w:spacing w:after="0" w:line="221" w:lineRule="auto"/>
        <w:rPr>
          <w:sz w:val="20"/>
          <w:szCs w:val="20"/>
          <w:color w:val="auto"/>
        </w:rPr>
      </w:pPr>
      <w:r>
        <w:rPr>
          <w:rFonts w:ascii="Arial" w:cs="Arial" w:eastAsia="Arial" w:hAnsi="Arial"/>
          <w:sz w:val="14"/>
          <w:szCs w:val="14"/>
          <w:color w:val="auto"/>
        </w:rPr>
        <w:t>770 Township Line Road</w:t>
      </w:r>
    </w:p>
    <w:p>
      <w:pPr>
        <w:ind w:left="80"/>
        <w:spacing w:after="0"/>
        <w:rPr>
          <w:sz w:val="20"/>
          <w:szCs w:val="20"/>
          <w:color w:val="auto"/>
        </w:rPr>
      </w:pPr>
      <w:r>
        <w:rPr>
          <w:rFonts w:ascii="Arial" w:cs="Arial" w:eastAsia="Arial" w:hAnsi="Arial"/>
          <w:sz w:val="14"/>
          <w:szCs w:val="14"/>
          <w:color w:val="auto"/>
        </w:rPr>
        <w:t>Yardley, PA 19067</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Statements of Cash Flows (Condensed &amp;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60" w:type="dxa"/>
            <w:vAlign w:val="bottom"/>
          </w:tcPr>
          <w:p>
            <w:pPr>
              <w:ind w:left="19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920" w:type="dxa"/>
            <w:vAlign w:val="bottom"/>
          </w:tcPr>
          <w:p>
            <w:pPr>
              <w:spacing w:after="0"/>
              <w:rPr>
                <w:sz w:val="20"/>
                <w:szCs w:val="20"/>
                <w:color w:val="auto"/>
              </w:rPr>
            </w:pPr>
          </w:p>
        </w:tc>
      </w:tr>
      <w:tr>
        <w:trPr>
          <w:trHeight w:val="313"/>
        </w:trPr>
        <w:tc>
          <w:tcPr>
            <w:tcW w:w="6560" w:type="dxa"/>
            <w:vAlign w:val="bottom"/>
          </w:tcPr>
          <w:p>
            <w:pPr>
              <w:ind w:left="194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229"/>
        </w:trPr>
        <w:tc>
          <w:tcPr>
            <w:tcW w:w="656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Net income (loss)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4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920" w:type="dxa"/>
            <w:vAlign w:val="bottom"/>
          </w:tcPr>
          <w:p>
            <w:pPr>
              <w:spacing w:after="0"/>
              <w:rPr>
                <w:sz w:val="19"/>
                <w:szCs w:val="19"/>
                <w:color w:val="auto"/>
              </w:rPr>
            </w:pPr>
          </w:p>
        </w:tc>
      </w:tr>
      <w:tr>
        <w:trPr>
          <w:trHeight w:val="229"/>
        </w:trPr>
        <w:tc>
          <w:tcPr>
            <w:tcW w:w="656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1920" w:type="dxa"/>
            <w:vAlign w:val="bottom"/>
          </w:tcPr>
          <w:p>
            <w:pPr>
              <w:spacing w:after="0"/>
              <w:rPr>
                <w:sz w:val="19"/>
                <w:szCs w:val="19"/>
                <w:color w:val="auto"/>
              </w:rPr>
            </w:pPr>
          </w:p>
        </w:tc>
      </w:tr>
      <w:tr>
        <w:trPr>
          <w:trHeight w:val="234"/>
        </w:trPr>
        <w:tc>
          <w:tcPr>
            <w:tcW w:w="656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Restructuring and other</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920" w:type="dxa"/>
            <w:vAlign w:val="bottom"/>
          </w:tcPr>
          <w:p>
            <w:pPr>
              <w:spacing w:after="0"/>
              <w:rPr>
                <w:sz w:val="20"/>
                <w:szCs w:val="20"/>
                <w:color w:val="auto"/>
              </w:rPr>
            </w:pPr>
          </w:p>
        </w:tc>
      </w:tr>
      <w:tr>
        <w:trPr>
          <w:trHeight w:val="252"/>
        </w:trPr>
        <w:tc>
          <w:tcPr>
            <w:tcW w:w="656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Loss from disposal of discontinued operations</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920" w:type="dxa"/>
            <w:vAlign w:val="bottom"/>
          </w:tcPr>
          <w:p>
            <w:pPr>
              <w:spacing w:after="0"/>
              <w:rPr>
                <w:sz w:val="21"/>
                <w:szCs w:val="21"/>
                <w:color w:val="auto"/>
              </w:rPr>
            </w:pPr>
          </w:p>
        </w:tc>
      </w:tr>
      <w:tr>
        <w:trPr>
          <w:trHeight w:val="229"/>
        </w:trPr>
        <w:tc>
          <w:tcPr>
            <w:tcW w:w="656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Pension expense</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1,567</w:t>
            </w:r>
          </w:p>
        </w:tc>
        <w:tc>
          <w:tcPr>
            <w:tcW w:w="1920" w:type="dxa"/>
            <w:vAlign w:val="bottom"/>
          </w:tcPr>
          <w:p>
            <w:pPr>
              <w:spacing w:after="0"/>
              <w:rPr>
                <w:sz w:val="19"/>
                <w:szCs w:val="19"/>
                <w:color w:val="auto"/>
              </w:rPr>
            </w:pPr>
          </w:p>
        </w:tc>
      </w:tr>
      <w:tr>
        <w:trPr>
          <w:trHeight w:val="229"/>
        </w:trPr>
        <w:tc>
          <w:tcPr>
            <w:tcW w:w="656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Pension contributions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920" w:type="dxa"/>
            <w:vAlign w:val="bottom"/>
          </w:tcPr>
          <w:p>
            <w:pPr>
              <w:spacing w:after="0"/>
              <w:rPr>
                <w:sz w:val="19"/>
                <w:szCs w:val="19"/>
                <w:color w:val="auto"/>
              </w:rPr>
            </w:pPr>
          </w:p>
        </w:tc>
      </w:tr>
      <w:tr>
        <w:trPr>
          <w:trHeight w:val="230"/>
        </w:trPr>
        <w:tc>
          <w:tcPr>
            <w:tcW w:w="656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Stock-based compensation</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920" w:type="dxa"/>
            <w:vAlign w:val="bottom"/>
          </w:tcPr>
          <w:p>
            <w:pPr>
              <w:spacing w:after="0"/>
              <w:rPr>
                <w:sz w:val="19"/>
                <w:szCs w:val="19"/>
                <w:color w:val="auto"/>
              </w:rPr>
            </w:pPr>
          </w:p>
        </w:tc>
      </w:tr>
      <w:tr>
        <w:trPr>
          <w:trHeight w:val="234"/>
        </w:trPr>
        <w:tc>
          <w:tcPr>
            <w:tcW w:w="656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Working capital changes and other</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4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1920" w:type="dxa"/>
            <w:vAlign w:val="bottom"/>
          </w:tcPr>
          <w:p>
            <w:pPr>
              <w:spacing w:after="0"/>
              <w:rPr>
                <w:sz w:val="20"/>
                <w:szCs w:val="20"/>
                <w:color w:val="auto"/>
              </w:rPr>
            </w:pPr>
          </w:p>
        </w:tc>
      </w:tr>
      <w:tr>
        <w:trPr>
          <w:trHeight w:val="237"/>
        </w:trPr>
        <w:tc>
          <w:tcPr>
            <w:tcW w:w="6560" w:type="dxa"/>
            <w:vAlign w:val="bottom"/>
          </w:tcPr>
          <w:p>
            <w:pPr>
              <w:ind w:left="2400"/>
              <w:spacing w:after="0" w:line="236" w:lineRule="exact"/>
              <w:rPr>
                <w:sz w:val="20"/>
                <w:szCs w:val="20"/>
                <w:color w:val="auto"/>
              </w:rPr>
            </w:pPr>
            <w:r>
              <w:rPr>
                <w:rFonts w:ascii="Times New Roman" w:cs="Times New Roman" w:eastAsia="Times New Roman" w:hAnsi="Times New Roman"/>
                <w:sz w:val="18"/>
                <w:szCs w:val="18"/>
                <w:b w:val="1"/>
                <w:bCs w:val="1"/>
                <w:color w:val="auto"/>
              </w:rPr>
              <w:t xml:space="preserve">Net cash provided by operating activities </w:t>
            </w:r>
            <w:r>
              <w:rPr>
                <w:rFonts w:ascii="Times New Roman" w:cs="Times New Roman" w:eastAsia="Times New Roman" w:hAnsi="Times New Roman"/>
                <w:sz w:val="23"/>
                <w:szCs w:val="23"/>
                <w:b w:val="1"/>
                <w:bCs w:val="1"/>
                <w:color w:val="auto"/>
                <w:vertAlign w:val="superscript"/>
              </w:rPr>
              <w:t>(1)</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803</w:t>
            </w:r>
          </w:p>
        </w:tc>
        <w:tc>
          <w:tcPr>
            <w:tcW w:w="4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905</w:t>
            </w:r>
          </w:p>
        </w:tc>
        <w:tc>
          <w:tcPr>
            <w:tcW w:w="1920" w:type="dxa"/>
            <w:vAlign w:val="bottom"/>
          </w:tcPr>
          <w:p>
            <w:pPr>
              <w:spacing w:after="0"/>
              <w:rPr>
                <w:sz w:val="20"/>
                <w:szCs w:val="20"/>
                <w:color w:val="auto"/>
              </w:rPr>
            </w:pPr>
          </w:p>
        </w:tc>
      </w:tr>
      <w:tr>
        <w:trPr>
          <w:trHeight w:val="313"/>
        </w:trPr>
        <w:tc>
          <w:tcPr>
            <w:tcW w:w="6560" w:type="dxa"/>
            <w:vAlign w:val="bottom"/>
          </w:tcPr>
          <w:p>
            <w:pPr>
              <w:ind w:left="194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229"/>
        </w:trPr>
        <w:tc>
          <w:tcPr>
            <w:tcW w:w="656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Capital expenditures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1920" w:type="dxa"/>
            <w:vAlign w:val="bottom"/>
          </w:tcPr>
          <w:p>
            <w:pPr>
              <w:spacing w:after="0"/>
              <w:rPr>
                <w:sz w:val="19"/>
                <w:szCs w:val="19"/>
                <w:color w:val="auto"/>
              </w:rPr>
            </w:pPr>
          </w:p>
        </w:tc>
      </w:tr>
      <w:tr>
        <w:trPr>
          <w:trHeight w:val="230"/>
        </w:trPr>
        <w:tc>
          <w:tcPr>
            <w:tcW w:w="656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Acquisitions and divestitures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2,299</w:t>
            </w:r>
          </w:p>
        </w:tc>
        <w:tc>
          <w:tcPr>
            <w:tcW w:w="1920" w:type="dxa"/>
            <w:vAlign w:val="bottom"/>
          </w:tcPr>
          <w:p>
            <w:pPr>
              <w:spacing w:after="0"/>
              <w:rPr>
                <w:sz w:val="19"/>
                <w:szCs w:val="19"/>
                <w:color w:val="auto"/>
              </w:rPr>
            </w:pPr>
          </w:p>
        </w:tc>
      </w:tr>
      <w:tr>
        <w:trPr>
          <w:trHeight w:val="234"/>
        </w:trPr>
        <w:tc>
          <w:tcPr>
            <w:tcW w:w="656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4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920" w:type="dxa"/>
            <w:vAlign w:val="bottom"/>
          </w:tcPr>
          <w:p>
            <w:pPr>
              <w:spacing w:after="0"/>
              <w:rPr>
                <w:sz w:val="20"/>
                <w:szCs w:val="20"/>
                <w:color w:val="auto"/>
              </w:rPr>
            </w:pPr>
          </w:p>
        </w:tc>
      </w:tr>
      <w:tr>
        <w:trPr>
          <w:trHeight w:val="236"/>
        </w:trPr>
        <w:tc>
          <w:tcPr>
            <w:tcW w:w="6560" w:type="dxa"/>
            <w:vAlign w:val="bottom"/>
          </w:tcPr>
          <w:p>
            <w:pPr>
              <w:ind w:left="2400"/>
              <w:spacing w:after="0"/>
              <w:rPr>
                <w:sz w:val="20"/>
                <w:szCs w:val="20"/>
                <w:color w:val="auto"/>
              </w:rPr>
            </w:pPr>
            <w:r>
              <w:rPr>
                <w:rFonts w:ascii="Times New Roman" w:cs="Times New Roman" w:eastAsia="Times New Roman" w:hAnsi="Times New Roman"/>
                <w:sz w:val="18"/>
                <w:szCs w:val="18"/>
                <w:b w:val="1"/>
                <w:bCs w:val="1"/>
                <w:color w:val="auto"/>
              </w:rPr>
              <w:t>Net cash (used for) provided by investing activities</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(642)</w:t>
            </w:r>
          </w:p>
        </w:tc>
        <w:tc>
          <w:tcPr>
            <w:tcW w:w="4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1,507</w:t>
            </w:r>
          </w:p>
        </w:tc>
        <w:tc>
          <w:tcPr>
            <w:tcW w:w="1920" w:type="dxa"/>
            <w:vAlign w:val="bottom"/>
          </w:tcPr>
          <w:p>
            <w:pPr>
              <w:spacing w:after="0"/>
              <w:rPr>
                <w:sz w:val="20"/>
                <w:szCs w:val="20"/>
                <w:color w:val="auto"/>
              </w:rPr>
            </w:pPr>
          </w:p>
        </w:tc>
      </w:tr>
      <w:tr>
        <w:trPr>
          <w:trHeight w:val="340"/>
        </w:trPr>
        <w:tc>
          <w:tcPr>
            <w:tcW w:w="6560" w:type="dxa"/>
            <w:vAlign w:val="bottom"/>
          </w:tcPr>
          <w:p>
            <w:pPr>
              <w:ind w:left="194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230"/>
        </w:trPr>
        <w:tc>
          <w:tcPr>
            <w:tcW w:w="656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Net change in debt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(1,742)</w:t>
            </w:r>
          </w:p>
        </w:tc>
        <w:tc>
          <w:tcPr>
            <w:tcW w:w="1920" w:type="dxa"/>
            <w:vAlign w:val="bottom"/>
          </w:tcPr>
          <w:p>
            <w:pPr>
              <w:spacing w:after="0"/>
              <w:rPr>
                <w:sz w:val="19"/>
                <w:szCs w:val="19"/>
                <w:color w:val="auto"/>
              </w:rPr>
            </w:pPr>
          </w:p>
        </w:tc>
      </w:tr>
      <w:tr>
        <w:trPr>
          <w:trHeight w:val="230"/>
        </w:trPr>
        <w:tc>
          <w:tcPr>
            <w:tcW w:w="656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Dividends paid to shareholders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920" w:type="dxa"/>
            <w:vAlign w:val="bottom"/>
          </w:tcPr>
          <w:p>
            <w:pPr>
              <w:spacing w:after="0"/>
              <w:rPr>
                <w:sz w:val="19"/>
                <w:szCs w:val="19"/>
                <w:color w:val="auto"/>
              </w:rPr>
            </w:pPr>
          </w:p>
        </w:tc>
      </w:tr>
      <w:tr>
        <w:trPr>
          <w:trHeight w:val="230"/>
        </w:trPr>
        <w:tc>
          <w:tcPr>
            <w:tcW w:w="656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Common stock repurchased</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1920" w:type="dxa"/>
            <w:vAlign w:val="bottom"/>
          </w:tcPr>
          <w:p>
            <w:pPr>
              <w:spacing w:after="0"/>
              <w:rPr>
                <w:sz w:val="19"/>
                <w:szCs w:val="19"/>
                <w:color w:val="auto"/>
              </w:rPr>
            </w:pPr>
          </w:p>
        </w:tc>
      </w:tr>
      <w:tr>
        <w:trPr>
          <w:trHeight w:val="229"/>
        </w:trPr>
        <w:tc>
          <w:tcPr>
            <w:tcW w:w="656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Dividends paid to noncontrolling interests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920" w:type="dxa"/>
            <w:vAlign w:val="bottom"/>
          </w:tcPr>
          <w:p>
            <w:pPr>
              <w:spacing w:after="0"/>
              <w:rPr>
                <w:sz w:val="19"/>
                <w:szCs w:val="19"/>
                <w:color w:val="auto"/>
              </w:rPr>
            </w:pPr>
          </w:p>
        </w:tc>
      </w:tr>
      <w:tr>
        <w:trPr>
          <w:trHeight w:val="234"/>
        </w:trPr>
        <w:tc>
          <w:tcPr>
            <w:tcW w:w="656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Other, net</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4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920" w:type="dxa"/>
            <w:vAlign w:val="bottom"/>
          </w:tcPr>
          <w:p>
            <w:pPr>
              <w:spacing w:after="0"/>
              <w:rPr>
                <w:sz w:val="20"/>
                <w:szCs w:val="20"/>
                <w:color w:val="auto"/>
              </w:rPr>
            </w:pPr>
          </w:p>
        </w:tc>
      </w:tr>
      <w:tr>
        <w:trPr>
          <w:trHeight w:val="236"/>
        </w:trPr>
        <w:tc>
          <w:tcPr>
            <w:tcW w:w="6560" w:type="dxa"/>
            <w:vAlign w:val="bottom"/>
          </w:tcPr>
          <w:p>
            <w:pPr>
              <w:ind w:left="2400"/>
              <w:spacing w:after="0"/>
              <w:rPr>
                <w:sz w:val="20"/>
                <w:szCs w:val="20"/>
                <w:color w:val="auto"/>
              </w:rPr>
            </w:pPr>
            <w:r>
              <w:rPr>
                <w:rFonts w:ascii="Times New Roman" w:cs="Times New Roman" w:eastAsia="Times New Roman" w:hAnsi="Times New Roman"/>
                <w:sz w:val="18"/>
                <w:szCs w:val="18"/>
                <w:b w:val="1"/>
                <w:bCs w:val="1"/>
                <w:color w:val="auto"/>
              </w:rPr>
              <w:t>Net cash provided by (used for) financing activities</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w:t>
            </w:r>
          </w:p>
        </w:tc>
        <w:tc>
          <w:tcPr>
            <w:tcW w:w="4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(2,944)</w:t>
            </w:r>
          </w:p>
        </w:tc>
        <w:tc>
          <w:tcPr>
            <w:tcW w:w="1920" w:type="dxa"/>
            <w:vAlign w:val="bottom"/>
          </w:tcPr>
          <w:p>
            <w:pPr>
              <w:spacing w:after="0"/>
              <w:rPr>
                <w:sz w:val="20"/>
                <w:szCs w:val="20"/>
                <w:color w:val="auto"/>
              </w:rPr>
            </w:pPr>
          </w:p>
        </w:tc>
      </w:tr>
      <w:tr>
        <w:trPr>
          <w:trHeight w:val="345"/>
        </w:trPr>
        <w:tc>
          <w:tcPr>
            <w:tcW w:w="656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4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920" w:type="dxa"/>
            <w:vAlign w:val="bottom"/>
          </w:tcPr>
          <w:p>
            <w:pPr>
              <w:spacing w:after="0"/>
              <w:rPr>
                <w:sz w:val="24"/>
                <w:szCs w:val="24"/>
                <w:color w:val="auto"/>
              </w:rPr>
            </w:pPr>
          </w:p>
        </w:tc>
      </w:tr>
      <w:tr>
        <w:trPr>
          <w:trHeight w:val="345"/>
        </w:trPr>
        <w:tc>
          <w:tcPr>
            <w:tcW w:w="656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1920" w:type="dxa"/>
            <w:vAlign w:val="bottom"/>
          </w:tcPr>
          <w:p>
            <w:pPr>
              <w:spacing w:after="0"/>
              <w:rPr>
                <w:sz w:val="24"/>
                <w:szCs w:val="24"/>
                <w:color w:val="auto"/>
              </w:rPr>
            </w:pPr>
          </w:p>
        </w:tc>
      </w:tr>
      <w:tr>
        <w:trPr>
          <w:trHeight w:val="256"/>
        </w:trPr>
        <w:tc>
          <w:tcPr>
            <w:tcW w:w="656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Cash and cash equivalents at January 1</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4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1,238</w:t>
            </w:r>
          </w:p>
        </w:tc>
        <w:tc>
          <w:tcPr>
            <w:tcW w:w="1920" w:type="dxa"/>
            <w:vAlign w:val="bottom"/>
          </w:tcPr>
          <w:p>
            <w:pPr>
              <w:spacing w:after="0"/>
              <w:rPr>
                <w:sz w:val="22"/>
                <w:szCs w:val="22"/>
                <w:color w:val="auto"/>
              </w:rPr>
            </w:pPr>
          </w:p>
        </w:tc>
      </w:tr>
      <w:tr>
        <w:trPr>
          <w:trHeight w:val="318"/>
        </w:trPr>
        <w:tc>
          <w:tcPr>
            <w:tcW w:w="6560" w:type="dxa"/>
            <w:vAlign w:val="bottom"/>
          </w:tcPr>
          <w:p>
            <w:pPr>
              <w:ind w:left="1940"/>
              <w:spacing w:after="0"/>
              <w:rPr>
                <w:sz w:val="20"/>
                <w:szCs w:val="20"/>
                <w:color w:val="auto"/>
              </w:rPr>
            </w:pPr>
            <w:r>
              <w:rPr>
                <w:rFonts w:ascii="Times New Roman" w:cs="Times New Roman" w:eastAsia="Times New Roman" w:hAnsi="Times New Roman"/>
                <w:sz w:val="18"/>
                <w:szCs w:val="18"/>
                <w:b w:val="1"/>
                <w:bCs w:val="1"/>
                <w:color w:val="auto"/>
              </w:rPr>
              <w:t xml:space="preserve">Cash and cash equivalents at December 31 </w:t>
            </w:r>
            <w:r>
              <w:rPr>
                <w:rFonts w:ascii="Times New Roman" w:cs="Times New Roman" w:eastAsia="Times New Roman" w:hAnsi="Times New Roman"/>
                <w:sz w:val="23"/>
                <w:szCs w:val="23"/>
                <w:b w:val="1"/>
                <w:bCs w:val="1"/>
                <w:color w:val="auto"/>
                <w:vertAlign w:val="superscript"/>
              </w:rPr>
              <w:t>(2)</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639</w:t>
            </w:r>
          </w:p>
        </w:tc>
        <w:tc>
          <w:tcPr>
            <w:tcW w:w="420" w:type="dxa"/>
            <w:vAlign w:val="bottom"/>
          </w:tcPr>
          <w:p>
            <w:pPr>
              <w:spacing w:after="0"/>
              <w:rPr>
                <w:sz w:val="24"/>
                <w:szCs w:val="24"/>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593</w:t>
            </w:r>
          </w:p>
        </w:tc>
        <w:tc>
          <w:tcPr>
            <w:tcW w:w="1920" w:type="dxa"/>
            <w:vAlign w:val="bottom"/>
          </w:tcPr>
          <w:p>
            <w:pPr>
              <w:spacing w:after="0"/>
              <w:rPr>
                <w:sz w:val="24"/>
                <w:szCs w:val="24"/>
                <w:color w:val="auto"/>
              </w:rPr>
            </w:pPr>
          </w:p>
        </w:tc>
      </w:tr>
      <w:tr>
        <w:trPr>
          <w:trHeight w:val="21"/>
        </w:trPr>
        <w:tc>
          <w:tcPr>
            <w:tcW w:w="65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189"/>
        </w:trPr>
        <w:tc>
          <w:tcPr>
            <w:tcW w:w="65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tcPr>
          <w:p>
            <w:pPr>
              <w:spacing w:after="0"/>
              <w:rPr>
                <w:sz w:val="16"/>
                <w:szCs w:val="16"/>
                <w:color w:val="auto"/>
              </w:rPr>
            </w:pPr>
          </w:p>
        </w:tc>
      </w:tr>
    </w:tbl>
    <w:p>
      <w:pPr>
        <w:spacing w:after="0" w:line="103" w:lineRule="exact"/>
        <w:rPr>
          <w:sz w:val="20"/>
          <w:szCs w:val="20"/>
          <w:color w:val="auto"/>
        </w:rPr>
      </w:pPr>
    </w:p>
    <w:p>
      <w:pPr>
        <w:ind w:left="420" w:right="260" w:hanging="331"/>
        <w:spacing w:after="0" w:line="226" w:lineRule="auto"/>
        <w:tabs>
          <w:tab w:leader="none" w:pos="408"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Adjusted free cash flow is defined by the Company as net cash provided by operating activities less capital expenditures and certain other items. A reconciliation of net cash provided by operating activities to adjusted free cash flow for the three months and year ended December 31, 2022 and 2021 follows.</w:t>
      </w:r>
    </w:p>
    <w:p>
      <w:pPr>
        <w:spacing w:after="0" w:line="181" w:lineRule="exact"/>
        <w:rPr>
          <w:rFonts w:ascii="Times New Roman" w:cs="Times New Roman" w:eastAsia="Times New Roman" w:hAnsi="Times New Roman"/>
          <w:sz w:val="23"/>
          <w:szCs w:val="23"/>
          <w:color w:val="auto"/>
          <w:vertAlign w:val="superscript"/>
        </w:rPr>
      </w:pPr>
    </w:p>
    <w:p>
      <w:pPr>
        <w:ind w:left="400" w:hanging="311"/>
        <w:spacing w:after="0"/>
        <w:tabs>
          <w:tab w:leader="none" w:pos="400"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Cash and cash equivalents include $89 and $62 of restricted cash at December 31, 2022 and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10 of 12</w:t>
      </w:r>
    </w:p>
    <w:p>
      <w:pPr>
        <w:sectPr>
          <w:pgSz w:w="11900" w:h="16838" w:orient="portrait"/>
          <w:cols w:equalWidth="0" w:num="1">
            <w:col w:w="11240"/>
          </w:cols>
          <w:pgMar w:left="320" w:top="601" w:right="339" w:bottom="1440" w:gutter="0" w:footer="0" w:header="0"/>
        </w:sectPr>
      </w:pPr>
    </w:p>
    <w:bookmarkStart w:id="14" w:name="page15"/>
    <w:bookmarkEnd w:id="14"/>
    <w:p>
      <w:pPr>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5492115</wp:posOffset>
            </wp:positionH>
            <wp:positionV relativeFrom="paragraph">
              <wp:posOffset>-132080</wp:posOffset>
            </wp:positionV>
            <wp:extent cx="1551305" cy="4972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551305" cy="49720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color w:val="auto"/>
        </w:rPr>
        <w:t>Corporate Headquarters</w:t>
      </w:r>
    </w:p>
    <w:p>
      <w:pPr>
        <w:spacing w:after="0" w:line="221" w:lineRule="auto"/>
        <w:rPr>
          <w:sz w:val="20"/>
          <w:szCs w:val="20"/>
          <w:color w:val="auto"/>
        </w:rPr>
      </w:pPr>
      <w:r>
        <w:rPr>
          <w:rFonts w:ascii="Arial" w:cs="Arial" w:eastAsia="Arial" w:hAnsi="Arial"/>
          <w:sz w:val="14"/>
          <w:szCs w:val="14"/>
          <w:color w:val="auto"/>
        </w:rPr>
        <w:t>770 Township Line Road</w:t>
      </w:r>
    </w:p>
    <w:p>
      <w:pPr>
        <w:spacing w:after="0"/>
        <w:rPr>
          <w:sz w:val="20"/>
          <w:szCs w:val="20"/>
          <w:color w:val="auto"/>
        </w:rPr>
      </w:pPr>
      <w:r>
        <w:rPr>
          <w:rFonts w:ascii="Arial" w:cs="Arial" w:eastAsia="Arial" w:hAnsi="Arial"/>
          <w:sz w:val="14"/>
          <w:szCs w:val="14"/>
          <w:color w:val="auto"/>
        </w:rPr>
        <w:t>Yardley, PA 19067</w:t>
      </w:r>
    </w:p>
    <w:p>
      <w:pPr>
        <w:spacing w:after="0" w:line="200" w:lineRule="exact"/>
        <w:rPr>
          <w:sz w:val="20"/>
          <w:szCs w:val="20"/>
          <w:color w:val="auto"/>
        </w:rPr>
      </w:pPr>
    </w:p>
    <w:p>
      <w:pPr>
        <w:spacing w:after="0" w:line="264" w:lineRule="exact"/>
        <w:rPr>
          <w:sz w:val="20"/>
          <w:szCs w:val="20"/>
          <w:color w:val="auto"/>
        </w:rPr>
      </w:pPr>
    </w:p>
    <w:tbl>
      <w:tblPr>
        <w:tblLayout w:type="fixed"/>
        <w:tblInd w:w="600" w:type="dxa"/>
        <w:tblCellMar>
          <w:top w:w="0" w:type="dxa"/>
          <w:left w:w="0" w:type="dxa"/>
          <w:bottom w:w="0" w:type="dxa"/>
          <w:right w:w="0" w:type="dxa"/>
        </w:tblCellMar>
      </w:tblPr>
      <w:tr>
        <w:trPr>
          <w:trHeight w:val="207"/>
        </w:trPr>
        <w:tc>
          <w:tcPr>
            <w:tcW w:w="3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2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40" w:type="dxa"/>
            <w:vAlign w:val="bottom"/>
          </w:tcPr>
          <w:p>
            <w:pPr>
              <w:spacing w:after="0"/>
              <w:rPr>
                <w:sz w:val="17"/>
                <w:szCs w:val="17"/>
                <w:color w:val="auto"/>
              </w:rPr>
            </w:pPr>
          </w:p>
        </w:tc>
        <w:tc>
          <w:tcPr>
            <w:tcW w:w="1880" w:type="dxa"/>
            <w:vAlign w:val="bottom"/>
            <w:gridSpan w:val="4"/>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Year Ended December</w:t>
            </w:r>
          </w:p>
        </w:tc>
      </w:tr>
      <w:tr>
        <w:trPr>
          <w:trHeight w:val="241"/>
        </w:trPr>
        <w:tc>
          <w:tcPr>
            <w:tcW w:w="3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20" w:type="dxa"/>
            <w:vAlign w:val="bottom"/>
            <w:gridSpan w:val="5"/>
          </w:tcPr>
          <w:p>
            <w:pPr>
              <w:ind w:left="3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w:t>
            </w: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252"/>
        </w:trPr>
        <w:tc>
          <w:tcPr>
            <w:tcW w:w="372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60" w:type="dxa"/>
            <w:vAlign w:val="bottom"/>
            <w:tcBorders>
              <w:top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34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60" w:type="dxa"/>
            <w:vAlign w:val="bottom"/>
            <w:tcBorders>
              <w:top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50"/>
        </w:trPr>
        <w:tc>
          <w:tcPr>
            <w:tcW w:w="3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669</w:t>
            </w:r>
          </w:p>
        </w:tc>
        <w:tc>
          <w:tcPr>
            <w:tcW w:w="36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660</w:t>
            </w:r>
          </w:p>
        </w:tc>
        <w:tc>
          <w:tcPr>
            <w:tcW w:w="34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803</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905</w:t>
            </w:r>
          </w:p>
        </w:tc>
      </w:tr>
      <w:tr>
        <w:trPr>
          <w:trHeight w:val="289"/>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U.K. pension settlement </w:t>
            </w:r>
            <w:r>
              <w:rPr>
                <w:rFonts w:ascii="Times New Roman" w:cs="Times New Roman" w:eastAsia="Times New Roman" w:hAnsi="Times New Roman"/>
                <w:sz w:val="23"/>
                <w:szCs w:val="23"/>
                <w:color w:val="auto"/>
                <w:vertAlign w:val="superscript"/>
              </w:rPr>
              <w:t>(3)</w:t>
            </w:r>
          </w:p>
        </w:tc>
        <w:tc>
          <w:tcPr>
            <w:tcW w:w="1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r>
      <w:tr>
        <w:trPr>
          <w:trHeight w:val="273"/>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Interest included in investing activities </w:t>
            </w:r>
            <w:r>
              <w:rPr>
                <w:rFonts w:ascii="Times New Roman" w:cs="Times New Roman" w:eastAsia="Times New Roman" w:hAnsi="Times New Roman"/>
                <w:sz w:val="23"/>
                <w:szCs w:val="23"/>
                <w:color w:val="auto"/>
                <w:vertAlign w:val="superscript"/>
              </w:rPr>
              <w:t>(4)</w:t>
            </w:r>
          </w:p>
        </w:tc>
        <w:tc>
          <w:tcPr>
            <w:tcW w:w="1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3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34"/>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w:t>
            </w:r>
          </w:p>
        </w:tc>
      </w:tr>
      <w:tr>
        <w:trPr>
          <w:trHeight w:val="289"/>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Transaction fees </w:t>
            </w:r>
            <w:r>
              <w:rPr>
                <w:rFonts w:ascii="Times New Roman" w:cs="Times New Roman" w:eastAsia="Times New Roman" w:hAnsi="Times New Roman"/>
                <w:sz w:val="23"/>
                <w:szCs w:val="23"/>
                <w:color w:val="auto"/>
                <w:vertAlign w:val="superscript"/>
              </w:rPr>
              <w:t>(5)</w:t>
            </w: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38"/>
        </w:trPr>
        <w:tc>
          <w:tcPr>
            <w:tcW w:w="3720" w:type="dxa"/>
            <w:vAlign w:val="bottom"/>
          </w:tcPr>
          <w:p>
            <w:pPr>
              <w:spacing w:after="0" w:line="237" w:lineRule="exact"/>
              <w:rPr>
                <w:sz w:val="20"/>
                <w:szCs w:val="20"/>
                <w:color w:val="auto"/>
              </w:rPr>
            </w:pPr>
            <w:r>
              <w:rPr>
                <w:rFonts w:ascii="Times New Roman" w:cs="Times New Roman" w:eastAsia="Times New Roman" w:hAnsi="Times New Roman"/>
                <w:sz w:val="18"/>
                <w:szCs w:val="18"/>
                <w:color w:val="auto"/>
              </w:rPr>
              <w:t xml:space="preserve">Insurance receivable </w:t>
            </w:r>
            <w:r>
              <w:rPr>
                <w:rFonts w:ascii="Times New Roman" w:cs="Times New Roman" w:eastAsia="Times New Roman" w:hAnsi="Times New Roman"/>
                <w:sz w:val="23"/>
                <w:szCs w:val="23"/>
                <w:color w:val="auto"/>
                <w:vertAlign w:val="superscript"/>
              </w:rPr>
              <w:t>(6)</w:t>
            </w: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3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3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r>
      <w:tr>
        <w:trPr>
          <w:trHeight w:val="223"/>
        </w:trPr>
        <w:tc>
          <w:tcPr>
            <w:tcW w:w="3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free cash flow</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412</w:t>
            </w:r>
          </w:p>
        </w:tc>
        <w:tc>
          <w:tcPr>
            <w:tcW w:w="3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301</w:t>
            </w:r>
          </w:p>
        </w:tc>
        <w:tc>
          <w:tcPr>
            <w:tcW w:w="3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(64)</w:t>
            </w:r>
          </w:p>
        </w:tc>
        <w:tc>
          <w:tcPr>
            <w:tcW w:w="3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377</w:t>
            </w:r>
          </w:p>
        </w:tc>
      </w:tr>
      <w:tr>
        <w:trPr>
          <w:trHeight w:val="21"/>
        </w:trPr>
        <w:tc>
          <w:tcPr>
            <w:tcW w:w="3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340" w:hanging="331"/>
        <w:spacing w:after="0" w:line="226" w:lineRule="auto"/>
        <w:tabs>
          <w:tab w:leader="none" w:pos="328"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 September 2021, the Company made a contribution of £196 ($271 million as of September 30, 2021) million to its U.K. defined pension plan in advance of a full settlement of the plan’s obligations in November 2021. The Company expects £127 of the contribution to be repaid as the plan sells its remaining illiquid assets, of which £101 ($122 million as of December 31, 2022) has been received to date.</w:t>
      </w:r>
    </w:p>
    <w:p>
      <w:pPr>
        <w:spacing w:after="0" w:line="110" w:lineRule="exact"/>
        <w:rPr>
          <w:rFonts w:ascii="Times New Roman" w:cs="Times New Roman" w:eastAsia="Times New Roman" w:hAnsi="Times New Roman"/>
          <w:sz w:val="23"/>
          <w:szCs w:val="23"/>
          <w:color w:val="auto"/>
          <w:vertAlign w:val="superscript"/>
        </w:rPr>
      </w:pPr>
    </w:p>
    <w:p>
      <w:pPr>
        <w:ind w:left="320" w:hanging="311"/>
        <w:spacing w:after="0"/>
        <w:tabs>
          <w:tab w:leader="none" w:pos="320" w:val="left"/>
        </w:tabs>
        <w:numPr>
          <w:ilvl w:val="0"/>
          <w:numId w:val="10"/>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8"/>
          <w:szCs w:val="18"/>
          <w:color w:val="auto"/>
        </w:rPr>
        <w:t>Interest benefit of cross currency swaps included in investing activities.</w:t>
      </w:r>
    </w:p>
    <w:p>
      <w:pPr>
        <w:spacing w:after="0" w:line="123" w:lineRule="exact"/>
        <w:rPr>
          <w:rFonts w:ascii="Times New Roman" w:cs="Times New Roman" w:eastAsia="Times New Roman" w:hAnsi="Times New Roman"/>
          <w:sz w:val="28"/>
          <w:szCs w:val="28"/>
          <w:color w:val="auto"/>
          <w:vertAlign w:val="superscript"/>
        </w:rPr>
      </w:pPr>
    </w:p>
    <w:p>
      <w:pPr>
        <w:ind w:left="320" w:hanging="311"/>
        <w:spacing w:after="0"/>
        <w:tabs>
          <w:tab w:leader="none" w:pos="320" w:val="left"/>
        </w:tabs>
        <w:numPr>
          <w:ilvl w:val="0"/>
          <w:numId w:val="10"/>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8"/>
          <w:szCs w:val="18"/>
          <w:color w:val="auto"/>
        </w:rPr>
        <w:t>Transaction fees and costs related to the sale of the Company's European Tinplate business.</w:t>
      </w:r>
    </w:p>
    <w:p>
      <w:pPr>
        <w:spacing w:after="0" w:line="211" w:lineRule="exact"/>
        <w:rPr>
          <w:rFonts w:ascii="Times New Roman" w:cs="Times New Roman" w:eastAsia="Times New Roman" w:hAnsi="Times New Roman"/>
          <w:sz w:val="28"/>
          <w:szCs w:val="28"/>
          <w:color w:val="auto"/>
          <w:vertAlign w:val="superscript"/>
        </w:rPr>
      </w:pPr>
    </w:p>
    <w:p>
      <w:pPr>
        <w:ind w:left="340" w:right="360" w:hanging="331"/>
        <w:spacing w:after="0" w:line="198" w:lineRule="auto"/>
        <w:tabs>
          <w:tab w:leader="none" w:pos="328" w:val="left"/>
        </w:tabs>
        <w:numPr>
          <w:ilvl w:val="0"/>
          <w:numId w:val="10"/>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8"/>
          <w:szCs w:val="18"/>
          <w:color w:val="auto"/>
        </w:rPr>
        <w:t>As of December 31, 2022, the Company has recorded an insurance receivable of $23 million for incremental expenses incurred as a result of the December 2021 tornado at its Bowling Green plant that the Company expects to be reimbursed under the terms of its insurance policy.</w:t>
      </w:r>
    </w:p>
    <w:p>
      <w:pPr>
        <w:sectPr>
          <w:pgSz w:w="11900" w:h="16838" w:orient="portrait"/>
          <w:cols w:equalWidth="0" w:num="1">
            <w:col w:w="11060"/>
          </w:cols>
          <w:pgMar w:left="400" w:top="601" w:right="439" w:bottom="83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Page 11 of 12</w:t>
      </w:r>
    </w:p>
    <w:p>
      <w:pPr>
        <w:sectPr>
          <w:pgSz w:w="11900" w:h="16838" w:orient="portrait"/>
          <w:cols w:equalWidth="0" w:num="1">
            <w:col w:w="11060"/>
          </w:cols>
          <w:pgMar w:left="400" w:top="601" w:right="439" w:bottom="837" w:gutter="0" w:footer="0" w:header="0"/>
          <w:type w:val="continuous"/>
        </w:sectPr>
      </w:pPr>
    </w:p>
    <w:bookmarkStart w:id="15" w:name="page16"/>
    <w:bookmarkEnd w:id="15"/>
    <w:p>
      <w:pPr>
        <w:ind w:left="80"/>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-132080</wp:posOffset>
            </wp:positionV>
            <wp:extent cx="1551305" cy="4972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551305" cy="497205"/>
                    </a:xfrm>
                    <a:prstGeom prst="rect">
                      <a:avLst/>
                    </a:prstGeom>
                    <a:noFill/>
                  </pic:spPr>
                </pic:pic>
              </a:graphicData>
            </a:graphic>
          </wp:anchor>
        </w:drawing>
      </w:r>
    </w:p>
    <w:p>
      <w:pPr>
        <w:spacing w:after="0" w:line="209" w:lineRule="exact"/>
        <w:rPr>
          <w:sz w:val="20"/>
          <w:szCs w:val="20"/>
          <w:color w:val="auto"/>
        </w:rPr>
      </w:pPr>
    </w:p>
    <w:p>
      <w:pPr>
        <w:ind w:left="80"/>
        <w:spacing w:after="0"/>
        <w:rPr>
          <w:sz w:val="20"/>
          <w:szCs w:val="20"/>
          <w:color w:val="auto"/>
        </w:rPr>
      </w:pPr>
      <w:r>
        <w:rPr>
          <w:rFonts w:ascii="Arial" w:cs="Arial" w:eastAsia="Arial" w:hAnsi="Arial"/>
          <w:sz w:val="14"/>
          <w:szCs w:val="14"/>
          <w:color w:val="auto"/>
        </w:rPr>
        <w:t>Corporate Headquarters</w:t>
      </w:r>
    </w:p>
    <w:p>
      <w:pPr>
        <w:ind w:left="80"/>
        <w:spacing w:after="0" w:line="221" w:lineRule="auto"/>
        <w:rPr>
          <w:sz w:val="20"/>
          <w:szCs w:val="20"/>
          <w:color w:val="auto"/>
        </w:rPr>
      </w:pPr>
      <w:r>
        <w:rPr>
          <w:rFonts w:ascii="Arial" w:cs="Arial" w:eastAsia="Arial" w:hAnsi="Arial"/>
          <w:sz w:val="14"/>
          <w:szCs w:val="14"/>
          <w:color w:val="auto"/>
        </w:rPr>
        <w:t>770 Township Line Road</w:t>
      </w:r>
    </w:p>
    <w:p>
      <w:pPr>
        <w:ind w:left="80"/>
        <w:spacing w:after="0"/>
        <w:rPr>
          <w:sz w:val="20"/>
          <w:szCs w:val="20"/>
          <w:color w:val="auto"/>
        </w:rPr>
      </w:pPr>
      <w:r>
        <w:rPr>
          <w:rFonts w:ascii="Arial" w:cs="Arial" w:eastAsia="Arial" w:hAnsi="Arial"/>
          <w:sz w:val="14"/>
          <w:szCs w:val="14"/>
          <w:color w:val="auto"/>
        </w:rPr>
        <w:t>Yardley, PA 19067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140" w:type="dxa"/>
            <w:vAlign w:val="bottom"/>
            <w:gridSpan w:val="10"/>
          </w:tcPr>
          <w:p>
            <w:pPr>
              <w:jc w:val="center"/>
              <w:ind w:right="640"/>
              <w:spacing w:after="0"/>
              <w:rPr>
                <w:sz w:val="20"/>
                <w:szCs w:val="20"/>
                <w:color w:val="auto"/>
              </w:rPr>
            </w:pPr>
            <w:r>
              <w:rPr>
                <w:rFonts w:ascii="Times New Roman" w:cs="Times New Roman" w:eastAsia="Times New Roman" w:hAnsi="Times New Roman"/>
                <w:sz w:val="18"/>
                <w:szCs w:val="18"/>
                <w:b w:val="1"/>
                <w:bCs w:val="1"/>
                <w:color w:val="auto"/>
                <w:w w:val="99"/>
              </w:rPr>
              <w:t>Consolidated Supplemental Data (Unaudited)</w:t>
            </w: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gridSpan w:val="3"/>
          </w:tcPr>
          <w:p>
            <w:pPr>
              <w:jc w:val="center"/>
              <w:ind w:right="380"/>
              <w:spacing w:after="0"/>
              <w:rPr>
                <w:sz w:val="20"/>
                <w:szCs w:val="20"/>
                <w:color w:val="auto"/>
              </w:rPr>
            </w:pPr>
            <w:r>
              <w:rPr>
                <w:rFonts w:ascii="Times New Roman" w:cs="Times New Roman" w:eastAsia="Times New Roman" w:hAnsi="Times New Roman"/>
                <w:sz w:val="18"/>
                <w:szCs w:val="18"/>
                <w:color w:val="auto"/>
              </w:rPr>
              <w:t>(in millions)</w:t>
            </w:r>
          </w:p>
        </w:tc>
        <w:tc>
          <w:tcPr>
            <w:tcW w:w="16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650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 xml:space="preserve">Impact of Foreign Currency Translation – Favorable/(Unfavorable) </w:t>
            </w:r>
            <w:r>
              <w:rPr>
                <w:rFonts w:ascii="Times New Roman" w:cs="Times New Roman" w:eastAsia="Times New Roman" w:hAnsi="Times New Roman"/>
                <w:sz w:val="23"/>
                <w:szCs w:val="23"/>
                <w:b w:val="1"/>
                <w:bCs w:val="1"/>
                <w:color w:val="auto"/>
                <w:vertAlign w:val="superscript"/>
              </w:rPr>
              <w:t>(1)</w:t>
            </w: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80" w:type="dxa"/>
            <w:vAlign w:val="bottom"/>
            <w:gridSpan w:val="3"/>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1"/>
        </w:trPr>
        <w:tc>
          <w:tcPr>
            <w:tcW w:w="3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20" w:type="dxa"/>
            <w:vAlign w:val="bottom"/>
            <w:gridSpan w:val="6"/>
          </w:tcPr>
          <w:p>
            <w:pPr>
              <w:jc w:val="center"/>
              <w:ind w:right="78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34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620" w:type="dxa"/>
            <w:vAlign w:val="bottom"/>
            <w:gridSpan w:val="6"/>
          </w:tcPr>
          <w:p>
            <w:pPr>
              <w:jc w:val="center"/>
              <w:ind w:right="76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160" w:type="dxa"/>
            <w:vAlign w:val="bottom"/>
          </w:tcPr>
          <w:p>
            <w:pPr>
              <w:spacing w:after="0"/>
              <w:rPr>
                <w:sz w:val="23"/>
                <w:szCs w:val="23"/>
                <w:color w:val="auto"/>
              </w:rPr>
            </w:pPr>
          </w:p>
        </w:tc>
        <w:tc>
          <w:tcPr>
            <w:tcW w:w="2880" w:type="dxa"/>
            <w:vAlign w:val="bottom"/>
            <w:gridSpan w:val="6"/>
          </w:tcPr>
          <w:p>
            <w:pPr>
              <w:ind w:left="160"/>
              <w:spacing w:after="0"/>
              <w:rPr>
                <w:sz w:val="20"/>
                <w:szCs w:val="20"/>
                <w:color w:val="auto"/>
              </w:rPr>
            </w:pPr>
            <w:r>
              <w:rPr>
                <w:rFonts w:ascii="Times New Roman" w:cs="Times New Roman" w:eastAsia="Times New Roman" w:hAnsi="Times New Roman"/>
                <w:sz w:val="18"/>
                <w:szCs w:val="18"/>
                <w:b w:val="1"/>
                <w:bCs w:val="1"/>
                <w:color w:val="auto"/>
              </w:rPr>
              <w:t>Year Ended December 31, 2022</w:t>
            </w:r>
          </w:p>
        </w:tc>
        <w:tc>
          <w:tcPr>
            <w:tcW w:w="0" w:type="dxa"/>
            <w:vAlign w:val="bottom"/>
          </w:tcPr>
          <w:p>
            <w:pPr>
              <w:spacing w:after="0"/>
              <w:rPr>
                <w:sz w:val="1"/>
                <w:szCs w:val="1"/>
                <w:color w:val="auto"/>
              </w:rPr>
            </w:pPr>
          </w:p>
        </w:tc>
      </w:tr>
      <w:tr>
        <w:trPr>
          <w:trHeight w:val="187"/>
        </w:trPr>
        <w:tc>
          <w:tcPr>
            <w:tcW w:w="346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center"/>
              <w:ind w:right="130"/>
              <w:spacing w:after="0" w:line="188" w:lineRule="exact"/>
              <w:rPr>
                <w:sz w:val="20"/>
                <w:szCs w:val="20"/>
                <w:color w:val="auto"/>
              </w:rPr>
            </w:pPr>
            <w:r>
              <w:rPr>
                <w:rFonts w:ascii="Times New Roman" w:cs="Times New Roman" w:eastAsia="Times New Roman" w:hAnsi="Times New Roman"/>
                <w:sz w:val="18"/>
                <w:szCs w:val="18"/>
                <w:b w:val="1"/>
                <w:bCs w:val="1"/>
                <w:color w:val="auto"/>
                <w:w w:val="99"/>
              </w:rPr>
              <w:t>Segment</w:t>
            </w:r>
          </w:p>
        </w:tc>
        <w:tc>
          <w:tcPr>
            <w:tcW w:w="3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gridSpan w:val="2"/>
          </w:tcPr>
          <w:p>
            <w:pPr>
              <w:jc w:val="center"/>
              <w:ind w:right="5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Segment</w:t>
            </w:r>
          </w:p>
        </w:tc>
        <w:tc>
          <w:tcPr>
            <w:tcW w:w="0" w:type="dxa"/>
            <w:vAlign w:val="bottom"/>
          </w:tcPr>
          <w:p>
            <w:pPr>
              <w:spacing w:after="0"/>
              <w:rPr>
                <w:sz w:val="1"/>
                <w:szCs w:val="1"/>
                <w:color w:val="auto"/>
              </w:rPr>
            </w:pPr>
          </w:p>
        </w:tc>
      </w:tr>
      <w:tr>
        <w:trPr>
          <w:trHeight w:val="238"/>
        </w:trPr>
        <w:tc>
          <w:tcPr>
            <w:tcW w:w="3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0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8"/>
              </w:rPr>
              <w:t>Income</w:t>
            </w:r>
          </w:p>
        </w:tc>
        <w:tc>
          <w:tcPr>
            <w:tcW w:w="160" w:type="dxa"/>
            <w:vAlign w:val="bottom"/>
          </w:tcPr>
          <w:p>
            <w:pPr>
              <w:spacing w:after="0"/>
              <w:rPr>
                <w:sz w:val="20"/>
                <w:szCs w:val="20"/>
                <w:color w:val="auto"/>
              </w:rPr>
            </w:pPr>
          </w:p>
        </w:tc>
        <w:tc>
          <w:tcPr>
            <w:tcW w:w="136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80" w:type="dxa"/>
            <w:vAlign w:val="bottom"/>
          </w:tcPr>
          <w:p>
            <w:pPr>
              <w:spacing w:after="0"/>
              <w:rPr>
                <w:sz w:val="20"/>
                <w:szCs w:val="20"/>
                <w:color w:val="auto"/>
              </w:rPr>
            </w:pPr>
          </w:p>
        </w:tc>
        <w:tc>
          <w:tcPr>
            <w:tcW w:w="134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8"/>
              </w:rPr>
              <w:t>Income</w:t>
            </w:r>
          </w:p>
        </w:tc>
        <w:tc>
          <w:tcPr>
            <w:tcW w:w="0" w:type="dxa"/>
            <w:vAlign w:val="bottom"/>
          </w:tcPr>
          <w:p>
            <w:pPr>
              <w:spacing w:after="0"/>
              <w:rPr>
                <w:sz w:val="1"/>
                <w:szCs w:val="1"/>
                <w:color w:val="auto"/>
              </w:rPr>
            </w:pPr>
          </w:p>
        </w:tc>
      </w:tr>
      <w:tr>
        <w:trPr>
          <w:trHeight w:val="27"/>
        </w:trPr>
        <w:tc>
          <w:tcPr>
            <w:tcW w:w="34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Americas Beverage</w:t>
            </w: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3460" w:type="dxa"/>
            <w:vAlign w:val="bottom"/>
            <w:vMerge w:val="continue"/>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center"/>
              <w:ind w:left="670"/>
              <w:spacing w:after="0"/>
              <w:rPr>
                <w:sz w:val="20"/>
                <w:szCs w:val="20"/>
                <w:color w:val="auto"/>
              </w:rPr>
            </w:pPr>
            <w:r>
              <w:rPr>
                <w:rFonts w:ascii="Times New Roman" w:cs="Times New Roman" w:eastAsia="Times New Roman" w:hAnsi="Times New Roman"/>
                <w:sz w:val="18"/>
                <w:szCs w:val="18"/>
                <w:color w:val="auto"/>
              </w:rPr>
              <w:t>3</w:t>
            </w:r>
          </w:p>
        </w:tc>
        <w:tc>
          <w:tcPr>
            <w:tcW w:w="3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3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European Beverage</w:t>
            </w:r>
          </w:p>
        </w:tc>
        <w:tc>
          <w:tcPr>
            <w:tcW w:w="18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gridSpan w:val="2"/>
          </w:tcPr>
          <w:p>
            <w:pPr>
              <w:jc w:val="center"/>
              <w:ind w:left="670"/>
              <w:spacing w:after="0"/>
              <w:rPr>
                <w:sz w:val="20"/>
                <w:szCs w:val="20"/>
                <w:color w:val="auto"/>
              </w:rPr>
            </w:pPr>
            <w:r>
              <w:rPr>
                <w:rFonts w:ascii="Times New Roman" w:cs="Times New Roman" w:eastAsia="Times New Roman" w:hAnsi="Times New Roman"/>
                <w:sz w:val="18"/>
                <w:szCs w:val="18"/>
                <w:color w:val="auto"/>
              </w:rPr>
              <w:t>1</w:t>
            </w: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(177)</w:t>
            </w:r>
          </w:p>
        </w:tc>
        <w:tc>
          <w:tcPr>
            <w:tcW w:w="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Asia Pacific</w:t>
            </w:r>
          </w:p>
        </w:tc>
        <w:tc>
          <w:tcPr>
            <w:tcW w:w="180" w:type="dxa"/>
            <w:vAlign w:val="bottom"/>
          </w:tcPr>
          <w:p>
            <w:pPr>
              <w:spacing w:after="0"/>
              <w:rPr>
                <w:sz w:val="22"/>
                <w:szCs w:val="22"/>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3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w:t>
            </w:r>
          </w:p>
        </w:tc>
        <w:tc>
          <w:tcPr>
            <w:tcW w:w="3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Transit Packaging</w:t>
            </w:r>
          </w:p>
        </w:tc>
        <w:tc>
          <w:tcPr>
            <w:tcW w:w="180" w:type="dxa"/>
            <w:vAlign w:val="bottom"/>
          </w:tcPr>
          <w:p>
            <w:pPr>
              <w:spacing w:after="0"/>
              <w:rPr>
                <w:sz w:val="22"/>
                <w:szCs w:val="22"/>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3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gridSpan w:val="2"/>
          </w:tcPr>
          <w:p>
            <w:pPr>
              <w:jc w:val="center"/>
              <w:ind w:left="650"/>
              <w:spacing w:after="0"/>
              <w:rPr>
                <w:sz w:val="20"/>
                <w:szCs w:val="20"/>
                <w:color w:val="auto"/>
              </w:rPr>
            </w:pPr>
            <w:r>
              <w:rPr>
                <w:rFonts w:ascii="Times New Roman" w:cs="Times New Roman" w:eastAsia="Times New Roman" w:hAnsi="Times New Roman"/>
                <w:sz w:val="18"/>
                <w:szCs w:val="18"/>
                <w:color w:val="auto"/>
                <w:w w:val="95"/>
              </w:rPr>
              <w:t>(6)</w:t>
            </w: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(139)</w:t>
            </w:r>
          </w:p>
        </w:tc>
        <w:tc>
          <w:tcPr>
            <w:tcW w:w="3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180" w:type="dxa"/>
            <w:vAlign w:val="bottom"/>
          </w:tcPr>
          <w:p>
            <w:pPr>
              <w:spacing w:after="0"/>
              <w:rPr>
                <w:sz w:val="22"/>
                <w:szCs w:val="22"/>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c>
          <w:tcPr>
            <w:tcW w:w="3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46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(92)</w:t>
            </w:r>
          </w:p>
        </w:tc>
        <w:tc>
          <w:tcPr>
            <w:tcW w:w="36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gridSpan w:val="2"/>
          </w:tcPr>
          <w:p>
            <w:pPr>
              <w:jc w:val="center"/>
              <w:ind w:left="650"/>
              <w:spacing w:after="0"/>
              <w:rPr>
                <w:sz w:val="20"/>
                <w:szCs w:val="20"/>
                <w:color w:val="auto"/>
              </w:rPr>
            </w:pPr>
            <w:r>
              <w:rPr>
                <w:rFonts w:ascii="Times New Roman" w:cs="Times New Roman" w:eastAsia="Times New Roman" w:hAnsi="Times New Roman"/>
                <w:sz w:val="18"/>
                <w:szCs w:val="18"/>
                <w:b w:val="1"/>
                <w:bCs w:val="1"/>
                <w:color w:val="auto"/>
                <w:w w:val="95"/>
              </w:rPr>
              <w:t>(2)</w:t>
            </w:r>
          </w:p>
        </w:tc>
        <w:tc>
          <w:tcPr>
            <w:tcW w:w="34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(372)</w:t>
            </w:r>
          </w:p>
        </w:tc>
        <w:tc>
          <w:tcPr>
            <w:tcW w:w="36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w:t>
            </w: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660" w:hanging="328"/>
        <w:spacing w:after="0" w:line="228" w:lineRule="auto"/>
        <w:tabs>
          <w:tab w:leader="none" w:pos="648"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impact of foreign currency translation represents the difference between actual current year U.S. dollar results and pro forma amounts assuming constant foreign currency exchange rates for translation in both periods. In order to compute the difference, the Company compares actual U.S. dollar results to an amount calculated by dividing the current U.S. dollar results by current year average foreign exchange rates and then multiplying those amounts by the applicable prior year average foreign exchange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377825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Reconciliation of Adjusted EBITDA and Net Leverage Ratio</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790"/>
        </w:trPr>
        <w:tc>
          <w:tcPr>
            <w:tcW w:w="3500" w:type="dxa"/>
            <w:vAlign w:val="bottom"/>
            <w:tcBorders>
              <w:top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8"/>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1160" w:type="dxa"/>
            <w:vAlign w:val="bottom"/>
          </w:tcPr>
          <w:p>
            <w:pPr>
              <w:jc w:val="right"/>
              <w:ind w:right="9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1,336</w:t>
            </w:r>
          </w:p>
        </w:tc>
        <w:tc>
          <w:tcPr>
            <w:tcW w:w="200" w:type="dxa"/>
            <w:vAlign w:val="bottom"/>
          </w:tcPr>
          <w:p>
            <w:pPr>
              <w:spacing w:after="0"/>
              <w:rPr>
                <w:sz w:val="18"/>
                <w:szCs w:val="18"/>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1,363</w:t>
            </w:r>
          </w:p>
        </w:tc>
      </w:tr>
      <w:tr>
        <w:trPr>
          <w:trHeight w:val="230"/>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w:t>
            </w:r>
          </w:p>
        </w:tc>
        <w:tc>
          <w:tcPr>
            <w:tcW w:w="1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3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Intangibles amortization</w:t>
            </w:r>
          </w:p>
        </w:tc>
        <w:tc>
          <w:tcPr>
            <w:tcW w:w="1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34"/>
        </w:trPr>
        <w:tc>
          <w:tcPr>
            <w:tcW w:w="3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Restructuring and other</w:t>
            </w:r>
          </w:p>
        </w:tc>
        <w:tc>
          <w:tcPr>
            <w:tcW w:w="11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(52)</w:t>
            </w:r>
          </w:p>
        </w:tc>
        <w:tc>
          <w:tcPr>
            <w:tcW w:w="2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8"/>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income</w:t>
            </w:r>
          </w:p>
        </w:tc>
        <w:tc>
          <w:tcPr>
            <w:tcW w:w="1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1,443</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r>
      <w:tr>
        <w:trPr>
          <w:trHeight w:val="234"/>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11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2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w:t>
            </w:r>
          </w:p>
        </w:tc>
      </w:tr>
      <w:tr>
        <w:trPr>
          <w:trHeight w:val="223"/>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160" w:type="dxa"/>
            <w:vAlign w:val="bottom"/>
            <w:tcBorders>
              <w:bottom w:val="single" w:sz="8" w:color="auto"/>
            </w:tcBorders>
          </w:tcPr>
          <w:p>
            <w:pPr>
              <w:jc w:val="right"/>
              <w:ind w:right="9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1,744</w:t>
            </w:r>
          </w:p>
        </w:tc>
        <w:tc>
          <w:tcPr>
            <w:tcW w:w="2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1,782</w:t>
            </w:r>
          </w:p>
        </w:tc>
      </w:tr>
      <w:tr>
        <w:trPr>
          <w:trHeight w:val="21"/>
        </w:trPr>
        <w:tc>
          <w:tcPr>
            <w:tcW w:w="35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407"/>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116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6,977</w:t>
            </w:r>
          </w:p>
        </w:tc>
        <w:tc>
          <w:tcPr>
            <w:tcW w:w="200" w:type="dxa"/>
            <w:vAlign w:val="bottom"/>
          </w:tcPr>
          <w:p>
            <w:pPr>
              <w:spacing w:after="0"/>
              <w:rPr>
                <w:sz w:val="24"/>
                <w:szCs w:val="24"/>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6,262</w:t>
            </w:r>
          </w:p>
        </w:tc>
      </w:tr>
      <w:tr>
        <w:trPr>
          <w:trHeight w:val="234"/>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cash</w:t>
            </w:r>
          </w:p>
        </w:tc>
        <w:tc>
          <w:tcPr>
            <w:tcW w:w="11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2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w:t>
            </w:r>
          </w:p>
        </w:tc>
      </w:tr>
      <w:tr>
        <w:trPr>
          <w:trHeight w:val="223"/>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debt</w:t>
            </w:r>
          </w:p>
        </w:tc>
        <w:tc>
          <w:tcPr>
            <w:tcW w:w="1160" w:type="dxa"/>
            <w:vAlign w:val="bottom"/>
            <w:tcBorders>
              <w:bottom w:val="single" w:sz="8" w:color="auto"/>
            </w:tcBorders>
          </w:tcPr>
          <w:p>
            <w:pPr>
              <w:jc w:val="right"/>
              <w:ind w:right="9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6,427</w:t>
            </w:r>
          </w:p>
        </w:tc>
        <w:tc>
          <w:tcPr>
            <w:tcW w:w="2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5,731</w:t>
            </w:r>
          </w:p>
        </w:tc>
      </w:tr>
      <w:tr>
        <w:trPr>
          <w:trHeight w:val="425"/>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net leverage ratio</w:t>
            </w: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3.7x</w:t>
            </w: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0940"/>
          </w:cols>
          <w:pgMar w:left="320" w:top="601" w:right="63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Page 12 of 12</w:t>
      </w:r>
    </w:p>
    <w:sectPr>
      <w:pgSz w:w="11900" w:h="16838" w:orient="portrait"/>
      <w:cols w:equalWidth="0" w:num="1">
        <w:col w:w="10940"/>
      </w:cols>
      <w:pgMar w:left="320" w:top="601" w:right="6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decimal"/>
      <w:start w:val="99"/>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1)"/>
      <w:numFmt w:val="decimal"/>
      <w:start w:val="1"/>
    </w:lvl>
  </w:abstractNum>
  <w:abstractNum w:abstractNumId="4">
    <w:nsid w:val="7545E146"/>
    <w:multiLevelType w:val="hybridMultilevel"/>
    <w:lvl w:ilvl="0">
      <w:lvlJc w:val="left"/>
      <w:lvlText w:val="(%1)"/>
      <w:numFmt w:val="decimal"/>
      <w:start w:val="1"/>
    </w:lvl>
  </w:abstractNum>
  <w:abstractNum w:abstractNumId="5">
    <w:nsid w:val="515F007C"/>
    <w:multiLevelType w:val="hybridMultilevel"/>
    <w:lvl w:ilvl="0">
      <w:lvlJc w:val="left"/>
      <w:lvlText w:val="(%1)"/>
      <w:numFmt w:val="decimal"/>
      <w:start w:val="1"/>
    </w:lvl>
  </w:abstractNum>
  <w:abstractNum w:abstractNumId="6">
    <w:nsid w:val="5BD062C2"/>
    <w:multiLevelType w:val="hybridMultilevel"/>
    <w:lvl w:ilvl="0">
      <w:lvlJc w:val="left"/>
      <w:lvlText w:val="(%1)"/>
      <w:numFmt w:val="decimal"/>
      <w:start w:val="1"/>
    </w:lvl>
  </w:abstractNum>
  <w:abstractNum w:abstractNumId="7">
    <w:nsid w:val="12200854"/>
    <w:multiLevelType w:val="hybridMultilevel"/>
    <w:lvl w:ilvl="0">
      <w:lvlJc w:val="left"/>
      <w:lvlText w:val="(%1)"/>
      <w:numFmt w:val="decimal"/>
      <w:start w:val="4"/>
    </w:lvl>
  </w:abstractNum>
  <w:abstractNum w:abstractNumId="8">
    <w:nsid w:val="4DB127F8"/>
    <w:multiLevelType w:val="hybridMultilevel"/>
    <w:lvl w:ilvl="0">
      <w:lvlJc w:val="left"/>
      <w:lvlText w:val="(%1)"/>
      <w:numFmt w:val="decimal"/>
      <w:start w:val="1"/>
    </w:lvl>
  </w:abstractNum>
  <w:abstractNum w:abstractNumId="9">
    <w:nsid w:val="216231B"/>
    <w:multiLevelType w:val="hybridMultilevel"/>
    <w:lvl w:ilvl="0">
      <w:lvlJc w:val="left"/>
      <w:lvlText w:val="(%1)"/>
      <w:numFmt w:val="decimal"/>
      <w:start w:val="3"/>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2023-02-07T15:54:58Z</dcterms:created>
  <dcterms:modified xsi:type="dcterms:W3CDTF">2023-02-07T15:54:58Z</dcterms:modified>
</cp:coreProperties>
</file>