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2024</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000-50189</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CCK26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120,757,103 shares of Common Stock outstanding as of May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20" w:type="dxa"/>
            <w:vAlign w:val="bottom"/>
            <w:gridSpan w:val="3"/>
          </w:tcPr>
          <w:p>
            <w:pPr>
              <w:ind w:left="384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8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992"/>
        </w:trPr>
        <w:tc>
          <w:tcPr>
            <w:tcW w:w="8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480" w:type="dxa"/>
        <w:tblCellMar>
          <w:top w:w="0" w:type="dxa"/>
          <w:left w:w="0" w:type="dxa"/>
          <w:bottom w:w="0" w:type="dxa"/>
          <w:right w:w="0" w:type="dxa"/>
        </w:tblCellMar>
      </w:tblP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8"/>
        </w:trPr>
        <w:tc>
          <w:tcPr>
            <w:tcW w:w="600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earnings of affiliates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tbl>
      <w:tblPr>
        <w:tblLayout w:type="fixed"/>
        <w:tblInd w:w="1480" w:type="dxa"/>
        <w:tblCellMar>
          <w:top w:w="0" w:type="dxa"/>
          <w:left w:w="0" w:type="dxa"/>
          <w:bottom w:w="0" w:type="dxa"/>
          <w:right w:w="0" w:type="dxa"/>
        </w:tblCellMar>
      </w:tblP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47"/>
        </w:trPr>
        <w:tc>
          <w:tcPr>
            <w:tcW w:w="728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0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8"/>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0"/>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47"/>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80"/>
        </w:trPr>
        <w:tc>
          <w:tcPr>
            <w:tcW w:w="846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earnings, net of distributions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Distribution from equity method investment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0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March 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2"/>
        </w:trPr>
        <w:tc>
          <w:tcPr>
            <w:tcW w:w="37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7" w:right="11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2024 and the results of its operations for the three months ended March 31, 2024 and 2023 and of its cash flows for the three months ended March 31, 2024 and 2023.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2023.</w:t>
      </w:r>
    </w:p>
    <w:p>
      <w:pPr>
        <w:spacing w:after="0" w:line="20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have been recast to conform to the new presentation.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first quarter of 2024, the Company completed a review of the useful lives of its beverage machinery and equipment and buildings based on the Company’s experience with the duration over which equipment and buildings of its aluminum beverage can business can be utilized. The Company engaged a third-party appraiser to assist in this review and, as a result, effective January 1, 2024, the Company revised the estimated useful lives of buildings up to 50 years and machinery and equipment up to 23 years. The change in useful lives resulted in a net reduction in depreciation expense of approximately $16 or $0.10 per diluted share for the three months ended March 31, 2024, as compared to the amount of depreciation expense that would have been recorded by utilizing the prior depreciable lives.</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2024, the Company corrected its presentation of certain borrowings and repayments of short-term debt that did not qualify for net presentation in our previously issued Consolidated Statements of Cash Flows. The Company now presents these borrowings and repayments of short-term debt on a gross basis within cash flows from financing activities. The Company determined that the corrections, which had no impact to cash flows provided by (used for) financing activities, were not material to any prior annual or interim periods and therefore, amendments of previously filed reports are not required.</w:t>
      </w:r>
    </w:p>
    <w:p>
      <w:pPr>
        <w:spacing w:after="0" w:line="21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effects of the revisions on each of the impacted financial statement line items within the Company's Consolidated Statements of Cash Flows for the years ended December 31, 2021, 2022 and 2023, as well as the three months ended March 31, 2023, the six months ended June 30, 2023 and the nine months ended September 30, 2023 were as follows: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80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10"/>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Three Months Ended March 31,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500"/>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Six Months Ended June 30,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 September 30,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5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940" w:type="dxa"/>
            <w:vAlign w:val="bottom"/>
            <w:gridSpan w:val="5"/>
            <w:shd w:val="clear" w:color="auto" w:fill="CCEEFF"/>
          </w:tcPr>
          <w:p>
            <w:pPr>
              <w:spacing w:after="0"/>
              <w:rPr>
                <w:sz w:val="23"/>
                <w:szCs w:val="23"/>
                <w:color w:val="auto"/>
              </w:rPr>
            </w:pPr>
          </w:p>
        </w:tc>
      </w:tr>
      <w:tr>
        <w:trPr>
          <w:trHeight w:val="230"/>
        </w:trPr>
        <w:tc>
          <w:tcPr>
            <w:tcW w:w="5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2022</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2021</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980" w:top="117" w:right="1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660" w:right="6640" w:hanging="652"/>
        <w:spacing w:after="0" w:line="534" w:lineRule="auto"/>
        <w:tabs>
          <w:tab w:leader="none" w:pos="6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mater ("CODM") and included within each reported measure of profit or loss. The title and position of the CODM and how the reported measure of segment profit or loss is used by the CODM to assess segment performance and allocate resources is also required to be disclosed. The standard also permits disclosure of additional measures of segment profit. The standard is effective for fiscal years beginning after December 15, 2023, and interim periods within fiscal years beginning after December 15, 2024. As the guidance impacts disclosure only, it will not have an impact on the Company's financial results. These changes in disclosure will initially be reflected in the annual financial statement footnotes for the year ended December 31, 2024.</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00" w:lineRule="exact"/>
        <w:rPr>
          <w:rFonts w:ascii="Times New Roman" w:cs="Times New Roman" w:eastAsia="Times New Roman" w:hAnsi="Times New Roman"/>
          <w:sz w:val="18"/>
          <w:szCs w:val="18"/>
          <w:b w:val="1"/>
          <w:bCs w:val="1"/>
          <w:color w:val="auto"/>
        </w:rPr>
      </w:pPr>
    </w:p>
    <w:p>
      <w:pPr>
        <w:spacing w:after="0" w:line="25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Restricted cash included in prepaid expenses and other current assets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3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60" w:type="dxa"/>
            <w:vAlign w:val="bottom"/>
            <w:vMerge w:val="continue"/>
          </w:tcPr>
          <w:p>
            <w:pPr>
              <w:spacing w:after="0"/>
              <w:rPr>
                <w:sz w:val="24"/>
                <w:szCs w:val="24"/>
                <w:color w:val="auto"/>
              </w:rPr>
            </w:pPr>
          </w:p>
        </w:tc>
        <w:tc>
          <w:tcPr>
            <w:tcW w:w="538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4"/>
                <w:szCs w:val="24"/>
                <w:color w:val="auto"/>
              </w:rPr>
            </w:pPr>
          </w:p>
        </w:tc>
        <w:tc>
          <w:tcPr>
            <w:tcW w:w="32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3"/>
        </w:trPr>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months ended March 31, 2024 and 2023 included amortization expense of $40.</w:t>
      </w:r>
    </w:p>
    <w:p>
      <w:pPr>
        <w:spacing w:after="0" w:line="200" w:lineRule="exact"/>
        <w:rPr>
          <w:sz w:val="20"/>
          <w:szCs w:val="20"/>
          <w:color w:val="auto"/>
        </w:rPr>
      </w:pPr>
    </w:p>
    <w:p>
      <w:pPr>
        <w:spacing w:after="0" w:line="291"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$672 and $862 confirmed obligations outstanding under these supplier finance programs as of March 31, 2024 and December 31, 2023 included in Accounts Payable.</w:t>
      </w:r>
    </w:p>
    <w:p>
      <w:pPr>
        <w:spacing w:after="0" w:line="21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1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9"/>
                <w:szCs w:val="19"/>
                <w:color w:val="auto"/>
              </w:rPr>
            </w:pPr>
          </w:p>
        </w:tc>
      </w:tr>
      <w:tr>
        <w:trPr>
          <w:trHeight w:val="234"/>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
        </w:trPr>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restructuring primarily included headcount reductions and other exit costs in the Company's European Beverage segment.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restructuring primarily included headcount reductions in the Company's European Beverage and Other segments.</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made payments of $12 and had a restructuring accrual of $28, primarily related to previously announced restructuring actions and the items referenced above. The Company expects to pay these amounts over the next twelve months. The Company continues to review its costs structure and may record additional restructuring charges in the future.</w:t>
      </w:r>
    </w:p>
    <w:p>
      <w:pPr>
        <w:spacing w:after="0" w:line="199"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ninety days after the stock purchase, this U.S. company sold its insulation assets and was later merged into Crown Cork.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paid $3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2023, the Company's outstanding claims were: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2" w:name="page13"/>
    <w:bookmarkEnd w:id="12"/>
    <w:tbl>
      <w:tblPr>
        <w:tblLayout w:type="fixed"/>
        <w:tblInd w:w="660" w:type="dxa"/>
        <w:tblCellMar>
          <w:top w:w="0" w:type="dxa"/>
          <w:left w:w="0" w:type="dxa"/>
          <w:bottom w:w="0" w:type="dxa"/>
          <w:right w:w="0" w:type="dxa"/>
        </w:tblCellMar>
      </w:tblPr>
      <w:tr>
        <w:trPr>
          <w:trHeight w:val="238"/>
        </w:trPr>
        <w:tc>
          <w:tcPr>
            <w:tcW w:w="836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360" w:type="dxa"/>
            <w:vAlign w:val="bottom"/>
          </w:tcPr>
          <w:p>
            <w:pPr>
              <w:spacing w:after="0"/>
              <w:rPr>
                <w:sz w:val="20"/>
                <w:szCs w:val="20"/>
                <w:color w:val="auto"/>
              </w:rPr>
            </w:pPr>
          </w:p>
        </w:tc>
      </w:tr>
      <w:tr>
        <w:trPr>
          <w:trHeight w:val="580"/>
        </w:trPr>
        <w:tc>
          <w:tcPr>
            <w:tcW w:w="8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0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2024.</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accrual for pending and future asbestos-related claims and related legal costs was $201, including $145 for unasserted claims. The Company determines its accrual without limitation to a specific time period.</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2023),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2024,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99" w:lineRule="exact"/>
        <w:rPr>
          <w:sz w:val="20"/>
          <w:szCs w:val="20"/>
          <w:color w:val="auto"/>
        </w:rPr>
      </w:pPr>
    </w:p>
    <w:p>
      <w:pPr>
        <w:ind w:left="660" w:right="7480" w:hanging="652"/>
        <w:spacing w:after="0" w:line="534" w:lineRule="auto"/>
        <w:tabs>
          <w:tab w:leader="none" w:pos="37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and Other Financial Instruments </w:t>
      </w:r>
      <w:r>
        <w:rPr>
          <w:rFonts w:ascii="Times New Roman" w:cs="Times New Roman" w:eastAsia="Times New Roman" w:hAnsi="Times New Roman"/>
          <w:sz w:val="18"/>
          <w:szCs w:val="18"/>
          <w:u w:val="single" w:color="auto"/>
          <w:color w:val="auto"/>
        </w:rPr>
        <w:t>Fair Value Measurements</w:t>
      </w:r>
    </w:p>
    <w:p>
      <w:pPr>
        <w:spacing w:after="0" w:line="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date of the last effectiveness test is reclassified into earnings at the same time of the underlying exposure or when the forecasted transaction becomes probable of not occurring.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2024 mature between one and thirty-three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6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color w:val="auto"/>
        </w:rPr>
        <w:t>Amount of gain/(loss)</w:t>
      </w:r>
    </w:p>
    <w:p>
      <w:pPr>
        <w:jc w:val="center"/>
        <w:ind w:right="2680"/>
        <w:spacing w:after="0"/>
        <w:rPr>
          <w:sz w:val="20"/>
          <w:szCs w:val="20"/>
          <w:color w:val="auto"/>
        </w:rPr>
      </w:pPr>
      <w:r>
        <w:rPr>
          <w:rFonts w:ascii="Times New Roman" w:cs="Times New Roman" w:eastAsia="Times New Roman" w:hAnsi="Times New Roman"/>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1388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jc w:val="center"/>
        <w:ind w:right="268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right="268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4320" w:type="dxa"/>
            <w:vAlign w:val="bottom"/>
          </w:tcPr>
          <w:p>
            <w:pPr>
              <w:spacing w:after="0"/>
              <w:rPr>
                <w:sz w:val="19"/>
                <w:szCs w:val="19"/>
                <w:color w:val="auto"/>
              </w:rPr>
            </w:pPr>
          </w:p>
        </w:tc>
      </w:tr>
      <w:tr>
        <w:trPr>
          <w:trHeight w:val="230"/>
        </w:trPr>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320" w:type="dxa"/>
            <w:vAlign w:val="bottom"/>
          </w:tcPr>
          <w:p>
            <w:pPr>
              <w:spacing w:after="0"/>
              <w:rPr>
                <w:sz w:val="19"/>
                <w:szCs w:val="19"/>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320" w:type="dxa"/>
            <w:vAlign w:val="bottom"/>
          </w:tcPr>
          <w:p>
            <w:pPr>
              <w:spacing w:after="0"/>
              <w:rPr>
                <w:sz w:val="21"/>
                <w:szCs w:val="2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85"/>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 of gain/(loss)</w:t>
            </w:r>
          </w:p>
        </w:tc>
        <w:tc>
          <w:tcPr>
            <w:tcW w:w="4320" w:type="dxa"/>
            <w:vAlign w:val="bottom"/>
          </w:tcPr>
          <w:p>
            <w:pPr>
              <w:spacing w:after="0"/>
              <w:rPr>
                <w:sz w:val="24"/>
                <w:szCs w:val="24"/>
                <w:color w:val="auto"/>
              </w:rPr>
            </w:pPr>
          </w:p>
        </w:tc>
      </w:tr>
      <w:tr>
        <w:trPr>
          <w:trHeight w:val="18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4320" w:type="dxa"/>
            <w:vAlign w:val="bottom"/>
          </w:tcPr>
          <w:p>
            <w:pPr>
              <w:spacing w:after="0"/>
              <w:rPr>
                <w:sz w:val="16"/>
                <w:szCs w:val="16"/>
                <w:color w:val="auto"/>
              </w:rPr>
            </w:pP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income</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237"/>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3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Affected line items in the Statement of Operations</w:t>
            </w: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75"/>
        </w:trPr>
        <w:tc>
          <w:tcPr>
            <w:tcW w:w="2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23"/>
        </w:trPr>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taxes and equity in net earnings of affiliates</w:t>
            </w:r>
          </w:p>
        </w:tc>
      </w:tr>
      <w:tr>
        <w:trPr>
          <w:trHeight w:val="223"/>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March 31, 2025, a net loss of $5 ($4, net of tax) is expected to be reclassified to earnings for commodity and foreign exchange contracts. No material amounts were reclassified during the three months ended March 31, 2024 and 2023 in connection with anticipated transactions that were considered probable of not occurring.</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6" w:name="page17"/>
    <w:bookmarkEnd w:id="1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a gain of $4 and a loss of $5, respectively, from foreign exchange contracts designated as fair value hedges. These adjustments were reported within foreign exchange in the Consolidated Statements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281"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Pre-tax amount of gain /(loss)</w:t>
      </w:r>
    </w:p>
    <w:p>
      <w:pPr>
        <w:jc w:val="center"/>
        <w:ind w:right="1920"/>
        <w:spacing w:after="0"/>
        <w:rPr>
          <w:sz w:val="20"/>
          <w:szCs w:val="20"/>
          <w:color w:val="auto"/>
        </w:rPr>
      </w:pPr>
      <w:r>
        <w:rPr>
          <w:rFonts w:ascii="Times New Roman" w:cs="Times New Roman" w:eastAsia="Times New Roman" w:hAnsi="Times New Roman"/>
          <w:sz w:val="18"/>
          <w:szCs w:val="18"/>
          <w:color w:val="auto"/>
        </w:rPr>
        <w:t>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192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right="192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Affected line item in the Statement of Operations</w:t>
            </w:r>
          </w:p>
        </w:tc>
      </w:tr>
      <w:tr>
        <w:trPr>
          <w:trHeight w:val="169"/>
        </w:trPr>
        <w:tc>
          <w:tcPr>
            <w:tcW w:w="3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30"/>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48"/>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a gain of $41 ($34, net of tax) and a loss of $16 ($14, net of tax) in other comprehensive income for certain debt instruments that are designated as hedges of its net investment in a euro-based subsidiary. As of March 31, 2024 and December 31, 2023, cumulative gains of $90 ($102, net of tax) and $49 ($68, net of tax) were recognized in accumulated other comprehensive income related to these net investment hedges and the carrying amount of the hedging instrument was approximately €1,629 ($1,758) at March 31, 2024.</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$6 for the three months ended March 31, 2024 and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7" w:name="page18"/>
    <w:bookmarkEnd w:id="1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96"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Amount of gain / (loss)</w:t>
      </w:r>
    </w:p>
    <w:p>
      <w:pPr>
        <w:jc w:val="center"/>
        <w:ind w:left="1640"/>
        <w:spacing w:after="0"/>
        <w:rPr>
          <w:sz w:val="20"/>
          <w:szCs w:val="20"/>
          <w:color w:val="auto"/>
        </w:rPr>
      </w:pPr>
      <w:r>
        <w:rPr>
          <w:rFonts w:ascii="Times New Roman" w:cs="Times New Roman" w:eastAsia="Times New Roman" w:hAnsi="Times New Roman"/>
          <w:sz w:val="18"/>
          <w:szCs w:val="18"/>
          <w:color w:val="auto"/>
        </w:rPr>
        <w:t>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13335</wp:posOffset>
            </wp:positionV>
            <wp:extent cx="1611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8"/>
          <w:szCs w:val="18"/>
          <w:color w:val="auto"/>
        </w:rPr>
        <w:t>Three Months Ended</w:t>
      </w:r>
    </w:p>
    <w:p>
      <w:pPr>
        <w:ind w:left="54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March 31, 2024 and December 31, 2023, respectively. The fair values of these financial instruments were reported under Level 2 of the fair value hierarchy.</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Pr>
          <w:p>
            <w:pPr>
              <w:spacing w:after="0"/>
              <w:rPr>
                <w:sz w:val="17"/>
                <w:szCs w:val="17"/>
                <w:color w:val="auto"/>
              </w:rPr>
            </w:pPr>
          </w:p>
        </w:tc>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Balance Sheet</w:t>
            </w:r>
          </w:p>
        </w:tc>
        <w:tc>
          <w:tcPr>
            <w:tcW w:w="40" w:type="dxa"/>
            <w:vAlign w:val="bottom"/>
          </w:tcPr>
          <w:p>
            <w:pPr>
              <w:spacing w:after="0"/>
              <w:rPr>
                <w:sz w:val="17"/>
                <w:szCs w:val="17"/>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w:t>
            </w:r>
          </w:p>
        </w:tc>
      </w:tr>
      <w:tr>
        <w:trPr>
          <w:trHeight w:val="239"/>
        </w:trPr>
        <w:tc>
          <w:tcPr>
            <w:tcW w:w="1820" w:type="dxa"/>
            <w:vAlign w:val="bottom"/>
          </w:tcPr>
          <w:p>
            <w:pPr>
              <w:spacing w:after="0"/>
              <w:rPr>
                <w:sz w:val="20"/>
                <w:szCs w:val="20"/>
                <w:color w:val="auto"/>
              </w:rPr>
            </w:pP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31, 2023</w:t>
            </w:r>
          </w:p>
        </w:tc>
        <w:tc>
          <w:tcPr>
            <w:tcW w:w="100" w:type="dxa"/>
            <w:vAlign w:val="bottom"/>
          </w:tcPr>
          <w:p>
            <w:pPr>
              <w:spacing w:after="0"/>
              <w:rPr>
                <w:sz w:val="20"/>
                <w:szCs w:val="20"/>
                <w:color w:val="auto"/>
              </w:rPr>
            </w:pP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Pr>
          <w:p>
            <w:pPr>
              <w:spacing w:after="0"/>
              <w:rPr>
                <w:sz w:val="20"/>
                <w:szCs w:val="20"/>
                <w:color w:val="auto"/>
              </w:rPr>
            </w:pPr>
          </w:p>
        </w:tc>
      </w:tr>
      <w:tr>
        <w:trPr>
          <w:trHeight w:val="214"/>
        </w:trPr>
        <w:tc>
          <w:tcPr>
            <w:tcW w:w="1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Derivatives designated as</w:t>
            </w:r>
          </w:p>
        </w:tc>
        <w:tc>
          <w:tcPr>
            <w:tcW w:w="18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169"/>
        </w:trPr>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176"/>
        </w:trPr>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fair value</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r>
      <w:tr>
        <w:trPr>
          <w:trHeight w:val="175"/>
        </w:trPr>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 contracts</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r>
      <w:tr>
        <w:trPr>
          <w:trHeight w:val="176"/>
        </w:trPr>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8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8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auto"/>
              <w:bottom w:val="single" w:sz="8" w:color="auto"/>
            </w:tcBorders>
          </w:tcPr>
          <w:p>
            <w:pPr>
              <w:spacing w:after="0"/>
              <w:rPr>
                <w:sz w:val="19"/>
                <w:szCs w:val="19"/>
                <w:color w:val="auto"/>
              </w:rPr>
            </w:pPr>
          </w:p>
        </w:tc>
      </w:tr>
      <w:tr>
        <w:trPr>
          <w:trHeight w:val="155"/>
        </w:trPr>
        <w:tc>
          <w:tcPr>
            <w:tcW w:w="374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43"/>
        </w:trPr>
        <w:tc>
          <w:tcPr>
            <w:tcW w:w="1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69"/>
        </w:trPr>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0"/>
        </w:trPr>
        <w:tc>
          <w:tcPr>
            <w:tcW w:w="18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r>
      <w:tr>
        <w:trPr>
          <w:trHeight w:val="22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9"/>
        </w:trPr>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color w:val="auto"/>
              </w:rPr>
              <w:t>Carrying amount of the hedged assets /</w:t>
            </w:r>
          </w:p>
        </w:tc>
      </w:tr>
      <w:tr>
        <w:trPr>
          <w:trHeight w:val="234"/>
        </w:trPr>
        <w:tc>
          <w:tcPr>
            <w:tcW w:w="1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jc w:val="center"/>
              <w:ind w:left="170"/>
              <w:spacing w:after="0" w:line="177" w:lineRule="exact"/>
              <w:rPr>
                <w:sz w:val="20"/>
                <w:szCs w:val="20"/>
                <w:color w:val="auto"/>
              </w:rPr>
            </w:pPr>
            <w:r>
              <w:rPr>
                <w:rFonts w:ascii="Times New Roman" w:cs="Times New Roman" w:eastAsia="Times New Roman" w:hAnsi="Times New Roman"/>
                <w:sz w:val="18"/>
                <w:szCs w:val="18"/>
                <w:color w:val="auto"/>
                <w:w w:val="99"/>
              </w:rPr>
              <w:t>March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4"/>
          </w:tcPr>
          <w:p>
            <w:pPr>
              <w:jc w:val="right"/>
              <w:ind w:right="90"/>
              <w:spacing w:after="0" w:line="177" w:lineRule="exact"/>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5"/>
                <w:szCs w:val="15"/>
                <w:color w:val="auto"/>
              </w:rPr>
            </w:pPr>
          </w:p>
        </w:tc>
      </w:tr>
      <w:tr>
        <w:trPr>
          <w:trHeight w:val="234"/>
        </w:trPr>
        <w:tc>
          <w:tcPr>
            <w:tcW w:w="49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r>
      <w:tr>
        <w:trPr>
          <w:trHeight w:val="223"/>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cumulative amount of fair value hedging adjustments included in the carrying amount of the hedged assets and liabilities were a net loss of less than $1 and a net gain of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8" w:name="page19"/>
    <w:bookmarkEnd w:id="18"/>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17"/>
                <w:szCs w:val="17"/>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2024</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$83</w:t>
            </w:r>
          </w:p>
        </w:tc>
        <w:tc>
          <w:tcPr>
            <w:tcW w:w="2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4</w:t>
            </w: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79</w:t>
            </w: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4</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16</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$64</w:t>
            </w:r>
          </w:p>
        </w:tc>
        <w:tc>
          <w:tcPr>
            <w:tcW w:w="2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7</w:t>
            </w: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7</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March 31, 2024 and December 31, 2022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00" w:lineRule="exact"/>
        <w:rPr>
          <w:sz w:val="20"/>
          <w:szCs w:val="20"/>
          <w:color w:val="auto"/>
        </w:rPr>
      </w:pP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54"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3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€530 and €533 at March 31, 2024 and December 31, 2023</w:t>
      </w:r>
    </w:p>
    <w:p>
      <w:pPr>
        <w:spacing w:after="0" w:line="27"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$7,441 at March 31, 2024 and $7,484 at December 31, 2023.</w:t>
      </w:r>
    </w:p>
    <w:p>
      <w:pPr>
        <w:spacing w:after="0" w:line="2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U.S. dollar term loan interest rate was SOFR plus 1.35% and the Euro term loan interest rate was EURIBOR plus 1.25% at March 31, 2024 and at December 31, 2023.</w:t>
      </w:r>
    </w:p>
    <w:p>
      <w:pPr>
        <w:spacing w:after="0" w:line="185"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months ended March 31, 2024 and 2023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3560" w:type="dxa"/>
            <w:vAlign w:val="bottom"/>
          </w:tcPr>
          <w:p>
            <w:pPr>
              <w:spacing w:after="0"/>
              <w:rPr>
                <w:sz w:val="20"/>
                <w:szCs w:val="20"/>
                <w:color w:val="auto"/>
              </w:rPr>
            </w:pPr>
          </w:p>
        </w:tc>
      </w:tr>
      <w:tr>
        <w:trPr>
          <w:trHeight w:val="183"/>
        </w:trPr>
        <w:tc>
          <w:tcPr>
            <w:tcW w:w="680" w:type="dxa"/>
            <w:vAlign w:val="bottom"/>
          </w:tcPr>
          <w:p>
            <w:pPr>
              <w:spacing w:after="0"/>
              <w:rPr>
                <w:sz w:val="15"/>
                <w:szCs w:val="15"/>
                <w:color w:val="auto"/>
              </w:rPr>
            </w:pPr>
          </w:p>
        </w:tc>
        <w:tc>
          <w:tcPr>
            <w:tcW w:w="46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180" w:type="dxa"/>
            <w:vAlign w:val="bottom"/>
          </w:tcPr>
          <w:p>
            <w:pPr>
              <w:spacing w:after="0"/>
              <w:rPr>
                <w:sz w:val="15"/>
                <w:szCs w:val="15"/>
                <w:color w:val="auto"/>
              </w:rPr>
            </w:pPr>
          </w:p>
        </w:tc>
        <w:tc>
          <w:tcPr>
            <w:tcW w:w="90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3560" w:type="dxa"/>
            <w:vAlign w:val="bottom"/>
          </w:tcPr>
          <w:p>
            <w:pPr>
              <w:spacing w:after="0"/>
              <w:rPr>
                <w:sz w:val="15"/>
                <w:szCs w:val="15"/>
                <w:color w:val="auto"/>
              </w:rPr>
            </w:pPr>
          </w:p>
        </w:tc>
      </w:tr>
      <w:tr>
        <w:trPr>
          <w:trHeight w:val="21"/>
        </w:trPr>
        <w:tc>
          <w:tcPr>
            <w:tcW w:w="68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56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560" w:type="dxa"/>
            <w:vAlign w:val="bottom"/>
          </w:tcPr>
          <w:p>
            <w:pPr>
              <w:spacing w:after="0"/>
              <w:rPr>
                <w:sz w:val="19"/>
                <w:szCs w:val="19"/>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560" w:type="dxa"/>
            <w:vAlign w:val="bottom"/>
          </w:tcPr>
          <w:p>
            <w:pPr>
              <w:spacing w:after="0"/>
              <w:rPr>
                <w:sz w:val="19"/>
                <w:szCs w:val="19"/>
                <w:color w:val="auto"/>
              </w:rPr>
            </w:pPr>
          </w:p>
        </w:tc>
      </w:tr>
      <w:tr>
        <w:trPr>
          <w:trHeight w:val="248"/>
        </w:trPr>
        <w:tc>
          <w:tcPr>
            <w:tcW w:w="680" w:type="dxa"/>
            <w:vAlign w:val="bottom"/>
            <w:tcBorders>
              <w:right w:val="single" w:sz="8" w:color="CCEEFF"/>
            </w:tcBorders>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56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851"/>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5"/>
              </w:rPr>
              <w:t>(6)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5"/>
              </w:rPr>
              <w:t>(5)</w:t>
            </w:r>
          </w:p>
        </w:tc>
      </w:tr>
      <w:tr>
        <w:trPr>
          <w:trHeight w:val="230"/>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1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20"/>
                <w:szCs w:val="20"/>
                <w:color w:val="auto"/>
              </w:rPr>
            </w:pPr>
          </w:p>
        </w:tc>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Affected line items in the statement of</w:t>
            </w:r>
          </w:p>
        </w:tc>
        <w:tc>
          <w:tcPr>
            <w:tcW w:w="0" w:type="dxa"/>
            <w:vAlign w:val="bottom"/>
          </w:tcPr>
          <w:p>
            <w:pPr>
              <w:spacing w:after="0"/>
              <w:rPr>
                <w:sz w:val="1"/>
                <w:szCs w:val="1"/>
                <w:color w:val="auto"/>
              </w:rPr>
            </w:pPr>
          </w:p>
        </w:tc>
      </w:tr>
      <w:tr>
        <w:trPr>
          <w:trHeight w:val="164"/>
        </w:trPr>
        <w:tc>
          <w:tcPr>
            <w:tcW w:w="2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8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5"/>
                <w:szCs w:val="15"/>
                <w:color w:val="auto"/>
              </w:rPr>
            </w:pPr>
          </w:p>
        </w:tc>
        <w:tc>
          <w:tcPr>
            <w:tcW w:w="2880" w:type="dxa"/>
            <w:vAlign w:val="bottom"/>
          </w:tcPr>
          <w:p>
            <w:pPr>
              <w:ind w:left="1060"/>
              <w:spacing w:after="0" w:line="181"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components</w:t>
            </w: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before taxes and equity in net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has remaining Board authorization to repurchase $2,300 of the Company's common stock under the program as of March 31, 2024.</w:t>
      </w:r>
    </w:p>
    <w:p>
      <w:pPr>
        <w:spacing w:after="0" w:line="2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declared and paid cash dividends of $0.25 per share and $0.24 per share respectively. Additionally, on May 2, 2024, the Company's Board of Directors declared a dividend of $0.25 per share payable on June 27, 2024 to shareholders of record as of June 13, 2024.</w:t>
      </w:r>
    </w:p>
    <w:p>
      <w:pPr>
        <w:spacing w:after="0" w:line="200" w:lineRule="exact"/>
        <w:rPr>
          <w:sz w:val="20"/>
          <w:szCs w:val="20"/>
          <w:color w:val="auto"/>
        </w:rPr>
      </w:pPr>
    </w:p>
    <w:p>
      <w:pPr>
        <w:spacing w:after="0" w:line="242"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tbl>
      <w:tblPr>
        <w:tblLayout w:type="fixed"/>
        <w:tblInd w:w="660" w:type="dxa"/>
        <w:tblCellMar>
          <w:top w:w="0" w:type="dxa"/>
          <w:left w:w="0" w:type="dxa"/>
          <w:bottom w:w="0" w:type="dxa"/>
          <w:right w:w="0" w:type="dxa"/>
        </w:tblCellMar>
      </w:tblPr>
      <w:tr>
        <w:trPr>
          <w:trHeight w:val="238"/>
        </w:trPr>
        <w:tc>
          <w:tcPr>
            <w:tcW w:w="6340" w:type="dxa"/>
            <w:vAlign w:val="bottom"/>
            <w:gridSpan w:val="4"/>
          </w:tcPr>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24"/>
                <w:szCs w:val="24"/>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and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$14 and $8 as of March 31, 2024 and December 31, 2023, respectively, included in prepaid and other current assets. During the three months ended March 31, 2024, the Company satisfied performance obligations related to contract assets at December 31, 2023 and also recorded new contract assets primarily related to work in process for the equipment business.</w:t>
      </w:r>
    </w:p>
    <w:p>
      <w:pPr>
        <w:spacing w:after="0" w:line="395"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66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9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3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36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Crown Holdings</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1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0.20 million and 0.08 million contingently issuable common shares were excluded from the computation of diluted earnings per share because the effect would be anti-dilutive.</w:t>
      </w:r>
    </w:p>
    <w:p>
      <w:pPr>
        <w:spacing w:after="0" w:line="185"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should not be considered in isolation or as a substitute for net income prepared in accordance with GAAP and may not be comparable to calculations of similarly titled measures by other companies.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External Sales</w:t>
            </w:r>
          </w:p>
        </w:tc>
      </w:tr>
      <w:tr>
        <w:trPr>
          <w:trHeight w:val="218"/>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food can, aerosol can, and closures businesses in North America, and beverage tooling and equipment operations in the U.S. and U.K.</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Intersegment Sales</w:t>
            </w:r>
          </w:p>
        </w:tc>
        <w:tc>
          <w:tcPr>
            <w:tcW w:w="300" w:type="dxa"/>
            <w:vAlign w:val="bottom"/>
            <w:tcBorders>
              <w:bottom w:val="single" w:sz="8" w:color="auto"/>
            </w:tcBorders>
          </w:tcPr>
          <w:p>
            <w:pPr>
              <w:spacing w:after="0"/>
              <w:rPr>
                <w:sz w:val="20"/>
                <w:szCs w:val="20"/>
                <w:color w:val="auto"/>
              </w:rPr>
            </w:pPr>
          </w:p>
        </w:tc>
      </w:tr>
      <w:tr>
        <w:trPr>
          <w:trHeight w:val="218"/>
        </w:trPr>
        <w:tc>
          <w:tcPr>
            <w:tcW w:w="4620" w:type="dxa"/>
            <w:vAlign w:val="bottom"/>
          </w:tcPr>
          <w:p>
            <w:pPr>
              <w:spacing w:after="0"/>
              <w:rPr>
                <w:sz w:val="18"/>
                <w:szCs w:val="18"/>
                <w:color w:val="auto"/>
              </w:rPr>
            </w:pPr>
          </w:p>
        </w:tc>
        <w:tc>
          <w:tcPr>
            <w:tcW w:w="21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color w:val="auto"/>
                <w:w w:val="99"/>
              </w:rPr>
              <w:t>March 31,</w:t>
            </w:r>
          </w:p>
        </w:tc>
        <w:tc>
          <w:tcPr>
            <w:tcW w:w="30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Intersegment sales primarily include sales of equipment and parts used in the manufacturing process.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94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10"/>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 Income</w:t>
            </w:r>
          </w:p>
        </w:tc>
      </w:tr>
      <w:tr>
        <w:trPr>
          <w:trHeight w:val="218"/>
        </w:trPr>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30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segment income of reportable segments to income before income taxes is as follows: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1860"/>
        <w:spacing w:after="0" w:line="276" w:lineRule="auto"/>
        <w:rPr>
          <w:sz w:val="20"/>
          <w:szCs w:val="20"/>
          <w:color w:val="auto"/>
        </w:rPr>
      </w:pPr>
      <w:r>
        <w:rPr>
          <w:rFonts w:ascii="Times New Roman" w:cs="Times New Roman" w:eastAsia="Times New Roman" w:hAnsi="Times New Roman"/>
          <w:sz w:val="18"/>
          <w:szCs w:val="18"/>
          <w:color w:val="auto"/>
        </w:rPr>
        <w:t>Segment income of reportable segments Segment income of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7320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3202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-298450</wp:posOffset>
            </wp:positionV>
            <wp:extent cx="47320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320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7320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320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7320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320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7320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320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Income from operations before taxes and equity in net earnings of affiliates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594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1" w:lineRule="exact"/>
        <w:rPr>
          <w:sz w:val="20"/>
          <w:szCs w:val="20"/>
          <w:color w:val="auto"/>
        </w:rPr>
      </w:pPr>
    </w:p>
    <w:p>
      <w:pPr>
        <w:ind w:left="360"/>
        <w:spacing w:after="0"/>
        <w:tabs>
          <w:tab w:leader="none" w:pos="17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36" w:lineRule="exact"/>
        <w:rPr>
          <w:sz w:val="20"/>
          <w:szCs w:val="20"/>
          <w:color w:val="auto"/>
        </w:rPr>
      </w:pPr>
    </w:p>
    <w:p>
      <w:pPr>
        <w:spacing w:after="0"/>
        <w:tabs>
          <w:tab w:leader="none" w:pos="740" w:val="left"/>
          <w:tab w:leader="none" w:pos="136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331</w:t>
      </w:r>
    </w:p>
    <w:p>
      <w:pPr>
        <w:spacing w:after="0" w:line="27" w:lineRule="exact"/>
        <w:rPr>
          <w:sz w:val="20"/>
          <w:szCs w:val="20"/>
          <w:color w:val="auto"/>
        </w:rPr>
      </w:pPr>
    </w:p>
    <w:p>
      <w:pPr>
        <w:ind w:left="2240" w:hanging="1291"/>
        <w:spacing w:after="0"/>
        <w:tabs>
          <w:tab w:leader="none" w:pos="2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2160" w:hanging="1376"/>
        <w:spacing w:after="0"/>
        <w:tabs>
          <w:tab w:leader="none" w:pos="2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2160" w:hanging="1376"/>
        <w:spacing w:after="0"/>
        <w:tabs>
          <w:tab w:leader="none" w:pos="2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2160" w:hanging="1376"/>
        <w:spacing w:after="0"/>
        <w:tabs>
          <w:tab w:leader="none" w:pos="2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2" w:lineRule="exact"/>
        <w:rPr>
          <w:rFonts w:ascii="Times New Roman" w:cs="Times New Roman" w:eastAsia="Times New Roman" w:hAnsi="Times New Roman"/>
          <w:sz w:val="18"/>
          <w:szCs w:val="18"/>
          <w:color w:val="auto"/>
        </w:rPr>
      </w:pPr>
    </w:p>
    <w:p>
      <w:pPr>
        <w:ind w:left="2160" w:hanging="1369"/>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2080" w:hanging="1379"/>
        <w:spacing w:after="0"/>
        <w:tabs>
          <w:tab w:leader="none" w:pos="2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w:t>
      </w:r>
    </w:p>
    <w:p>
      <w:pPr>
        <w:spacing w:after="0" w:line="34" w:lineRule="exact"/>
        <w:rPr>
          <w:sz w:val="20"/>
          <w:szCs w:val="20"/>
          <w:color w:val="auto"/>
        </w:rPr>
      </w:pPr>
    </w:p>
    <w:p>
      <w:pPr>
        <w:ind w:left="860"/>
        <w:spacing w:after="0"/>
        <w:tabs>
          <w:tab w:leader="none" w:pos="23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9</w:t>
      </w:r>
    </w:p>
    <w:p>
      <w:pPr>
        <w:spacing w:after="0" w:line="23" w:lineRule="exact"/>
        <w:rPr>
          <w:sz w:val="20"/>
          <w:szCs w:val="20"/>
          <w:color w:val="auto"/>
        </w:rPr>
      </w:pPr>
    </w:p>
    <w:p>
      <w:pPr>
        <w:ind w:left="2260" w:hanging="1386"/>
        <w:spacing w:after="0"/>
        <w:tabs>
          <w:tab w:leader="none" w:pos="2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21590</wp:posOffset>
            </wp:positionV>
            <wp:extent cx="1594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90" w:lineRule="exact"/>
        <w:rPr>
          <w:sz w:val="20"/>
          <w:szCs w:val="20"/>
          <w:color w:val="auto"/>
        </w:rPr>
      </w:pPr>
    </w:p>
    <w:p>
      <w:pPr>
        <w:spacing w:after="0"/>
        <w:tabs>
          <w:tab w:leader="none" w:pos="740" w:val="left"/>
          <w:tab w:leader="none" w:pos="136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68580</wp:posOffset>
            </wp:positionV>
            <wp:extent cx="159448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4485" cy="342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4760" w:space="200"/>
            <w:col w:w="5620"/>
          </w:cols>
          <w:pgMar w:left="980" w:top="117" w:right="3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2023, intercompany profits of $1 were eliminated within segment income of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4" w:name="page25"/>
    <w:bookmarkEnd w:id="24"/>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months ended March 31, 2024 compared to 2023 and changes in financial condition and liquidity from December 31, 2023. This discussion should be read in conjunction with the consolidated financial statements and notes thereto included in the Company's Annual Report on Form 10-K for the year ended December 31, 2023,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organic and inorganic growth opportunities while returning cash to shareholders through dividends and share repurchases.</w:t>
      </w:r>
    </w:p>
    <w:p>
      <w:pPr>
        <w:spacing w:after="0" w:line="189" w:lineRule="exact"/>
        <w:rPr>
          <w:sz w:val="20"/>
          <w:szCs w:val="20"/>
          <w:color w:val="auto"/>
        </w:rPr>
      </w:pPr>
    </w:p>
    <w:p>
      <w:pPr>
        <w:jc w:val="both"/>
        <w:ind w:left="480"/>
        <w:spacing w:after="0" w:line="238"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in North America,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2021. In 2023, the impact of higher inflation and interest rates slowed growth in many markets. Based on current market conditions, the Company expects to have the ability to meet current and future demand growth with its current installed capital base and expects capital spending to be no more than $500 in 2024.</w:t>
      </w:r>
    </w:p>
    <w:p>
      <w:pPr>
        <w:spacing w:after="0" w:line="213"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targeted net leverage ratio in the range of 3.0x to 3.5x adjusted EBITDA (a non-GAAP measure). At the current net leverage level, the Company believes it has the flexibility and resources to fund growth, repay debt and return excess cash flow to shareholders in the future. In December 2021, the Board of Directors authorized the repurchase of $3,000 in Company common stock through the end of 2024.</w:t>
      </w:r>
    </w:p>
    <w:p>
      <w:pPr>
        <w:spacing w:after="0" w:line="221"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value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 September 2021, the Company joined The Climate Pledge, a commitment to be net-zero carbon across business operations by 2040.</w:t>
      </w:r>
    </w:p>
    <w:p>
      <w:pPr>
        <w:spacing w:after="0" w:line="207"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9"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and the Thai baht in the Company's Asia Pacific segment.</w:t>
      </w:r>
    </w:p>
    <w:p>
      <w:pPr>
        <w:sectPr>
          <w:pgSz w:w="11900" w:h="16838" w:orient="portrait"/>
          <w:cols w:equalWidth="0" w:num="1">
            <w:col w:w="11060"/>
          </w:cols>
          <w:pgMar w:left="50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type w:val="continuous"/>
        </w:sectPr>
      </w:pPr>
    </w:p>
    <w:bookmarkStart w:id="25" w:name="page26"/>
    <w:bookmarkEnd w:id="2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 and Segment Income</w:t>
      </w:r>
    </w:p>
    <w:p>
      <w:pPr>
        <w:spacing w:after="0" w:line="54"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bl>
    <w:p>
      <w:pPr>
        <w:spacing w:after="0" w:line="3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$130 from the pass-through of lower aluminum, steel and other commodity costs and lower overall volumes in Asia Pacific, Transit Packaging and Other segments, partially offset by higher beverage can shipments in the Americas and European Beverage segments and favorable foreign currency translation of $10.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volume requirements in these markets, the Company added a new greenfield facility in Mesquite, Nevada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3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pass-through of $58 lower aluminum costs, partially offset by 7% higher shipments in North America and favorable foreign currency translation of $7.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improved due to higher shipments and lower start up costs compared to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a market shift to cans versus other packaging formats. To meet volume requirements, the Company added additional line capacity in Agoncillo, Spain, a new greenfield facility in Peterborough, U.K. and acquired Helvetia Packaging AG, a beverage can and end manufacturing facility in Saarlouis, Germany.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were recast to conform to the new presentation.</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6" w:name="page27"/>
    <w:bookmarkEnd w:id="2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479</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5% higher shipments and favorable foreign currency translation of $6, partially offset by $16 pass-through of lower aluminum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improved due to higher shipments and lower start up costs compared to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volume softness was noted across each country in the Asia Pacific segment as the region continues to struggle with the effects of higher inflation and interest rates. In the fourth quarter of 2023, the Company announced the closure of its beverage can facilities in Ho Chi Minh City, Vietnam and Singapore with capacity relocated to the Company's Vung Tau, Vietnam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$3 for the three months ended March 31, 2024. Property, plant and equipment in Myanmar as of March 31, 2024 was $51, including $25 of land and buildings and $26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primarily due to 8% lower shipments, the pass-through of $19 lower aluminum costs and unfavorable foreign currency of $6.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improved matching of aluminum pass-through provisions as a result of lower inventory in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00" w:lineRule="exact"/>
        <w:rPr>
          <w:sz w:val="20"/>
          <w:szCs w:val="20"/>
          <w:color w:val="auto"/>
        </w:rPr>
      </w:pPr>
    </w:p>
    <w:p>
      <w:pPr>
        <w:spacing w:after="0" w:line="3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primarily due to the pass-through of $24 lower material costs and lower volumes.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decreased primarily due to lower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is expected to add a pet food can line to its Dubuque, Iowa plant in 2024.</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2023, the Company right-sized the beverage can equipment operations in the U.K. to reflect the expected significant reduction in orders from global beverage can manufacturers. Additionally, in the fourth quarter of 2023, the Company announced the closure of its Decatur, IL aerosol can plant in response to lower aerosol can demand.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95"/>
        </w:trPr>
        <w:tc>
          <w:tcPr>
            <w:tcW w:w="4620" w:type="dxa"/>
            <w:vAlign w:val="bottom"/>
          </w:tcPr>
          <w:p>
            <w:pPr>
              <w:spacing w:after="0"/>
              <w:rPr>
                <w:sz w:val="24"/>
                <w:szCs w:val="24"/>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332</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and segment income decreased primarily due to lower volumes in the food can, aerosol can and equipment businesses. Net sales were also negatively impacted by $11 due to the pass-through of lower steel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1491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ind w:left="4900"/>
        <w:spacing w:after="0"/>
        <w:tabs>
          <w:tab w:leader="none" w:pos="61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38023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4540" w:val="left"/>
          <w:tab w:leader="none" w:pos="5280" w:val="left"/>
          <w:tab w:leader="none" w:pos="5860" w:val="left"/>
          <w:tab w:leader="none" w:pos="6540" w:val="left"/>
        </w:tabs>
        <w:rPr>
          <w:sz w:val="20"/>
          <w:szCs w:val="20"/>
          <w:color w:val="auto"/>
        </w:rPr>
      </w:pPr>
      <w:r>
        <w:rPr>
          <w:rFonts w:ascii="Times New Roman" w:cs="Times New Roman" w:eastAsia="Times New Roman" w:hAnsi="Times New Roman"/>
          <w:sz w:val="18"/>
          <w:szCs w:val="18"/>
          <w:color w:val="auto"/>
        </w:rPr>
        <w:t>Corporate and unallocated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increased for the three months ended March 31, 2024 compared to 2023, primarily due to higher property insurance costs, including $8 incurred during the quarter related to a facility fire, and incentive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Depreciation and Amortization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engaged a third-party appraiser to assist in this review and, as a result, increased the estimated useful lives of buildings up to 50 years and machinery and equipment up to 23 years effective January 1, 2024. The change in accounting estimate will be applied on a prospective basis. The change in useful lives resulted in a net reduction in depreciation expense of $16 for the three months ended March 31, 2024, as compared to the amount of depreciation expense that would have been recorded by utilizing the prior depreciable lives.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8" w:name="page29"/>
    <w:bookmarkEnd w:id="28"/>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restructuring and other net charges of $23 primarily included business reorganization activities in the Company's European Beverage segment. The Company continues to review its costs structure and may record additional restructuring charges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March 31, 2024 compared to 2023, was primarily due to the geographic distribution of the Company's world-wide earnings in higher-tax jurisdictions.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The Company does not expect Pillar II to have a material impact on its financial results, including its annual estimated effective tax rate or liquidity for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compared to 2023, net income from noncontrolling interests increased from $20 to $26 primarily due to higher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used for operating activities decreased from $235 for the three months ended March 31, 2023 to $102 for the three months ended March 31, 2024, primarily due to working capital improvements, partially offset by lower distributions from equity method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decreased from 35 days as of March 31, 2023 to 32 days as of March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turnover decreased from 74 days at March 31, 2023 to 63 days at March 31, 2024, primarily due to efforts to reduce inventory levels across most businesses.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outstanding for trade payables decreased from 84 days at March 31, 2023 to 83 days at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$161 for the three months ended March 31, 2023 to $81 for the three months ended March 31, 2024, primarily due to lower capital expenditures. Additionally, the three months ended March 31, 2023 included a distribution from an equity method investment of $56.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2024 to be no more than $500.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decreased from $262 for the three months ended March 31, 2023 to $9 for the three months ended March 31, 2024 primarily due to higher borrowings on the credit facility in the first quarter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$634 of the Company's $1,123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9" w:name="page30"/>
    <w:bookmarkEnd w:id="29"/>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 located outside the U.S., $382 was held by subsidiaries for which earnings are considered indefinitely reinvested.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March 31, 2024, the Company had available capacity of $1,613.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could have borrowed this amount at March 31, 2024 and still have been in compliance with its leverage ratio covenants.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3.3 to 1.0 at March 31, 2024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2025 and securitization facilities with program limits of $230 and $160 that expire in November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market conditions and interest rates, the Company may consider various opportunistic strategies to manage its pension obligations, including lump sum payments and the purchase of annuity insurance contracts, which may require additional pension contributions and the use of plan assets. These strategies could be significant and result in the Company recording pension settlement charges to accelerate the timing of recognition of actuarial losses recorded in accumulated other comprehensive income. As of March 31, 2024, the Company had $674 of net losses related to pension benefit obligations recorded in accumulated other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approximately $112 of capital commitments primarily related to Americas Beverage and European Beverage. The Company expects to fund these commitments primarily through cash flows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2023,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0" w:name="page31"/>
    <w:bookmarkEnd w:id="30"/>
    <w:p>
      <w:pPr>
        <w:ind w:left="414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73"/>
        </w:trPr>
        <w:tc>
          <w:tcPr>
            <w:tcW w:w="6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Includes $14 of expense related to intercompany interest with non-guarantor subsidiaries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995"/>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8"/>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188"/>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(1) Includes payables of $5,539 and $5,514 due to non-guarantor subsidiaries as of March 31, 2024 and December 31, 2023</w:t>
            </w:r>
          </w:p>
        </w:tc>
      </w:tr>
      <w:tr>
        <w:trPr>
          <w:trHeight w:val="42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5"/>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40" w:type="dxa"/>
            <w:vAlign w:val="bottom"/>
          </w:tcPr>
          <w:p>
            <w:pPr>
              <w:spacing w:after="0"/>
              <w:rPr>
                <w:sz w:val="24"/>
                <w:szCs w:val="24"/>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(14)</w:t>
            </w: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w:t>
            </w:r>
          </w:p>
        </w:tc>
        <w:tc>
          <w:tcPr>
            <w:tcW w:w="1840" w:type="dxa"/>
            <w:vAlign w:val="bottom"/>
          </w:tcPr>
          <w:p>
            <w:pPr>
              <w:spacing w:after="0"/>
              <w:rPr>
                <w:sz w:val="19"/>
                <w:szCs w:val="19"/>
                <w:color w:val="auto"/>
              </w:rPr>
            </w:pPr>
          </w:p>
        </w:tc>
      </w:tr>
    </w:tbl>
    <w:p>
      <w:pPr>
        <w:spacing w:after="0" w:line="72" w:lineRule="exact"/>
        <w:rPr>
          <w:sz w:val="20"/>
          <w:szCs w:val="20"/>
          <w:color w:val="auto"/>
        </w:rPr>
      </w:pPr>
    </w:p>
    <w:p>
      <w:pPr>
        <w:ind w:left="204" w:hanging="204"/>
        <w:spacing w:after="0"/>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$102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of gross profit related to sales to non-guarantor subsidiaries</w:t>
      </w:r>
    </w:p>
    <w:p>
      <w:pPr>
        <w:spacing w:after="0" w:line="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 of income related to intercompany interest and technology royalties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3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810"/>
        </w:trPr>
        <w:tc>
          <w:tcPr>
            <w:tcW w:w="29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2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15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30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bl>
    <w:p>
      <w:pPr>
        <w:ind w:left="204" w:hanging="204"/>
        <w:spacing w:after="0"/>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$38 and $30 due from non-guarantor subsidiaries as of March 31, 2024 and December 31, 2023</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$165 and $189 due from non-guarantor subsidiaries as of March 31, 2024 and December 31, 2023</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$29 and $35 due to non-guarantor subsidiaries as of March 31, 2024 and December 31, 2023</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$2,087 and $2,134 due to non-guarantor subsidiaries as of March 31, 2024 and December 31, 2023</w:t>
      </w:r>
    </w:p>
    <w:p>
      <w:pPr>
        <w:spacing w:after="0" w:line="2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2023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2023, which are not historical facts (including any statements concerning the direct or indirect impact of the COVID-19 pandemic, conflicts in the Middle East and the Russia-Ukraine war, objectives of management for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1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2023 within Part II, Item 7: “Management's Discussion and Analysis of Financial Condition and Results of Operations” under the caption “Forward Looking Statements” and is incorporated herein by reference.</w:t>
      </w:r>
    </w:p>
    <w:p>
      <w:pPr>
        <w:spacing w:after="0" w:line="200" w:lineRule="exact"/>
        <w:rPr>
          <w:sz w:val="20"/>
          <w:szCs w:val="20"/>
          <w:color w:val="auto"/>
        </w:rPr>
      </w:pPr>
    </w:p>
    <w:p>
      <w:pPr>
        <w:spacing w:after="0" w:line="3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2024,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21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$2.3 billion principal floating interest rate debt and $1.1 billion of securitization and factoring. A change of 0.25% in these floating interest rates would change annual interest expense by approximately $8 million before tax.</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2023.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58,900 shares were surrendered to cover taxes on the vesting of restricted stock.</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December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Company has remaining Board authorization to repurchase $2,300 of the Company's common stock under the program as of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three months ended March 31, 2024.</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Submission of Matters to a Vote of Security Holders</w:t>
      </w:r>
    </w:p>
    <w:p>
      <w:pPr>
        <w:spacing w:after="0" w:line="243" w:lineRule="exact"/>
        <w:rPr>
          <w:sz w:val="20"/>
          <w:szCs w:val="20"/>
          <w:color w:val="auto"/>
        </w:rPr>
      </w:pPr>
    </w:p>
    <w:p>
      <w:pPr>
        <w:ind w:left="980" w:right="140" w:hanging="324"/>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Annual Meeting of Shareholders on May 2, 2024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As of March 12, 2024, the record date for the meeting, 120,794,273 shares of Common Stock, par value $5.00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were issued and outstanding. A quorum of 108,996,308 shares of Common Stock were present or represented at the meeting.</w:t>
      </w:r>
    </w:p>
    <w:p>
      <w:pPr>
        <w:spacing w:after="0" w:line="2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were nominated and elected to serve as directors:</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Timothy J. Donahue, Richard H. Fearon, Andrea J. Funk, Stephen J. Hagge, James H. Miller, B. Craig Owens, Angela M. Snyder, Caesar F.</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Sweitzer, Marsha C. Williams and Dwayne A. Wilson.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the Company’s Shareholders voted on the five matters below as follows:</w:t>
      </w:r>
    </w:p>
    <w:p>
      <w:pPr>
        <w:spacing w:after="0" w:line="333" w:lineRule="exact"/>
        <w:rPr>
          <w:sz w:val="20"/>
          <w:szCs w:val="20"/>
          <w:color w:val="auto"/>
        </w:rPr>
      </w:pPr>
    </w:p>
    <w:p>
      <w:pPr>
        <w:ind w:left="5540" w:right="2680" w:hanging="4236"/>
        <w:spacing w:after="0" w:line="923" w:lineRule="auto"/>
        <w:tabs>
          <w:tab w:leader="none" w:pos="19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the following directors pursuant to the following vote: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tbl>
      <w:tblPr>
        <w:tblLayout w:type="fixed"/>
        <w:tblInd w:w="1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1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80" w:type="dxa"/>
            <w:vAlign w:val="bottom"/>
            <w:vMerge w:val="restart"/>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auto"/>
            </w:tcBorders>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c>
          <w:tcPr>
            <w:tcW w:w="0" w:type="dxa"/>
            <w:vAlign w:val="bottom"/>
          </w:tcPr>
          <w:p>
            <w:pPr>
              <w:spacing w:after="0"/>
              <w:rPr>
                <w:sz w:val="1"/>
                <w:szCs w:val="1"/>
                <w:color w:val="auto"/>
              </w:rPr>
            </w:pPr>
          </w:p>
        </w:tc>
      </w:tr>
      <w:tr>
        <w:trPr>
          <w:trHeight w:val="48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95,929,459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7,776,333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H. Fearon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98,012,533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5,693,259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J. Funk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101,536,684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2,169,108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J. Hagge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100,172,734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3,533,058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H. Miller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97,079,096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6,626,696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Craig Owens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101,463,780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2,242,012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M. Snyder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102,024,135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1,681,657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Caesar F. Sweitzer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99,847,032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3,858,760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Marsha C. Williams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98,274,088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5,431,704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Dwayne A. Wilson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101,863,419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1,842,373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hanging="656"/>
        <w:spacing w:after="0" w:line="282"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PricewaterhouseCoopers LLP as the Company's independent auditor for the fiscal year ending December 31, 2024 pursuant to the following vote:</w:t>
      </w:r>
    </w:p>
    <w:p>
      <w:pPr>
        <w:spacing w:after="0" w:line="5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234"/>
        </w:trPr>
        <w:tc>
          <w:tcPr>
            <w:tcW w:w="17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103,295,703</w:t>
            </w:r>
          </w:p>
        </w:tc>
        <w:tc>
          <w:tcPr>
            <w:tcW w:w="300" w:type="dxa"/>
            <w:vAlign w:val="bottom"/>
          </w:tcPr>
          <w:p>
            <w:pPr>
              <w:spacing w:after="0"/>
              <w:rPr>
                <w:sz w:val="20"/>
                <w:szCs w:val="20"/>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5,278,646</w:t>
            </w:r>
          </w:p>
        </w:tc>
        <w:tc>
          <w:tcPr>
            <w:tcW w:w="300" w:type="dxa"/>
            <w:vAlign w:val="bottom"/>
          </w:tcPr>
          <w:p>
            <w:pPr>
              <w:spacing w:after="0"/>
              <w:rPr>
                <w:sz w:val="20"/>
                <w:szCs w:val="20"/>
                <w:color w:val="auto"/>
              </w:rPr>
            </w:pPr>
          </w:p>
        </w:tc>
        <w:tc>
          <w:tcPr>
            <w:tcW w:w="19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421,959</w:t>
            </w:r>
          </w:p>
        </w:tc>
        <w:tc>
          <w:tcPr>
            <w:tcW w:w="18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57" w:lineRule="exact"/>
        <w:rPr>
          <w:sz w:val="20"/>
          <w:szCs w:val="20"/>
          <w:color w:val="auto"/>
        </w:rPr>
      </w:pPr>
    </w:p>
    <w:p>
      <w:pPr>
        <w:ind w:left="840" w:hanging="656"/>
        <w:spacing w:after="0" w:line="282"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by non-binding advisory vote, the resolution on executive compensation (as further described in the Company's 2024 Proxy Statement) pursuant to the following vote:</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99,533,007</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4,024,953</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147,832</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r>
    </w:tbl>
    <w:p>
      <w:pPr>
        <w:spacing w:after="0" w:line="319" w:lineRule="exact"/>
        <w:rPr>
          <w:sz w:val="20"/>
          <w:szCs w:val="20"/>
          <w:color w:val="auto"/>
        </w:rPr>
      </w:pPr>
    </w:p>
    <w:p>
      <w:pPr>
        <w:ind w:left="840" w:right="260" w:hanging="656"/>
        <w:spacing w:after="0" w:line="282"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an amendment to the Company's Articles of Incorporation to reduce the minimum and maximum size of Board of Directors to the following vote:</w:t>
      </w:r>
    </w:p>
    <w:p>
      <w:pPr>
        <w:spacing w:after="0" w:line="1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103,118,826</w:t>
            </w:r>
          </w:p>
        </w:tc>
        <w:tc>
          <w:tcPr>
            <w:tcW w:w="32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445,525</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141,441</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right="260" w:hanging="656"/>
        <w:spacing w:after="0" w:line="282" w:lineRule="auto"/>
        <w:tabs>
          <w:tab w:leader="none" w:pos="19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did not approve the Shareholder proposal regarding transparency in political spending to the following vote:</w:t>
      </w:r>
    </w:p>
    <w:p>
      <w:pPr>
        <w:spacing w:after="0" w:line="13"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50,160,413</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52,421,215</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1,124,164</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5,290,516</w:t>
            </w:r>
          </w:p>
        </w:tc>
      </w:tr>
    </w:tbl>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10" w:lineRule="exact"/>
        <w:rPr>
          <w:sz w:val="20"/>
          <w:szCs w:val="20"/>
          <w:color w:val="auto"/>
        </w:rPr>
      </w:pPr>
    </w:p>
    <w:p>
      <w:pPr>
        <w:ind w:left="760" w:hanging="73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sz w:val="20"/>
          <w:szCs w:val="20"/>
          <w:color w:val="auto"/>
        </w:rPr>
      </w:pPr>
    </w:p>
    <w:p>
      <w:pPr>
        <w:ind w:left="760" w:right="334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sz w:val="20"/>
          <w:szCs w:val="20"/>
          <w:color w:val="auto"/>
        </w:rPr>
      </w:pPr>
    </w:p>
    <w:p>
      <w:pPr>
        <w:ind w:left="760" w:right="332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sz w:val="20"/>
          <w:szCs w:val="20"/>
          <w:color w:val="auto"/>
        </w:rPr>
      </w:pPr>
    </w:p>
    <w:p>
      <w:pPr>
        <w:jc w:val="both"/>
        <w:ind w:left="760" w:right="3320" w:hanging="734"/>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6" w:lineRule="exact"/>
        <w:rPr>
          <w:sz w:val="20"/>
          <w:szCs w:val="20"/>
          <w:color w:val="auto"/>
        </w:rPr>
      </w:pPr>
    </w:p>
    <w:p>
      <w:pPr>
        <w:jc w:val="both"/>
        <w:ind w:left="760" w:right="3340" w:hanging="734"/>
        <w:spacing w:after="0" w:line="25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March 31, 2024 formatted in inline XBRL (eXtensible Business Reporting Language): (i) Consolidated Statements of Operations for the three months ended March 31, 2024 and 2023, (ii) Consolidated Statements of Comprehensive Income for the three months ended March 31, 2024 and 2023, (iii) Consolidated Balance Sheets as of March 31, 2024 and December 31, 2023, (iv) Consolidated Statements of Cash Flows for the three months ended March 31, 2024 and 2023, (v) Consolidated Statements of Changes in Equity for the three months ended March 31, 2024 and 2023 and (vi) Notes to Consolidated Financial Statements.</w:t>
      </w:r>
    </w:p>
    <w:p>
      <w:pPr>
        <w:spacing w:after="0" w:line="16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40" w:type="dxa"/>
            <w:vAlign w:val="bottom"/>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218"/>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6,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March 31, 2024,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March 31, 2024,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37" w:name="page38"/>
    <w:bookmarkEnd w:id="37"/>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87" w:lineRule="auto"/>
        <w:tabs>
          <w:tab w:leader="none" w:pos="11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Date: May 6, 2024</w:t>
      </w:r>
      <w:r>
        <w:rPr>
          <w:sz w:val="20"/>
          <w:szCs w:val="20"/>
          <w:color w:val="auto"/>
        </w:rPr>
        <w:tab/>
      </w:r>
      <w:r>
        <w:rPr>
          <w:rFonts w:ascii="Arial" w:cs="Arial" w:eastAsia="Arial" w:hAnsi="Arial"/>
          <w:sz w:val="17"/>
          <w:szCs w:val="17"/>
          <w:u w:val="single" w:color="auto"/>
          <w:color w:val="auto"/>
        </w:rPr>
        <w:t>/s/ Timothy J. Donahue</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0920"/>
          </w:cols>
          <w:pgMar w:left="320" w:top="1133" w:right="6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2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2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2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20" w:hanging="324"/>
        <w:spacing w:after="0" w:line="268"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hanging="324"/>
        <w:spacing w:after="0" w:line="268" w:lineRule="auto"/>
        <w:tabs>
          <w:tab w:leader="none" w:pos="8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87" w:lineRule="auto"/>
        <w:tabs>
          <w:tab w:leader="none" w:pos="11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Date: May 6, 2024</w:t>
      </w:r>
      <w:r>
        <w:rPr>
          <w:sz w:val="20"/>
          <w:szCs w:val="20"/>
          <w:color w:val="auto"/>
        </w:rPr>
        <w:tab/>
      </w:r>
      <w:r>
        <w:rPr>
          <w:rFonts w:ascii="Arial" w:cs="Arial" w:eastAsia="Arial" w:hAnsi="Arial"/>
          <w:sz w:val="17"/>
          <w:szCs w:val="17"/>
          <w:u w:val="single" w:color="auto"/>
          <w:color w:val="auto"/>
        </w:rPr>
        <w:t>/s/ Kevin C. Clothier</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840"/>
          </w:cols>
          <w:pgMar w:left="320" w:top="1133" w:right="7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70"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2024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380" w:type="dxa"/>
            <w:vAlign w:val="bottom"/>
          </w:tcPr>
          <w:p>
            <w:pPr>
              <w:ind w:left="120"/>
              <w:spacing w:after="0"/>
              <w:rPr>
                <w:sz w:val="20"/>
                <w:szCs w:val="20"/>
                <w:color w:val="auto"/>
              </w:rPr>
            </w:pPr>
            <w:r>
              <w:rPr>
                <w:rFonts w:ascii="Arial" w:cs="Arial" w:eastAsia="Arial" w:hAnsi="Arial"/>
                <w:sz w:val="22"/>
                <w:szCs w:val="22"/>
                <w:color w:val="auto"/>
              </w:rPr>
              <w:t>May 6, 2024</w:t>
            </w:r>
          </w:p>
        </w:tc>
        <w:tc>
          <w:tcPr>
            <w:tcW w:w="1140" w:type="dxa"/>
            <w:vAlign w:val="bottom"/>
          </w:tcPr>
          <w:p>
            <w:pPr>
              <w:spacing w:after="0"/>
              <w:rPr>
                <w:sz w:val="21"/>
                <w:szCs w:val="21"/>
                <w:color w:val="auto"/>
              </w:rPr>
            </w:pPr>
          </w:p>
        </w:tc>
        <w:tc>
          <w:tcPr>
            <w:tcW w:w="6020" w:type="dxa"/>
            <w:vAlign w:val="bottom"/>
            <w:gridSpan w:val="3"/>
          </w:tcPr>
          <w:p>
            <w:pPr>
              <w:spacing w:after="0"/>
              <w:rPr>
                <w:sz w:val="20"/>
                <w:szCs w:val="20"/>
                <w:color w:val="auto"/>
              </w:rPr>
            </w:pPr>
            <w:r>
              <w:rPr>
                <w:rFonts w:ascii="Arial" w:cs="Arial" w:eastAsia="Arial" w:hAnsi="Arial"/>
                <w:sz w:val="22"/>
                <w:szCs w:val="22"/>
                <w:color w:val="auto"/>
              </w:rPr>
              <w:t>/s/ Timothy J. Donahue</w:t>
            </w:r>
          </w:p>
        </w:tc>
      </w:tr>
      <w:tr>
        <w:trPr>
          <w:trHeight w:val="20"/>
        </w:trPr>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64"/>
        </w:trPr>
        <w:tc>
          <w:tcPr>
            <w:tcW w:w="6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20" w:type="dxa"/>
            <w:vAlign w:val="bottom"/>
            <w:gridSpan w:val="3"/>
          </w:tcPr>
          <w:p>
            <w:pPr>
              <w:ind w:left="1380"/>
              <w:spacing w:after="0"/>
              <w:rPr>
                <w:sz w:val="20"/>
                <w:szCs w:val="20"/>
                <w:color w:val="auto"/>
              </w:rPr>
            </w:pPr>
            <w:r>
              <w:rPr>
                <w:rFonts w:ascii="Arial" w:cs="Arial" w:eastAsia="Arial" w:hAnsi="Arial"/>
                <w:sz w:val="22"/>
                <w:szCs w:val="22"/>
                <w:color w:val="auto"/>
              </w:rPr>
              <w:t>Timothy J. Donahue</w:t>
            </w:r>
          </w:p>
        </w:tc>
      </w:tr>
      <w:tr>
        <w:trPr>
          <w:trHeight w:val="283"/>
        </w:trPr>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Arial" w:cs="Arial" w:eastAsia="Arial" w:hAnsi="Arial"/>
                <w:sz w:val="22"/>
                <w:szCs w:val="22"/>
                <w:color w:val="auto"/>
                <w:w w:val="97"/>
              </w:rPr>
              <w:t>Chairman, President and Chief Executive Officer</w:t>
            </w:r>
          </w:p>
        </w:tc>
      </w:tr>
      <w:tr>
        <w:trPr>
          <w:trHeight w:val="458"/>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380" w:type="dxa"/>
            <w:vAlign w:val="bottom"/>
          </w:tcPr>
          <w:p>
            <w:pPr>
              <w:ind w:left="120"/>
              <w:spacing w:after="0"/>
              <w:rPr>
                <w:sz w:val="20"/>
                <w:szCs w:val="20"/>
                <w:color w:val="auto"/>
              </w:rPr>
            </w:pPr>
            <w:r>
              <w:rPr>
                <w:rFonts w:ascii="Arial" w:cs="Arial" w:eastAsia="Arial" w:hAnsi="Arial"/>
                <w:sz w:val="22"/>
                <w:szCs w:val="22"/>
                <w:color w:val="auto"/>
              </w:rPr>
              <w:t>May 6, 2024</w:t>
            </w:r>
          </w:p>
        </w:tc>
        <w:tc>
          <w:tcPr>
            <w:tcW w:w="1140" w:type="dxa"/>
            <w:vAlign w:val="bottom"/>
          </w:tcPr>
          <w:p>
            <w:pPr>
              <w:spacing w:after="0"/>
              <w:rPr>
                <w:sz w:val="24"/>
                <w:szCs w:val="24"/>
                <w:color w:val="auto"/>
              </w:rPr>
            </w:pPr>
          </w:p>
        </w:tc>
        <w:tc>
          <w:tcPr>
            <w:tcW w:w="6020" w:type="dxa"/>
            <w:vAlign w:val="bottom"/>
            <w:gridSpan w:val="3"/>
          </w:tcPr>
          <w:p>
            <w:pPr>
              <w:spacing w:after="0"/>
              <w:rPr>
                <w:sz w:val="20"/>
                <w:szCs w:val="20"/>
                <w:color w:val="auto"/>
              </w:rPr>
            </w:pPr>
            <w:r>
              <w:rPr>
                <w:rFonts w:ascii="Arial" w:cs="Arial" w:eastAsia="Arial" w:hAnsi="Arial"/>
                <w:sz w:val="22"/>
                <w:szCs w:val="22"/>
                <w:color w:val="auto"/>
              </w:rPr>
              <w:t>/s/ Kevin C. Clothier</w:t>
            </w:r>
          </w:p>
        </w:tc>
      </w:tr>
      <w:tr>
        <w:trPr>
          <w:trHeight w:val="20"/>
        </w:trPr>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264"/>
        </w:trPr>
        <w:tc>
          <w:tcPr>
            <w:tcW w:w="6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160" w:type="dxa"/>
            <w:vAlign w:val="bottom"/>
            <w:gridSpan w:val="4"/>
          </w:tcPr>
          <w:p>
            <w:pPr>
              <w:ind w:left="80"/>
              <w:spacing w:after="0"/>
              <w:rPr>
                <w:sz w:val="20"/>
                <w:szCs w:val="20"/>
                <w:color w:val="auto"/>
              </w:rPr>
            </w:pPr>
            <w:r>
              <w:rPr>
                <w:rFonts w:ascii="Arial" w:cs="Arial" w:eastAsia="Arial" w:hAnsi="Arial"/>
                <w:sz w:val="22"/>
                <w:szCs w:val="22"/>
                <w:color w:val="auto"/>
              </w:rPr>
              <w:t>Kevin C. Clothier</w:t>
            </w:r>
          </w:p>
        </w:tc>
      </w:tr>
      <w:tr>
        <w:trPr>
          <w:trHeight w:val="256"/>
        </w:trPr>
        <w:tc>
          <w:tcPr>
            <w:tcW w:w="6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160" w:type="dxa"/>
            <w:vAlign w:val="bottom"/>
            <w:gridSpan w:val="4"/>
          </w:tcPr>
          <w:p>
            <w:pPr>
              <w:ind w:left="80"/>
              <w:spacing w:after="0"/>
              <w:rPr>
                <w:sz w:val="20"/>
                <w:szCs w:val="20"/>
                <w:color w:val="auto"/>
              </w:rPr>
            </w:pPr>
            <w:r>
              <w:rPr>
                <w:rFonts w:ascii="Arial" w:cs="Arial" w:eastAsia="Arial" w:hAnsi="Arial"/>
                <w:sz w:val="22"/>
                <w:szCs w:val="22"/>
                <w:color w:val="auto"/>
              </w:rPr>
              <w:t>Senior Vice President</w:t>
            </w:r>
          </w:p>
        </w:tc>
      </w:tr>
      <w:tr>
        <w:trPr>
          <w:trHeight w:val="283"/>
        </w:trPr>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60" w:type="dxa"/>
            <w:vAlign w:val="bottom"/>
            <w:gridSpan w:val="4"/>
          </w:tcPr>
          <w:p>
            <w:pPr>
              <w:ind w:left="8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59"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1"/>
    </w:lvl>
  </w:abstractNum>
  <w:abstractNum w:abstractNumId="3">
    <w:nsid w:val="436C6125"/>
    <w:multiLevelType w:val="hybridMultilevel"/>
    <w:lvl w:ilvl="0">
      <w:lvlJc w:val="left"/>
      <w:lvlText w:val="%1."/>
      <w:numFmt w:val="upperLetter"/>
      <w:start w:val="2"/>
    </w:lvl>
  </w:abstractNum>
  <w:abstractNum w:abstractNumId="4">
    <w:nsid w:val="628C895D"/>
    <w:multiLevelType w:val="hybridMultilevel"/>
    <w:lvl w:ilvl="0">
      <w:lvlJc w:val="left"/>
      <w:lvlText w:val="%1."/>
      <w:numFmt w:val="upperLetter"/>
      <w:start w:val="6"/>
    </w:lvl>
  </w:abstractNum>
  <w:abstractNum w:abstractNumId="5">
    <w:nsid w:val="333AB105"/>
    <w:multiLevelType w:val="hybridMultilevel"/>
    <w:lvl w:ilvl="0">
      <w:lvlJc w:val="left"/>
      <w:lvlText w:val="%1."/>
      <w:numFmt w:val="upperLetter"/>
      <w:start w:val="7"/>
    </w:lvl>
  </w:abstractNum>
  <w:abstractNum w:abstractNumId="6">
    <w:nsid w:val="721DA317"/>
    <w:multiLevelType w:val="hybridMultilevel"/>
    <w:lvl w:ilvl="0">
      <w:lvlJc w:val="left"/>
      <w:lvlText w:val="%1."/>
      <w:numFmt w:val="upperLetter"/>
      <w:start w:val="8"/>
    </w:lvl>
  </w:abstractNum>
  <w:abstractNum w:abstractNumId="7">
    <w:nsid w:val="2443A858"/>
    <w:multiLevelType w:val="hybridMultilevel"/>
    <w:lvl w:ilvl="0">
      <w:lvlJc w:val="left"/>
      <w:lvlText w:val="%1."/>
      <w:numFmt w:val="upperLetter"/>
      <w:start w:val="9"/>
    </w:lvl>
  </w:abstractNum>
  <w:abstractNum w:abstractNumId="8">
    <w:nsid w:val="2D1D5AE9"/>
    <w:multiLevelType w:val="hybridMultilevel"/>
    <w:lvl w:ilvl="0">
      <w:lvlJc w:val="left"/>
      <w:lvlText w:val="%1."/>
      <w:numFmt w:val="upperLetter"/>
      <w:start w:val="10"/>
    </w:lvl>
  </w:abstractNum>
  <w:abstractNum w:abstractNumId="9">
    <w:nsid w:val="6763845E"/>
    <w:multiLevelType w:val="hybridMultilevel"/>
    <w:lvl w:ilvl="0">
      <w:lvlJc w:val="left"/>
      <w:lvlText w:val="%1."/>
      <w:numFmt w:val="upperLetter"/>
      <w:start w:val="11"/>
    </w:lvl>
  </w:abstractNum>
  <w:abstractNum w:abstractNumId="10">
    <w:nsid w:val="75A2A8D4"/>
    <w:multiLevelType w:val="hybridMultilevel"/>
    <w:lvl w:ilvl="0">
      <w:lvlJc w:val="left"/>
      <w:lvlText w:val="%1."/>
      <w:numFmt w:val="upperLetter"/>
      <w:start w:val="12"/>
    </w:lvl>
  </w:abstractNum>
  <w:abstractNum w:abstractNumId="11">
    <w:nsid w:val="8EDBDAB"/>
    <w:multiLevelType w:val="hybridMultilevel"/>
    <w:lvl w:ilvl="0">
      <w:lvlJc w:val="left"/>
      <w:lvlText w:val="%1."/>
      <w:numFmt w:val="upperLetter"/>
      <w:start w:val="13"/>
    </w:lvl>
  </w:abstractNum>
  <w:abstractNum w:abstractNumId="12">
    <w:nsid w:val="79838CB2"/>
    <w:multiLevelType w:val="hybridMultilevel"/>
    <w:lvl w:ilvl="0">
      <w:lvlJc w:val="left"/>
      <w:lvlText w:val="%1."/>
      <w:numFmt w:val="upperLetter"/>
      <w:start w:val="14"/>
    </w:lvl>
  </w:abstractNum>
  <w:abstractNum w:abstractNumId="13">
    <w:nsid w:val="4353D0CD"/>
    <w:multiLevelType w:val="hybridMultilevel"/>
    <w:lvl w:ilvl="0">
      <w:lvlJc w:val="left"/>
      <w:lvlText w:val="%1."/>
      <w:numFmt w:val="upperLetter"/>
      <w:start w:val="15"/>
    </w:lvl>
  </w:abstractNum>
  <w:abstractNum w:abstractNumId="14">
    <w:nsid w:val="B03E0C6"/>
    <w:multiLevelType w:val="hybridMultilevel"/>
    <w:lvl w:ilvl="0">
      <w:lvlJc w:val="left"/>
      <w:lvlText w:val="%1."/>
      <w:numFmt w:val="upperLetter"/>
      <w:start w:val="17"/>
    </w:lvl>
  </w:abstractNum>
  <w:abstractNum w:abstractNumId="15">
    <w:nsid w:val="189A769B"/>
    <w:multiLevelType w:val="hybridMultilevel"/>
    <w:lvl w:ilvl="0">
      <w:lvlJc w:val="left"/>
      <w:lvlText w:val="%1."/>
      <w:numFmt w:val="upperLetter"/>
      <w:start w:val="18"/>
    </w:lvl>
  </w:abstractNum>
  <w:abstractNum w:abstractNumId="16">
    <w:nsid w:val="54E49EB4"/>
    <w:multiLevelType w:val="hybridMultilevel"/>
    <w:lvl w:ilvl="0">
      <w:lvlJc w:val="left"/>
      <w:lvlText w:val="8"/>
      <w:numFmt w:val="bullet"/>
      <w:start w:val="1"/>
    </w:lvl>
  </w:abstractNum>
  <w:abstractNum w:abstractNumId="17">
    <w:nsid w:val="71F32454"/>
    <w:multiLevelType w:val="hybridMultilevel"/>
    <w:lvl w:ilvl="0">
      <w:lvlJc w:val="left"/>
      <w:lvlText w:val="(%1)"/>
      <w:numFmt w:val="decimal"/>
      <w:start w:val="50"/>
    </w:lvl>
  </w:abstractNum>
  <w:abstractNum w:abstractNumId="18">
    <w:nsid w:val="2CA88611"/>
    <w:multiLevelType w:val="hybridMultilevel"/>
    <w:lvl w:ilvl="0">
      <w:lvlJc w:val="left"/>
      <w:lvlText w:val="(%1)"/>
      <w:numFmt w:val="decimal"/>
      <w:start w:val="23"/>
    </w:lvl>
  </w:abstractNum>
  <w:abstractNum w:abstractNumId="19">
    <w:nsid w:val="836C40E"/>
    <w:multiLevelType w:val="hybridMultilevel"/>
    <w:lvl w:ilvl="0">
      <w:lvlJc w:val="left"/>
      <w:lvlText w:val="(%1)"/>
      <w:numFmt w:val="decimal"/>
      <w:start w:val="40"/>
    </w:lvl>
    <w:lvl w:ilvl="1">
      <w:lvlJc w:val="left"/>
      <w:lvlText w:val="%2"/>
      <w:numFmt w:val="decimal"/>
      <w:start w:val="1"/>
    </w:lvl>
  </w:abstractNum>
  <w:abstractNum w:abstractNumId="20">
    <w:nsid w:val="2901D82"/>
    <w:multiLevelType w:val="hybridMultilevel"/>
    <w:lvl w:ilvl="0">
      <w:lvlJc w:val="left"/>
      <w:lvlText w:val="(%1)"/>
      <w:numFmt w:val="decimal"/>
      <w:start w:val="11"/>
    </w:lvl>
    <w:lvl w:ilvl="1">
      <w:lvlJc w:val="left"/>
      <w:lvlText w:val="%2"/>
      <w:numFmt w:val="decimal"/>
      <w:start w:val="1"/>
    </w:lvl>
  </w:abstractNum>
  <w:abstractNum w:abstractNumId="21">
    <w:nsid w:val="3A95F874"/>
    <w:multiLevelType w:val="hybridMultilevel"/>
    <w:lvl w:ilvl="0">
      <w:lvlJc w:val="left"/>
      <w:lvlText w:val="(%1)"/>
      <w:numFmt w:val="decimal"/>
      <w:start w:val="113"/>
    </w:lvl>
  </w:abstractNum>
  <w:abstractNum w:abstractNumId="22">
    <w:nsid w:val="8138641"/>
    <w:multiLevelType w:val="hybridMultilevel"/>
    <w:lvl w:ilvl="0">
      <w:lvlJc w:val="left"/>
      <w:lvlText w:val="(%1)"/>
      <w:numFmt w:val="decimal"/>
      <w:start w:val="7"/>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1)"/>
      <w:numFmt w:val="decimal"/>
      <w:start w:val="3"/>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decimal"/>
      <w:start w:val="22"/>
    </w:lvl>
  </w:abstractNum>
  <w:abstractNum w:abstractNumId="32">
    <w:nsid w:val="5577F8E1"/>
    <w:multiLevelType w:val="hybridMultilevel"/>
    <w:lvl w:ilvl="0">
      <w:lvlJc w:val="left"/>
      <w:lvlText w:val="%1"/>
      <w:numFmt w:val="decimal"/>
      <w:start w:val="32"/>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2024-05-06T15:41:46Z</dcterms:created>
  <dcterms:modified xsi:type="dcterms:W3CDTF">2024-05-06T15:41:46Z</dcterms:modified>
</cp:coreProperties>
</file>