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0"/>
        <w:spacing w:after="0"/>
        <w:rPr>
          <w:sz w:val="20"/>
          <w:szCs w:val="20"/>
          <w:color w:val="auto"/>
        </w:rPr>
      </w:pPr>
      <w:r>
        <w:rPr>
          <w:rFonts w:ascii="Arial" w:cs="Arial" w:eastAsia="Arial" w:hAnsi="Arial"/>
          <w:sz w:val="17"/>
          <w:szCs w:val="17"/>
          <w:b w:val="1"/>
          <w:bCs w:val="1"/>
          <w:color w:val="auto"/>
        </w:rPr>
        <w:t>UNITED STATES</w:t>
      </w:r>
    </w:p>
    <w:p>
      <w:pPr>
        <w:spacing w:after="0" w:line="18" w:lineRule="exact"/>
        <w:rPr>
          <w:sz w:val="24"/>
          <w:szCs w:val="24"/>
          <w:color w:val="auto"/>
        </w:rPr>
      </w:pPr>
    </w:p>
    <w:p>
      <w:pPr>
        <w:jc w:val="center"/>
        <w:ind w:right="-180"/>
        <w:spacing w:after="0"/>
        <w:rPr>
          <w:sz w:val="20"/>
          <w:szCs w:val="20"/>
          <w:color w:val="auto"/>
        </w:rPr>
      </w:pPr>
      <w:r>
        <w:rPr>
          <w:rFonts w:ascii="Arial" w:cs="Arial" w:eastAsia="Arial" w:hAnsi="Arial"/>
          <w:sz w:val="17"/>
          <w:szCs w:val="17"/>
          <w:b w:val="1"/>
          <w:bCs w:val="1"/>
          <w:color w:val="auto"/>
        </w:rPr>
        <w:t>SECURITIES AND EXCHANGE COMMISSION</w:t>
      </w:r>
    </w:p>
    <w:p>
      <w:pPr>
        <w:spacing w:after="0" w:line="3" w:lineRule="exact"/>
        <w:rPr>
          <w:sz w:val="24"/>
          <w:szCs w:val="24"/>
          <w:color w:val="auto"/>
        </w:rPr>
      </w:pPr>
    </w:p>
    <w:p>
      <w:pPr>
        <w:jc w:val="center"/>
        <w:ind w:right="-180"/>
        <w:spacing w:after="0"/>
        <w:rPr>
          <w:sz w:val="20"/>
          <w:szCs w:val="20"/>
          <w:color w:val="auto"/>
        </w:rPr>
      </w:pPr>
      <w:r>
        <w:rPr>
          <w:rFonts w:ascii="Arial" w:cs="Arial" w:eastAsia="Arial" w:hAnsi="Arial"/>
          <w:sz w:val="17"/>
          <w:szCs w:val="17"/>
          <w:color w:val="auto"/>
        </w:rPr>
        <w:t>Washington, D.C. 20549</w:t>
      </w:r>
    </w:p>
    <w:p>
      <w:pPr>
        <w:spacing w:after="0" w:line="211" w:lineRule="exact"/>
        <w:rPr>
          <w:sz w:val="24"/>
          <w:szCs w:val="24"/>
          <w:color w:val="auto"/>
        </w:rPr>
      </w:pPr>
    </w:p>
    <w:p>
      <w:pPr>
        <w:jc w:val="center"/>
        <w:ind w:right="-180"/>
        <w:spacing w:after="0"/>
        <w:rPr>
          <w:sz w:val="20"/>
          <w:szCs w:val="20"/>
          <w:color w:val="auto"/>
        </w:rPr>
      </w:pPr>
      <w:r>
        <w:rPr>
          <w:rFonts w:ascii="Arial" w:cs="Arial" w:eastAsia="Arial" w:hAnsi="Arial"/>
          <w:sz w:val="17"/>
          <w:szCs w:val="17"/>
          <w:b w:val="1"/>
          <w:bCs w:val="1"/>
          <w:color w:val="auto"/>
        </w:rPr>
        <w:t>SCHEDULE 14A INFORMATION</w:t>
      </w:r>
    </w:p>
    <w:p>
      <w:pPr>
        <w:spacing w:after="0" w:line="226" w:lineRule="exact"/>
        <w:rPr>
          <w:sz w:val="24"/>
          <w:szCs w:val="24"/>
          <w:color w:val="auto"/>
        </w:rPr>
      </w:pPr>
    </w:p>
    <w:p>
      <w:pPr>
        <w:jc w:val="center"/>
        <w:ind w:right="-180"/>
        <w:spacing w:after="0"/>
        <w:rPr>
          <w:sz w:val="20"/>
          <w:szCs w:val="20"/>
          <w:color w:val="auto"/>
        </w:rPr>
      </w:pPr>
      <w:r>
        <w:rPr>
          <w:rFonts w:ascii="Arial" w:cs="Arial" w:eastAsia="Arial" w:hAnsi="Arial"/>
          <w:sz w:val="14"/>
          <w:szCs w:val="14"/>
          <w:b w:val="1"/>
          <w:bCs w:val="1"/>
          <w:color w:val="auto"/>
        </w:rPr>
        <w:t>Proxy Statement Pursuant to Section 14(a) of the Securities Exchange Act of 1934</w:t>
      </w:r>
    </w:p>
    <w:p>
      <w:pPr>
        <w:spacing w:after="0" w:line="265" w:lineRule="exact"/>
        <w:rPr>
          <w:sz w:val="24"/>
          <w:szCs w:val="24"/>
          <w:color w:val="auto"/>
        </w:rPr>
      </w:pPr>
    </w:p>
    <w:p>
      <w:pPr>
        <w:ind w:left="1"/>
        <w:spacing w:after="0"/>
        <w:rPr>
          <w:sz w:val="20"/>
          <w:szCs w:val="20"/>
          <w:color w:val="auto"/>
        </w:rPr>
      </w:pPr>
      <w:r>
        <w:rPr>
          <w:rFonts w:ascii="Arial" w:cs="Arial" w:eastAsia="Arial" w:hAnsi="Arial"/>
          <w:sz w:val="17"/>
          <w:szCs w:val="17"/>
          <w:color w:val="auto"/>
        </w:rPr>
        <w:t>Filed by the Registrant [X]</w:t>
      </w:r>
    </w:p>
    <w:p>
      <w:pPr>
        <w:spacing w:after="0" w:line="14" w:lineRule="exact"/>
        <w:rPr>
          <w:sz w:val="24"/>
          <w:szCs w:val="24"/>
          <w:color w:val="auto"/>
        </w:rPr>
      </w:pPr>
    </w:p>
    <w:p>
      <w:pPr>
        <w:ind w:left="1"/>
        <w:spacing w:after="0"/>
        <w:rPr>
          <w:sz w:val="20"/>
          <w:szCs w:val="20"/>
          <w:color w:val="auto"/>
        </w:rPr>
      </w:pPr>
      <w:r>
        <w:rPr>
          <w:rFonts w:ascii="Arial" w:cs="Arial" w:eastAsia="Arial" w:hAnsi="Arial"/>
          <w:sz w:val="17"/>
          <w:szCs w:val="17"/>
          <w:color w:val="auto"/>
        </w:rPr>
        <w:t>Filed by a Party other than the Registrant [  ]</w:t>
      </w:r>
    </w:p>
    <w:p>
      <w:pPr>
        <w:spacing w:after="0" w:line="191" w:lineRule="exact"/>
        <w:rPr>
          <w:sz w:val="24"/>
          <w:szCs w:val="24"/>
          <w:color w:val="auto"/>
        </w:rPr>
      </w:pPr>
    </w:p>
    <w:p>
      <w:pPr>
        <w:ind w:left="1"/>
        <w:spacing w:after="0"/>
        <w:rPr>
          <w:sz w:val="20"/>
          <w:szCs w:val="20"/>
          <w:color w:val="auto"/>
        </w:rPr>
      </w:pPr>
      <w:r>
        <w:rPr>
          <w:rFonts w:ascii="Arial" w:cs="Arial" w:eastAsia="Arial" w:hAnsi="Arial"/>
          <w:sz w:val="17"/>
          <w:szCs w:val="17"/>
          <w:color w:val="auto"/>
        </w:rPr>
        <w:t>Check the appropriate box:</w:t>
      </w:r>
    </w:p>
    <w:p>
      <w:pPr>
        <w:spacing w:after="0" w:line="14" w:lineRule="exact"/>
        <w:rPr>
          <w:sz w:val="24"/>
          <w:szCs w:val="24"/>
          <w:color w:val="auto"/>
        </w:rPr>
      </w:pPr>
    </w:p>
    <w:p>
      <w:pPr>
        <w:ind w:left="601"/>
        <w:spacing w:after="0"/>
        <w:tabs>
          <w:tab w:leader="none" w:pos="1100" w:val="left"/>
        </w:tabs>
        <w:rPr>
          <w:sz w:val="20"/>
          <w:szCs w:val="20"/>
          <w:color w:val="auto"/>
        </w:rPr>
      </w:pPr>
      <w:r>
        <w:rPr>
          <w:rFonts w:ascii="Arial" w:cs="Arial" w:eastAsia="Arial" w:hAnsi="Arial"/>
          <w:sz w:val="17"/>
          <w:szCs w:val="17"/>
          <w:color w:val="auto"/>
        </w:rPr>
        <w:t>[  ]</w:t>
      </w:r>
      <w:r>
        <w:rPr>
          <w:sz w:val="20"/>
          <w:szCs w:val="20"/>
          <w:color w:val="auto"/>
        </w:rPr>
        <w:tab/>
      </w:r>
      <w:r>
        <w:rPr>
          <w:rFonts w:ascii="Arial" w:cs="Arial" w:eastAsia="Arial" w:hAnsi="Arial"/>
          <w:sz w:val="15"/>
          <w:szCs w:val="15"/>
          <w:color w:val="auto"/>
        </w:rPr>
        <w:t>Preliminary Proxy Statement</w:t>
      </w:r>
    </w:p>
    <w:p>
      <w:pPr>
        <w:spacing w:after="0" w:line="3" w:lineRule="exact"/>
        <w:rPr>
          <w:sz w:val="24"/>
          <w:szCs w:val="24"/>
          <w:color w:val="auto"/>
        </w:rPr>
      </w:pPr>
    </w:p>
    <w:p>
      <w:pPr>
        <w:ind w:left="781" w:hanging="185"/>
        <w:spacing w:after="0"/>
        <w:tabs>
          <w:tab w:leader="none" w:pos="781" w:val="left"/>
        </w:tabs>
        <w:numPr>
          <w:ilvl w:val="1"/>
          <w:numId w:val="1"/>
        </w:numPr>
        <w:rPr>
          <w:rFonts w:ascii="Arial" w:cs="Arial" w:eastAsia="Arial" w:hAnsi="Arial"/>
          <w:sz w:val="17"/>
          <w:szCs w:val="17"/>
          <w:color w:val="auto"/>
        </w:rPr>
      </w:pPr>
      <w:r>
        <w:rPr>
          <w:rFonts w:ascii="Arial" w:cs="Arial" w:eastAsia="Arial" w:hAnsi="Arial"/>
          <w:sz w:val="17"/>
          <w:szCs w:val="17"/>
          <w:color w:val="auto"/>
        </w:rPr>
        <w:t xml:space="preserve">]    </w:t>
      </w:r>
      <w:r>
        <w:rPr>
          <w:rFonts w:ascii="Arial" w:cs="Arial" w:eastAsia="Arial" w:hAnsi="Arial"/>
          <w:sz w:val="17"/>
          <w:szCs w:val="17"/>
          <w:b w:val="1"/>
          <w:bCs w:val="1"/>
          <w:color w:val="auto"/>
        </w:rPr>
        <w:t>Confidential, for use of the Commission Only</w:t>
      </w:r>
      <w:r>
        <w:rPr>
          <w:rFonts w:ascii="Arial" w:cs="Arial" w:eastAsia="Arial" w:hAnsi="Arial"/>
          <w:sz w:val="17"/>
          <w:szCs w:val="17"/>
          <w:color w:val="auto"/>
        </w:rPr>
        <w:t xml:space="preserve"> (as permitted by Rule 14a-6(e)(2))</w:t>
      </w:r>
    </w:p>
    <w:p>
      <w:pPr>
        <w:spacing w:after="0" w:line="2" w:lineRule="exact"/>
        <w:rPr>
          <w:rFonts w:ascii="Arial" w:cs="Arial" w:eastAsia="Arial" w:hAnsi="Arial"/>
          <w:sz w:val="17"/>
          <w:szCs w:val="17"/>
          <w:color w:val="auto"/>
        </w:rPr>
      </w:pPr>
    </w:p>
    <w:p>
      <w:pPr>
        <w:ind w:left="521" w:hanging="521"/>
        <w:spacing w:after="0"/>
        <w:tabs>
          <w:tab w:leader="none" w:pos="521" w:val="left"/>
        </w:tabs>
        <w:numPr>
          <w:ilvl w:val="0"/>
          <w:numId w:val="1"/>
        </w:numPr>
        <w:rPr>
          <w:rFonts w:ascii="Arial" w:cs="Arial" w:eastAsia="Arial" w:hAnsi="Arial"/>
          <w:sz w:val="17"/>
          <w:szCs w:val="17"/>
          <w:color w:val="auto"/>
        </w:rPr>
      </w:pPr>
      <w:r>
        <w:rPr>
          <w:rFonts w:ascii="Arial" w:cs="Arial" w:eastAsia="Arial" w:hAnsi="Arial"/>
          <w:sz w:val="17"/>
          <w:szCs w:val="17"/>
          <w:color w:val="auto"/>
        </w:rPr>
        <w:t>Definitive Proxy Statement</w:t>
      </w:r>
    </w:p>
    <w:p>
      <w:pPr>
        <w:sectPr>
          <w:pgSz w:w="11900" w:h="16838" w:orient="portrait"/>
          <w:cols w:equalWidth="0" w:num="1">
            <w:col w:w="11081"/>
          </w:cols>
          <w:pgMar w:left="319" w:top="446" w:right="499" w:bottom="1440" w:gutter="0" w:footer="0" w:header="0"/>
        </w:sectPr>
      </w:pPr>
    </w:p>
    <w:p>
      <w:pPr>
        <w:spacing w:after="0" w:line="3" w:lineRule="exact"/>
        <w:rPr>
          <w:sz w:val="24"/>
          <w:szCs w:val="24"/>
          <w:color w:val="auto"/>
        </w:rPr>
      </w:pPr>
    </w:p>
    <w:p>
      <w:pPr>
        <w:ind w:left="601"/>
        <w:spacing w:after="0"/>
        <w:tabs>
          <w:tab w:leader="none" w:pos="1100" w:val="left"/>
        </w:tabs>
        <w:rPr>
          <w:sz w:val="20"/>
          <w:szCs w:val="20"/>
          <w:color w:val="auto"/>
        </w:rPr>
      </w:pPr>
      <w:r>
        <w:rPr>
          <w:rFonts w:ascii="Arial" w:cs="Arial" w:eastAsia="Arial" w:hAnsi="Arial"/>
          <w:sz w:val="17"/>
          <w:szCs w:val="17"/>
          <w:color w:val="auto"/>
        </w:rPr>
        <w:t>[  ]</w:t>
      </w:r>
      <w:r>
        <w:rPr>
          <w:sz w:val="20"/>
          <w:szCs w:val="20"/>
          <w:color w:val="auto"/>
        </w:rPr>
        <w:tab/>
      </w:r>
      <w:r>
        <w:rPr>
          <w:rFonts w:ascii="Arial" w:cs="Arial" w:eastAsia="Arial" w:hAnsi="Arial"/>
          <w:sz w:val="15"/>
          <w:szCs w:val="15"/>
          <w:color w:val="auto"/>
        </w:rPr>
        <w:t>Definitive Additional Materials</w:t>
      </w:r>
    </w:p>
    <w:p>
      <w:pPr>
        <w:spacing w:after="0" w:line="3" w:lineRule="exact"/>
        <w:rPr>
          <w:sz w:val="24"/>
          <w:szCs w:val="24"/>
          <w:color w:val="auto"/>
        </w:rPr>
      </w:pPr>
    </w:p>
    <w:p>
      <w:pPr>
        <w:ind w:left="601"/>
        <w:spacing w:after="0"/>
        <w:tabs>
          <w:tab w:leader="none" w:pos="1100" w:val="left"/>
        </w:tabs>
        <w:rPr>
          <w:sz w:val="20"/>
          <w:szCs w:val="20"/>
          <w:color w:val="auto"/>
        </w:rPr>
      </w:pPr>
      <w:r>
        <w:rPr>
          <w:rFonts w:ascii="Arial" w:cs="Arial" w:eastAsia="Arial" w:hAnsi="Arial"/>
          <w:sz w:val="17"/>
          <w:szCs w:val="17"/>
          <w:color w:val="auto"/>
        </w:rPr>
        <w:t>[  ]</w:t>
      </w:r>
      <w:r>
        <w:rPr>
          <w:sz w:val="20"/>
          <w:szCs w:val="20"/>
          <w:color w:val="auto"/>
        </w:rPr>
        <w:tab/>
      </w:r>
      <w:r>
        <w:rPr>
          <w:rFonts w:ascii="Arial" w:cs="Arial" w:eastAsia="Arial" w:hAnsi="Arial"/>
          <w:sz w:val="14"/>
          <w:szCs w:val="14"/>
          <w:color w:val="auto"/>
        </w:rPr>
        <w:t>Soliciting Materials Pursuant to sec. 240.14a-11(c) or sec. 240.14a-12</w:t>
      </w:r>
    </w:p>
    <w:p>
      <w:pPr>
        <w:sectPr>
          <w:pgSz w:w="11900" w:h="16838" w:orient="portrait"/>
          <w:cols w:equalWidth="0" w:num="1">
            <w:col w:w="11081"/>
          </w:cols>
          <w:pgMar w:left="319" w:top="446" w:right="499" w:bottom="1440" w:gutter="0" w:footer="0" w:header="0"/>
          <w:type w:val="continuous"/>
        </w:sectPr>
      </w:pPr>
    </w:p>
    <w:p>
      <w:pPr>
        <w:spacing w:after="0" w:line="200" w:lineRule="exact"/>
        <w:rPr>
          <w:sz w:val="24"/>
          <w:szCs w:val="24"/>
          <w:color w:val="auto"/>
        </w:rPr>
      </w:pPr>
    </w:p>
    <w:p>
      <w:pPr>
        <w:spacing w:after="0" w:line="226" w:lineRule="exact"/>
        <w:rPr>
          <w:sz w:val="24"/>
          <w:szCs w:val="24"/>
          <w:color w:val="auto"/>
        </w:rPr>
      </w:pPr>
    </w:p>
    <w:p>
      <w:pPr>
        <w:jc w:val="center"/>
        <w:ind w:right="-160"/>
        <w:spacing w:after="0"/>
        <w:rPr>
          <w:sz w:val="20"/>
          <w:szCs w:val="20"/>
          <w:color w:val="auto"/>
        </w:rPr>
      </w:pPr>
      <w:r>
        <w:rPr>
          <w:rFonts w:ascii="Arial" w:cs="Arial" w:eastAsia="Arial" w:hAnsi="Arial"/>
          <w:sz w:val="20"/>
          <w:szCs w:val="20"/>
          <w:b w:val="1"/>
          <w:bCs w:val="1"/>
          <w:color w:val="auto"/>
        </w:rPr>
        <w:t>Crown Holdings, Inc.</w:t>
      </w:r>
    </w:p>
    <w:p>
      <w:pPr>
        <w:spacing w:after="0" w:line="13" w:lineRule="exact"/>
        <w:rPr>
          <w:sz w:val="24"/>
          <w:szCs w:val="24"/>
          <w:color w:val="auto"/>
        </w:rPr>
      </w:pPr>
    </w:p>
    <w:p>
      <w:pPr>
        <w:ind w:left="4141"/>
        <w:spacing w:after="0"/>
        <w:rPr>
          <w:sz w:val="20"/>
          <w:szCs w:val="20"/>
          <w:color w:val="auto"/>
        </w:rPr>
      </w:pPr>
      <w:r>
        <w:rPr>
          <w:rFonts w:ascii="Arial" w:cs="Arial" w:eastAsia="Arial" w:hAnsi="Arial"/>
          <w:sz w:val="20"/>
          <w:szCs w:val="20"/>
          <w:color w:val="auto"/>
        </w:rPr>
        <w:t>______________________________</w:t>
      </w:r>
    </w:p>
    <w:p>
      <w:pPr>
        <w:jc w:val="center"/>
        <w:ind w:right="-160"/>
        <w:spacing w:after="0"/>
        <w:rPr>
          <w:sz w:val="20"/>
          <w:szCs w:val="20"/>
          <w:color w:val="auto"/>
        </w:rPr>
      </w:pPr>
      <w:r>
        <w:rPr>
          <w:rFonts w:ascii="Arial" w:cs="Arial" w:eastAsia="Arial" w:hAnsi="Arial"/>
          <w:sz w:val="17"/>
          <w:szCs w:val="17"/>
          <w:i w:val="1"/>
          <w:iCs w:val="1"/>
          <w:color w:val="auto"/>
        </w:rPr>
        <w:t>(Exact Name of Registrant as Specified in its Charter)</w:t>
      </w:r>
    </w:p>
    <w:p>
      <w:pPr>
        <w:spacing w:after="0" w:line="212" w:lineRule="exact"/>
        <w:rPr>
          <w:sz w:val="24"/>
          <w:szCs w:val="24"/>
          <w:color w:val="auto"/>
        </w:rPr>
      </w:pPr>
    </w:p>
    <w:p>
      <w:pPr>
        <w:ind w:left="1"/>
        <w:spacing w:after="0"/>
        <w:rPr>
          <w:sz w:val="20"/>
          <w:szCs w:val="20"/>
          <w:color w:val="auto"/>
        </w:rPr>
      </w:pPr>
      <w:r>
        <w:rPr>
          <w:rFonts w:ascii="Arial" w:cs="Arial" w:eastAsia="Arial" w:hAnsi="Arial"/>
          <w:sz w:val="17"/>
          <w:szCs w:val="17"/>
          <w:color w:val="auto"/>
        </w:rPr>
        <w:t>Payment of Filing Fee (Check the appropriate box)</w:t>
      </w:r>
    </w:p>
    <w:p>
      <w:pPr>
        <w:spacing w:after="0" w:line="14" w:lineRule="exact"/>
        <w:rPr>
          <w:sz w:val="24"/>
          <w:szCs w:val="24"/>
          <w:color w:val="auto"/>
        </w:rPr>
      </w:pPr>
    </w:p>
    <w:p>
      <w:pPr>
        <w:ind w:left="521" w:hanging="521"/>
        <w:spacing w:after="0"/>
        <w:tabs>
          <w:tab w:leader="none" w:pos="521" w:val="left"/>
        </w:tabs>
        <w:numPr>
          <w:ilvl w:val="0"/>
          <w:numId w:val="2"/>
        </w:numPr>
        <w:rPr>
          <w:rFonts w:ascii="Arial" w:cs="Arial" w:eastAsia="Arial" w:hAnsi="Arial"/>
          <w:sz w:val="17"/>
          <w:szCs w:val="17"/>
          <w:color w:val="auto"/>
        </w:rPr>
      </w:pPr>
      <w:r>
        <w:rPr>
          <w:rFonts w:ascii="Arial" w:cs="Arial" w:eastAsia="Arial" w:hAnsi="Arial"/>
          <w:sz w:val="17"/>
          <w:szCs w:val="17"/>
          <w:color w:val="auto"/>
        </w:rPr>
        <w:t>No fee required.</w:t>
      </w:r>
    </w:p>
    <w:p>
      <w:pPr>
        <w:spacing w:after="0" w:line="3" w:lineRule="exact"/>
        <w:rPr>
          <w:sz w:val="24"/>
          <w:szCs w:val="24"/>
          <w:color w:val="auto"/>
        </w:rPr>
      </w:pPr>
    </w:p>
    <w:p>
      <w:pPr>
        <w:ind w:left="781" w:hanging="185"/>
        <w:spacing w:after="0"/>
        <w:tabs>
          <w:tab w:leader="none" w:pos="781" w:val="left"/>
        </w:tabs>
        <w:numPr>
          <w:ilvl w:val="1"/>
          <w:numId w:val="3"/>
        </w:numPr>
        <w:rPr>
          <w:rFonts w:ascii="Arial" w:cs="Arial" w:eastAsia="Arial" w:hAnsi="Arial"/>
          <w:sz w:val="17"/>
          <w:szCs w:val="17"/>
          <w:color w:val="auto"/>
        </w:rPr>
      </w:pPr>
      <w:r>
        <w:rPr>
          <w:rFonts w:ascii="Arial" w:cs="Arial" w:eastAsia="Arial" w:hAnsi="Arial"/>
          <w:sz w:val="17"/>
          <w:szCs w:val="17"/>
          <w:color w:val="auto"/>
        </w:rPr>
        <w:t>]    Fee computed on table below per Exchange Act Rules 14a-6(i)(l) and 0-11.1</w:t>
      </w:r>
    </w:p>
    <w:p>
      <w:pPr>
        <w:spacing w:after="0" w:line="215" w:lineRule="exact"/>
        <w:rPr>
          <w:rFonts w:ascii="Arial" w:cs="Arial" w:eastAsia="Arial" w:hAnsi="Arial"/>
          <w:sz w:val="17"/>
          <w:szCs w:val="17"/>
          <w:color w:val="auto"/>
        </w:rPr>
      </w:pPr>
    </w:p>
    <w:p>
      <w:pPr>
        <w:ind w:left="321" w:hanging="321"/>
        <w:spacing w:after="0"/>
        <w:tabs>
          <w:tab w:leader="none" w:pos="321" w:val="left"/>
        </w:tabs>
        <w:numPr>
          <w:ilvl w:val="0"/>
          <w:numId w:val="3"/>
        </w:numPr>
        <w:rPr>
          <w:rFonts w:ascii="Arial" w:cs="Arial" w:eastAsia="Arial" w:hAnsi="Arial"/>
          <w:sz w:val="17"/>
          <w:szCs w:val="17"/>
          <w:color w:val="auto"/>
        </w:rPr>
      </w:pPr>
      <w:r>
        <w:rPr>
          <w:rFonts w:ascii="Arial" w:cs="Arial" w:eastAsia="Arial" w:hAnsi="Arial"/>
          <w:sz w:val="17"/>
          <w:szCs w:val="17"/>
          <w:color w:val="auto"/>
        </w:rPr>
        <w:t>Title of each class of securities to which transaction applies:</w:t>
      </w:r>
    </w:p>
    <w:p>
      <w:pPr>
        <w:spacing w:after="0" w:line="10" w:lineRule="exact"/>
        <w:rPr>
          <w:sz w:val="24"/>
          <w:szCs w:val="24"/>
          <w:color w:val="auto"/>
        </w:rPr>
      </w:pPr>
    </w:p>
    <w:p>
      <w:pPr>
        <w:ind w:left="1"/>
        <w:spacing w:after="0"/>
        <w:rPr>
          <w:sz w:val="20"/>
          <w:szCs w:val="20"/>
          <w:color w:val="auto"/>
        </w:rPr>
      </w:pPr>
      <w:r>
        <w:rPr>
          <w:rFonts w:ascii="Arial" w:cs="Arial" w:eastAsia="Arial" w:hAnsi="Arial"/>
          <w:sz w:val="20"/>
          <w:szCs w:val="20"/>
          <w:color w:val="auto"/>
        </w:rPr>
        <w:t>________________________________________________________________________________</w:t>
      </w:r>
    </w:p>
    <w:p>
      <w:pPr>
        <w:ind w:left="1"/>
        <w:spacing w:after="0" w:line="237" w:lineRule="auto"/>
        <w:rPr>
          <w:sz w:val="20"/>
          <w:szCs w:val="20"/>
          <w:color w:val="auto"/>
        </w:rPr>
      </w:pPr>
      <w:r>
        <w:rPr>
          <w:rFonts w:ascii="Arial" w:cs="Arial" w:eastAsia="Arial" w:hAnsi="Arial"/>
          <w:sz w:val="17"/>
          <w:szCs w:val="17"/>
          <w:color w:val="auto"/>
        </w:rPr>
        <w:t>(2)  Aggregate number of securities to which transaction applies:</w:t>
      </w:r>
    </w:p>
    <w:p>
      <w:pPr>
        <w:ind w:left="1"/>
        <w:spacing w:after="0" w:line="238" w:lineRule="auto"/>
        <w:rPr>
          <w:sz w:val="20"/>
          <w:szCs w:val="20"/>
          <w:color w:val="auto"/>
        </w:rPr>
      </w:pPr>
      <w:r>
        <w:rPr>
          <w:rFonts w:ascii="Arial" w:cs="Arial" w:eastAsia="Arial" w:hAnsi="Arial"/>
          <w:sz w:val="20"/>
          <w:szCs w:val="20"/>
          <w:color w:val="auto"/>
        </w:rPr>
        <w:t>________________________________________________________________________________</w:t>
      </w:r>
    </w:p>
    <w:p>
      <w:pPr>
        <w:spacing w:after="0" w:line="1" w:lineRule="exact"/>
        <w:rPr>
          <w:sz w:val="24"/>
          <w:szCs w:val="24"/>
          <w:color w:val="auto"/>
        </w:rPr>
      </w:pPr>
    </w:p>
    <w:p>
      <w:pPr>
        <w:ind w:left="301" w:hanging="301"/>
        <w:spacing w:after="0"/>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Per unit or other underlying value of transaction computed pursuant to Exchange Act Rule 0-11 (set forth the amount on which the filing fee is calculated and state how it was determined):</w:t>
      </w:r>
    </w:p>
    <w:p>
      <w:pPr>
        <w:ind w:left="1"/>
        <w:spacing w:after="0"/>
        <w:rPr>
          <w:sz w:val="20"/>
          <w:szCs w:val="20"/>
          <w:color w:val="auto"/>
        </w:rPr>
      </w:pPr>
      <w:r>
        <w:rPr>
          <w:rFonts w:ascii="Arial" w:cs="Arial" w:eastAsia="Arial" w:hAnsi="Arial"/>
          <w:sz w:val="20"/>
          <w:szCs w:val="20"/>
          <w:color w:val="auto"/>
        </w:rPr>
        <w:t>________________________________________________________________________________</w:t>
      </w:r>
    </w:p>
    <w:p>
      <w:pPr>
        <w:ind w:left="1"/>
        <w:spacing w:after="0" w:line="237" w:lineRule="auto"/>
        <w:rPr>
          <w:sz w:val="20"/>
          <w:szCs w:val="20"/>
          <w:color w:val="auto"/>
        </w:rPr>
      </w:pPr>
      <w:r>
        <w:rPr>
          <w:rFonts w:ascii="Arial" w:cs="Arial" w:eastAsia="Arial" w:hAnsi="Arial"/>
          <w:sz w:val="17"/>
          <w:szCs w:val="17"/>
          <w:color w:val="auto"/>
        </w:rPr>
        <w:t>(4)  Proposed maximum aggregate value of transaction:</w:t>
      </w:r>
    </w:p>
    <w:p>
      <w:pPr>
        <w:ind w:left="1"/>
        <w:spacing w:after="0" w:line="238" w:lineRule="auto"/>
        <w:rPr>
          <w:sz w:val="20"/>
          <w:szCs w:val="20"/>
          <w:color w:val="auto"/>
        </w:rPr>
      </w:pPr>
      <w:r>
        <w:rPr>
          <w:rFonts w:ascii="Arial" w:cs="Arial" w:eastAsia="Arial" w:hAnsi="Arial"/>
          <w:sz w:val="20"/>
          <w:szCs w:val="20"/>
          <w:color w:val="auto"/>
        </w:rPr>
        <w:t>________________________________________________________________________________</w:t>
      </w:r>
    </w:p>
    <w:p>
      <w:pPr>
        <w:ind w:left="1"/>
        <w:spacing w:after="0" w:line="238" w:lineRule="auto"/>
        <w:rPr>
          <w:sz w:val="20"/>
          <w:szCs w:val="20"/>
          <w:color w:val="auto"/>
        </w:rPr>
      </w:pPr>
      <w:r>
        <w:rPr>
          <w:rFonts w:ascii="Arial" w:cs="Arial" w:eastAsia="Arial" w:hAnsi="Arial"/>
          <w:sz w:val="17"/>
          <w:szCs w:val="17"/>
          <w:color w:val="auto"/>
        </w:rPr>
        <w:t>(5)  Total fee paid:</w:t>
      </w:r>
    </w:p>
    <w:p>
      <w:pPr>
        <w:spacing w:after="0" w:line="1" w:lineRule="exact"/>
        <w:rPr>
          <w:sz w:val="24"/>
          <w:szCs w:val="24"/>
          <w:color w:val="auto"/>
        </w:rPr>
      </w:pPr>
    </w:p>
    <w:p>
      <w:pPr>
        <w:ind w:left="1"/>
        <w:spacing w:after="0"/>
        <w:rPr>
          <w:sz w:val="20"/>
          <w:szCs w:val="20"/>
          <w:color w:val="auto"/>
        </w:rPr>
      </w:pPr>
      <w:r>
        <w:rPr>
          <w:rFonts w:ascii="Arial" w:cs="Arial" w:eastAsia="Arial" w:hAnsi="Arial"/>
          <w:sz w:val="20"/>
          <w:szCs w:val="20"/>
          <w:color w:val="auto"/>
        </w:rPr>
        <w:t>________________________________________________________________________________</w:t>
      </w:r>
    </w:p>
    <w:p>
      <w:pPr>
        <w:spacing w:after="0" w:line="207" w:lineRule="exact"/>
        <w:rPr>
          <w:sz w:val="24"/>
          <w:szCs w:val="24"/>
          <w:color w:val="auto"/>
        </w:rPr>
      </w:pPr>
    </w:p>
    <w:p>
      <w:pPr>
        <w:ind w:left="601"/>
        <w:spacing w:after="0"/>
        <w:tabs>
          <w:tab w:leader="none" w:pos="1100" w:val="left"/>
        </w:tabs>
        <w:rPr>
          <w:sz w:val="20"/>
          <w:szCs w:val="20"/>
          <w:color w:val="auto"/>
        </w:rPr>
      </w:pPr>
      <w:r>
        <w:rPr>
          <w:rFonts w:ascii="Arial" w:cs="Arial" w:eastAsia="Arial" w:hAnsi="Arial"/>
          <w:sz w:val="17"/>
          <w:szCs w:val="17"/>
          <w:color w:val="auto"/>
        </w:rPr>
        <w:t>[  ]</w:t>
      </w:r>
      <w:r>
        <w:rPr>
          <w:sz w:val="20"/>
          <w:szCs w:val="20"/>
          <w:color w:val="auto"/>
        </w:rPr>
        <w:tab/>
      </w:r>
      <w:r>
        <w:rPr>
          <w:rFonts w:ascii="Arial" w:cs="Arial" w:eastAsia="Arial" w:hAnsi="Arial"/>
          <w:sz w:val="15"/>
          <w:szCs w:val="15"/>
          <w:color w:val="auto"/>
        </w:rPr>
        <w:t>Fee paid previously with preliminary materials.</w:t>
      </w:r>
    </w:p>
    <w:p>
      <w:pPr>
        <w:spacing w:after="0" w:line="14" w:lineRule="exact"/>
        <w:rPr>
          <w:sz w:val="24"/>
          <w:szCs w:val="24"/>
          <w:color w:val="auto"/>
        </w:rPr>
      </w:pPr>
    </w:p>
    <w:p>
      <w:pPr>
        <w:ind w:left="1" w:right="320" w:firstLine="595"/>
        <w:spacing w:after="0" w:line="247" w:lineRule="auto"/>
        <w:tabs>
          <w:tab w:leader="none" w:pos="775" w:val="left"/>
        </w:tabs>
        <w:numPr>
          <w:ilvl w:val="1"/>
          <w:numId w:val="5"/>
        </w:numPr>
        <w:rPr>
          <w:rFonts w:ascii="Arial" w:cs="Arial" w:eastAsia="Arial" w:hAnsi="Arial"/>
          <w:sz w:val="17"/>
          <w:szCs w:val="17"/>
          <w:color w:val="auto"/>
        </w:rPr>
      </w:pPr>
      <w:r>
        <w:rPr>
          <w:rFonts w:ascii="Arial" w:cs="Arial" w:eastAsia="Arial" w:hAnsi="Arial"/>
          <w:sz w:val="17"/>
          <w:szCs w:val="17"/>
          <w:color w:val="auto"/>
        </w:rPr>
        <w:t>] Check box if any part of the fee is offset as provided by Exchange Act Tule 0-11(a)(2) and identify the filing for which the offsetting fee was paid previously. Identify the previous filing by registration statement number, or the Form or Schedule and the date of its filing.</w:t>
      </w:r>
    </w:p>
    <w:p>
      <w:pPr>
        <w:spacing w:after="0" w:line="206" w:lineRule="exact"/>
        <w:rPr>
          <w:rFonts w:ascii="Arial" w:cs="Arial" w:eastAsia="Arial" w:hAnsi="Arial"/>
          <w:sz w:val="17"/>
          <w:szCs w:val="17"/>
          <w:color w:val="auto"/>
        </w:rPr>
      </w:pPr>
    </w:p>
    <w:p>
      <w:pPr>
        <w:ind w:left="321" w:hanging="321"/>
        <w:spacing w:after="0"/>
        <w:tabs>
          <w:tab w:leader="none" w:pos="321" w:val="left"/>
        </w:tabs>
        <w:numPr>
          <w:ilvl w:val="0"/>
          <w:numId w:val="5"/>
        </w:numPr>
        <w:rPr>
          <w:rFonts w:ascii="Arial" w:cs="Arial" w:eastAsia="Arial" w:hAnsi="Arial"/>
          <w:sz w:val="17"/>
          <w:szCs w:val="17"/>
          <w:color w:val="auto"/>
        </w:rPr>
      </w:pPr>
      <w:r>
        <w:rPr>
          <w:rFonts w:ascii="Arial" w:cs="Arial" w:eastAsia="Arial" w:hAnsi="Arial"/>
          <w:sz w:val="17"/>
          <w:szCs w:val="17"/>
          <w:color w:val="auto"/>
        </w:rPr>
        <w:t>Amount Previously Paid</w:t>
      </w:r>
    </w:p>
    <w:p>
      <w:pPr>
        <w:spacing w:after="0" w:line="10" w:lineRule="exact"/>
        <w:rPr>
          <w:sz w:val="24"/>
          <w:szCs w:val="24"/>
          <w:color w:val="auto"/>
        </w:rPr>
      </w:pPr>
    </w:p>
    <w:p>
      <w:pPr>
        <w:ind w:left="1"/>
        <w:spacing w:after="0"/>
        <w:rPr>
          <w:sz w:val="20"/>
          <w:szCs w:val="20"/>
          <w:color w:val="auto"/>
        </w:rPr>
      </w:pPr>
      <w:r>
        <w:rPr>
          <w:rFonts w:ascii="Arial" w:cs="Arial" w:eastAsia="Arial" w:hAnsi="Arial"/>
          <w:sz w:val="20"/>
          <w:szCs w:val="20"/>
          <w:color w:val="auto"/>
        </w:rPr>
        <w:t>________________________________________________________________________________</w:t>
      </w:r>
    </w:p>
    <w:p>
      <w:pPr>
        <w:ind w:left="1"/>
        <w:spacing w:after="0" w:line="237" w:lineRule="auto"/>
        <w:rPr>
          <w:sz w:val="20"/>
          <w:szCs w:val="20"/>
          <w:color w:val="auto"/>
        </w:rPr>
      </w:pPr>
      <w:r>
        <w:rPr>
          <w:rFonts w:ascii="Arial" w:cs="Arial" w:eastAsia="Arial" w:hAnsi="Arial"/>
          <w:sz w:val="17"/>
          <w:szCs w:val="17"/>
          <w:color w:val="auto"/>
        </w:rPr>
        <w:t>(2)  Form, Schedule or Registration Statement No.:</w:t>
      </w:r>
    </w:p>
    <w:p>
      <w:pPr>
        <w:ind w:left="1"/>
        <w:spacing w:after="0" w:line="238" w:lineRule="auto"/>
        <w:rPr>
          <w:sz w:val="20"/>
          <w:szCs w:val="20"/>
          <w:color w:val="auto"/>
        </w:rPr>
      </w:pPr>
      <w:r>
        <w:rPr>
          <w:rFonts w:ascii="Arial" w:cs="Arial" w:eastAsia="Arial" w:hAnsi="Arial"/>
          <w:sz w:val="20"/>
          <w:szCs w:val="20"/>
          <w:color w:val="auto"/>
        </w:rPr>
        <w:t>________________________________________________________________________________</w:t>
      </w:r>
    </w:p>
    <w:p>
      <w:pPr>
        <w:ind w:left="1"/>
        <w:spacing w:after="0" w:line="238" w:lineRule="auto"/>
        <w:rPr>
          <w:sz w:val="20"/>
          <w:szCs w:val="20"/>
          <w:color w:val="auto"/>
        </w:rPr>
      </w:pPr>
      <w:r>
        <w:rPr>
          <w:rFonts w:ascii="Arial" w:cs="Arial" w:eastAsia="Arial" w:hAnsi="Arial"/>
          <w:sz w:val="17"/>
          <w:szCs w:val="17"/>
          <w:color w:val="auto"/>
        </w:rPr>
        <w:t>(3)  Filing Party:</w:t>
      </w:r>
    </w:p>
    <w:p>
      <w:pPr>
        <w:ind w:left="1"/>
        <w:spacing w:after="0" w:line="238" w:lineRule="auto"/>
        <w:rPr>
          <w:sz w:val="20"/>
          <w:szCs w:val="20"/>
          <w:color w:val="auto"/>
        </w:rPr>
      </w:pPr>
      <w:r>
        <w:rPr>
          <w:rFonts w:ascii="Arial" w:cs="Arial" w:eastAsia="Arial" w:hAnsi="Arial"/>
          <w:sz w:val="20"/>
          <w:szCs w:val="20"/>
          <w:color w:val="auto"/>
        </w:rPr>
        <w:t>________________________________________________________________________________</w:t>
      </w:r>
    </w:p>
    <w:p>
      <w:pPr>
        <w:ind w:left="1"/>
        <w:spacing w:after="0" w:line="238" w:lineRule="auto"/>
        <w:rPr>
          <w:sz w:val="20"/>
          <w:szCs w:val="20"/>
          <w:color w:val="auto"/>
        </w:rPr>
      </w:pPr>
      <w:r>
        <w:rPr>
          <w:rFonts w:ascii="Arial" w:cs="Arial" w:eastAsia="Arial" w:hAnsi="Arial"/>
          <w:sz w:val="17"/>
          <w:szCs w:val="17"/>
          <w:color w:val="auto"/>
        </w:rPr>
        <w:t>(4)  Date Filed:</w:t>
      </w:r>
    </w:p>
    <w:p>
      <w:pPr>
        <w:ind w:left="1"/>
        <w:spacing w:after="0"/>
        <w:rPr>
          <w:sz w:val="20"/>
          <w:szCs w:val="20"/>
          <w:color w:val="auto"/>
        </w:rPr>
      </w:pPr>
      <w:r>
        <w:rPr>
          <w:rFonts w:ascii="Arial" w:cs="Arial" w:eastAsia="Arial" w:hAnsi="Arial"/>
          <w:sz w:val="20"/>
          <w:szCs w:val="20"/>
          <w:color w:val="auto"/>
        </w:rPr>
        <w:t>________________________________________________________________________________</w:t>
      </w:r>
    </w:p>
    <w:p>
      <w:pPr>
        <w:sectPr>
          <w:pgSz w:w="11900" w:h="16838" w:orient="portrait"/>
          <w:cols w:equalWidth="0" w:num="1">
            <w:col w:w="11081"/>
          </w:cols>
          <w:pgMar w:left="319" w:top="446" w:right="499" w:bottom="1440" w:gutter="0" w:footer="0" w:header="0"/>
          <w:type w:val="continuous"/>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273685</wp:posOffset>
            </wp:positionH>
            <wp:positionV relativeFrom="page">
              <wp:posOffset>293370</wp:posOffset>
            </wp:positionV>
            <wp:extent cx="2071370" cy="8661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071370" cy="866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19"/>
        <w:spacing w:after="0"/>
        <w:rPr>
          <w:sz w:val="20"/>
          <w:szCs w:val="20"/>
          <w:color w:val="auto"/>
        </w:rPr>
      </w:pPr>
      <w:r>
        <w:rPr>
          <w:rFonts w:ascii="Arial" w:cs="Arial" w:eastAsia="Arial" w:hAnsi="Arial"/>
          <w:sz w:val="43"/>
          <w:szCs w:val="43"/>
          <w:b w:val="1"/>
          <w:bCs w:val="1"/>
          <w:color w:val="auto"/>
        </w:rPr>
        <w:t>Crown Holdings,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770 Township Line Road</w:t>
      </w:r>
    </w:p>
    <w:p>
      <w:pPr>
        <w:jc w:val="center"/>
        <w:spacing w:after="0"/>
        <w:rPr>
          <w:sz w:val="20"/>
          <w:szCs w:val="20"/>
          <w:color w:val="auto"/>
        </w:rPr>
      </w:pPr>
      <w:r>
        <w:rPr>
          <w:rFonts w:ascii="Arial" w:cs="Arial" w:eastAsia="Arial" w:hAnsi="Arial"/>
          <w:sz w:val="17"/>
          <w:szCs w:val="17"/>
          <w:b w:val="1"/>
          <w:bCs w:val="1"/>
          <w:color w:val="auto"/>
        </w:rPr>
        <w:t>Yardley, Pennsylvania 19067</w:t>
      </w:r>
    </w:p>
    <w:p>
      <w:pPr>
        <w:spacing w:after="0" w:line="1" w:lineRule="exact"/>
        <w:rPr>
          <w:sz w:val="20"/>
          <w:szCs w:val="20"/>
          <w:color w:val="auto"/>
        </w:rPr>
      </w:pPr>
    </w:p>
    <w:p>
      <w:pPr>
        <w:ind w:left="4440"/>
        <w:spacing w:after="0"/>
        <w:rPr>
          <w:sz w:val="20"/>
          <w:szCs w:val="20"/>
          <w:color w:val="auto"/>
        </w:rPr>
      </w:pPr>
      <w:r>
        <w:rPr>
          <w:rFonts w:ascii="Arial" w:cs="Arial" w:eastAsia="Arial" w:hAnsi="Arial"/>
          <w:sz w:val="20"/>
          <w:szCs w:val="20"/>
          <w:color w:val="auto"/>
        </w:rPr>
        <w:t>________________________</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NOTICE OF 2020 ANNUAL MEETING OF SHAREHOLDERS</w:t>
      </w:r>
    </w:p>
    <w:p>
      <w:pPr>
        <w:spacing w:after="0" w:line="27" w:lineRule="exact"/>
        <w:rPr>
          <w:sz w:val="20"/>
          <w:szCs w:val="20"/>
          <w:color w:val="auto"/>
        </w:rPr>
      </w:pPr>
    </w:p>
    <w:p>
      <w:pPr>
        <w:ind w:left="4440"/>
        <w:spacing w:after="0"/>
        <w:rPr>
          <w:sz w:val="20"/>
          <w:szCs w:val="20"/>
          <w:color w:val="auto"/>
        </w:rPr>
      </w:pPr>
      <w:r>
        <w:rPr>
          <w:rFonts w:ascii="Arial" w:cs="Arial" w:eastAsia="Arial" w:hAnsi="Arial"/>
          <w:sz w:val="20"/>
          <w:szCs w:val="20"/>
          <w:color w:val="auto"/>
        </w:rPr>
        <w:t>________________________</w:t>
      </w:r>
    </w:p>
    <w:p>
      <w:pPr>
        <w:spacing w:after="0" w:line="200" w:lineRule="exact"/>
        <w:rPr>
          <w:sz w:val="20"/>
          <w:szCs w:val="20"/>
          <w:color w:val="auto"/>
        </w:rPr>
      </w:pPr>
    </w:p>
    <w:p>
      <w:pPr>
        <w:spacing w:after="0" w:line="224" w:lineRule="exact"/>
        <w:rPr>
          <w:sz w:val="20"/>
          <w:szCs w:val="20"/>
          <w:color w:val="auto"/>
        </w:rPr>
      </w:pPr>
    </w:p>
    <w:p>
      <w:pPr>
        <w:ind w:left="600"/>
        <w:spacing w:after="0"/>
        <w:rPr>
          <w:sz w:val="20"/>
          <w:szCs w:val="20"/>
          <w:color w:val="auto"/>
        </w:rPr>
      </w:pPr>
      <w:r>
        <w:rPr>
          <w:rFonts w:ascii="Arial" w:cs="Arial" w:eastAsia="Arial" w:hAnsi="Arial"/>
          <w:sz w:val="19"/>
          <w:szCs w:val="19"/>
          <w:color w:val="auto"/>
        </w:rPr>
        <w:t>NOTICE IS HEREBY GIVEN that the Annual Meeting of Shareholders of CROWN HOLDINGS, INC. (the “Company”) will be</w:t>
      </w:r>
    </w:p>
    <w:p>
      <w:pPr>
        <w:spacing w:after="0" w:line="25" w:lineRule="exact"/>
        <w:rPr>
          <w:sz w:val="20"/>
          <w:szCs w:val="20"/>
          <w:color w:val="auto"/>
        </w:rPr>
      </w:pPr>
    </w:p>
    <w:p>
      <w:pPr>
        <w:jc w:val="both"/>
        <w:spacing w:after="0" w:line="216" w:lineRule="auto"/>
        <w:rPr>
          <w:sz w:val="20"/>
          <w:szCs w:val="20"/>
          <w:color w:val="auto"/>
        </w:rPr>
      </w:pPr>
      <w:r>
        <w:rPr>
          <w:rFonts w:ascii="Arial" w:cs="Arial" w:eastAsia="Arial" w:hAnsi="Arial"/>
          <w:sz w:val="20"/>
          <w:szCs w:val="20"/>
          <w:color w:val="auto"/>
        </w:rPr>
        <w:t>held at the Company’s Corporate Headquarters located at 770 Township Line Road, Yardley, Pennsylvania on the 23</w:t>
      </w:r>
      <w:r>
        <w:rPr>
          <w:rFonts w:ascii="Arial" w:cs="Arial" w:eastAsia="Arial" w:hAnsi="Arial"/>
          <w:sz w:val="33"/>
          <w:szCs w:val="33"/>
          <w:color w:val="auto"/>
          <w:vertAlign w:val="superscript"/>
        </w:rPr>
        <w:t>rd</w:t>
      </w:r>
      <w:r>
        <w:rPr>
          <w:rFonts w:ascii="Arial" w:cs="Arial" w:eastAsia="Arial" w:hAnsi="Arial"/>
          <w:sz w:val="20"/>
          <w:szCs w:val="20"/>
          <w:color w:val="auto"/>
        </w:rPr>
        <w:t xml:space="preserve"> day of April 2020 at 9:30 a.m. local time to elect Directors; to ratify the appointment of independent auditors for the fiscal year ending December 31, 2020; to vote on an advisory resolution to approve executive compensation for the Named Executive Officers as disclosed in this Proxy Statement (the “Say-on-Pay” vote); if properly presented, to consider and act upon a Shareholder proposal; and to transact such other business as may properly come before the Annual Meeting.</w:t>
      </w:r>
    </w:p>
    <w:p>
      <w:pPr>
        <w:spacing w:after="0" w:line="174" w:lineRule="exact"/>
        <w:rPr>
          <w:sz w:val="20"/>
          <w:szCs w:val="20"/>
          <w:color w:val="auto"/>
        </w:rPr>
      </w:pPr>
    </w:p>
    <w:p>
      <w:pPr>
        <w:ind w:left="600"/>
        <w:spacing w:after="0"/>
        <w:rPr>
          <w:sz w:val="20"/>
          <w:szCs w:val="20"/>
          <w:color w:val="auto"/>
        </w:rPr>
      </w:pPr>
      <w:r>
        <w:rPr>
          <w:rFonts w:ascii="Arial" w:cs="Arial" w:eastAsia="Arial" w:hAnsi="Arial"/>
          <w:sz w:val="20"/>
          <w:szCs w:val="20"/>
          <w:color w:val="auto"/>
        </w:rPr>
        <w:t>Only Shareholders of Common Stock of record as of the close of business on March 3, 2020 will be entitled to vote.</w:t>
      </w:r>
    </w:p>
    <w:p>
      <w:pPr>
        <w:spacing w:after="0" w:line="200" w:lineRule="exact"/>
        <w:rPr>
          <w:sz w:val="20"/>
          <w:szCs w:val="20"/>
          <w:color w:val="auto"/>
        </w:rPr>
      </w:pPr>
    </w:p>
    <w:p>
      <w:pPr>
        <w:spacing w:after="0" w:line="240" w:lineRule="exact"/>
        <w:rPr>
          <w:sz w:val="20"/>
          <w:szCs w:val="20"/>
          <w:color w:val="auto"/>
        </w:rPr>
      </w:pPr>
    </w:p>
    <w:p>
      <w:pPr>
        <w:jc w:val="center"/>
        <w:ind w:left="4320"/>
        <w:spacing w:after="0"/>
        <w:rPr>
          <w:sz w:val="20"/>
          <w:szCs w:val="20"/>
          <w:color w:val="auto"/>
        </w:rPr>
      </w:pPr>
      <w:r>
        <w:rPr>
          <w:rFonts w:ascii="Arial" w:cs="Arial" w:eastAsia="Arial" w:hAnsi="Arial"/>
          <w:sz w:val="20"/>
          <w:szCs w:val="20"/>
          <w:i w:val="1"/>
          <w:iCs w:val="1"/>
          <w:color w:val="auto"/>
        </w:rPr>
        <w:t>By Order of the Board of Directors</w:t>
      </w:r>
    </w:p>
    <w:p>
      <w:pPr>
        <w:spacing w:after="0" w:line="217" w:lineRule="exact"/>
        <w:rPr>
          <w:sz w:val="20"/>
          <w:szCs w:val="20"/>
          <w:color w:val="auto"/>
        </w:rPr>
      </w:pPr>
    </w:p>
    <w:p>
      <w:pPr>
        <w:jc w:val="center"/>
        <w:ind w:left="4320"/>
        <w:spacing w:after="0"/>
        <w:rPr>
          <w:sz w:val="20"/>
          <w:szCs w:val="20"/>
          <w:color w:val="auto"/>
        </w:rPr>
      </w:pPr>
      <w:r>
        <w:rPr>
          <w:rFonts w:ascii="Arial" w:cs="Arial" w:eastAsia="Arial" w:hAnsi="Arial"/>
          <w:sz w:val="20"/>
          <w:szCs w:val="20"/>
          <w:color w:val="auto"/>
        </w:rPr>
        <w:t>ADAM J. DICKSTEIN</w:t>
      </w:r>
    </w:p>
    <w:p>
      <w:pPr>
        <w:spacing w:after="0" w:line="9" w:lineRule="exact"/>
        <w:rPr>
          <w:sz w:val="20"/>
          <w:szCs w:val="20"/>
          <w:color w:val="auto"/>
        </w:rPr>
      </w:pPr>
    </w:p>
    <w:p>
      <w:pPr>
        <w:jc w:val="center"/>
        <w:ind w:left="4340"/>
        <w:spacing w:after="0"/>
        <w:rPr>
          <w:sz w:val="20"/>
          <w:szCs w:val="20"/>
          <w:color w:val="auto"/>
        </w:rPr>
      </w:pPr>
      <w:r>
        <w:rPr>
          <w:rFonts w:ascii="Arial" w:cs="Arial" w:eastAsia="Arial" w:hAnsi="Arial"/>
          <w:sz w:val="20"/>
          <w:szCs w:val="20"/>
          <w:color w:val="auto"/>
        </w:rPr>
        <w:t>Corporate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Yardley, Pennsylvania</w:t>
      </w:r>
    </w:p>
    <w:p>
      <w:pPr>
        <w:spacing w:after="0" w:line="9" w:lineRule="exact"/>
        <w:rPr>
          <w:sz w:val="20"/>
          <w:szCs w:val="20"/>
          <w:color w:val="auto"/>
        </w:rPr>
      </w:pPr>
    </w:p>
    <w:p>
      <w:pPr>
        <w:spacing w:after="0"/>
        <w:rPr>
          <w:sz w:val="20"/>
          <w:szCs w:val="20"/>
          <w:color w:val="auto"/>
        </w:rPr>
      </w:pPr>
      <w:r>
        <w:rPr>
          <w:rFonts w:ascii="Arial" w:cs="Arial" w:eastAsia="Arial" w:hAnsi="Arial"/>
          <w:sz w:val="20"/>
          <w:szCs w:val="20"/>
          <w:color w:val="auto"/>
        </w:rPr>
        <w:t>March 16,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Important Notice Regarding the Availability of Proxy Materials for the</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Shareholder Meeting to Be Held on April 23, 2020:</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The Proxy Statement and Proxy Card relating to the Annual Meeting of Shareholders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and the Annual Report to Shareholders are available at</w:t>
      </w:r>
    </w:p>
    <w:p>
      <w:pPr>
        <w:jc w:val="center"/>
        <w:spacing w:after="0"/>
        <w:rPr>
          <w:sz w:val="20"/>
          <w:szCs w:val="20"/>
          <w:color w:val="auto"/>
        </w:rPr>
      </w:pPr>
      <w:r>
        <w:rPr>
          <w:rFonts w:ascii="Arial" w:cs="Arial" w:eastAsia="Arial" w:hAnsi="Arial"/>
          <w:sz w:val="20"/>
          <w:szCs w:val="20"/>
          <w:u w:val="single" w:color="auto"/>
          <w:color w:val="29650B"/>
        </w:rPr>
        <w:t>https://www.crowncork.com/investors/proxy-online</w:t>
      </w:r>
    </w:p>
    <w:p>
      <w:pPr>
        <w:sectPr>
          <w:pgSz w:w="11900" w:h="16838" w:orient="portrait"/>
          <w:cols w:equalWidth="0" w:num="1">
            <w:col w:w="11240"/>
          </w:cols>
          <w:pgMar w:left="320" w:top="1440" w:right="339" w:bottom="1440" w:gutter="0" w:footer="0" w:header="0"/>
        </w:sectPr>
      </w:pPr>
    </w:p>
    <w:bookmarkStart w:id="2" w:name="page3"/>
    <w:bookmarkEnd w:id="2"/>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3" w:name="page4"/>
    <w:bookmarkEnd w:id="3"/>
    <w:p>
      <w:pPr>
        <w:spacing w:after="0"/>
        <w:rPr>
          <w:sz w:val="20"/>
          <w:szCs w:val="20"/>
          <w:color w:val="auto"/>
        </w:rPr>
      </w:pPr>
      <w:r>
        <w:rPr>
          <w:rFonts w:ascii="Arial" w:cs="Arial" w:eastAsia="Arial" w:hAnsi="Arial"/>
          <w:sz w:val="29"/>
          <w:szCs w:val="29"/>
          <w:b w:val="1"/>
          <w:bCs w:val="1"/>
          <w:color w:val="29650B"/>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25400</wp:posOffset>
            </wp:positionV>
            <wp:extent cx="7143750" cy="317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3750" cy="31750"/>
                    </a:xfrm>
                    <a:prstGeom prst="rect">
                      <a:avLst/>
                    </a:prstGeom>
                    <a:noFill/>
                  </pic:spPr>
                </pic:pic>
              </a:graphicData>
            </a:graphic>
          </wp:anchor>
        </w:drawing>
      </w:r>
    </w:p>
    <w:p>
      <w:pPr>
        <w:sectPr>
          <w:pgSz w:w="11900" w:h="16838" w:orient="portrait"/>
          <w:cols w:equalWidth="0" w:num="1">
            <w:col w:w="10520"/>
          </w:cols>
          <w:pgMar w:left="320" w:top="547" w:right="1059" w:bottom="1440" w:gutter="0" w:footer="0" w:header="0"/>
        </w:sectPr>
      </w:pPr>
    </w:p>
    <w:p>
      <w:pPr>
        <w:spacing w:after="0" w:line="280" w:lineRule="exact"/>
        <w:rPr>
          <w:sz w:val="20"/>
          <w:szCs w:val="20"/>
          <w:color w:val="auto"/>
        </w:rPr>
      </w:pPr>
    </w:p>
    <w:tbl>
      <w:tblPr>
        <w:tblLayout w:type="fixed"/>
        <w:tblInd w:w="80" w:type="dxa"/>
        <w:tblCellMar>
          <w:top w:w="0" w:type="dxa"/>
          <w:left w:w="0" w:type="dxa"/>
          <w:bottom w:w="0" w:type="dxa"/>
          <w:right w:w="0" w:type="dxa"/>
        </w:tblCellMar>
      </w:tblPr>
      <w:tr>
        <w:trPr>
          <w:trHeight w:val="236"/>
        </w:trPr>
        <w:tc>
          <w:tcPr>
            <w:tcW w:w="8640" w:type="dxa"/>
            <w:vAlign w:val="bottom"/>
          </w:tcPr>
          <w:p>
            <w:pPr>
              <w:spacing w:after="0"/>
              <w:rPr>
                <w:sz w:val="20"/>
                <w:szCs w:val="20"/>
                <w:color w:val="auto"/>
              </w:rPr>
            </w:pPr>
            <w:r>
              <w:rPr>
                <w:rFonts w:ascii="Arial" w:cs="Arial" w:eastAsia="Arial" w:hAnsi="Arial"/>
                <w:sz w:val="18"/>
                <w:szCs w:val="18"/>
                <w:b w:val="1"/>
                <w:bCs w:val="1"/>
                <w:color w:val="auto"/>
              </w:rPr>
              <w:t>2020 Proxy Statement Summary</w:t>
            </w:r>
          </w:p>
        </w:tc>
        <w:tc>
          <w:tcPr>
            <w:tcW w:w="1800" w:type="dxa"/>
            <w:vAlign w:val="bottom"/>
          </w:tcPr>
          <w:p>
            <w:pPr>
              <w:ind w:left="1620"/>
              <w:spacing w:after="0"/>
              <w:rPr>
                <w:sz w:val="20"/>
                <w:szCs w:val="20"/>
                <w:color w:val="auto"/>
              </w:rPr>
            </w:pPr>
            <w:r>
              <w:rPr>
                <w:rFonts w:ascii="Arial" w:cs="Arial" w:eastAsia="Arial" w:hAnsi="Arial"/>
                <w:sz w:val="18"/>
                <w:szCs w:val="18"/>
                <w:b w:val="1"/>
                <w:bCs w:val="1"/>
                <w:color w:val="auto"/>
              </w:rPr>
              <w:t>1</w:t>
            </w:r>
          </w:p>
        </w:tc>
      </w:tr>
      <w:tr>
        <w:trPr>
          <w:trHeight w:val="372"/>
        </w:trPr>
        <w:tc>
          <w:tcPr>
            <w:tcW w:w="8640" w:type="dxa"/>
            <w:vAlign w:val="bottom"/>
          </w:tcPr>
          <w:p>
            <w:pPr>
              <w:spacing w:after="0"/>
              <w:rPr>
                <w:sz w:val="20"/>
                <w:szCs w:val="20"/>
                <w:color w:val="auto"/>
              </w:rPr>
            </w:pPr>
            <w:r>
              <w:rPr>
                <w:rFonts w:ascii="Arial" w:cs="Arial" w:eastAsia="Arial" w:hAnsi="Arial"/>
                <w:sz w:val="18"/>
                <w:szCs w:val="18"/>
                <w:b w:val="1"/>
                <w:bCs w:val="1"/>
                <w:color w:val="auto"/>
              </w:rPr>
              <w:t>Questions &amp; Answers about the 2020 Annual Meeting</w:t>
            </w:r>
          </w:p>
        </w:tc>
        <w:tc>
          <w:tcPr>
            <w:tcW w:w="1800" w:type="dxa"/>
            <w:vAlign w:val="bottom"/>
          </w:tcPr>
          <w:p>
            <w:pPr>
              <w:ind w:left="1620"/>
              <w:spacing w:after="0"/>
              <w:rPr>
                <w:sz w:val="20"/>
                <w:szCs w:val="20"/>
                <w:color w:val="auto"/>
              </w:rPr>
            </w:pPr>
            <w:r>
              <w:rPr>
                <w:rFonts w:ascii="Arial" w:cs="Arial" w:eastAsia="Arial" w:hAnsi="Arial"/>
                <w:sz w:val="18"/>
                <w:szCs w:val="18"/>
                <w:b w:val="1"/>
                <w:bCs w:val="1"/>
                <w:color w:val="auto"/>
                <w:w w:val="79"/>
              </w:rPr>
              <w:t>13</w:t>
            </w:r>
          </w:p>
        </w:tc>
      </w:tr>
      <w:tr>
        <w:trPr>
          <w:trHeight w:val="372"/>
        </w:trPr>
        <w:tc>
          <w:tcPr>
            <w:tcW w:w="8640" w:type="dxa"/>
            <w:vAlign w:val="bottom"/>
          </w:tcPr>
          <w:p>
            <w:pPr>
              <w:spacing w:after="0"/>
              <w:rPr>
                <w:sz w:val="20"/>
                <w:szCs w:val="20"/>
                <w:color w:val="auto"/>
              </w:rPr>
            </w:pPr>
            <w:r>
              <w:rPr>
                <w:rFonts w:ascii="Arial" w:cs="Arial" w:eastAsia="Arial" w:hAnsi="Arial"/>
                <w:sz w:val="18"/>
                <w:szCs w:val="18"/>
                <w:b w:val="1"/>
                <w:bCs w:val="1"/>
                <w:color w:val="auto"/>
              </w:rPr>
              <w:t>Proposal 1: Election of Directors</w:t>
            </w:r>
          </w:p>
        </w:tc>
        <w:tc>
          <w:tcPr>
            <w:tcW w:w="1800" w:type="dxa"/>
            <w:vAlign w:val="bottom"/>
          </w:tcPr>
          <w:p>
            <w:pPr>
              <w:ind w:left="1620"/>
              <w:spacing w:after="0"/>
              <w:rPr>
                <w:sz w:val="20"/>
                <w:szCs w:val="20"/>
                <w:color w:val="auto"/>
              </w:rPr>
            </w:pPr>
            <w:r>
              <w:rPr>
                <w:rFonts w:ascii="Arial" w:cs="Arial" w:eastAsia="Arial" w:hAnsi="Arial"/>
                <w:sz w:val="18"/>
                <w:szCs w:val="18"/>
                <w:b w:val="1"/>
                <w:bCs w:val="1"/>
                <w:color w:val="auto"/>
                <w:w w:val="79"/>
              </w:rPr>
              <w:t>19</w:t>
            </w:r>
          </w:p>
        </w:tc>
      </w:tr>
      <w:tr>
        <w:trPr>
          <w:trHeight w:val="372"/>
        </w:trPr>
        <w:tc>
          <w:tcPr>
            <w:tcW w:w="8640" w:type="dxa"/>
            <w:vAlign w:val="bottom"/>
          </w:tcPr>
          <w:p>
            <w:pPr>
              <w:spacing w:after="0"/>
              <w:rPr>
                <w:sz w:val="20"/>
                <w:szCs w:val="20"/>
                <w:color w:val="auto"/>
              </w:rPr>
            </w:pPr>
            <w:r>
              <w:rPr>
                <w:rFonts w:ascii="Arial" w:cs="Arial" w:eastAsia="Arial" w:hAnsi="Arial"/>
                <w:sz w:val="18"/>
                <w:szCs w:val="18"/>
                <w:b w:val="1"/>
                <w:bCs w:val="1"/>
                <w:color w:val="auto"/>
              </w:rPr>
              <w:t>Director Compensation</w:t>
            </w:r>
          </w:p>
        </w:tc>
        <w:tc>
          <w:tcPr>
            <w:tcW w:w="1800" w:type="dxa"/>
            <w:vAlign w:val="bottom"/>
          </w:tcPr>
          <w:p>
            <w:pPr>
              <w:ind w:left="1620"/>
              <w:spacing w:after="0"/>
              <w:rPr>
                <w:sz w:val="20"/>
                <w:szCs w:val="20"/>
                <w:color w:val="auto"/>
              </w:rPr>
            </w:pPr>
            <w:r>
              <w:rPr>
                <w:rFonts w:ascii="Arial" w:cs="Arial" w:eastAsia="Arial" w:hAnsi="Arial"/>
                <w:sz w:val="18"/>
                <w:szCs w:val="18"/>
                <w:b w:val="1"/>
                <w:bCs w:val="1"/>
                <w:color w:val="auto"/>
                <w:w w:val="79"/>
              </w:rPr>
              <w:t>23</w:t>
            </w:r>
          </w:p>
        </w:tc>
      </w:tr>
      <w:tr>
        <w:trPr>
          <w:trHeight w:val="372"/>
        </w:trPr>
        <w:tc>
          <w:tcPr>
            <w:tcW w:w="8640" w:type="dxa"/>
            <w:vAlign w:val="bottom"/>
          </w:tcPr>
          <w:p>
            <w:pPr>
              <w:spacing w:after="0"/>
              <w:rPr>
                <w:sz w:val="20"/>
                <w:szCs w:val="20"/>
                <w:color w:val="auto"/>
              </w:rPr>
            </w:pPr>
            <w:r>
              <w:rPr>
                <w:rFonts w:ascii="Arial" w:cs="Arial" w:eastAsia="Arial" w:hAnsi="Arial"/>
                <w:sz w:val="18"/>
                <w:szCs w:val="18"/>
                <w:b w:val="1"/>
                <w:bCs w:val="1"/>
                <w:color w:val="auto"/>
              </w:rPr>
              <w:t>Common Stock Ownership of Certain Beneficial Owners, Directors and Executive Officers</w:t>
            </w:r>
          </w:p>
        </w:tc>
        <w:tc>
          <w:tcPr>
            <w:tcW w:w="1800" w:type="dxa"/>
            <w:vAlign w:val="bottom"/>
          </w:tcPr>
          <w:p>
            <w:pPr>
              <w:ind w:left="1620"/>
              <w:spacing w:after="0"/>
              <w:rPr>
                <w:sz w:val="20"/>
                <w:szCs w:val="20"/>
                <w:color w:val="auto"/>
              </w:rPr>
            </w:pPr>
            <w:r>
              <w:rPr>
                <w:rFonts w:ascii="Arial" w:cs="Arial" w:eastAsia="Arial" w:hAnsi="Arial"/>
                <w:sz w:val="18"/>
                <w:szCs w:val="18"/>
                <w:b w:val="1"/>
                <w:bCs w:val="1"/>
                <w:color w:val="auto"/>
                <w:w w:val="79"/>
              </w:rPr>
              <w:t>25</w:t>
            </w:r>
          </w:p>
        </w:tc>
      </w:tr>
      <w:tr>
        <w:trPr>
          <w:trHeight w:val="372"/>
        </w:trPr>
        <w:tc>
          <w:tcPr>
            <w:tcW w:w="8640" w:type="dxa"/>
            <w:vAlign w:val="bottom"/>
          </w:tcPr>
          <w:p>
            <w:pPr>
              <w:spacing w:after="0"/>
              <w:rPr>
                <w:sz w:val="20"/>
                <w:szCs w:val="20"/>
                <w:color w:val="auto"/>
              </w:rPr>
            </w:pPr>
            <w:r>
              <w:rPr>
                <w:rFonts w:ascii="Arial" w:cs="Arial" w:eastAsia="Arial" w:hAnsi="Arial"/>
                <w:sz w:val="18"/>
                <w:szCs w:val="18"/>
                <w:b w:val="1"/>
                <w:bCs w:val="1"/>
                <w:color w:val="auto"/>
              </w:rPr>
              <w:t>Corporate Governance</w:t>
            </w:r>
          </w:p>
        </w:tc>
        <w:tc>
          <w:tcPr>
            <w:tcW w:w="1800" w:type="dxa"/>
            <w:vAlign w:val="bottom"/>
          </w:tcPr>
          <w:p>
            <w:pPr>
              <w:ind w:left="1620"/>
              <w:spacing w:after="0"/>
              <w:rPr>
                <w:sz w:val="20"/>
                <w:szCs w:val="20"/>
                <w:color w:val="auto"/>
              </w:rPr>
            </w:pPr>
            <w:r>
              <w:rPr>
                <w:rFonts w:ascii="Arial" w:cs="Arial" w:eastAsia="Arial" w:hAnsi="Arial"/>
                <w:sz w:val="18"/>
                <w:szCs w:val="18"/>
                <w:b w:val="1"/>
                <w:bCs w:val="1"/>
                <w:color w:val="auto"/>
                <w:w w:val="79"/>
              </w:rPr>
              <w:t>27</w:t>
            </w:r>
          </w:p>
        </w:tc>
      </w:tr>
      <w:tr>
        <w:trPr>
          <w:trHeight w:val="372"/>
        </w:trPr>
        <w:tc>
          <w:tcPr>
            <w:tcW w:w="8640" w:type="dxa"/>
            <w:vAlign w:val="bottom"/>
          </w:tcPr>
          <w:p>
            <w:pPr>
              <w:spacing w:after="0"/>
              <w:rPr>
                <w:sz w:val="20"/>
                <w:szCs w:val="20"/>
                <w:color w:val="auto"/>
              </w:rPr>
            </w:pPr>
            <w:r>
              <w:rPr>
                <w:rFonts w:ascii="Arial" w:cs="Arial" w:eastAsia="Arial" w:hAnsi="Arial"/>
                <w:sz w:val="18"/>
                <w:szCs w:val="18"/>
                <w:b w:val="1"/>
                <w:bCs w:val="1"/>
                <w:color w:val="auto"/>
              </w:rPr>
              <w:t>Compensation Discussion and Analysis</w:t>
            </w:r>
          </w:p>
        </w:tc>
        <w:tc>
          <w:tcPr>
            <w:tcW w:w="1800" w:type="dxa"/>
            <w:vAlign w:val="bottom"/>
          </w:tcPr>
          <w:p>
            <w:pPr>
              <w:ind w:left="1620"/>
              <w:spacing w:after="0"/>
              <w:rPr>
                <w:sz w:val="20"/>
                <w:szCs w:val="20"/>
                <w:color w:val="auto"/>
              </w:rPr>
            </w:pPr>
            <w:r>
              <w:rPr>
                <w:rFonts w:ascii="Arial" w:cs="Arial" w:eastAsia="Arial" w:hAnsi="Arial"/>
                <w:sz w:val="18"/>
                <w:szCs w:val="18"/>
                <w:b w:val="1"/>
                <w:bCs w:val="1"/>
                <w:color w:val="auto"/>
                <w:w w:val="79"/>
              </w:rPr>
              <w:t>31</w:t>
            </w:r>
          </w:p>
        </w:tc>
      </w:tr>
      <w:tr>
        <w:trPr>
          <w:trHeight w:val="326"/>
        </w:trPr>
        <w:tc>
          <w:tcPr>
            <w:tcW w:w="8640" w:type="dxa"/>
            <w:vAlign w:val="bottom"/>
          </w:tcPr>
          <w:p>
            <w:pPr>
              <w:ind w:left="280"/>
              <w:spacing w:after="0"/>
              <w:rPr>
                <w:sz w:val="20"/>
                <w:szCs w:val="20"/>
                <w:color w:val="auto"/>
              </w:rPr>
            </w:pPr>
            <w:r>
              <w:rPr>
                <w:rFonts w:ascii="Arial" w:cs="Arial" w:eastAsia="Arial" w:hAnsi="Arial"/>
                <w:sz w:val="18"/>
                <w:szCs w:val="18"/>
                <w:color w:val="auto"/>
              </w:rPr>
              <w:t>2019 Say-On-Pay Vote Results</w:t>
            </w:r>
          </w:p>
        </w:tc>
        <w:tc>
          <w:tcPr>
            <w:tcW w:w="1800" w:type="dxa"/>
            <w:vAlign w:val="bottom"/>
          </w:tcPr>
          <w:p>
            <w:pPr>
              <w:ind w:left="1620"/>
              <w:spacing w:after="0"/>
              <w:rPr>
                <w:sz w:val="20"/>
                <w:szCs w:val="20"/>
                <w:color w:val="auto"/>
              </w:rPr>
            </w:pPr>
            <w:r>
              <w:rPr>
                <w:rFonts w:ascii="Arial" w:cs="Arial" w:eastAsia="Arial" w:hAnsi="Arial"/>
                <w:sz w:val="18"/>
                <w:szCs w:val="18"/>
                <w:color w:val="auto"/>
                <w:w w:val="79"/>
              </w:rPr>
              <w:t>31</w:t>
            </w:r>
          </w:p>
        </w:tc>
      </w:tr>
      <w:tr>
        <w:trPr>
          <w:trHeight w:val="186"/>
        </w:trPr>
        <w:tc>
          <w:tcPr>
            <w:tcW w:w="8640" w:type="dxa"/>
            <w:vAlign w:val="bottom"/>
          </w:tcPr>
          <w:p>
            <w:pPr>
              <w:ind w:left="280"/>
              <w:spacing w:after="0" w:line="186" w:lineRule="exact"/>
              <w:rPr>
                <w:sz w:val="20"/>
                <w:szCs w:val="20"/>
                <w:color w:val="auto"/>
              </w:rPr>
            </w:pPr>
            <w:r>
              <w:rPr>
                <w:rFonts w:ascii="Arial" w:cs="Arial" w:eastAsia="Arial" w:hAnsi="Arial"/>
                <w:sz w:val="18"/>
                <w:szCs w:val="18"/>
                <w:color w:val="auto"/>
              </w:rPr>
              <w:t>At-Risk Compensation</w:t>
            </w:r>
          </w:p>
        </w:tc>
        <w:tc>
          <w:tcPr>
            <w:tcW w:w="1800" w:type="dxa"/>
            <w:vAlign w:val="bottom"/>
          </w:tcPr>
          <w:p>
            <w:pPr>
              <w:ind w:left="1620"/>
              <w:spacing w:after="0" w:line="186" w:lineRule="exact"/>
              <w:rPr>
                <w:sz w:val="20"/>
                <w:szCs w:val="20"/>
                <w:color w:val="auto"/>
              </w:rPr>
            </w:pPr>
            <w:r>
              <w:rPr>
                <w:rFonts w:ascii="Arial" w:cs="Arial" w:eastAsia="Arial" w:hAnsi="Arial"/>
                <w:sz w:val="18"/>
                <w:szCs w:val="18"/>
                <w:color w:val="auto"/>
                <w:w w:val="79"/>
              </w:rPr>
              <w:t>32</w:t>
            </w:r>
          </w:p>
        </w:tc>
      </w:tr>
      <w:tr>
        <w:trPr>
          <w:trHeight w:val="186"/>
        </w:trPr>
        <w:tc>
          <w:tcPr>
            <w:tcW w:w="8640" w:type="dxa"/>
            <w:vAlign w:val="bottom"/>
          </w:tcPr>
          <w:p>
            <w:pPr>
              <w:ind w:left="280"/>
              <w:spacing w:after="0" w:line="186" w:lineRule="exact"/>
              <w:rPr>
                <w:sz w:val="20"/>
                <w:szCs w:val="20"/>
                <w:color w:val="auto"/>
              </w:rPr>
            </w:pPr>
            <w:r>
              <w:rPr>
                <w:rFonts w:ascii="Arial" w:cs="Arial" w:eastAsia="Arial" w:hAnsi="Arial"/>
                <w:sz w:val="18"/>
                <w:szCs w:val="18"/>
                <w:color w:val="auto"/>
              </w:rPr>
              <w:t>Pay-for-Performance Alignment - Performance-Based Shares</w:t>
            </w:r>
          </w:p>
        </w:tc>
        <w:tc>
          <w:tcPr>
            <w:tcW w:w="1800" w:type="dxa"/>
            <w:vAlign w:val="bottom"/>
          </w:tcPr>
          <w:p>
            <w:pPr>
              <w:ind w:left="1620"/>
              <w:spacing w:after="0" w:line="186" w:lineRule="exact"/>
              <w:rPr>
                <w:sz w:val="20"/>
                <w:szCs w:val="20"/>
                <w:color w:val="auto"/>
              </w:rPr>
            </w:pPr>
            <w:r>
              <w:rPr>
                <w:rFonts w:ascii="Arial" w:cs="Arial" w:eastAsia="Arial" w:hAnsi="Arial"/>
                <w:sz w:val="18"/>
                <w:szCs w:val="18"/>
                <w:color w:val="auto"/>
                <w:w w:val="79"/>
              </w:rPr>
              <w:t>33</w:t>
            </w:r>
          </w:p>
        </w:tc>
      </w:tr>
      <w:tr>
        <w:trPr>
          <w:trHeight w:val="186"/>
        </w:trPr>
        <w:tc>
          <w:tcPr>
            <w:tcW w:w="8640" w:type="dxa"/>
            <w:vAlign w:val="bottom"/>
          </w:tcPr>
          <w:p>
            <w:pPr>
              <w:ind w:left="280"/>
              <w:spacing w:after="0" w:line="186" w:lineRule="exact"/>
              <w:rPr>
                <w:sz w:val="20"/>
                <w:szCs w:val="20"/>
                <w:color w:val="auto"/>
              </w:rPr>
            </w:pPr>
            <w:r>
              <w:rPr>
                <w:rFonts w:ascii="Arial" w:cs="Arial" w:eastAsia="Arial" w:hAnsi="Arial"/>
                <w:sz w:val="18"/>
                <w:szCs w:val="18"/>
                <w:color w:val="auto"/>
              </w:rPr>
              <w:t>Role of the Compensation Committee</w:t>
            </w:r>
          </w:p>
        </w:tc>
        <w:tc>
          <w:tcPr>
            <w:tcW w:w="1800" w:type="dxa"/>
            <w:vAlign w:val="bottom"/>
          </w:tcPr>
          <w:p>
            <w:pPr>
              <w:ind w:left="1620"/>
              <w:spacing w:after="0" w:line="186" w:lineRule="exact"/>
              <w:rPr>
                <w:sz w:val="20"/>
                <w:szCs w:val="20"/>
                <w:color w:val="auto"/>
              </w:rPr>
            </w:pPr>
            <w:r>
              <w:rPr>
                <w:rFonts w:ascii="Arial" w:cs="Arial" w:eastAsia="Arial" w:hAnsi="Arial"/>
                <w:sz w:val="18"/>
                <w:szCs w:val="18"/>
                <w:color w:val="auto"/>
                <w:w w:val="79"/>
              </w:rPr>
              <w:t>33</w:t>
            </w:r>
          </w:p>
        </w:tc>
      </w:tr>
      <w:tr>
        <w:trPr>
          <w:trHeight w:val="186"/>
        </w:trPr>
        <w:tc>
          <w:tcPr>
            <w:tcW w:w="8640" w:type="dxa"/>
            <w:vAlign w:val="bottom"/>
          </w:tcPr>
          <w:p>
            <w:pPr>
              <w:ind w:left="280"/>
              <w:spacing w:after="0" w:line="186" w:lineRule="exact"/>
              <w:rPr>
                <w:sz w:val="20"/>
                <w:szCs w:val="20"/>
                <w:color w:val="auto"/>
              </w:rPr>
            </w:pPr>
            <w:r>
              <w:rPr>
                <w:rFonts w:ascii="Arial" w:cs="Arial" w:eastAsia="Arial" w:hAnsi="Arial"/>
                <w:sz w:val="18"/>
                <w:szCs w:val="18"/>
                <w:color w:val="auto"/>
              </w:rPr>
              <w:t>Compensation Philosophy and Objectives</w:t>
            </w:r>
          </w:p>
        </w:tc>
        <w:tc>
          <w:tcPr>
            <w:tcW w:w="1800" w:type="dxa"/>
            <w:vAlign w:val="bottom"/>
          </w:tcPr>
          <w:p>
            <w:pPr>
              <w:ind w:left="1620"/>
              <w:spacing w:after="0" w:line="186" w:lineRule="exact"/>
              <w:rPr>
                <w:sz w:val="20"/>
                <w:szCs w:val="20"/>
                <w:color w:val="auto"/>
              </w:rPr>
            </w:pPr>
            <w:r>
              <w:rPr>
                <w:rFonts w:ascii="Arial" w:cs="Arial" w:eastAsia="Arial" w:hAnsi="Arial"/>
                <w:sz w:val="18"/>
                <w:szCs w:val="18"/>
                <w:color w:val="auto"/>
                <w:w w:val="79"/>
              </w:rPr>
              <w:t>33</w:t>
            </w:r>
          </w:p>
        </w:tc>
      </w:tr>
      <w:tr>
        <w:trPr>
          <w:trHeight w:val="186"/>
        </w:trPr>
        <w:tc>
          <w:tcPr>
            <w:tcW w:w="8640" w:type="dxa"/>
            <w:vAlign w:val="bottom"/>
          </w:tcPr>
          <w:p>
            <w:pPr>
              <w:ind w:left="280"/>
              <w:spacing w:after="0" w:line="186" w:lineRule="exact"/>
              <w:rPr>
                <w:sz w:val="20"/>
                <w:szCs w:val="20"/>
                <w:color w:val="auto"/>
              </w:rPr>
            </w:pPr>
            <w:r>
              <w:rPr>
                <w:rFonts w:ascii="Arial" w:cs="Arial" w:eastAsia="Arial" w:hAnsi="Arial"/>
                <w:sz w:val="18"/>
                <w:szCs w:val="18"/>
                <w:color w:val="auto"/>
              </w:rPr>
              <w:t>Committee Process</w:t>
            </w:r>
          </w:p>
        </w:tc>
        <w:tc>
          <w:tcPr>
            <w:tcW w:w="1800" w:type="dxa"/>
            <w:vAlign w:val="bottom"/>
          </w:tcPr>
          <w:p>
            <w:pPr>
              <w:ind w:left="1620"/>
              <w:spacing w:after="0" w:line="186" w:lineRule="exact"/>
              <w:rPr>
                <w:sz w:val="20"/>
                <w:szCs w:val="20"/>
                <w:color w:val="auto"/>
              </w:rPr>
            </w:pPr>
            <w:r>
              <w:rPr>
                <w:rFonts w:ascii="Arial" w:cs="Arial" w:eastAsia="Arial" w:hAnsi="Arial"/>
                <w:sz w:val="18"/>
                <w:szCs w:val="18"/>
                <w:color w:val="auto"/>
                <w:w w:val="79"/>
              </w:rPr>
              <w:t>34</w:t>
            </w:r>
          </w:p>
        </w:tc>
      </w:tr>
      <w:tr>
        <w:trPr>
          <w:trHeight w:val="186"/>
        </w:trPr>
        <w:tc>
          <w:tcPr>
            <w:tcW w:w="8640" w:type="dxa"/>
            <w:vAlign w:val="bottom"/>
          </w:tcPr>
          <w:p>
            <w:pPr>
              <w:ind w:left="280"/>
              <w:spacing w:after="0" w:line="186" w:lineRule="exact"/>
              <w:rPr>
                <w:sz w:val="20"/>
                <w:szCs w:val="20"/>
                <w:color w:val="auto"/>
              </w:rPr>
            </w:pPr>
            <w:r>
              <w:rPr>
                <w:rFonts w:ascii="Arial" w:cs="Arial" w:eastAsia="Arial" w:hAnsi="Arial"/>
                <w:sz w:val="18"/>
                <w:szCs w:val="18"/>
                <w:color w:val="auto"/>
              </w:rPr>
              <w:t>Role of Executive Officers in Compensation Decisions</w:t>
            </w:r>
          </w:p>
        </w:tc>
        <w:tc>
          <w:tcPr>
            <w:tcW w:w="1800" w:type="dxa"/>
            <w:vAlign w:val="bottom"/>
          </w:tcPr>
          <w:p>
            <w:pPr>
              <w:ind w:left="1620"/>
              <w:spacing w:after="0" w:line="186" w:lineRule="exact"/>
              <w:rPr>
                <w:sz w:val="20"/>
                <w:szCs w:val="20"/>
                <w:color w:val="auto"/>
              </w:rPr>
            </w:pPr>
            <w:r>
              <w:rPr>
                <w:rFonts w:ascii="Arial" w:cs="Arial" w:eastAsia="Arial" w:hAnsi="Arial"/>
                <w:sz w:val="18"/>
                <w:szCs w:val="18"/>
                <w:color w:val="auto"/>
                <w:w w:val="79"/>
              </w:rPr>
              <w:t>35</w:t>
            </w:r>
          </w:p>
        </w:tc>
      </w:tr>
      <w:tr>
        <w:trPr>
          <w:trHeight w:val="186"/>
        </w:trPr>
        <w:tc>
          <w:tcPr>
            <w:tcW w:w="8640" w:type="dxa"/>
            <w:vAlign w:val="bottom"/>
          </w:tcPr>
          <w:p>
            <w:pPr>
              <w:ind w:left="280"/>
              <w:spacing w:after="0" w:line="186" w:lineRule="exact"/>
              <w:rPr>
                <w:sz w:val="20"/>
                <w:szCs w:val="20"/>
                <w:color w:val="auto"/>
              </w:rPr>
            </w:pPr>
            <w:r>
              <w:rPr>
                <w:rFonts w:ascii="Arial" w:cs="Arial" w:eastAsia="Arial" w:hAnsi="Arial"/>
                <w:sz w:val="18"/>
                <w:szCs w:val="18"/>
                <w:color w:val="auto"/>
              </w:rPr>
              <w:t>Executive Compensation Consultant</w:t>
            </w:r>
          </w:p>
        </w:tc>
        <w:tc>
          <w:tcPr>
            <w:tcW w:w="1800" w:type="dxa"/>
            <w:vAlign w:val="bottom"/>
          </w:tcPr>
          <w:p>
            <w:pPr>
              <w:ind w:left="1620"/>
              <w:spacing w:after="0" w:line="186" w:lineRule="exact"/>
              <w:rPr>
                <w:sz w:val="20"/>
                <w:szCs w:val="20"/>
                <w:color w:val="auto"/>
              </w:rPr>
            </w:pPr>
            <w:r>
              <w:rPr>
                <w:rFonts w:ascii="Arial" w:cs="Arial" w:eastAsia="Arial" w:hAnsi="Arial"/>
                <w:sz w:val="18"/>
                <w:szCs w:val="18"/>
                <w:color w:val="auto"/>
                <w:w w:val="79"/>
              </w:rPr>
              <w:t>35</w:t>
            </w:r>
          </w:p>
        </w:tc>
      </w:tr>
      <w:tr>
        <w:trPr>
          <w:trHeight w:val="186"/>
        </w:trPr>
        <w:tc>
          <w:tcPr>
            <w:tcW w:w="8640" w:type="dxa"/>
            <w:vAlign w:val="bottom"/>
          </w:tcPr>
          <w:p>
            <w:pPr>
              <w:ind w:left="280"/>
              <w:spacing w:after="0" w:line="186" w:lineRule="exact"/>
              <w:rPr>
                <w:sz w:val="20"/>
                <w:szCs w:val="20"/>
                <w:color w:val="auto"/>
              </w:rPr>
            </w:pPr>
            <w:r>
              <w:rPr>
                <w:rFonts w:ascii="Arial" w:cs="Arial" w:eastAsia="Arial" w:hAnsi="Arial"/>
                <w:sz w:val="18"/>
                <w:szCs w:val="18"/>
                <w:color w:val="auto"/>
              </w:rPr>
              <w:t>Use of Benchmarking</w:t>
            </w:r>
          </w:p>
        </w:tc>
        <w:tc>
          <w:tcPr>
            <w:tcW w:w="1800" w:type="dxa"/>
            <w:vAlign w:val="bottom"/>
          </w:tcPr>
          <w:p>
            <w:pPr>
              <w:ind w:left="1620"/>
              <w:spacing w:after="0" w:line="186" w:lineRule="exact"/>
              <w:rPr>
                <w:sz w:val="20"/>
                <w:szCs w:val="20"/>
                <w:color w:val="auto"/>
              </w:rPr>
            </w:pPr>
            <w:r>
              <w:rPr>
                <w:rFonts w:ascii="Arial" w:cs="Arial" w:eastAsia="Arial" w:hAnsi="Arial"/>
                <w:sz w:val="18"/>
                <w:szCs w:val="18"/>
                <w:color w:val="auto"/>
                <w:w w:val="79"/>
              </w:rPr>
              <w:t>35</w:t>
            </w:r>
          </w:p>
        </w:tc>
      </w:tr>
      <w:tr>
        <w:trPr>
          <w:trHeight w:val="186"/>
        </w:trPr>
        <w:tc>
          <w:tcPr>
            <w:tcW w:w="8640" w:type="dxa"/>
            <w:vAlign w:val="bottom"/>
          </w:tcPr>
          <w:p>
            <w:pPr>
              <w:ind w:left="280"/>
              <w:spacing w:after="0" w:line="186" w:lineRule="exact"/>
              <w:rPr>
                <w:sz w:val="20"/>
                <w:szCs w:val="20"/>
                <w:color w:val="auto"/>
              </w:rPr>
            </w:pPr>
            <w:r>
              <w:rPr>
                <w:rFonts w:ascii="Arial" w:cs="Arial" w:eastAsia="Arial" w:hAnsi="Arial"/>
                <w:sz w:val="18"/>
                <w:szCs w:val="18"/>
                <w:color w:val="auto"/>
              </w:rPr>
              <w:t>Peer Group Composition</w:t>
            </w:r>
          </w:p>
        </w:tc>
        <w:tc>
          <w:tcPr>
            <w:tcW w:w="1800" w:type="dxa"/>
            <w:vAlign w:val="bottom"/>
          </w:tcPr>
          <w:p>
            <w:pPr>
              <w:ind w:left="1620"/>
              <w:spacing w:after="0" w:line="186" w:lineRule="exact"/>
              <w:rPr>
                <w:sz w:val="20"/>
                <w:szCs w:val="20"/>
                <w:color w:val="auto"/>
              </w:rPr>
            </w:pPr>
            <w:r>
              <w:rPr>
                <w:rFonts w:ascii="Arial" w:cs="Arial" w:eastAsia="Arial" w:hAnsi="Arial"/>
                <w:sz w:val="18"/>
                <w:szCs w:val="18"/>
                <w:color w:val="auto"/>
                <w:w w:val="79"/>
              </w:rPr>
              <w:t>35</w:t>
            </w:r>
          </w:p>
        </w:tc>
      </w:tr>
      <w:tr>
        <w:trPr>
          <w:trHeight w:val="186"/>
        </w:trPr>
        <w:tc>
          <w:tcPr>
            <w:tcW w:w="8640" w:type="dxa"/>
            <w:vAlign w:val="bottom"/>
          </w:tcPr>
          <w:p>
            <w:pPr>
              <w:ind w:left="280"/>
              <w:spacing w:after="0" w:line="186" w:lineRule="exact"/>
              <w:rPr>
                <w:sz w:val="20"/>
                <w:szCs w:val="20"/>
                <w:color w:val="auto"/>
              </w:rPr>
            </w:pPr>
            <w:r>
              <w:rPr>
                <w:rFonts w:ascii="Arial" w:cs="Arial" w:eastAsia="Arial" w:hAnsi="Arial"/>
                <w:sz w:val="18"/>
                <w:szCs w:val="18"/>
                <w:color w:val="auto"/>
              </w:rPr>
              <w:t>Compensation Strategy for CEO</w:t>
            </w:r>
          </w:p>
        </w:tc>
        <w:tc>
          <w:tcPr>
            <w:tcW w:w="1800" w:type="dxa"/>
            <w:vAlign w:val="bottom"/>
          </w:tcPr>
          <w:p>
            <w:pPr>
              <w:ind w:left="1620"/>
              <w:spacing w:after="0" w:line="186" w:lineRule="exact"/>
              <w:rPr>
                <w:sz w:val="20"/>
                <w:szCs w:val="20"/>
                <w:color w:val="auto"/>
              </w:rPr>
            </w:pPr>
            <w:r>
              <w:rPr>
                <w:rFonts w:ascii="Arial" w:cs="Arial" w:eastAsia="Arial" w:hAnsi="Arial"/>
                <w:sz w:val="18"/>
                <w:szCs w:val="18"/>
                <w:color w:val="auto"/>
                <w:w w:val="79"/>
              </w:rPr>
              <w:t>36</w:t>
            </w:r>
          </w:p>
        </w:tc>
      </w:tr>
      <w:tr>
        <w:trPr>
          <w:trHeight w:val="186"/>
        </w:trPr>
        <w:tc>
          <w:tcPr>
            <w:tcW w:w="8640" w:type="dxa"/>
            <w:vAlign w:val="bottom"/>
          </w:tcPr>
          <w:p>
            <w:pPr>
              <w:ind w:left="280"/>
              <w:spacing w:after="0" w:line="186" w:lineRule="exact"/>
              <w:rPr>
                <w:sz w:val="20"/>
                <w:szCs w:val="20"/>
                <w:color w:val="auto"/>
              </w:rPr>
            </w:pPr>
            <w:r>
              <w:rPr>
                <w:rFonts w:ascii="Arial" w:cs="Arial" w:eastAsia="Arial" w:hAnsi="Arial"/>
                <w:sz w:val="18"/>
                <w:szCs w:val="18"/>
                <w:color w:val="auto"/>
              </w:rPr>
              <w:t>Compensation Strategy for NEOs other than the CEO</w:t>
            </w:r>
          </w:p>
        </w:tc>
        <w:tc>
          <w:tcPr>
            <w:tcW w:w="1800" w:type="dxa"/>
            <w:vAlign w:val="bottom"/>
          </w:tcPr>
          <w:p>
            <w:pPr>
              <w:ind w:left="1620"/>
              <w:spacing w:after="0" w:line="186" w:lineRule="exact"/>
              <w:rPr>
                <w:sz w:val="20"/>
                <w:szCs w:val="20"/>
                <w:color w:val="auto"/>
              </w:rPr>
            </w:pPr>
            <w:r>
              <w:rPr>
                <w:rFonts w:ascii="Arial" w:cs="Arial" w:eastAsia="Arial" w:hAnsi="Arial"/>
                <w:sz w:val="18"/>
                <w:szCs w:val="18"/>
                <w:color w:val="auto"/>
                <w:w w:val="79"/>
              </w:rPr>
              <w:t>37</w:t>
            </w:r>
          </w:p>
        </w:tc>
      </w:tr>
      <w:tr>
        <w:trPr>
          <w:trHeight w:val="186"/>
        </w:trPr>
        <w:tc>
          <w:tcPr>
            <w:tcW w:w="8640" w:type="dxa"/>
            <w:vAlign w:val="bottom"/>
          </w:tcPr>
          <w:p>
            <w:pPr>
              <w:ind w:left="280"/>
              <w:spacing w:after="0" w:line="186" w:lineRule="exact"/>
              <w:rPr>
                <w:sz w:val="20"/>
                <w:szCs w:val="20"/>
                <w:color w:val="auto"/>
              </w:rPr>
            </w:pPr>
            <w:r>
              <w:rPr>
                <w:rFonts w:ascii="Arial" w:cs="Arial" w:eastAsia="Arial" w:hAnsi="Arial"/>
                <w:sz w:val="18"/>
                <w:szCs w:val="18"/>
                <w:color w:val="auto"/>
              </w:rPr>
              <w:t>Components of Compensation</w:t>
            </w:r>
          </w:p>
        </w:tc>
        <w:tc>
          <w:tcPr>
            <w:tcW w:w="1800" w:type="dxa"/>
            <w:vAlign w:val="bottom"/>
          </w:tcPr>
          <w:p>
            <w:pPr>
              <w:ind w:left="1620"/>
              <w:spacing w:after="0" w:line="186" w:lineRule="exact"/>
              <w:rPr>
                <w:sz w:val="20"/>
                <w:szCs w:val="20"/>
                <w:color w:val="auto"/>
              </w:rPr>
            </w:pPr>
            <w:r>
              <w:rPr>
                <w:rFonts w:ascii="Arial" w:cs="Arial" w:eastAsia="Arial" w:hAnsi="Arial"/>
                <w:sz w:val="18"/>
                <w:szCs w:val="18"/>
                <w:color w:val="auto"/>
                <w:w w:val="79"/>
              </w:rPr>
              <w:t>37</w:t>
            </w:r>
          </w:p>
        </w:tc>
      </w:tr>
      <w:tr>
        <w:trPr>
          <w:trHeight w:val="186"/>
        </w:trPr>
        <w:tc>
          <w:tcPr>
            <w:tcW w:w="8640" w:type="dxa"/>
            <w:vAlign w:val="bottom"/>
          </w:tcPr>
          <w:p>
            <w:pPr>
              <w:ind w:left="280"/>
              <w:spacing w:after="0" w:line="186" w:lineRule="exact"/>
              <w:rPr>
                <w:sz w:val="20"/>
                <w:szCs w:val="20"/>
                <w:color w:val="auto"/>
              </w:rPr>
            </w:pPr>
            <w:r>
              <w:rPr>
                <w:rFonts w:ascii="Arial" w:cs="Arial" w:eastAsia="Arial" w:hAnsi="Arial"/>
                <w:sz w:val="18"/>
                <w:szCs w:val="18"/>
                <w:color w:val="auto"/>
              </w:rPr>
              <w:t>Base Salary</w:t>
            </w:r>
          </w:p>
        </w:tc>
        <w:tc>
          <w:tcPr>
            <w:tcW w:w="1800" w:type="dxa"/>
            <w:vAlign w:val="bottom"/>
          </w:tcPr>
          <w:p>
            <w:pPr>
              <w:ind w:left="1620"/>
              <w:spacing w:after="0" w:line="186" w:lineRule="exact"/>
              <w:rPr>
                <w:sz w:val="20"/>
                <w:szCs w:val="20"/>
                <w:color w:val="auto"/>
              </w:rPr>
            </w:pPr>
            <w:r>
              <w:rPr>
                <w:rFonts w:ascii="Arial" w:cs="Arial" w:eastAsia="Arial" w:hAnsi="Arial"/>
                <w:sz w:val="18"/>
                <w:szCs w:val="18"/>
                <w:color w:val="auto"/>
                <w:w w:val="79"/>
              </w:rPr>
              <w:t>37</w:t>
            </w:r>
          </w:p>
        </w:tc>
      </w:tr>
      <w:tr>
        <w:trPr>
          <w:trHeight w:val="186"/>
        </w:trPr>
        <w:tc>
          <w:tcPr>
            <w:tcW w:w="8640" w:type="dxa"/>
            <w:vAlign w:val="bottom"/>
          </w:tcPr>
          <w:p>
            <w:pPr>
              <w:ind w:left="280"/>
              <w:spacing w:after="0" w:line="186" w:lineRule="exact"/>
              <w:rPr>
                <w:sz w:val="20"/>
                <w:szCs w:val="20"/>
                <w:color w:val="auto"/>
              </w:rPr>
            </w:pPr>
            <w:r>
              <w:rPr>
                <w:rFonts w:ascii="Arial" w:cs="Arial" w:eastAsia="Arial" w:hAnsi="Arial"/>
                <w:sz w:val="18"/>
                <w:szCs w:val="18"/>
                <w:color w:val="auto"/>
              </w:rPr>
              <w:t>Annual Incentive Bonus</w:t>
            </w:r>
          </w:p>
        </w:tc>
        <w:tc>
          <w:tcPr>
            <w:tcW w:w="1800" w:type="dxa"/>
            <w:vAlign w:val="bottom"/>
          </w:tcPr>
          <w:p>
            <w:pPr>
              <w:ind w:left="1620"/>
              <w:spacing w:after="0" w:line="186" w:lineRule="exact"/>
              <w:rPr>
                <w:sz w:val="20"/>
                <w:szCs w:val="20"/>
                <w:color w:val="auto"/>
              </w:rPr>
            </w:pPr>
            <w:r>
              <w:rPr>
                <w:rFonts w:ascii="Arial" w:cs="Arial" w:eastAsia="Arial" w:hAnsi="Arial"/>
                <w:sz w:val="18"/>
                <w:szCs w:val="18"/>
                <w:color w:val="auto"/>
                <w:w w:val="79"/>
              </w:rPr>
              <w:t>38</w:t>
            </w:r>
          </w:p>
        </w:tc>
      </w:tr>
      <w:tr>
        <w:trPr>
          <w:trHeight w:val="186"/>
        </w:trPr>
        <w:tc>
          <w:tcPr>
            <w:tcW w:w="8640" w:type="dxa"/>
            <w:vAlign w:val="bottom"/>
          </w:tcPr>
          <w:p>
            <w:pPr>
              <w:ind w:left="280"/>
              <w:spacing w:after="0" w:line="186" w:lineRule="exact"/>
              <w:rPr>
                <w:sz w:val="20"/>
                <w:szCs w:val="20"/>
                <w:color w:val="auto"/>
              </w:rPr>
            </w:pPr>
            <w:r>
              <w:rPr>
                <w:rFonts w:ascii="Arial" w:cs="Arial" w:eastAsia="Arial" w:hAnsi="Arial"/>
                <w:sz w:val="18"/>
                <w:szCs w:val="18"/>
                <w:color w:val="auto"/>
              </w:rPr>
              <w:t>Long-Term Equity Incentives</w:t>
            </w:r>
          </w:p>
        </w:tc>
        <w:tc>
          <w:tcPr>
            <w:tcW w:w="1800" w:type="dxa"/>
            <w:vAlign w:val="bottom"/>
          </w:tcPr>
          <w:p>
            <w:pPr>
              <w:ind w:left="1620"/>
              <w:spacing w:after="0" w:line="186" w:lineRule="exact"/>
              <w:rPr>
                <w:sz w:val="20"/>
                <w:szCs w:val="20"/>
                <w:color w:val="auto"/>
              </w:rPr>
            </w:pPr>
            <w:r>
              <w:rPr>
                <w:rFonts w:ascii="Arial" w:cs="Arial" w:eastAsia="Arial" w:hAnsi="Arial"/>
                <w:sz w:val="18"/>
                <w:szCs w:val="18"/>
                <w:color w:val="auto"/>
                <w:w w:val="79"/>
              </w:rPr>
              <w:t>41</w:t>
            </w:r>
          </w:p>
        </w:tc>
      </w:tr>
      <w:tr>
        <w:trPr>
          <w:trHeight w:val="186"/>
        </w:trPr>
        <w:tc>
          <w:tcPr>
            <w:tcW w:w="8640" w:type="dxa"/>
            <w:vAlign w:val="bottom"/>
          </w:tcPr>
          <w:p>
            <w:pPr>
              <w:ind w:left="280"/>
              <w:spacing w:after="0" w:line="186" w:lineRule="exact"/>
              <w:rPr>
                <w:sz w:val="20"/>
                <w:szCs w:val="20"/>
                <w:color w:val="auto"/>
              </w:rPr>
            </w:pPr>
            <w:r>
              <w:rPr>
                <w:rFonts w:ascii="Arial" w:cs="Arial" w:eastAsia="Arial" w:hAnsi="Arial"/>
                <w:sz w:val="18"/>
                <w:szCs w:val="18"/>
                <w:color w:val="auto"/>
              </w:rPr>
              <w:t>Retirement Benefits</w:t>
            </w:r>
          </w:p>
        </w:tc>
        <w:tc>
          <w:tcPr>
            <w:tcW w:w="1800" w:type="dxa"/>
            <w:vAlign w:val="bottom"/>
          </w:tcPr>
          <w:p>
            <w:pPr>
              <w:ind w:left="1620"/>
              <w:spacing w:after="0" w:line="186" w:lineRule="exact"/>
              <w:rPr>
                <w:sz w:val="20"/>
                <w:szCs w:val="20"/>
                <w:color w:val="auto"/>
              </w:rPr>
            </w:pPr>
            <w:r>
              <w:rPr>
                <w:rFonts w:ascii="Arial" w:cs="Arial" w:eastAsia="Arial" w:hAnsi="Arial"/>
                <w:sz w:val="18"/>
                <w:szCs w:val="18"/>
                <w:color w:val="auto"/>
                <w:w w:val="79"/>
              </w:rPr>
              <w:t>44</w:t>
            </w:r>
          </w:p>
        </w:tc>
      </w:tr>
      <w:tr>
        <w:trPr>
          <w:trHeight w:val="186"/>
        </w:trPr>
        <w:tc>
          <w:tcPr>
            <w:tcW w:w="8640" w:type="dxa"/>
            <w:vAlign w:val="bottom"/>
          </w:tcPr>
          <w:p>
            <w:pPr>
              <w:ind w:left="280"/>
              <w:spacing w:after="0" w:line="186" w:lineRule="exact"/>
              <w:rPr>
                <w:sz w:val="20"/>
                <w:szCs w:val="20"/>
                <w:color w:val="auto"/>
              </w:rPr>
            </w:pPr>
            <w:r>
              <w:rPr>
                <w:rFonts w:ascii="Arial" w:cs="Arial" w:eastAsia="Arial" w:hAnsi="Arial"/>
                <w:sz w:val="18"/>
                <w:szCs w:val="18"/>
                <w:color w:val="auto"/>
              </w:rPr>
              <w:t>Perquisites</w:t>
            </w:r>
          </w:p>
        </w:tc>
        <w:tc>
          <w:tcPr>
            <w:tcW w:w="1800" w:type="dxa"/>
            <w:vAlign w:val="bottom"/>
          </w:tcPr>
          <w:p>
            <w:pPr>
              <w:ind w:left="1620"/>
              <w:spacing w:after="0" w:line="186" w:lineRule="exact"/>
              <w:rPr>
                <w:sz w:val="20"/>
                <w:szCs w:val="20"/>
                <w:color w:val="auto"/>
              </w:rPr>
            </w:pPr>
            <w:r>
              <w:rPr>
                <w:rFonts w:ascii="Arial" w:cs="Arial" w:eastAsia="Arial" w:hAnsi="Arial"/>
                <w:sz w:val="18"/>
                <w:szCs w:val="18"/>
                <w:color w:val="auto"/>
                <w:w w:val="79"/>
              </w:rPr>
              <w:t>45</w:t>
            </w:r>
          </w:p>
        </w:tc>
      </w:tr>
      <w:tr>
        <w:trPr>
          <w:trHeight w:val="186"/>
        </w:trPr>
        <w:tc>
          <w:tcPr>
            <w:tcW w:w="8640" w:type="dxa"/>
            <w:vAlign w:val="bottom"/>
          </w:tcPr>
          <w:p>
            <w:pPr>
              <w:ind w:left="280"/>
              <w:spacing w:after="0" w:line="186" w:lineRule="exact"/>
              <w:rPr>
                <w:sz w:val="20"/>
                <w:szCs w:val="20"/>
                <w:color w:val="auto"/>
              </w:rPr>
            </w:pPr>
            <w:r>
              <w:rPr>
                <w:rFonts w:ascii="Arial" w:cs="Arial" w:eastAsia="Arial" w:hAnsi="Arial"/>
                <w:sz w:val="18"/>
                <w:szCs w:val="18"/>
                <w:color w:val="auto"/>
              </w:rPr>
              <w:t>Severance</w:t>
            </w:r>
          </w:p>
        </w:tc>
        <w:tc>
          <w:tcPr>
            <w:tcW w:w="1800" w:type="dxa"/>
            <w:vAlign w:val="bottom"/>
          </w:tcPr>
          <w:p>
            <w:pPr>
              <w:ind w:left="1620"/>
              <w:spacing w:after="0" w:line="186" w:lineRule="exact"/>
              <w:rPr>
                <w:sz w:val="20"/>
                <w:szCs w:val="20"/>
                <w:color w:val="auto"/>
              </w:rPr>
            </w:pPr>
            <w:r>
              <w:rPr>
                <w:rFonts w:ascii="Arial" w:cs="Arial" w:eastAsia="Arial" w:hAnsi="Arial"/>
                <w:sz w:val="18"/>
                <w:szCs w:val="18"/>
                <w:color w:val="auto"/>
                <w:w w:val="79"/>
              </w:rPr>
              <w:t>45</w:t>
            </w:r>
          </w:p>
        </w:tc>
      </w:tr>
      <w:tr>
        <w:trPr>
          <w:trHeight w:val="232"/>
        </w:trPr>
        <w:tc>
          <w:tcPr>
            <w:tcW w:w="8640" w:type="dxa"/>
            <w:vAlign w:val="bottom"/>
          </w:tcPr>
          <w:p>
            <w:pPr>
              <w:ind w:left="280"/>
              <w:spacing w:after="0"/>
              <w:rPr>
                <w:sz w:val="20"/>
                <w:szCs w:val="20"/>
                <w:color w:val="auto"/>
              </w:rPr>
            </w:pPr>
            <w:r>
              <w:rPr>
                <w:rFonts w:ascii="Arial" w:cs="Arial" w:eastAsia="Arial" w:hAnsi="Arial"/>
                <w:sz w:val="18"/>
                <w:szCs w:val="18"/>
                <w:color w:val="auto"/>
              </w:rPr>
              <w:t>Tax Deductibility of Executive Compensation</w:t>
            </w:r>
          </w:p>
        </w:tc>
        <w:tc>
          <w:tcPr>
            <w:tcW w:w="1800" w:type="dxa"/>
            <w:vAlign w:val="bottom"/>
          </w:tcPr>
          <w:p>
            <w:pPr>
              <w:ind w:left="1620"/>
              <w:spacing w:after="0"/>
              <w:rPr>
                <w:sz w:val="20"/>
                <w:szCs w:val="20"/>
                <w:color w:val="auto"/>
              </w:rPr>
            </w:pPr>
            <w:r>
              <w:rPr>
                <w:rFonts w:ascii="Arial" w:cs="Arial" w:eastAsia="Arial" w:hAnsi="Arial"/>
                <w:sz w:val="18"/>
                <w:szCs w:val="18"/>
                <w:color w:val="auto"/>
                <w:w w:val="79"/>
              </w:rPr>
              <w:t>46</w:t>
            </w:r>
          </w:p>
        </w:tc>
      </w:tr>
      <w:tr>
        <w:trPr>
          <w:trHeight w:val="372"/>
        </w:trPr>
        <w:tc>
          <w:tcPr>
            <w:tcW w:w="8640" w:type="dxa"/>
            <w:vAlign w:val="bottom"/>
          </w:tcPr>
          <w:p>
            <w:pPr>
              <w:spacing w:after="0"/>
              <w:rPr>
                <w:sz w:val="20"/>
                <w:szCs w:val="20"/>
                <w:color w:val="auto"/>
              </w:rPr>
            </w:pPr>
            <w:r>
              <w:rPr>
                <w:rFonts w:ascii="Arial" w:cs="Arial" w:eastAsia="Arial" w:hAnsi="Arial"/>
                <w:sz w:val="18"/>
                <w:szCs w:val="18"/>
                <w:b w:val="1"/>
                <w:bCs w:val="1"/>
                <w:color w:val="auto"/>
              </w:rPr>
              <w:t>Compensation Committee Report</w:t>
            </w:r>
          </w:p>
        </w:tc>
        <w:tc>
          <w:tcPr>
            <w:tcW w:w="1800" w:type="dxa"/>
            <w:vAlign w:val="bottom"/>
          </w:tcPr>
          <w:p>
            <w:pPr>
              <w:ind w:left="1620"/>
              <w:spacing w:after="0"/>
              <w:rPr>
                <w:sz w:val="20"/>
                <w:szCs w:val="20"/>
                <w:color w:val="auto"/>
              </w:rPr>
            </w:pPr>
            <w:r>
              <w:rPr>
                <w:rFonts w:ascii="Arial" w:cs="Arial" w:eastAsia="Arial" w:hAnsi="Arial"/>
                <w:sz w:val="18"/>
                <w:szCs w:val="18"/>
                <w:b w:val="1"/>
                <w:bCs w:val="1"/>
                <w:color w:val="auto"/>
                <w:w w:val="79"/>
              </w:rPr>
              <w:t>47</w:t>
            </w:r>
          </w:p>
        </w:tc>
      </w:tr>
      <w:tr>
        <w:trPr>
          <w:trHeight w:val="326"/>
        </w:trPr>
        <w:tc>
          <w:tcPr>
            <w:tcW w:w="8640" w:type="dxa"/>
            <w:vAlign w:val="bottom"/>
          </w:tcPr>
          <w:p>
            <w:pPr>
              <w:spacing w:after="0"/>
              <w:rPr>
                <w:sz w:val="20"/>
                <w:szCs w:val="20"/>
                <w:color w:val="auto"/>
              </w:rPr>
            </w:pPr>
            <w:r>
              <w:rPr>
                <w:rFonts w:ascii="Arial" w:cs="Arial" w:eastAsia="Arial" w:hAnsi="Arial"/>
                <w:sz w:val="18"/>
                <w:szCs w:val="18"/>
                <w:b w:val="1"/>
                <w:bCs w:val="1"/>
                <w:color w:val="auto"/>
              </w:rPr>
              <w:t>Executive Compensation</w:t>
            </w:r>
          </w:p>
        </w:tc>
        <w:tc>
          <w:tcPr>
            <w:tcW w:w="1800" w:type="dxa"/>
            <w:vAlign w:val="bottom"/>
          </w:tcPr>
          <w:p>
            <w:pPr>
              <w:ind w:left="1620"/>
              <w:spacing w:after="0"/>
              <w:rPr>
                <w:sz w:val="20"/>
                <w:szCs w:val="20"/>
                <w:color w:val="auto"/>
              </w:rPr>
            </w:pPr>
            <w:r>
              <w:rPr>
                <w:rFonts w:ascii="Arial" w:cs="Arial" w:eastAsia="Arial" w:hAnsi="Arial"/>
                <w:sz w:val="18"/>
                <w:szCs w:val="18"/>
                <w:b w:val="1"/>
                <w:bCs w:val="1"/>
                <w:color w:val="auto"/>
                <w:w w:val="79"/>
              </w:rPr>
              <w:t>49</w:t>
            </w:r>
          </w:p>
        </w:tc>
      </w:tr>
      <w:tr>
        <w:trPr>
          <w:trHeight w:val="186"/>
        </w:trPr>
        <w:tc>
          <w:tcPr>
            <w:tcW w:w="8640" w:type="dxa"/>
            <w:vAlign w:val="bottom"/>
          </w:tcPr>
          <w:p>
            <w:pPr>
              <w:ind w:left="200"/>
              <w:spacing w:after="0" w:line="186" w:lineRule="exact"/>
              <w:rPr>
                <w:sz w:val="20"/>
                <w:szCs w:val="20"/>
                <w:color w:val="auto"/>
              </w:rPr>
            </w:pPr>
            <w:r>
              <w:rPr>
                <w:rFonts w:ascii="Arial" w:cs="Arial" w:eastAsia="Arial" w:hAnsi="Arial"/>
                <w:sz w:val="18"/>
                <w:szCs w:val="18"/>
                <w:color w:val="auto"/>
              </w:rPr>
              <w:t>Summary Compensation Table</w:t>
            </w:r>
          </w:p>
        </w:tc>
        <w:tc>
          <w:tcPr>
            <w:tcW w:w="1800" w:type="dxa"/>
            <w:vAlign w:val="bottom"/>
          </w:tcPr>
          <w:p>
            <w:pPr>
              <w:ind w:left="1620"/>
              <w:spacing w:after="0" w:line="186" w:lineRule="exact"/>
              <w:rPr>
                <w:sz w:val="20"/>
                <w:szCs w:val="20"/>
                <w:color w:val="auto"/>
              </w:rPr>
            </w:pPr>
            <w:r>
              <w:rPr>
                <w:rFonts w:ascii="Arial" w:cs="Arial" w:eastAsia="Arial" w:hAnsi="Arial"/>
                <w:sz w:val="18"/>
                <w:szCs w:val="18"/>
                <w:color w:val="auto"/>
                <w:w w:val="79"/>
              </w:rPr>
              <w:t>49</w:t>
            </w:r>
          </w:p>
        </w:tc>
      </w:tr>
      <w:tr>
        <w:trPr>
          <w:trHeight w:val="186"/>
        </w:trPr>
        <w:tc>
          <w:tcPr>
            <w:tcW w:w="8640" w:type="dxa"/>
            <w:vAlign w:val="bottom"/>
          </w:tcPr>
          <w:p>
            <w:pPr>
              <w:ind w:left="200"/>
              <w:spacing w:after="0" w:line="186" w:lineRule="exact"/>
              <w:rPr>
                <w:sz w:val="20"/>
                <w:szCs w:val="20"/>
                <w:color w:val="auto"/>
              </w:rPr>
            </w:pPr>
            <w:r>
              <w:rPr>
                <w:rFonts w:ascii="Arial" w:cs="Arial" w:eastAsia="Arial" w:hAnsi="Arial"/>
                <w:sz w:val="18"/>
                <w:szCs w:val="18"/>
                <w:color w:val="auto"/>
              </w:rPr>
              <w:t>Grants of Plan-Based Awards</w:t>
            </w:r>
          </w:p>
        </w:tc>
        <w:tc>
          <w:tcPr>
            <w:tcW w:w="1800" w:type="dxa"/>
            <w:vAlign w:val="bottom"/>
          </w:tcPr>
          <w:p>
            <w:pPr>
              <w:ind w:left="1620"/>
              <w:spacing w:after="0" w:line="186" w:lineRule="exact"/>
              <w:rPr>
                <w:sz w:val="20"/>
                <w:szCs w:val="20"/>
                <w:color w:val="auto"/>
              </w:rPr>
            </w:pPr>
            <w:r>
              <w:rPr>
                <w:rFonts w:ascii="Arial" w:cs="Arial" w:eastAsia="Arial" w:hAnsi="Arial"/>
                <w:sz w:val="18"/>
                <w:szCs w:val="18"/>
                <w:color w:val="auto"/>
                <w:w w:val="79"/>
              </w:rPr>
              <w:t>51</w:t>
            </w:r>
          </w:p>
        </w:tc>
      </w:tr>
      <w:tr>
        <w:trPr>
          <w:trHeight w:val="186"/>
        </w:trPr>
        <w:tc>
          <w:tcPr>
            <w:tcW w:w="8640" w:type="dxa"/>
            <w:vAlign w:val="bottom"/>
          </w:tcPr>
          <w:p>
            <w:pPr>
              <w:ind w:left="200"/>
              <w:spacing w:after="0" w:line="186" w:lineRule="exact"/>
              <w:rPr>
                <w:sz w:val="20"/>
                <w:szCs w:val="20"/>
                <w:color w:val="auto"/>
              </w:rPr>
            </w:pPr>
            <w:r>
              <w:rPr>
                <w:rFonts w:ascii="Arial" w:cs="Arial" w:eastAsia="Arial" w:hAnsi="Arial"/>
                <w:sz w:val="18"/>
                <w:szCs w:val="18"/>
                <w:color w:val="auto"/>
              </w:rPr>
              <w:t>Outstanding Equity Awards at Fiscal Year-End</w:t>
            </w:r>
          </w:p>
        </w:tc>
        <w:tc>
          <w:tcPr>
            <w:tcW w:w="1800" w:type="dxa"/>
            <w:vAlign w:val="bottom"/>
          </w:tcPr>
          <w:p>
            <w:pPr>
              <w:ind w:left="1620"/>
              <w:spacing w:after="0" w:line="186" w:lineRule="exact"/>
              <w:rPr>
                <w:sz w:val="20"/>
                <w:szCs w:val="20"/>
                <w:color w:val="auto"/>
              </w:rPr>
            </w:pPr>
            <w:r>
              <w:rPr>
                <w:rFonts w:ascii="Arial" w:cs="Arial" w:eastAsia="Arial" w:hAnsi="Arial"/>
                <w:sz w:val="18"/>
                <w:szCs w:val="18"/>
                <w:color w:val="auto"/>
                <w:w w:val="79"/>
              </w:rPr>
              <w:t>53</w:t>
            </w:r>
          </w:p>
        </w:tc>
      </w:tr>
      <w:tr>
        <w:trPr>
          <w:trHeight w:val="186"/>
        </w:trPr>
        <w:tc>
          <w:tcPr>
            <w:tcW w:w="8640" w:type="dxa"/>
            <w:vAlign w:val="bottom"/>
          </w:tcPr>
          <w:p>
            <w:pPr>
              <w:ind w:left="200"/>
              <w:spacing w:after="0" w:line="186" w:lineRule="exact"/>
              <w:rPr>
                <w:sz w:val="20"/>
                <w:szCs w:val="20"/>
                <w:color w:val="auto"/>
              </w:rPr>
            </w:pPr>
            <w:r>
              <w:rPr>
                <w:rFonts w:ascii="Arial" w:cs="Arial" w:eastAsia="Arial" w:hAnsi="Arial"/>
                <w:sz w:val="18"/>
                <w:szCs w:val="18"/>
                <w:color w:val="auto"/>
              </w:rPr>
              <w:t>Option Exercises and Stock Vested</w:t>
            </w:r>
          </w:p>
        </w:tc>
        <w:tc>
          <w:tcPr>
            <w:tcW w:w="1800" w:type="dxa"/>
            <w:vAlign w:val="bottom"/>
          </w:tcPr>
          <w:p>
            <w:pPr>
              <w:ind w:left="1620"/>
              <w:spacing w:after="0" w:line="186" w:lineRule="exact"/>
              <w:rPr>
                <w:sz w:val="20"/>
                <w:szCs w:val="20"/>
                <w:color w:val="auto"/>
              </w:rPr>
            </w:pPr>
            <w:r>
              <w:rPr>
                <w:rFonts w:ascii="Arial" w:cs="Arial" w:eastAsia="Arial" w:hAnsi="Arial"/>
                <w:sz w:val="18"/>
                <w:szCs w:val="18"/>
                <w:color w:val="auto"/>
                <w:w w:val="79"/>
              </w:rPr>
              <w:t>55</w:t>
            </w:r>
          </w:p>
        </w:tc>
      </w:tr>
      <w:tr>
        <w:trPr>
          <w:trHeight w:val="186"/>
        </w:trPr>
        <w:tc>
          <w:tcPr>
            <w:tcW w:w="8640" w:type="dxa"/>
            <w:vAlign w:val="bottom"/>
          </w:tcPr>
          <w:p>
            <w:pPr>
              <w:ind w:left="200"/>
              <w:spacing w:after="0" w:line="186" w:lineRule="exact"/>
              <w:rPr>
                <w:sz w:val="20"/>
                <w:szCs w:val="20"/>
                <w:color w:val="auto"/>
              </w:rPr>
            </w:pPr>
            <w:r>
              <w:rPr>
                <w:rFonts w:ascii="Arial" w:cs="Arial" w:eastAsia="Arial" w:hAnsi="Arial"/>
                <w:sz w:val="18"/>
                <w:szCs w:val="18"/>
                <w:color w:val="auto"/>
              </w:rPr>
              <w:t>Pension Benefits</w:t>
            </w:r>
          </w:p>
        </w:tc>
        <w:tc>
          <w:tcPr>
            <w:tcW w:w="1800" w:type="dxa"/>
            <w:vAlign w:val="bottom"/>
          </w:tcPr>
          <w:p>
            <w:pPr>
              <w:ind w:left="1620"/>
              <w:spacing w:after="0" w:line="186" w:lineRule="exact"/>
              <w:rPr>
                <w:sz w:val="20"/>
                <w:szCs w:val="20"/>
                <w:color w:val="auto"/>
              </w:rPr>
            </w:pPr>
            <w:r>
              <w:rPr>
                <w:rFonts w:ascii="Arial" w:cs="Arial" w:eastAsia="Arial" w:hAnsi="Arial"/>
                <w:sz w:val="18"/>
                <w:szCs w:val="18"/>
                <w:color w:val="auto"/>
                <w:w w:val="79"/>
              </w:rPr>
              <w:t>56</w:t>
            </w:r>
          </w:p>
        </w:tc>
      </w:tr>
      <w:tr>
        <w:trPr>
          <w:trHeight w:val="186"/>
        </w:trPr>
        <w:tc>
          <w:tcPr>
            <w:tcW w:w="8640" w:type="dxa"/>
            <w:vAlign w:val="bottom"/>
          </w:tcPr>
          <w:p>
            <w:pPr>
              <w:ind w:left="200"/>
              <w:spacing w:after="0" w:line="186" w:lineRule="exact"/>
              <w:rPr>
                <w:sz w:val="20"/>
                <w:szCs w:val="20"/>
                <w:color w:val="auto"/>
              </w:rPr>
            </w:pPr>
            <w:r>
              <w:rPr>
                <w:rFonts w:ascii="Arial" w:cs="Arial" w:eastAsia="Arial" w:hAnsi="Arial"/>
                <w:sz w:val="18"/>
                <w:szCs w:val="18"/>
                <w:color w:val="auto"/>
              </w:rPr>
              <w:t>Employment Agreements and Potential Payments upon Termination</w:t>
            </w:r>
          </w:p>
        </w:tc>
        <w:tc>
          <w:tcPr>
            <w:tcW w:w="1800" w:type="dxa"/>
            <w:vAlign w:val="bottom"/>
          </w:tcPr>
          <w:p>
            <w:pPr>
              <w:ind w:left="1620"/>
              <w:spacing w:after="0" w:line="186" w:lineRule="exact"/>
              <w:rPr>
                <w:sz w:val="20"/>
                <w:szCs w:val="20"/>
                <w:color w:val="auto"/>
              </w:rPr>
            </w:pPr>
            <w:r>
              <w:rPr>
                <w:rFonts w:ascii="Arial" w:cs="Arial" w:eastAsia="Arial" w:hAnsi="Arial"/>
                <w:sz w:val="18"/>
                <w:szCs w:val="18"/>
                <w:color w:val="auto"/>
                <w:w w:val="79"/>
              </w:rPr>
              <w:t>57</w:t>
            </w:r>
          </w:p>
        </w:tc>
      </w:tr>
      <w:tr>
        <w:trPr>
          <w:trHeight w:val="232"/>
        </w:trPr>
        <w:tc>
          <w:tcPr>
            <w:tcW w:w="8640" w:type="dxa"/>
            <w:vAlign w:val="bottom"/>
          </w:tcPr>
          <w:p>
            <w:pPr>
              <w:ind w:left="200"/>
              <w:spacing w:after="0"/>
              <w:rPr>
                <w:sz w:val="20"/>
                <w:szCs w:val="20"/>
                <w:color w:val="auto"/>
              </w:rPr>
            </w:pPr>
            <w:r>
              <w:rPr>
                <w:rFonts w:ascii="Arial" w:cs="Arial" w:eastAsia="Arial" w:hAnsi="Arial"/>
                <w:sz w:val="18"/>
                <w:szCs w:val="18"/>
                <w:color w:val="auto"/>
              </w:rPr>
              <w:t>Pay Ratio Disclosure</w:t>
            </w:r>
          </w:p>
        </w:tc>
        <w:tc>
          <w:tcPr>
            <w:tcW w:w="1800" w:type="dxa"/>
            <w:vAlign w:val="bottom"/>
          </w:tcPr>
          <w:p>
            <w:pPr>
              <w:ind w:left="1620"/>
              <w:spacing w:after="0"/>
              <w:rPr>
                <w:sz w:val="20"/>
                <w:szCs w:val="20"/>
                <w:color w:val="auto"/>
              </w:rPr>
            </w:pPr>
            <w:r>
              <w:rPr>
                <w:rFonts w:ascii="Arial" w:cs="Arial" w:eastAsia="Arial" w:hAnsi="Arial"/>
                <w:sz w:val="18"/>
                <w:szCs w:val="18"/>
                <w:color w:val="auto"/>
                <w:w w:val="79"/>
              </w:rPr>
              <w:t>60</w:t>
            </w:r>
          </w:p>
        </w:tc>
      </w:tr>
      <w:tr>
        <w:trPr>
          <w:trHeight w:val="372"/>
        </w:trPr>
        <w:tc>
          <w:tcPr>
            <w:tcW w:w="8640" w:type="dxa"/>
            <w:vAlign w:val="bottom"/>
          </w:tcPr>
          <w:p>
            <w:pPr>
              <w:spacing w:after="0"/>
              <w:rPr>
                <w:sz w:val="20"/>
                <w:szCs w:val="20"/>
                <w:color w:val="auto"/>
              </w:rPr>
            </w:pPr>
            <w:r>
              <w:rPr>
                <w:rFonts w:ascii="Arial" w:cs="Arial" w:eastAsia="Arial" w:hAnsi="Arial"/>
                <w:sz w:val="18"/>
                <w:szCs w:val="18"/>
                <w:b w:val="1"/>
                <w:bCs w:val="1"/>
                <w:color w:val="auto"/>
              </w:rPr>
              <w:t>Principal Accountant Fees and Services</w:t>
            </w:r>
          </w:p>
        </w:tc>
        <w:tc>
          <w:tcPr>
            <w:tcW w:w="1800" w:type="dxa"/>
            <w:vAlign w:val="bottom"/>
          </w:tcPr>
          <w:p>
            <w:pPr>
              <w:ind w:left="1620"/>
              <w:spacing w:after="0"/>
              <w:rPr>
                <w:sz w:val="20"/>
                <w:szCs w:val="20"/>
                <w:color w:val="auto"/>
              </w:rPr>
            </w:pPr>
            <w:r>
              <w:rPr>
                <w:rFonts w:ascii="Arial" w:cs="Arial" w:eastAsia="Arial" w:hAnsi="Arial"/>
                <w:sz w:val="18"/>
                <w:szCs w:val="18"/>
                <w:b w:val="1"/>
                <w:bCs w:val="1"/>
                <w:color w:val="auto"/>
                <w:w w:val="79"/>
              </w:rPr>
              <w:t>61</w:t>
            </w:r>
          </w:p>
        </w:tc>
      </w:tr>
      <w:tr>
        <w:trPr>
          <w:trHeight w:val="372"/>
        </w:trPr>
        <w:tc>
          <w:tcPr>
            <w:tcW w:w="8640" w:type="dxa"/>
            <w:vAlign w:val="bottom"/>
          </w:tcPr>
          <w:p>
            <w:pPr>
              <w:spacing w:after="0"/>
              <w:rPr>
                <w:sz w:val="20"/>
                <w:szCs w:val="20"/>
                <w:color w:val="auto"/>
              </w:rPr>
            </w:pPr>
            <w:r>
              <w:rPr>
                <w:rFonts w:ascii="Arial" w:cs="Arial" w:eastAsia="Arial" w:hAnsi="Arial"/>
                <w:sz w:val="18"/>
                <w:szCs w:val="18"/>
                <w:b w:val="1"/>
                <w:bCs w:val="1"/>
                <w:color w:val="auto"/>
              </w:rPr>
              <w:t>Audit Committee Report</w:t>
            </w:r>
          </w:p>
        </w:tc>
        <w:tc>
          <w:tcPr>
            <w:tcW w:w="1800" w:type="dxa"/>
            <w:vAlign w:val="bottom"/>
          </w:tcPr>
          <w:p>
            <w:pPr>
              <w:ind w:left="1620"/>
              <w:spacing w:after="0"/>
              <w:rPr>
                <w:sz w:val="20"/>
                <w:szCs w:val="20"/>
                <w:color w:val="auto"/>
              </w:rPr>
            </w:pPr>
            <w:r>
              <w:rPr>
                <w:rFonts w:ascii="Arial" w:cs="Arial" w:eastAsia="Arial" w:hAnsi="Arial"/>
                <w:sz w:val="18"/>
                <w:szCs w:val="18"/>
                <w:b w:val="1"/>
                <w:bCs w:val="1"/>
                <w:color w:val="auto"/>
                <w:w w:val="79"/>
              </w:rPr>
              <w:t>62</w:t>
            </w:r>
          </w:p>
        </w:tc>
      </w:tr>
      <w:tr>
        <w:trPr>
          <w:trHeight w:val="372"/>
        </w:trPr>
        <w:tc>
          <w:tcPr>
            <w:tcW w:w="8640" w:type="dxa"/>
            <w:vAlign w:val="bottom"/>
          </w:tcPr>
          <w:p>
            <w:pPr>
              <w:spacing w:after="0"/>
              <w:rPr>
                <w:sz w:val="20"/>
                <w:szCs w:val="20"/>
                <w:color w:val="auto"/>
              </w:rPr>
            </w:pPr>
            <w:r>
              <w:rPr>
                <w:rFonts w:ascii="Arial" w:cs="Arial" w:eastAsia="Arial" w:hAnsi="Arial"/>
                <w:sz w:val="18"/>
                <w:szCs w:val="18"/>
                <w:b w:val="1"/>
                <w:bCs w:val="1"/>
                <w:color w:val="auto"/>
              </w:rPr>
              <w:t>Proposal 2: Ratification of Appointment of Independent Auditors</w:t>
            </w:r>
          </w:p>
        </w:tc>
        <w:tc>
          <w:tcPr>
            <w:tcW w:w="1800" w:type="dxa"/>
            <w:vAlign w:val="bottom"/>
          </w:tcPr>
          <w:p>
            <w:pPr>
              <w:ind w:left="1620"/>
              <w:spacing w:after="0"/>
              <w:rPr>
                <w:sz w:val="20"/>
                <w:szCs w:val="20"/>
                <w:color w:val="auto"/>
              </w:rPr>
            </w:pPr>
            <w:r>
              <w:rPr>
                <w:rFonts w:ascii="Arial" w:cs="Arial" w:eastAsia="Arial" w:hAnsi="Arial"/>
                <w:sz w:val="18"/>
                <w:szCs w:val="18"/>
                <w:b w:val="1"/>
                <w:bCs w:val="1"/>
                <w:color w:val="auto"/>
                <w:w w:val="79"/>
              </w:rPr>
              <w:t>63</w:t>
            </w:r>
          </w:p>
        </w:tc>
      </w:tr>
      <w:tr>
        <w:trPr>
          <w:trHeight w:val="372"/>
        </w:trPr>
        <w:tc>
          <w:tcPr>
            <w:tcW w:w="8640" w:type="dxa"/>
            <w:vAlign w:val="bottom"/>
          </w:tcPr>
          <w:p>
            <w:pPr>
              <w:spacing w:after="0"/>
              <w:rPr>
                <w:sz w:val="20"/>
                <w:szCs w:val="20"/>
                <w:color w:val="auto"/>
              </w:rPr>
            </w:pPr>
            <w:r>
              <w:rPr>
                <w:rFonts w:ascii="Arial" w:cs="Arial" w:eastAsia="Arial" w:hAnsi="Arial"/>
                <w:sz w:val="18"/>
                <w:szCs w:val="18"/>
                <w:b w:val="1"/>
                <w:bCs w:val="1"/>
                <w:color w:val="auto"/>
              </w:rPr>
              <w:t>Proposal 3: Advisory Vote to Approve Executive Compensation</w:t>
            </w:r>
          </w:p>
        </w:tc>
        <w:tc>
          <w:tcPr>
            <w:tcW w:w="1800" w:type="dxa"/>
            <w:vAlign w:val="bottom"/>
          </w:tcPr>
          <w:p>
            <w:pPr>
              <w:ind w:left="1620"/>
              <w:spacing w:after="0"/>
              <w:rPr>
                <w:sz w:val="20"/>
                <w:szCs w:val="20"/>
                <w:color w:val="auto"/>
              </w:rPr>
            </w:pPr>
            <w:r>
              <w:rPr>
                <w:rFonts w:ascii="Arial" w:cs="Arial" w:eastAsia="Arial" w:hAnsi="Arial"/>
                <w:sz w:val="18"/>
                <w:szCs w:val="18"/>
                <w:b w:val="1"/>
                <w:bCs w:val="1"/>
                <w:color w:val="auto"/>
                <w:w w:val="79"/>
              </w:rPr>
              <w:t>64</w:t>
            </w:r>
          </w:p>
        </w:tc>
      </w:tr>
      <w:tr>
        <w:trPr>
          <w:trHeight w:val="372"/>
        </w:trPr>
        <w:tc>
          <w:tcPr>
            <w:tcW w:w="8640" w:type="dxa"/>
            <w:vAlign w:val="bottom"/>
          </w:tcPr>
          <w:p>
            <w:pPr>
              <w:spacing w:after="0"/>
              <w:rPr>
                <w:sz w:val="20"/>
                <w:szCs w:val="20"/>
                <w:color w:val="auto"/>
              </w:rPr>
            </w:pPr>
            <w:r>
              <w:rPr>
                <w:rFonts w:ascii="Arial" w:cs="Arial" w:eastAsia="Arial" w:hAnsi="Arial"/>
                <w:sz w:val="18"/>
                <w:szCs w:val="18"/>
                <w:b w:val="1"/>
                <w:bCs w:val="1"/>
                <w:color w:val="auto"/>
              </w:rPr>
              <w:t>Proposal 4: Shareholder Proposal</w:t>
            </w:r>
          </w:p>
        </w:tc>
        <w:tc>
          <w:tcPr>
            <w:tcW w:w="1800" w:type="dxa"/>
            <w:vAlign w:val="bottom"/>
          </w:tcPr>
          <w:p>
            <w:pPr>
              <w:ind w:left="1620"/>
              <w:spacing w:after="0"/>
              <w:rPr>
                <w:sz w:val="20"/>
                <w:szCs w:val="20"/>
                <w:color w:val="auto"/>
              </w:rPr>
            </w:pPr>
            <w:r>
              <w:rPr>
                <w:rFonts w:ascii="Arial" w:cs="Arial" w:eastAsia="Arial" w:hAnsi="Arial"/>
                <w:sz w:val="18"/>
                <w:szCs w:val="18"/>
                <w:b w:val="1"/>
                <w:bCs w:val="1"/>
                <w:color w:val="auto"/>
                <w:w w:val="79"/>
              </w:rPr>
              <w:t>65</w:t>
            </w:r>
          </w:p>
        </w:tc>
      </w:tr>
      <w:tr>
        <w:trPr>
          <w:trHeight w:val="372"/>
        </w:trPr>
        <w:tc>
          <w:tcPr>
            <w:tcW w:w="8640" w:type="dxa"/>
            <w:vAlign w:val="bottom"/>
          </w:tcPr>
          <w:p>
            <w:pPr>
              <w:spacing w:after="0"/>
              <w:rPr>
                <w:sz w:val="20"/>
                <w:szCs w:val="20"/>
                <w:color w:val="auto"/>
              </w:rPr>
            </w:pPr>
            <w:r>
              <w:rPr>
                <w:rFonts w:ascii="Arial" w:cs="Arial" w:eastAsia="Arial" w:hAnsi="Arial"/>
                <w:sz w:val="18"/>
                <w:szCs w:val="18"/>
                <w:b w:val="1"/>
                <w:bCs w:val="1"/>
                <w:color w:val="auto"/>
              </w:rPr>
              <w:t>Other Matters</w:t>
            </w:r>
          </w:p>
        </w:tc>
        <w:tc>
          <w:tcPr>
            <w:tcW w:w="1800" w:type="dxa"/>
            <w:vAlign w:val="bottom"/>
          </w:tcPr>
          <w:p>
            <w:pPr>
              <w:ind w:left="1620"/>
              <w:spacing w:after="0"/>
              <w:rPr>
                <w:sz w:val="20"/>
                <w:szCs w:val="20"/>
                <w:color w:val="auto"/>
              </w:rPr>
            </w:pPr>
            <w:r>
              <w:rPr>
                <w:rFonts w:ascii="Arial" w:cs="Arial" w:eastAsia="Arial" w:hAnsi="Arial"/>
                <w:sz w:val="18"/>
                <w:szCs w:val="18"/>
                <w:b w:val="1"/>
                <w:bCs w:val="1"/>
                <w:color w:val="auto"/>
                <w:w w:val="79"/>
              </w:rPr>
              <w:t>68</w:t>
            </w:r>
          </w:p>
        </w:tc>
      </w:tr>
    </w:tbl>
    <w:p>
      <w:pPr>
        <w:spacing w:after="0" w:line="187" w:lineRule="exact"/>
        <w:rPr>
          <w:sz w:val="20"/>
          <w:szCs w:val="20"/>
          <w:color w:val="auto"/>
        </w:rPr>
      </w:pPr>
    </w:p>
    <w:p>
      <w:pPr>
        <w:ind w:left="5600"/>
        <w:spacing w:after="0"/>
        <w:rPr>
          <w:sz w:val="20"/>
          <w:szCs w:val="20"/>
          <w:color w:val="auto"/>
        </w:rPr>
      </w:pPr>
      <w:r>
        <w:rPr>
          <w:rFonts w:ascii="Arial" w:cs="Arial" w:eastAsia="Arial" w:hAnsi="Arial"/>
          <w:sz w:val="20"/>
          <w:szCs w:val="20"/>
          <w:color w:val="auto"/>
        </w:rPr>
        <w:t>i</w:t>
      </w:r>
    </w:p>
    <w:p>
      <w:pPr>
        <w:sectPr>
          <w:pgSz w:w="11900" w:h="16838" w:orient="portrait"/>
          <w:cols w:equalWidth="0" w:num="1">
            <w:col w:w="10520"/>
          </w:cols>
          <w:pgMar w:left="320" w:top="547" w:right="1059" w:bottom="1440" w:gutter="0" w:footer="0" w:header="0"/>
          <w:type w:val="continuous"/>
        </w:sectPr>
      </w:pPr>
    </w:p>
    <w:bookmarkStart w:id="4" w:name="page5"/>
    <w:bookmarkEnd w:id="4"/>
    <w:p>
      <w:pPr>
        <w:spacing w:after="0"/>
        <w:rPr>
          <w:sz w:val="20"/>
          <w:szCs w:val="20"/>
          <w:color w:val="auto"/>
        </w:rPr>
      </w:pPr>
      <w:r>
        <w:rPr>
          <w:rFonts w:ascii="Arial" w:cs="Arial" w:eastAsia="Arial" w:hAnsi="Arial"/>
          <w:sz w:val="30"/>
          <w:szCs w:val="30"/>
          <w:b w:val="1"/>
          <w:bCs w:val="1"/>
          <w:color w:val="29650B"/>
        </w:rPr>
        <w:t>2020 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3750" cy="317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3750" cy="31750"/>
                    </a:xfrm>
                    <a:prstGeom prst="rect">
                      <a:avLst/>
                    </a:prstGeom>
                    <a:noFill/>
                  </pic:spPr>
                </pic:pic>
              </a:graphicData>
            </a:graphic>
          </wp:anchor>
        </w:drawing>
      </w:r>
    </w:p>
    <w:p>
      <w:pPr>
        <w:spacing w:after="0" w:line="250" w:lineRule="exact"/>
        <w:rPr>
          <w:sz w:val="20"/>
          <w:szCs w:val="20"/>
          <w:color w:val="auto"/>
        </w:rPr>
      </w:pPr>
    </w:p>
    <w:p>
      <w:pPr>
        <w:spacing w:after="0" w:line="254" w:lineRule="auto"/>
        <w:rPr>
          <w:sz w:val="20"/>
          <w:szCs w:val="20"/>
          <w:color w:val="auto"/>
        </w:rPr>
      </w:pPr>
      <w:r>
        <w:rPr>
          <w:rFonts w:ascii="Arial" w:cs="Arial" w:eastAsia="Arial" w:hAnsi="Arial"/>
          <w:sz w:val="20"/>
          <w:szCs w:val="20"/>
          <w:color w:val="auto"/>
        </w:rPr>
        <w:t>This is a summary only and does not contain all of the information that you should consider. We urge you to carefully read the entire Proxy Statement before voting.</w:t>
      </w:r>
    </w:p>
    <w:p>
      <w:pPr>
        <w:spacing w:after="0" w:line="147" w:lineRule="exact"/>
        <w:rPr>
          <w:sz w:val="20"/>
          <w:szCs w:val="20"/>
          <w:color w:val="auto"/>
        </w:rPr>
      </w:pPr>
    </w:p>
    <w:p>
      <w:pPr>
        <w:spacing w:after="0"/>
        <w:rPr>
          <w:sz w:val="20"/>
          <w:szCs w:val="20"/>
          <w:color w:val="auto"/>
        </w:rPr>
      </w:pPr>
      <w:r>
        <w:rPr>
          <w:rFonts w:ascii="Arial" w:cs="Arial" w:eastAsia="Arial" w:hAnsi="Arial"/>
          <w:sz w:val="26"/>
          <w:szCs w:val="26"/>
          <w:b w:val="1"/>
          <w:bCs w:val="1"/>
          <w:color w:val="29650B"/>
        </w:rPr>
        <w:t>Crown Holdings, Inc. - 2020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191770</wp:posOffset>
            </wp:positionV>
            <wp:extent cx="7143750" cy="317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3750" cy="31750"/>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Time and Date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6"/>
          <w:szCs w:val="16"/>
          <w:color w:val="auto"/>
        </w:rPr>
        <w:t>9:30 a.m. local time, April 23, 2020</w:t>
      </w:r>
    </w:p>
    <w:p>
      <w:pPr>
        <w:spacing w:after="0" w:line="200" w:lineRule="exact"/>
        <w:rPr>
          <w:sz w:val="20"/>
          <w:szCs w:val="20"/>
          <w:color w:val="auto"/>
        </w:rPr>
      </w:pPr>
    </w:p>
    <w:p>
      <w:pPr>
        <w:sectPr>
          <w:pgSz w:w="11900" w:h="16838" w:orient="portrait"/>
          <w:cols w:equalWidth="0" w:num="2">
            <w:col w:w="1520" w:space="720"/>
            <w:col w:w="9000"/>
          </w:cols>
          <w:pgMar w:left="320" w:top="646" w:right="339" w:bottom="1440" w:gutter="0" w:footer="0" w:header="0"/>
          <w:type w:val="continuous"/>
        </w:sectPr>
      </w:pPr>
    </w:p>
    <w:p>
      <w:pPr>
        <w:spacing w:after="0" w:line="46"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Place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770 Township Line Road</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Yardley, Pennsylvania</w:t>
      </w:r>
    </w:p>
    <w:p>
      <w:pPr>
        <w:spacing w:after="0" w:line="200" w:lineRule="exact"/>
        <w:rPr>
          <w:sz w:val="20"/>
          <w:szCs w:val="20"/>
          <w:color w:val="auto"/>
        </w:rPr>
      </w:pPr>
    </w:p>
    <w:p>
      <w:pPr>
        <w:sectPr>
          <w:pgSz w:w="11900" w:h="16838" w:orient="portrait"/>
          <w:cols w:equalWidth="0" w:num="2">
            <w:col w:w="1520" w:space="720"/>
            <w:col w:w="9000"/>
          </w:cols>
          <w:pgMar w:left="320" w:top="646" w:right="339" w:bottom="1440" w:gutter="0" w:footer="0" w:header="0"/>
          <w:type w:val="continuous"/>
        </w:sectPr>
      </w:pPr>
    </w:p>
    <w:p>
      <w:pPr>
        <w:spacing w:after="0" w:line="20"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Record Date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80"/>
        <w:spacing w:after="0" w:line="273" w:lineRule="auto"/>
        <w:rPr>
          <w:sz w:val="20"/>
          <w:szCs w:val="20"/>
          <w:color w:val="auto"/>
        </w:rPr>
      </w:pPr>
      <w:r>
        <w:rPr>
          <w:rFonts w:ascii="Arial" w:cs="Arial" w:eastAsia="Arial" w:hAnsi="Arial"/>
          <w:sz w:val="18"/>
          <w:szCs w:val="18"/>
          <w:color w:val="auto"/>
        </w:rPr>
        <w:t>March 3, 2020. Only Shareholders of record of the Company’s Common Stock at the close of business on the Record Date will be entitled to vote at the Annual Meeting.</w:t>
      </w:r>
    </w:p>
    <w:p>
      <w:pPr>
        <w:spacing w:after="0" w:line="200" w:lineRule="exact"/>
        <w:rPr>
          <w:sz w:val="20"/>
          <w:szCs w:val="20"/>
          <w:color w:val="auto"/>
        </w:rPr>
      </w:pPr>
    </w:p>
    <w:p>
      <w:pPr>
        <w:sectPr>
          <w:pgSz w:w="11900" w:h="16838" w:orient="portrait"/>
          <w:cols w:equalWidth="0" w:num="2">
            <w:col w:w="1520" w:space="720"/>
            <w:col w:w="9000"/>
          </w:cols>
          <w:pgMar w:left="320" w:top="646" w:right="339" w:bottom="1440" w:gutter="0" w:footer="0" w:header="0"/>
          <w:type w:val="continuous"/>
        </w:sectPr>
      </w:pPr>
    </w:p>
    <w:p>
      <w:pPr>
        <w:spacing w:after="0" w:line="159" w:lineRule="exact"/>
        <w:rPr>
          <w:sz w:val="20"/>
          <w:szCs w:val="20"/>
          <w:color w:val="auto"/>
        </w:rPr>
      </w:pPr>
    </w:p>
    <w:p>
      <w:pPr>
        <w:spacing w:after="0"/>
        <w:rPr>
          <w:sz w:val="20"/>
          <w:szCs w:val="20"/>
          <w:color w:val="auto"/>
        </w:rPr>
      </w:pPr>
      <w:r>
        <w:rPr>
          <w:rFonts w:ascii="Arial" w:cs="Arial" w:eastAsia="Arial" w:hAnsi="Arial"/>
          <w:sz w:val="26"/>
          <w:szCs w:val="26"/>
          <w:b w:val="1"/>
          <w:bCs w:val="1"/>
          <w:color w:val="29650B"/>
        </w:rPr>
        <w:t>2020 Annual Meeting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191770</wp:posOffset>
            </wp:positionV>
            <wp:extent cx="7143750" cy="317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3750" cy="3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10" w:type="dxa"/>
        <w:tblCellMar>
          <w:top w:w="0" w:type="dxa"/>
          <w:left w:w="0" w:type="dxa"/>
          <w:bottom w:w="0" w:type="dxa"/>
          <w:right w:w="0" w:type="dxa"/>
        </w:tblCellMar>
      </w:tblPr>
      <w:tr>
        <w:trPr>
          <w:trHeight w:val="223"/>
        </w:trPr>
        <w:tc>
          <w:tcPr>
            <w:tcW w:w="260" w:type="dxa"/>
            <w:vAlign w:val="bottom"/>
            <w:tcBorders>
              <w:top w:val="single" w:sz="8" w:color="auto"/>
              <w:left w:val="single" w:sz="8" w:color="auto"/>
              <w:bottom w:val="single" w:sz="8" w:color="auto"/>
            </w:tcBorders>
            <w:shd w:val="clear" w:color="auto" w:fill="29650B"/>
          </w:tcPr>
          <w:p>
            <w:pPr>
              <w:spacing w:after="0"/>
              <w:rPr>
                <w:sz w:val="19"/>
                <w:szCs w:val="19"/>
                <w:color w:val="auto"/>
              </w:rPr>
            </w:pPr>
          </w:p>
        </w:tc>
        <w:tc>
          <w:tcPr>
            <w:tcW w:w="5520" w:type="dxa"/>
            <w:vAlign w:val="bottom"/>
            <w:tcBorders>
              <w:top w:val="single" w:sz="8" w:color="auto"/>
              <w:bottom w:val="single" w:sz="8" w:color="auto"/>
              <w:right w:val="single" w:sz="8" w:color="auto"/>
            </w:tcBorders>
            <w:shd w:val="clear" w:color="auto" w:fill="29650B"/>
          </w:tcPr>
          <w:p>
            <w:pPr>
              <w:ind w:left="2120"/>
              <w:spacing w:after="0"/>
              <w:rPr>
                <w:sz w:val="20"/>
                <w:szCs w:val="20"/>
                <w:color w:val="auto"/>
              </w:rPr>
            </w:pPr>
            <w:r>
              <w:rPr>
                <w:rFonts w:ascii="Arial" w:cs="Arial" w:eastAsia="Arial" w:hAnsi="Arial"/>
                <w:sz w:val="18"/>
                <w:szCs w:val="18"/>
                <w:b w:val="1"/>
                <w:bCs w:val="1"/>
                <w:color w:val="FFFFFF"/>
              </w:rPr>
              <w:t>Agenda Item</w:t>
            </w:r>
          </w:p>
        </w:tc>
        <w:tc>
          <w:tcPr>
            <w:tcW w:w="3540" w:type="dxa"/>
            <w:vAlign w:val="bottom"/>
            <w:tcBorders>
              <w:top w:val="single" w:sz="8" w:color="auto"/>
              <w:bottom w:val="single" w:sz="8" w:color="auto"/>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90"/>
              </w:rPr>
              <w:t>Board Recommendation</w:t>
            </w:r>
          </w:p>
        </w:tc>
        <w:tc>
          <w:tcPr>
            <w:tcW w:w="800" w:type="dxa"/>
            <w:vAlign w:val="bottom"/>
            <w:tcBorders>
              <w:top w:val="single" w:sz="8" w:color="auto"/>
              <w:bottom w:val="single" w:sz="8" w:color="auto"/>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88"/>
              </w:rPr>
              <w:t>Page</w:t>
            </w:r>
          </w:p>
        </w:tc>
        <w:tc>
          <w:tcPr>
            <w:tcW w:w="0" w:type="dxa"/>
            <w:vAlign w:val="bottom"/>
          </w:tcPr>
          <w:p>
            <w:pPr>
              <w:spacing w:after="0"/>
              <w:rPr>
                <w:sz w:val="1"/>
                <w:szCs w:val="1"/>
                <w:color w:val="auto"/>
              </w:rPr>
            </w:pPr>
          </w:p>
        </w:tc>
      </w:tr>
      <w:tr>
        <w:trPr>
          <w:trHeight w:val="252"/>
        </w:trPr>
        <w:tc>
          <w:tcPr>
            <w:tcW w:w="260" w:type="dxa"/>
            <w:vAlign w:val="bottom"/>
            <w:tcBorders>
              <w:left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55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Election of Directors</w:t>
            </w:r>
          </w:p>
        </w:tc>
        <w:tc>
          <w:tcPr>
            <w:tcW w:w="3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99"/>
              </w:rPr>
              <w:t>FOR EACH DIRECTOR NOMINEE</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4"/>
              </w:rPr>
              <w:t>19</w:t>
            </w:r>
          </w:p>
        </w:tc>
        <w:tc>
          <w:tcPr>
            <w:tcW w:w="0" w:type="dxa"/>
            <w:vAlign w:val="bottom"/>
          </w:tcPr>
          <w:p>
            <w:pPr>
              <w:spacing w:after="0"/>
              <w:rPr>
                <w:sz w:val="1"/>
                <w:szCs w:val="1"/>
                <w:color w:val="auto"/>
              </w:rPr>
            </w:pPr>
          </w:p>
        </w:tc>
      </w:tr>
      <w:tr>
        <w:trPr>
          <w:trHeight w:val="253"/>
        </w:trPr>
        <w:tc>
          <w:tcPr>
            <w:tcW w:w="260" w:type="dxa"/>
            <w:vAlign w:val="bottom"/>
            <w:tcBorders>
              <w:left w:val="single" w:sz="8" w:color="auto"/>
              <w:bottom w:val="single" w:sz="8" w:color="auto"/>
            </w:tcBorders>
            <w:shd w:val="clear" w:color="auto" w:fill="D9D9D9"/>
          </w:tcPr>
          <w:p>
            <w:pPr>
              <w:jc w:val="right"/>
              <w:spacing w:after="0"/>
              <w:rPr>
                <w:sz w:val="20"/>
                <w:szCs w:val="20"/>
                <w:color w:val="auto"/>
              </w:rPr>
            </w:pPr>
            <w:r>
              <w:rPr>
                <w:rFonts w:ascii="Arial" w:cs="Arial" w:eastAsia="Arial" w:hAnsi="Arial"/>
                <w:sz w:val="17"/>
                <w:szCs w:val="17"/>
                <w:color w:val="auto"/>
              </w:rPr>
              <w:t>2.</w:t>
            </w:r>
          </w:p>
        </w:tc>
        <w:tc>
          <w:tcPr>
            <w:tcW w:w="5520" w:type="dxa"/>
            <w:vAlign w:val="bottom"/>
            <w:tcBorders>
              <w:bottom w:val="single" w:sz="8" w:color="auto"/>
              <w:right w:val="single" w:sz="8" w:color="auto"/>
            </w:tcBorders>
            <w:shd w:val="clear" w:color="auto" w:fill="D9D9D9"/>
          </w:tcPr>
          <w:p>
            <w:pPr>
              <w:ind w:left="40"/>
              <w:spacing w:after="0"/>
              <w:rPr>
                <w:sz w:val="20"/>
                <w:szCs w:val="20"/>
                <w:color w:val="auto"/>
              </w:rPr>
            </w:pPr>
            <w:r>
              <w:rPr>
                <w:rFonts w:ascii="Arial" w:cs="Arial" w:eastAsia="Arial" w:hAnsi="Arial"/>
                <w:sz w:val="17"/>
                <w:szCs w:val="17"/>
                <w:color w:val="auto"/>
              </w:rPr>
              <w:t>Ratification of appointment of Independent Auditors</w:t>
            </w:r>
          </w:p>
        </w:tc>
        <w:tc>
          <w:tcPr>
            <w:tcW w:w="35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7"/>
                <w:szCs w:val="17"/>
                <w:b w:val="1"/>
                <w:bCs w:val="1"/>
                <w:color w:val="auto"/>
              </w:rPr>
              <w:t>FOR</w:t>
            </w:r>
          </w:p>
        </w:tc>
        <w:tc>
          <w:tcPr>
            <w:tcW w:w="8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7"/>
                <w:szCs w:val="17"/>
                <w:color w:val="auto"/>
                <w:w w:val="84"/>
              </w:rPr>
              <w:t>63</w:t>
            </w:r>
          </w:p>
        </w:tc>
        <w:tc>
          <w:tcPr>
            <w:tcW w:w="0" w:type="dxa"/>
            <w:vAlign w:val="bottom"/>
          </w:tcPr>
          <w:p>
            <w:pPr>
              <w:spacing w:after="0"/>
              <w:rPr>
                <w:sz w:val="1"/>
                <w:szCs w:val="1"/>
                <w:color w:val="auto"/>
              </w:rPr>
            </w:pPr>
          </w:p>
        </w:tc>
      </w:tr>
      <w:tr>
        <w:trPr>
          <w:trHeight w:val="253"/>
        </w:trPr>
        <w:tc>
          <w:tcPr>
            <w:tcW w:w="260" w:type="dxa"/>
            <w:vAlign w:val="bottom"/>
            <w:tcBorders>
              <w:left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55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Advisory vote to approve executive compensation</w:t>
            </w:r>
          </w:p>
        </w:tc>
        <w:tc>
          <w:tcPr>
            <w:tcW w:w="3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rPr>
              <w:t>FOR</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4"/>
              </w:rPr>
              <w:t>64</w:t>
            </w:r>
          </w:p>
        </w:tc>
        <w:tc>
          <w:tcPr>
            <w:tcW w:w="0" w:type="dxa"/>
            <w:vAlign w:val="bottom"/>
          </w:tcPr>
          <w:p>
            <w:pPr>
              <w:spacing w:after="0"/>
              <w:rPr>
                <w:sz w:val="1"/>
                <w:szCs w:val="1"/>
                <w:color w:val="auto"/>
              </w:rPr>
            </w:pPr>
          </w:p>
        </w:tc>
      </w:tr>
      <w:tr>
        <w:trPr>
          <w:trHeight w:val="241"/>
        </w:trPr>
        <w:tc>
          <w:tcPr>
            <w:tcW w:w="260" w:type="dxa"/>
            <w:vAlign w:val="bottom"/>
            <w:tcBorders>
              <w:left w:val="single" w:sz="8" w:color="auto"/>
            </w:tcBorders>
            <w:shd w:val="clear" w:color="auto" w:fill="D9D9D9"/>
          </w:tcPr>
          <w:p>
            <w:pPr>
              <w:jc w:val="right"/>
              <w:spacing w:after="0"/>
              <w:rPr>
                <w:sz w:val="20"/>
                <w:szCs w:val="20"/>
                <w:color w:val="auto"/>
              </w:rPr>
            </w:pPr>
            <w:r>
              <w:rPr>
                <w:rFonts w:ascii="Arial" w:cs="Arial" w:eastAsia="Arial" w:hAnsi="Arial"/>
                <w:sz w:val="17"/>
                <w:szCs w:val="17"/>
                <w:color w:val="auto"/>
              </w:rPr>
              <w:t>4.</w:t>
            </w:r>
          </w:p>
        </w:tc>
        <w:tc>
          <w:tcPr>
            <w:tcW w:w="5520" w:type="dxa"/>
            <w:vAlign w:val="bottom"/>
            <w:tcBorders>
              <w:right w:val="single" w:sz="8" w:color="auto"/>
            </w:tcBorders>
            <w:shd w:val="clear" w:color="auto" w:fill="D9D9D9"/>
          </w:tcPr>
          <w:p>
            <w:pPr>
              <w:ind w:left="40"/>
              <w:spacing w:after="0"/>
              <w:rPr>
                <w:sz w:val="20"/>
                <w:szCs w:val="20"/>
                <w:color w:val="auto"/>
              </w:rPr>
            </w:pPr>
            <w:r>
              <w:rPr>
                <w:rFonts w:ascii="Arial" w:cs="Arial" w:eastAsia="Arial" w:hAnsi="Arial"/>
                <w:sz w:val="17"/>
                <w:szCs w:val="17"/>
                <w:color w:val="auto"/>
              </w:rPr>
              <w:t>Shareholder proposal reqesting the Board of Directors to adopt</w:t>
            </w:r>
          </w:p>
        </w:tc>
        <w:tc>
          <w:tcPr>
            <w:tcW w:w="354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7"/>
                <w:szCs w:val="17"/>
                <w:b w:val="1"/>
                <w:bCs w:val="1"/>
                <w:color w:val="auto"/>
                <w:w w:val="99"/>
              </w:rPr>
              <w:t>AGAINST</w:t>
            </w:r>
          </w:p>
        </w:tc>
        <w:tc>
          <w:tcPr>
            <w:tcW w:w="80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7"/>
                <w:szCs w:val="17"/>
                <w:color w:val="auto"/>
                <w:w w:val="84"/>
              </w:rPr>
              <w:t>65</w:t>
            </w:r>
          </w:p>
        </w:tc>
        <w:tc>
          <w:tcPr>
            <w:tcW w:w="0" w:type="dxa"/>
            <w:vAlign w:val="bottom"/>
          </w:tcPr>
          <w:p>
            <w:pPr>
              <w:spacing w:after="0"/>
              <w:rPr>
                <w:sz w:val="1"/>
                <w:szCs w:val="1"/>
                <w:color w:val="auto"/>
              </w:rPr>
            </w:pPr>
          </w:p>
        </w:tc>
      </w:tr>
      <w:tr>
        <w:trPr>
          <w:trHeight w:val="85"/>
        </w:trPr>
        <w:tc>
          <w:tcPr>
            <w:tcW w:w="260" w:type="dxa"/>
            <w:vAlign w:val="bottom"/>
            <w:tcBorders>
              <w:left w:val="single" w:sz="8" w:color="auto"/>
            </w:tcBorders>
            <w:shd w:val="clear" w:color="auto" w:fill="D9D9D9"/>
          </w:tcPr>
          <w:p>
            <w:pPr>
              <w:spacing w:after="0"/>
              <w:rPr>
                <w:sz w:val="7"/>
                <w:szCs w:val="7"/>
                <w:color w:val="auto"/>
              </w:rPr>
            </w:pPr>
          </w:p>
        </w:tc>
        <w:tc>
          <w:tcPr>
            <w:tcW w:w="5520" w:type="dxa"/>
            <w:vAlign w:val="bottom"/>
            <w:tcBorders>
              <w:right w:val="single" w:sz="8" w:color="auto"/>
            </w:tcBorders>
            <w:vMerge w:val="restart"/>
            <w:shd w:val="clear" w:color="auto" w:fill="D9D9D9"/>
          </w:tcPr>
          <w:p>
            <w:pPr>
              <w:ind w:left="40"/>
              <w:spacing w:after="0"/>
              <w:rPr>
                <w:sz w:val="20"/>
                <w:szCs w:val="20"/>
                <w:color w:val="auto"/>
              </w:rPr>
            </w:pPr>
            <w:r>
              <w:rPr>
                <w:rFonts w:ascii="Arial" w:cs="Arial" w:eastAsia="Arial" w:hAnsi="Arial"/>
                <w:sz w:val="17"/>
                <w:szCs w:val="17"/>
                <w:color w:val="auto"/>
              </w:rPr>
              <w:t>a policy for an independent Board Chairman</w:t>
            </w:r>
          </w:p>
        </w:tc>
        <w:tc>
          <w:tcPr>
            <w:tcW w:w="3540" w:type="dxa"/>
            <w:vAlign w:val="bottom"/>
            <w:tcBorders>
              <w:right w:val="single" w:sz="8" w:color="auto"/>
            </w:tcBorders>
            <w:vMerge w:val="continue"/>
            <w:shd w:val="clear" w:color="auto" w:fill="D9D9D9"/>
          </w:tcPr>
          <w:p>
            <w:pPr>
              <w:spacing w:after="0"/>
              <w:rPr>
                <w:sz w:val="7"/>
                <w:szCs w:val="7"/>
                <w:color w:val="auto"/>
              </w:rPr>
            </w:pPr>
          </w:p>
        </w:tc>
        <w:tc>
          <w:tcPr>
            <w:tcW w:w="800" w:type="dxa"/>
            <w:vAlign w:val="bottom"/>
            <w:tcBorders>
              <w:right w:val="single" w:sz="8" w:color="auto"/>
            </w:tcBorders>
            <w:vMerge w:val="continue"/>
            <w:shd w:val="clear" w:color="auto" w:fill="D9D9D9"/>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60" w:type="dxa"/>
            <w:vAlign w:val="bottom"/>
            <w:tcBorders>
              <w:left w:val="single" w:sz="8" w:color="auto"/>
              <w:bottom w:val="single" w:sz="8" w:color="auto"/>
            </w:tcBorders>
            <w:shd w:val="clear" w:color="auto" w:fill="D9D9D9"/>
          </w:tcPr>
          <w:p>
            <w:pPr>
              <w:spacing w:after="0"/>
              <w:rPr>
                <w:sz w:val="10"/>
                <w:szCs w:val="10"/>
                <w:color w:val="auto"/>
              </w:rPr>
            </w:pPr>
          </w:p>
        </w:tc>
        <w:tc>
          <w:tcPr>
            <w:tcW w:w="5520" w:type="dxa"/>
            <w:vAlign w:val="bottom"/>
            <w:tcBorders>
              <w:bottom w:val="single" w:sz="8" w:color="auto"/>
              <w:right w:val="single" w:sz="8" w:color="auto"/>
            </w:tcBorders>
            <w:vMerge w:val="continue"/>
            <w:shd w:val="clear" w:color="auto" w:fill="D9D9D9"/>
          </w:tcPr>
          <w:p>
            <w:pPr>
              <w:spacing w:after="0"/>
              <w:rPr>
                <w:sz w:val="10"/>
                <w:szCs w:val="10"/>
                <w:color w:val="auto"/>
              </w:rPr>
            </w:pPr>
          </w:p>
        </w:tc>
        <w:tc>
          <w:tcPr>
            <w:tcW w:w="3540" w:type="dxa"/>
            <w:vAlign w:val="bottom"/>
            <w:tcBorders>
              <w:bottom w:val="single" w:sz="8" w:color="auto"/>
              <w:right w:val="single" w:sz="8" w:color="auto"/>
            </w:tcBorders>
            <w:shd w:val="clear" w:color="auto" w:fill="D9D9D9"/>
          </w:tcPr>
          <w:p>
            <w:pPr>
              <w:spacing w:after="0"/>
              <w:rPr>
                <w:sz w:val="10"/>
                <w:szCs w:val="10"/>
                <w:color w:val="auto"/>
              </w:rPr>
            </w:pPr>
          </w:p>
        </w:tc>
        <w:tc>
          <w:tcPr>
            <w:tcW w:w="800" w:type="dxa"/>
            <w:vAlign w:val="bottom"/>
            <w:tcBorders>
              <w:bottom w:val="single" w:sz="8" w:color="auto"/>
              <w:right w:val="single" w:sz="8" w:color="auto"/>
            </w:tcBorders>
            <w:shd w:val="clear" w:color="auto" w:fill="D9D9D9"/>
          </w:tcPr>
          <w:p>
            <w:pPr>
              <w:spacing w:after="0"/>
              <w:rPr>
                <w:sz w:val="10"/>
                <w:szCs w:val="10"/>
                <w:color w:val="auto"/>
              </w:rPr>
            </w:pPr>
          </w:p>
        </w:tc>
        <w:tc>
          <w:tcPr>
            <w:tcW w:w="0" w:type="dxa"/>
            <w:vAlign w:val="bottom"/>
          </w:tcPr>
          <w:p>
            <w:pPr>
              <w:spacing w:after="0"/>
              <w:rPr>
                <w:sz w:val="1"/>
                <w:szCs w:val="1"/>
                <w:color w:val="auto"/>
              </w:rPr>
            </w:pPr>
          </w:p>
        </w:tc>
      </w:tr>
    </w:tbl>
    <w:p>
      <w:pPr>
        <w:spacing w:after="0" w:line="379" w:lineRule="exact"/>
        <w:rPr>
          <w:sz w:val="20"/>
          <w:szCs w:val="20"/>
          <w:color w:val="auto"/>
        </w:rPr>
      </w:pPr>
    </w:p>
    <w:p>
      <w:pPr>
        <w:spacing w:after="0"/>
        <w:rPr>
          <w:sz w:val="20"/>
          <w:szCs w:val="20"/>
          <w:color w:val="auto"/>
        </w:rPr>
      </w:pPr>
      <w:r>
        <w:rPr>
          <w:rFonts w:ascii="Arial" w:cs="Arial" w:eastAsia="Arial" w:hAnsi="Arial"/>
          <w:sz w:val="26"/>
          <w:szCs w:val="26"/>
          <w:b w:val="1"/>
          <w:bCs w:val="1"/>
          <w:color w:val="29650B"/>
        </w:rPr>
        <w:t>How to Cast Your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191770</wp:posOffset>
            </wp:positionV>
            <wp:extent cx="7143750" cy="317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3750" cy="3175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You can vote by any of the following methods:</w:t>
      </w:r>
    </w:p>
    <w:p>
      <w:pPr>
        <w:spacing w:after="0" w:line="211" w:lineRule="exact"/>
        <w:rPr>
          <w:sz w:val="20"/>
          <w:szCs w:val="20"/>
          <w:color w:val="auto"/>
        </w:rPr>
      </w:pPr>
    </w:p>
    <w:tbl>
      <w:tblPr>
        <w:tblLayout w:type="fixed"/>
        <w:tblInd w:w="10" w:type="dxa"/>
        <w:tblCellMar>
          <w:top w:w="0" w:type="dxa"/>
          <w:left w:w="0" w:type="dxa"/>
          <w:bottom w:w="0" w:type="dxa"/>
          <w:right w:w="0" w:type="dxa"/>
        </w:tblCellMar>
      </w:tblPr>
      <w:tr>
        <w:trPr>
          <w:trHeight w:val="269"/>
        </w:trPr>
        <w:tc>
          <w:tcPr>
            <w:tcW w:w="28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5"/>
              </w:rPr>
              <w:t>Internet</w:t>
            </w:r>
          </w:p>
        </w:tc>
        <w:tc>
          <w:tcPr>
            <w:tcW w:w="28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8"/>
              </w:rPr>
              <w:t>Phone</w:t>
            </w:r>
          </w:p>
        </w:tc>
        <w:tc>
          <w:tcPr>
            <w:tcW w:w="2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rPr>
              <w:t>Mail</w:t>
            </w:r>
          </w:p>
        </w:tc>
        <w:tc>
          <w:tcPr>
            <w:tcW w:w="2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In Person</w:t>
            </w:r>
          </w:p>
        </w:tc>
        <w:tc>
          <w:tcPr>
            <w:tcW w:w="0" w:type="dxa"/>
            <w:vAlign w:val="bottom"/>
          </w:tcPr>
          <w:p>
            <w:pPr>
              <w:spacing w:after="0"/>
              <w:rPr>
                <w:sz w:val="1"/>
                <w:szCs w:val="1"/>
                <w:color w:val="auto"/>
              </w:rPr>
            </w:pPr>
          </w:p>
        </w:tc>
      </w:tr>
      <w:tr>
        <w:trPr>
          <w:trHeight w:val="1045"/>
        </w:trPr>
        <w:tc>
          <w:tcPr>
            <w:tcW w:w="2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86"/>
              </w:rPr>
              <w:t>www.proxypush.com/cck</w:t>
            </w:r>
          </w:p>
        </w:tc>
        <w:tc>
          <w:tcPr>
            <w:tcW w:w="2820" w:type="dxa"/>
            <w:vAlign w:val="bottom"/>
            <w:tcBorders>
              <w:right w:val="single" w:sz="8" w:color="auto"/>
            </w:tcBorders>
          </w:tcPr>
          <w:p>
            <w:pPr>
              <w:jc w:val="center"/>
              <w:spacing w:after="0"/>
              <w:rPr>
                <w:sz w:val="20"/>
                <w:szCs w:val="20"/>
                <w:color w:val="auto"/>
              </w:rPr>
            </w:pPr>
            <w:r>
              <w:rPr>
                <w:rFonts w:ascii="Arial" w:cs="Arial" w:eastAsia="Arial" w:hAnsi="Arial"/>
                <w:sz w:val="17"/>
                <w:szCs w:val="17"/>
                <w:b w:val="1"/>
                <w:bCs w:val="1"/>
                <w:color w:val="auto"/>
                <w:w w:val="87"/>
              </w:rPr>
              <w:t>1-866-883-3382</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8"/>
              </w:rPr>
              <w:t>Mark, sign and date your proxy card</w:t>
            </w:r>
          </w:p>
        </w:tc>
        <w:tc>
          <w:tcPr>
            <w:tcW w:w="2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w w:val="88"/>
              </w:rPr>
              <w:t>For instructions on attending the</w:t>
            </w:r>
          </w:p>
        </w:tc>
        <w:tc>
          <w:tcPr>
            <w:tcW w:w="0" w:type="dxa"/>
            <w:vAlign w:val="bottom"/>
          </w:tcPr>
          <w:p>
            <w:pPr>
              <w:spacing w:after="0"/>
              <w:rPr>
                <w:sz w:val="1"/>
                <w:szCs w:val="1"/>
                <w:color w:val="auto"/>
              </w:rPr>
            </w:pPr>
          </w:p>
        </w:tc>
      </w:tr>
      <w:tr>
        <w:trPr>
          <w:trHeight w:val="99"/>
        </w:trPr>
        <w:tc>
          <w:tcPr>
            <w:tcW w:w="28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7"/>
                <w:szCs w:val="17"/>
                <w:color w:val="auto"/>
                <w:w w:val="89"/>
              </w:rPr>
              <w:t>Deadline for voting online is 11:59</w:t>
            </w:r>
          </w:p>
        </w:tc>
        <w:tc>
          <w:tcPr>
            <w:tcW w:w="2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w w:val="89"/>
              </w:rPr>
              <w:t>Deadline for voting by phone is 11:59</w:t>
            </w:r>
          </w:p>
        </w:tc>
        <w:tc>
          <w:tcPr>
            <w:tcW w:w="2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w w:val="88"/>
              </w:rPr>
              <w:t>and return it in the postage-paid</w:t>
            </w:r>
          </w:p>
        </w:tc>
        <w:tc>
          <w:tcPr>
            <w:tcW w:w="28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840" w:type="dxa"/>
            <w:vAlign w:val="bottom"/>
            <w:tcBorders>
              <w:left w:val="single" w:sz="8" w:color="auto"/>
              <w:right w:val="single" w:sz="8" w:color="auto"/>
            </w:tcBorders>
            <w:vMerge w:val="continue"/>
          </w:tcPr>
          <w:p>
            <w:pPr>
              <w:spacing w:after="0"/>
              <w:rPr>
                <w:sz w:val="8"/>
                <w:szCs w:val="8"/>
                <w:color w:val="auto"/>
              </w:rPr>
            </w:pPr>
          </w:p>
        </w:tc>
        <w:tc>
          <w:tcPr>
            <w:tcW w:w="2820" w:type="dxa"/>
            <w:vAlign w:val="bottom"/>
            <w:tcBorders>
              <w:right w:val="single" w:sz="8" w:color="auto"/>
            </w:tcBorders>
            <w:vMerge w:val="continue"/>
          </w:tcPr>
          <w:p>
            <w:pPr>
              <w:spacing w:after="0"/>
              <w:rPr>
                <w:sz w:val="8"/>
                <w:szCs w:val="8"/>
                <w:color w:val="auto"/>
              </w:rPr>
            </w:pPr>
          </w:p>
        </w:tc>
        <w:tc>
          <w:tcPr>
            <w:tcW w:w="2800" w:type="dxa"/>
            <w:vAlign w:val="bottom"/>
            <w:tcBorders>
              <w:right w:val="single" w:sz="8" w:color="auto"/>
            </w:tcBorders>
            <w:vMerge w:val="continue"/>
          </w:tcPr>
          <w:p>
            <w:pPr>
              <w:spacing w:after="0"/>
              <w:rPr>
                <w:sz w:val="8"/>
                <w:szCs w:val="8"/>
                <w:color w:val="auto"/>
              </w:rPr>
            </w:pPr>
          </w:p>
        </w:tc>
        <w:tc>
          <w:tcPr>
            <w:tcW w:w="2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w w:val="87"/>
              </w:rPr>
              <w:t>Annual Meeting, please</w:t>
            </w:r>
          </w:p>
        </w:tc>
        <w:tc>
          <w:tcPr>
            <w:tcW w:w="0" w:type="dxa"/>
            <w:vAlign w:val="bottom"/>
          </w:tcPr>
          <w:p>
            <w:pPr>
              <w:spacing w:after="0"/>
              <w:rPr>
                <w:sz w:val="1"/>
                <w:szCs w:val="1"/>
                <w:color w:val="auto"/>
              </w:rPr>
            </w:pPr>
          </w:p>
        </w:tc>
      </w:tr>
      <w:tr>
        <w:trPr>
          <w:trHeight w:val="99"/>
        </w:trPr>
        <w:tc>
          <w:tcPr>
            <w:tcW w:w="28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7"/>
                <w:szCs w:val="17"/>
                <w:color w:val="auto"/>
                <w:w w:val="91"/>
              </w:rPr>
              <w:t>p.m. (CT) on April 22, 2020.</w:t>
            </w:r>
          </w:p>
        </w:tc>
        <w:tc>
          <w:tcPr>
            <w:tcW w:w="2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w w:val="90"/>
              </w:rPr>
              <w:t>p.m. (CT) on April 22, 2020.</w:t>
            </w:r>
          </w:p>
        </w:tc>
        <w:tc>
          <w:tcPr>
            <w:tcW w:w="2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w w:val="90"/>
              </w:rPr>
              <w:t>envelope provided. Your proxy card</w:t>
            </w:r>
          </w:p>
        </w:tc>
        <w:tc>
          <w:tcPr>
            <w:tcW w:w="28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840" w:type="dxa"/>
            <w:vAlign w:val="bottom"/>
            <w:tcBorders>
              <w:left w:val="single" w:sz="8" w:color="auto"/>
              <w:right w:val="single" w:sz="8" w:color="auto"/>
            </w:tcBorders>
            <w:vMerge w:val="continue"/>
          </w:tcPr>
          <w:p>
            <w:pPr>
              <w:spacing w:after="0"/>
              <w:rPr>
                <w:sz w:val="8"/>
                <w:szCs w:val="8"/>
                <w:color w:val="auto"/>
              </w:rPr>
            </w:pPr>
          </w:p>
        </w:tc>
        <w:tc>
          <w:tcPr>
            <w:tcW w:w="2820" w:type="dxa"/>
            <w:vAlign w:val="bottom"/>
            <w:tcBorders>
              <w:right w:val="single" w:sz="8" w:color="auto"/>
            </w:tcBorders>
            <w:vMerge w:val="continue"/>
          </w:tcPr>
          <w:p>
            <w:pPr>
              <w:spacing w:after="0"/>
              <w:rPr>
                <w:sz w:val="8"/>
                <w:szCs w:val="8"/>
                <w:color w:val="auto"/>
              </w:rPr>
            </w:pPr>
          </w:p>
        </w:tc>
        <w:tc>
          <w:tcPr>
            <w:tcW w:w="2800" w:type="dxa"/>
            <w:vAlign w:val="bottom"/>
            <w:tcBorders>
              <w:right w:val="single" w:sz="8" w:color="auto"/>
            </w:tcBorders>
            <w:vMerge w:val="continue"/>
          </w:tcPr>
          <w:p>
            <w:pPr>
              <w:spacing w:after="0"/>
              <w:rPr>
                <w:sz w:val="8"/>
                <w:szCs w:val="8"/>
                <w:color w:val="auto"/>
              </w:rPr>
            </w:pPr>
          </w:p>
        </w:tc>
        <w:tc>
          <w:tcPr>
            <w:tcW w:w="2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w w:val="88"/>
              </w:rPr>
              <w:t xml:space="preserve">see </w:t>
            </w:r>
            <w:r>
              <w:rPr>
                <w:rFonts w:ascii="Arial" w:cs="Arial" w:eastAsia="Arial" w:hAnsi="Arial"/>
                <w:sz w:val="17"/>
                <w:szCs w:val="17"/>
                <w:i w:val="1"/>
                <w:iCs w:val="1"/>
                <w:color w:val="auto"/>
                <w:w w:val="88"/>
              </w:rPr>
              <w:t>“Questions &amp; Answers about the</w:t>
            </w:r>
          </w:p>
        </w:tc>
        <w:tc>
          <w:tcPr>
            <w:tcW w:w="0" w:type="dxa"/>
            <w:vAlign w:val="bottom"/>
          </w:tcPr>
          <w:p>
            <w:pPr>
              <w:spacing w:after="0"/>
              <w:rPr>
                <w:sz w:val="1"/>
                <w:szCs w:val="1"/>
                <w:color w:val="auto"/>
              </w:rPr>
            </w:pPr>
          </w:p>
        </w:tc>
      </w:tr>
      <w:tr>
        <w:trPr>
          <w:trHeight w:val="99"/>
        </w:trPr>
        <w:tc>
          <w:tcPr>
            <w:tcW w:w="2840" w:type="dxa"/>
            <w:vAlign w:val="bottom"/>
            <w:tcBorders>
              <w:left w:val="single" w:sz="8" w:color="auto"/>
              <w:right w:val="single" w:sz="8" w:color="auto"/>
            </w:tcBorders>
          </w:tcPr>
          <w:p>
            <w:pPr>
              <w:spacing w:after="0"/>
              <w:rPr>
                <w:sz w:val="8"/>
                <w:szCs w:val="8"/>
                <w:color w:val="auto"/>
              </w:rPr>
            </w:pPr>
          </w:p>
        </w:tc>
        <w:tc>
          <w:tcPr>
            <w:tcW w:w="2820" w:type="dxa"/>
            <w:vAlign w:val="bottom"/>
            <w:tcBorders>
              <w:right w:val="single" w:sz="8" w:color="auto"/>
            </w:tcBorders>
          </w:tcPr>
          <w:p>
            <w:pPr>
              <w:spacing w:after="0"/>
              <w:rPr>
                <w:sz w:val="8"/>
                <w:szCs w:val="8"/>
                <w:color w:val="auto"/>
              </w:rPr>
            </w:pPr>
          </w:p>
        </w:tc>
        <w:tc>
          <w:tcPr>
            <w:tcW w:w="2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w w:val="87"/>
              </w:rPr>
              <w:t>must be received before the Annual</w:t>
            </w:r>
          </w:p>
        </w:tc>
        <w:tc>
          <w:tcPr>
            <w:tcW w:w="28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840" w:type="dxa"/>
            <w:vAlign w:val="bottom"/>
            <w:tcBorders>
              <w:left w:val="single" w:sz="8" w:color="auto"/>
              <w:right w:val="single" w:sz="8" w:color="auto"/>
            </w:tcBorders>
          </w:tcPr>
          <w:p>
            <w:pPr>
              <w:spacing w:after="0"/>
              <w:rPr>
                <w:sz w:val="8"/>
                <w:szCs w:val="8"/>
                <w:color w:val="auto"/>
              </w:rPr>
            </w:pPr>
          </w:p>
        </w:tc>
        <w:tc>
          <w:tcPr>
            <w:tcW w:w="2820" w:type="dxa"/>
            <w:vAlign w:val="bottom"/>
            <w:tcBorders>
              <w:right w:val="single" w:sz="8" w:color="auto"/>
            </w:tcBorders>
          </w:tcPr>
          <w:p>
            <w:pPr>
              <w:spacing w:after="0"/>
              <w:rPr>
                <w:sz w:val="8"/>
                <w:szCs w:val="8"/>
                <w:color w:val="auto"/>
              </w:rPr>
            </w:pPr>
          </w:p>
        </w:tc>
        <w:tc>
          <w:tcPr>
            <w:tcW w:w="2800" w:type="dxa"/>
            <w:vAlign w:val="bottom"/>
            <w:tcBorders>
              <w:right w:val="single" w:sz="8" w:color="auto"/>
            </w:tcBorders>
            <w:vMerge w:val="continue"/>
          </w:tcPr>
          <w:p>
            <w:pPr>
              <w:spacing w:after="0"/>
              <w:rPr>
                <w:sz w:val="8"/>
                <w:szCs w:val="8"/>
                <w:color w:val="auto"/>
              </w:rPr>
            </w:pPr>
          </w:p>
        </w:tc>
        <w:tc>
          <w:tcPr>
            <w:tcW w:w="2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i w:val="1"/>
                <w:iCs w:val="1"/>
                <w:color w:val="auto"/>
                <w:w w:val="88"/>
              </w:rPr>
              <w:t xml:space="preserve">2020 Annual Meeting” </w:t>
            </w:r>
            <w:r>
              <w:rPr>
                <w:rFonts w:ascii="Arial" w:cs="Arial" w:eastAsia="Arial" w:hAnsi="Arial"/>
                <w:sz w:val="17"/>
                <w:szCs w:val="17"/>
                <w:color w:val="auto"/>
                <w:w w:val="88"/>
              </w:rPr>
              <w:t>on page 13.</w:t>
            </w:r>
          </w:p>
        </w:tc>
        <w:tc>
          <w:tcPr>
            <w:tcW w:w="0" w:type="dxa"/>
            <w:vAlign w:val="bottom"/>
          </w:tcPr>
          <w:p>
            <w:pPr>
              <w:spacing w:after="0"/>
              <w:rPr>
                <w:sz w:val="1"/>
                <w:szCs w:val="1"/>
                <w:color w:val="auto"/>
              </w:rPr>
            </w:pPr>
          </w:p>
        </w:tc>
      </w:tr>
      <w:tr>
        <w:trPr>
          <w:trHeight w:val="110"/>
        </w:trPr>
        <w:tc>
          <w:tcPr>
            <w:tcW w:w="2840" w:type="dxa"/>
            <w:vAlign w:val="bottom"/>
            <w:tcBorders>
              <w:left w:val="single" w:sz="8" w:color="auto"/>
              <w:right w:val="single" w:sz="8" w:color="auto"/>
            </w:tcBorders>
          </w:tcPr>
          <w:p>
            <w:pPr>
              <w:spacing w:after="0"/>
              <w:rPr>
                <w:sz w:val="9"/>
                <w:szCs w:val="9"/>
                <w:color w:val="auto"/>
              </w:rPr>
            </w:pPr>
          </w:p>
        </w:tc>
        <w:tc>
          <w:tcPr>
            <w:tcW w:w="2820" w:type="dxa"/>
            <w:vAlign w:val="bottom"/>
            <w:tcBorders>
              <w:right w:val="single" w:sz="8" w:color="auto"/>
            </w:tcBorders>
          </w:tcPr>
          <w:p>
            <w:pPr>
              <w:spacing w:after="0"/>
              <w:rPr>
                <w:sz w:val="9"/>
                <w:szCs w:val="9"/>
                <w:color w:val="auto"/>
              </w:rPr>
            </w:pPr>
          </w:p>
        </w:tc>
        <w:tc>
          <w:tcPr>
            <w:tcW w:w="2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w w:val="91"/>
              </w:rPr>
              <w:t>Meeting.</w:t>
            </w:r>
          </w:p>
        </w:tc>
        <w:tc>
          <w:tcPr>
            <w:tcW w:w="28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840" w:type="dxa"/>
            <w:vAlign w:val="bottom"/>
            <w:tcBorders>
              <w:left w:val="single" w:sz="8" w:color="auto"/>
              <w:bottom w:val="single" w:sz="8" w:color="auto"/>
              <w:right w:val="single" w:sz="8" w:color="auto"/>
            </w:tcBorders>
          </w:tcPr>
          <w:p>
            <w:pPr>
              <w:spacing w:after="0"/>
              <w:rPr>
                <w:sz w:val="8"/>
                <w:szCs w:val="8"/>
                <w:color w:val="auto"/>
              </w:rPr>
            </w:pPr>
          </w:p>
        </w:tc>
        <w:tc>
          <w:tcPr>
            <w:tcW w:w="2820" w:type="dxa"/>
            <w:vAlign w:val="bottom"/>
            <w:tcBorders>
              <w:bottom w:val="single" w:sz="8" w:color="auto"/>
              <w:right w:val="single" w:sz="8" w:color="auto"/>
            </w:tcBorders>
          </w:tcPr>
          <w:p>
            <w:pPr>
              <w:spacing w:after="0"/>
              <w:rPr>
                <w:sz w:val="8"/>
                <w:szCs w:val="8"/>
                <w:color w:val="auto"/>
              </w:rPr>
            </w:pPr>
          </w:p>
        </w:tc>
        <w:tc>
          <w:tcPr>
            <w:tcW w:w="2800" w:type="dxa"/>
            <w:vAlign w:val="bottom"/>
            <w:tcBorders>
              <w:bottom w:val="single" w:sz="8" w:color="auto"/>
              <w:right w:val="single" w:sz="8" w:color="auto"/>
            </w:tcBorders>
            <w:vMerge w:val="continue"/>
          </w:tcPr>
          <w:p>
            <w:pPr>
              <w:spacing w:after="0"/>
              <w:rPr>
                <w:sz w:val="8"/>
                <w:szCs w:val="8"/>
                <w:color w:val="auto"/>
              </w:rPr>
            </w:pPr>
          </w:p>
        </w:tc>
        <w:tc>
          <w:tcPr>
            <w:tcW w:w="28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527050</wp:posOffset>
            </wp:positionH>
            <wp:positionV relativeFrom="paragraph">
              <wp:posOffset>-1204595</wp:posOffset>
            </wp:positionV>
            <wp:extent cx="716915" cy="4724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915" cy="472440"/>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-1204595</wp:posOffset>
            </wp:positionV>
            <wp:extent cx="677545" cy="4724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7545" cy="472440"/>
                    </a:xfrm>
                    <a:prstGeom prst="rect">
                      <a:avLst/>
                    </a:prstGeom>
                    <a:noFill/>
                  </pic:spPr>
                </pic:pic>
              </a:graphicData>
            </a:graphic>
          </wp:anchor>
        </w:drawing>
        <w:drawing>
          <wp:anchor simplePos="0" relativeHeight="251657728" behindDoc="1" locked="0" layoutInCell="0" allowOverlap="1">
            <wp:simplePos x="0" y="0"/>
            <wp:positionH relativeFrom="column">
              <wp:posOffset>4142105</wp:posOffset>
            </wp:positionH>
            <wp:positionV relativeFrom="paragraph">
              <wp:posOffset>-1204595</wp:posOffset>
            </wp:positionV>
            <wp:extent cx="622300" cy="4724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2300" cy="472440"/>
                    </a:xfrm>
                    <a:prstGeom prst="rect">
                      <a:avLst/>
                    </a:prstGeom>
                    <a:noFill/>
                  </pic:spPr>
                </pic:pic>
              </a:graphicData>
            </a:graphic>
          </wp:anchor>
        </w:drawing>
        <w:drawing>
          <wp:anchor simplePos="0" relativeHeight="251657728" behindDoc="1" locked="0" layoutInCell="0" allowOverlap="1">
            <wp:simplePos x="0" y="0"/>
            <wp:positionH relativeFrom="column">
              <wp:posOffset>5953760</wp:posOffset>
            </wp:positionH>
            <wp:positionV relativeFrom="paragraph">
              <wp:posOffset>-1204595</wp:posOffset>
            </wp:positionV>
            <wp:extent cx="629920" cy="4724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920" cy="472440"/>
                    </a:xfrm>
                    <a:prstGeom prst="rect">
                      <a:avLst/>
                    </a:prstGeom>
                    <a:noFill/>
                  </pic:spPr>
                </pic:pic>
              </a:graphicData>
            </a:graphic>
          </wp:anchor>
        </w:drawing>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40"/>
          </w:cols>
          <w:pgMar w:left="320" w:top="646" w:right="339" w:bottom="1440" w:gutter="0" w:footer="0" w:header="0"/>
          <w:type w:val="continuous"/>
        </w:sectPr>
      </w:pPr>
    </w:p>
    <w:bookmarkStart w:id="5" w:name="page6"/>
    <w:bookmarkEnd w:id="5"/>
    <w:p>
      <w:pPr>
        <w:ind w:left="20"/>
        <w:spacing w:after="0"/>
        <w:rPr>
          <w:sz w:val="20"/>
          <w:szCs w:val="20"/>
          <w:color w:val="auto"/>
        </w:rPr>
      </w:pPr>
      <w:r>
        <w:rPr>
          <w:rFonts w:ascii="Arial" w:cs="Arial" w:eastAsia="Arial" w:hAnsi="Arial"/>
          <w:sz w:val="26"/>
          <w:szCs w:val="26"/>
          <w:b w:val="1"/>
          <w:bCs w:val="1"/>
          <w:color w:val="29650B"/>
        </w:rPr>
        <w:t>Proposal 1: Election of Directors</w:t>
      </w:r>
    </w:p>
    <w:p>
      <w:pPr>
        <w:spacing w:after="0" w:line="248" w:lineRule="exact"/>
        <w:rPr>
          <w:sz w:val="20"/>
          <w:szCs w:val="20"/>
          <w:color w:val="auto"/>
        </w:rPr>
      </w:pPr>
    </w:p>
    <w:p>
      <w:pPr>
        <w:jc w:val="both"/>
        <w:ind w:left="20" w:firstLine="595"/>
        <w:spacing w:after="0" w:line="270" w:lineRule="auto"/>
        <w:rPr>
          <w:sz w:val="20"/>
          <w:szCs w:val="20"/>
          <w:color w:val="auto"/>
        </w:rPr>
      </w:pPr>
      <w:r>
        <w:rPr>
          <w:rFonts w:ascii="Arial" w:cs="Arial" w:eastAsia="Arial" w:hAnsi="Arial"/>
          <w:sz w:val="17"/>
          <w:szCs w:val="17"/>
          <w:color w:val="auto"/>
        </w:rPr>
        <w:t>There are twelve nominees for election to the Board of Directors. This year’s Board nominees include three new directors – Richard Fearon, Stephen Hagge and B. Craig Owens. Five of the Company’s independent Directors have joined the Board in the last four years as a result of a Board refreshment process where Director candidates were identified through Board, Shareholder and third-party search firm input. Our Board refreshment strategy has further strengthened and diversified the skills and experiences of the Board. Each director nominee is listed below, and you can find additional information about each nominee under Proposal 1: Election of Directors, beginning on page 19.</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Borders>
              <w:right w:val="single" w:sz="8" w:color="auto"/>
            </w:tcBorders>
          </w:tcPr>
          <w:p>
            <w:pPr>
              <w:spacing w:after="0"/>
              <w:rPr>
                <w:sz w:val="20"/>
                <w:szCs w:val="20"/>
                <w:color w:val="auto"/>
              </w:rPr>
            </w:pPr>
          </w:p>
        </w:tc>
        <w:tc>
          <w:tcPr>
            <w:tcW w:w="5380" w:type="dxa"/>
            <w:vAlign w:val="bottom"/>
            <w:shd w:val="clear" w:color="auto" w:fill="29650B"/>
          </w:tcPr>
          <w:p>
            <w:pPr>
              <w:spacing w:after="0"/>
              <w:rPr>
                <w:sz w:val="20"/>
                <w:szCs w:val="20"/>
                <w:color w:val="auto"/>
              </w:rPr>
            </w:pPr>
          </w:p>
        </w:tc>
        <w:tc>
          <w:tcPr>
            <w:tcW w:w="640" w:type="dxa"/>
            <w:vAlign w:val="bottom"/>
            <w:shd w:val="clear" w:color="auto" w:fill="29650B"/>
          </w:tcPr>
          <w:p>
            <w:pPr>
              <w:spacing w:after="0"/>
              <w:rPr>
                <w:sz w:val="20"/>
                <w:szCs w:val="20"/>
                <w:color w:val="auto"/>
              </w:rPr>
            </w:pPr>
          </w:p>
        </w:tc>
        <w:tc>
          <w:tcPr>
            <w:tcW w:w="900" w:type="dxa"/>
            <w:vAlign w:val="bottom"/>
            <w:shd w:val="clear" w:color="auto" w:fill="29650B"/>
          </w:tcPr>
          <w:p>
            <w:pPr>
              <w:jc w:val="center"/>
              <w:spacing w:after="0"/>
              <w:rPr>
                <w:sz w:val="20"/>
                <w:szCs w:val="20"/>
                <w:color w:val="auto"/>
              </w:rPr>
            </w:pPr>
            <w:r>
              <w:rPr>
                <w:rFonts w:ascii="Arial" w:cs="Arial" w:eastAsia="Arial" w:hAnsi="Arial"/>
                <w:sz w:val="17"/>
                <w:szCs w:val="17"/>
                <w:b w:val="1"/>
                <w:bCs w:val="1"/>
                <w:color w:val="FFFFFF"/>
                <w:w w:val="88"/>
              </w:rPr>
              <w:t>Director</w:t>
            </w:r>
          </w:p>
        </w:tc>
        <w:tc>
          <w:tcPr>
            <w:tcW w:w="1200" w:type="dxa"/>
            <w:vAlign w:val="bottom"/>
            <w:shd w:val="clear" w:color="auto" w:fill="29650B"/>
          </w:tcPr>
          <w:p>
            <w:pPr>
              <w:spacing w:after="0"/>
              <w:rPr>
                <w:sz w:val="20"/>
                <w:szCs w:val="20"/>
                <w:color w:val="auto"/>
              </w:rPr>
            </w:pPr>
          </w:p>
        </w:tc>
        <w:tc>
          <w:tcPr>
            <w:tcW w:w="640" w:type="dxa"/>
            <w:vAlign w:val="bottom"/>
            <w:shd w:val="clear" w:color="auto" w:fill="29650B"/>
          </w:tcPr>
          <w:p>
            <w:pPr>
              <w:spacing w:after="0"/>
              <w:rPr>
                <w:sz w:val="20"/>
                <w:szCs w:val="20"/>
                <w:color w:val="auto"/>
              </w:rPr>
            </w:pPr>
          </w:p>
        </w:tc>
        <w:tc>
          <w:tcPr>
            <w:tcW w:w="2480" w:type="dxa"/>
            <w:vAlign w:val="bottom"/>
            <w:tcBorders>
              <w:right w:val="single" w:sz="8" w:color="auto"/>
            </w:tcBorders>
            <w:gridSpan w:val="3"/>
            <w:shd w:val="clear" w:color="auto" w:fill="29650B"/>
          </w:tcPr>
          <w:p>
            <w:pPr>
              <w:ind w:left="60"/>
              <w:spacing w:after="0"/>
              <w:rPr>
                <w:sz w:val="20"/>
                <w:szCs w:val="20"/>
                <w:color w:val="auto"/>
              </w:rPr>
            </w:pPr>
            <w:r>
              <w:rPr>
                <w:rFonts w:ascii="Arial" w:cs="Arial" w:eastAsia="Arial" w:hAnsi="Arial"/>
                <w:sz w:val="17"/>
                <w:szCs w:val="17"/>
                <w:b w:val="1"/>
                <w:bCs w:val="1"/>
                <w:color w:val="FFFFFF"/>
              </w:rPr>
              <w:t>Committee Memberships</w:t>
            </w:r>
          </w:p>
        </w:tc>
        <w:tc>
          <w:tcPr>
            <w:tcW w:w="0" w:type="dxa"/>
            <w:vAlign w:val="bottom"/>
          </w:tcPr>
          <w:p>
            <w:pPr>
              <w:spacing w:after="0"/>
              <w:rPr>
                <w:sz w:val="1"/>
                <w:szCs w:val="1"/>
                <w:color w:val="auto"/>
              </w:rPr>
            </w:pPr>
          </w:p>
        </w:tc>
      </w:tr>
      <w:tr>
        <w:trPr>
          <w:trHeight w:val="224"/>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380" w:type="dxa"/>
            <w:vAlign w:val="bottom"/>
            <w:tcBorders>
              <w:bottom w:val="single" w:sz="8" w:color="auto"/>
            </w:tcBorders>
            <w:shd w:val="clear" w:color="auto" w:fill="29650B"/>
          </w:tcPr>
          <w:p>
            <w:pPr>
              <w:ind w:left="1580"/>
              <w:spacing w:after="0"/>
              <w:rPr>
                <w:sz w:val="20"/>
                <w:szCs w:val="20"/>
                <w:color w:val="auto"/>
              </w:rPr>
            </w:pPr>
            <w:r>
              <w:rPr>
                <w:rFonts w:ascii="Arial" w:cs="Arial" w:eastAsia="Arial" w:hAnsi="Arial"/>
                <w:sz w:val="17"/>
                <w:szCs w:val="17"/>
                <w:b w:val="1"/>
                <w:bCs w:val="1"/>
                <w:color w:val="FFFFFF"/>
              </w:rPr>
              <w:t>Name and Primary Occupation</w:t>
            </w:r>
          </w:p>
        </w:tc>
        <w:tc>
          <w:tcPr>
            <w:tcW w:w="640" w:type="dxa"/>
            <w:vAlign w:val="bottom"/>
            <w:tcBorders>
              <w:bottom w:val="single" w:sz="8" w:color="auto"/>
            </w:tcBorders>
            <w:shd w:val="clear" w:color="auto" w:fill="29650B"/>
          </w:tcPr>
          <w:p>
            <w:pPr>
              <w:jc w:val="center"/>
              <w:spacing w:after="0"/>
              <w:rPr>
                <w:sz w:val="20"/>
                <w:szCs w:val="20"/>
                <w:color w:val="auto"/>
              </w:rPr>
            </w:pPr>
            <w:r>
              <w:rPr>
                <w:rFonts w:ascii="Arial" w:cs="Arial" w:eastAsia="Arial" w:hAnsi="Arial"/>
                <w:sz w:val="17"/>
                <w:szCs w:val="17"/>
                <w:b w:val="1"/>
                <w:bCs w:val="1"/>
                <w:color w:val="FFFFFF"/>
                <w:w w:val="80"/>
              </w:rPr>
              <w:t>Age</w:t>
            </w:r>
          </w:p>
        </w:tc>
        <w:tc>
          <w:tcPr>
            <w:tcW w:w="900" w:type="dxa"/>
            <w:vAlign w:val="bottom"/>
            <w:tcBorders>
              <w:bottom w:val="single" w:sz="8" w:color="auto"/>
            </w:tcBorders>
            <w:shd w:val="clear" w:color="auto" w:fill="29650B"/>
          </w:tcPr>
          <w:p>
            <w:pPr>
              <w:jc w:val="center"/>
              <w:spacing w:after="0"/>
              <w:rPr>
                <w:sz w:val="20"/>
                <w:szCs w:val="20"/>
                <w:color w:val="auto"/>
              </w:rPr>
            </w:pPr>
            <w:r>
              <w:rPr>
                <w:rFonts w:ascii="Arial" w:cs="Arial" w:eastAsia="Arial" w:hAnsi="Arial"/>
                <w:sz w:val="17"/>
                <w:szCs w:val="17"/>
                <w:b w:val="1"/>
                <w:bCs w:val="1"/>
                <w:color w:val="FFFFFF"/>
                <w:w w:val="83"/>
              </w:rPr>
              <w:t>Since</w:t>
            </w:r>
          </w:p>
        </w:tc>
        <w:tc>
          <w:tcPr>
            <w:tcW w:w="1200" w:type="dxa"/>
            <w:vAlign w:val="bottom"/>
            <w:tcBorders>
              <w:bottom w:val="single" w:sz="8" w:color="auto"/>
            </w:tcBorders>
            <w:shd w:val="clear" w:color="auto" w:fill="29650B"/>
          </w:tcPr>
          <w:p>
            <w:pPr>
              <w:jc w:val="center"/>
              <w:spacing w:after="0"/>
              <w:rPr>
                <w:sz w:val="20"/>
                <w:szCs w:val="20"/>
                <w:color w:val="auto"/>
              </w:rPr>
            </w:pPr>
            <w:r>
              <w:rPr>
                <w:rFonts w:ascii="Arial" w:cs="Arial" w:eastAsia="Arial" w:hAnsi="Arial"/>
                <w:sz w:val="17"/>
                <w:szCs w:val="17"/>
                <w:b w:val="1"/>
                <w:bCs w:val="1"/>
                <w:color w:val="FFFFFF"/>
                <w:w w:val="89"/>
              </w:rPr>
              <w:t>Independent</w:t>
            </w:r>
          </w:p>
        </w:tc>
        <w:tc>
          <w:tcPr>
            <w:tcW w:w="640" w:type="dxa"/>
            <w:vAlign w:val="bottom"/>
            <w:tcBorders>
              <w:bottom w:val="single" w:sz="8" w:color="auto"/>
            </w:tcBorders>
            <w:shd w:val="clear" w:color="auto" w:fill="29650B"/>
          </w:tcPr>
          <w:p>
            <w:pPr>
              <w:jc w:val="center"/>
              <w:spacing w:after="0"/>
              <w:rPr>
                <w:sz w:val="20"/>
                <w:szCs w:val="20"/>
                <w:color w:val="auto"/>
              </w:rPr>
            </w:pPr>
            <w:r>
              <w:rPr>
                <w:rFonts w:ascii="Arial" w:cs="Arial" w:eastAsia="Arial" w:hAnsi="Arial"/>
                <w:sz w:val="17"/>
                <w:szCs w:val="17"/>
                <w:b w:val="1"/>
                <w:bCs w:val="1"/>
                <w:color w:val="FFFFFF"/>
                <w:w w:val="97"/>
              </w:rPr>
              <w:t>A</w:t>
            </w:r>
          </w:p>
        </w:tc>
        <w:tc>
          <w:tcPr>
            <w:tcW w:w="760" w:type="dxa"/>
            <w:vAlign w:val="bottom"/>
            <w:tcBorders>
              <w:bottom w:val="single" w:sz="8" w:color="auto"/>
            </w:tcBorders>
            <w:shd w:val="clear" w:color="auto" w:fill="29650B"/>
          </w:tcPr>
          <w:p>
            <w:pPr>
              <w:jc w:val="center"/>
              <w:spacing w:after="0"/>
              <w:rPr>
                <w:sz w:val="20"/>
                <w:szCs w:val="20"/>
                <w:color w:val="auto"/>
              </w:rPr>
            </w:pPr>
            <w:r>
              <w:rPr>
                <w:rFonts w:ascii="Arial" w:cs="Arial" w:eastAsia="Arial" w:hAnsi="Arial"/>
                <w:sz w:val="17"/>
                <w:szCs w:val="17"/>
                <w:b w:val="1"/>
                <w:bCs w:val="1"/>
                <w:color w:val="FFFFFF"/>
                <w:w w:val="97"/>
              </w:rPr>
              <w:t>C</w:t>
            </w:r>
          </w:p>
        </w:tc>
        <w:tc>
          <w:tcPr>
            <w:tcW w:w="800" w:type="dxa"/>
            <w:vAlign w:val="bottom"/>
            <w:tcBorders>
              <w:bottom w:val="single" w:sz="8" w:color="auto"/>
            </w:tcBorders>
            <w:shd w:val="clear" w:color="auto" w:fill="29650B"/>
          </w:tcPr>
          <w:p>
            <w:pPr>
              <w:jc w:val="center"/>
              <w:spacing w:after="0"/>
              <w:rPr>
                <w:sz w:val="20"/>
                <w:szCs w:val="20"/>
                <w:color w:val="auto"/>
              </w:rPr>
            </w:pPr>
            <w:r>
              <w:rPr>
                <w:rFonts w:ascii="Arial" w:cs="Arial" w:eastAsia="Arial" w:hAnsi="Arial"/>
                <w:sz w:val="17"/>
                <w:szCs w:val="17"/>
                <w:b w:val="1"/>
                <w:bCs w:val="1"/>
                <w:color w:val="FFFFFF"/>
                <w:w w:val="95"/>
              </w:rPr>
              <w:t>NCG</w:t>
            </w:r>
          </w:p>
        </w:tc>
        <w:tc>
          <w:tcPr>
            <w:tcW w:w="92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Arial" w:cs="Arial" w:eastAsia="Arial" w:hAnsi="Arial"/>
                <w:sz w:val="17"/>
                <w:szCs w:val="17"/>
                <w:b w:val="1"/>
                <w:bCs w:val="1"/>
                <w:color w:val="FFFFFF"/>
              </w:rPr>
              <w:t>E</w:t>
            </w:r>
          </w:p>
        </w:tc>
        <w:tc>
          <w:tcPr>
            <w:tcW w:w="0" w:type="dxa"/>
            <w:vAlign w:val="bottom"/>
          </w:tcPr>
          <w:p>
            <w:pPr>
              <w:spacing w:after="0"/>
              <w:rPr>
                <w:sz w:val="1"/>
                <w:szCs w:val="1"/>
                <w:color w:val="auto"/>
              </w:rPr>
            </w:pPr>
          </w:p>
        </w:tc>
      </w:tr>
      <w:tr>
        <w:trPr>
          <w:trHeight w:val="278"/>
        </w:trPr>
        <w:tc>
          <w:tcPr>
            <w:tcW w:w="40" w:type="dxa"/>
            <w:vAlign w:val="bottom"/>
            <w:tcBorders>
              <w:right w:val="single" w:sz="8" w:color="auto"/>
            </w:tcBorders>
            <w:shd w:val="clear" w:color="auto" w:fill="000000"/>
          </w:tcPr>
          <w:p>
            <w:pPr>
              <w:spacing w:after="0"/>
              <w:rPr>
                <w:sz w:val="24"/>
                <w:szCs w:val="24"/>
                <w:color w:val="auto"/>
              </w:rPr>
            </w:pPr>
          </w:p>
        </w:tc>
        <w:tc>
          <w:tcPr>
            <w:tcW w:w="5380" w:type="dxa"/>
            <w:vAlign w:val="bottom"/>
          </w:tcPr>
          <w:p>
            <w:pPr>
              <w:ind w:left="80"/>
              <w:spacing w:after="0"/>
              <w:rPr>
                <w:sz w:val="20"/>
                <w:szCs w:val="20"/>
                <w:color w:val="auto"/>
              </w:rPr>
            </w:pPr>
            <w:r>
              <w:rPr>
                <w:rFonts w:ascii="Arial" w:cs="Arial" w:eastAsia="Arial" w:hAnsi="Arial"/>
                <w:sz w:val="17"/>
                <w:szCs w:val="17"/>
                <w:b w:val="1"/>
                <w:bCs w:val="1"/>
                <w:color w:val="auto"/>
              </w:rPr>
              <w:t>John W. Conway</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auto"/>
                <w:w w:val="94"/>
              </w:rPr>
              <w:t>74</w:t>
            </w:r>
          </w:p>
        </w:tc>
        <w:tc>
          <w:tcPr>
            <w:tcW w:w="900" w:type="dxa"/>
            <w:vAlign w:val="bottom"/>
            <w:vMerge w:val="restart"/>
          </w:tcPr>
          <w:p>
            <w:pPr>
              <w:jc w:val="center"/>
              <w:spacing w:after="0"/>
              <w:rPr>
                <w:sz w:val="20"/>
                <w:szCs w:val="20"/>
                <w:color w:val="auto"/>
              </w:rPr>
            </w:pPr>
            <w:r>
              <w:rPr>
                <w:rFonts w:ascii="Arial" w:cs="Arial" w:eastAsia="Arial" w:hAnsi="Arial"/>
                <w:sz w:val="17"/>
                <w:szCs w:val="17"/>
                <w:color w:val="auto"/>
                <w:w w:val="89"/>
              </w:rPr>
              <w:t>1997</w:t>
            </w:r>
          </w:p>
        </w:tc>
        <w:tc>
          <w:tcPr>
            <w:tcW w:w="1200" w:type="dxa"/>
            <w:vAlign w:val="bottom"/>
            <w:vMerge w:val="restart"/>
          </w:tcPr>
          <w:p>
            <w:pPr>
              <w:jc w:val="center"/>
              <w:spacing w:after="0"/>
              <w:rPr>
                <w:sz w:val="20"/>
                <w:szCs w:val="20"/>
                <w:color w:val="auto"/>
              </w:rPr>
            </w:pPr>
            <w:r>
              <w:rPr>
                <w:rFonts w:ascii="Arial" w:cs="Arial" w:eastAsia="Arial" w:hAnsi="Arial"/>
                <w:sz w:val="17"/>
                <w:szCs w:val="17"/>
                <w:color w:val="auto"/>
                <w:w w:val="81"/>
              </w:rPr>
              <w:t>Yes</w:t>
            </w:r>
          </w:p>
        </w:tc>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29650B"/>
                <w:w w:val="96"/>
              </w:rPr>
              <w:t>Chair</w:t>
            </w:r>
          </w:p>
        </w:tc>
        <w:tc>
          <w:tcPr>
            <w:tcW w:w="0" w:type="dxa"/>
            <w:vAlign w:val="bottom"/>
          </w:tcPr>
          <w:p>
            <w:pPr>
              <w:spacing w:after="0"/>
              <w:rPr>
                <w:sz w:val="1"/>
                <w:szCs w:val="1"/>
                <w:color w:val="auto"/>
              </w:rPr>
            </w:pPr>
          </w:p>
        </w:tc>
      </w:tr>
      <w:tr>
        <w:trPr>
          <w:trHeight w:val="110"/>
        </w:trPr>
        <w:tc>
          <w:tcPr>
            <w:tcW w:w="40" w:type="dxa"/>
            <w:vAlign w:val="bottom"/>
            <w:tcBorders>
              <w:right w:val="single" w:sz="8" w:color="auto"/>
            </w:tcBorders>
            <w:shd w:val="clear" w:color="auto" w:fill="000000"/>
          </w:tcPr>
          <w:p>
            <w:pPr>
              <w:spacing w:after="0"/>
              <w:rPr>
                <w:sz w:val="9"/>
                <w:szCs w:val="9"/>
                <w:color w:val="auto"/>
              </w:rPr>
            </w:pPr>
          </w:p>
        </w:tc>
        <w:tc>
          <w:tcPr>
            <w:tcW w:w="5380" w:type="dxa"/>
            <w:vAlign w:val="bottom"/>
            <w:vMerge w:val="restart"/>
          </w:tcPr>
          <w:p>
            <w:pPr>
              <w:ind w:left="80"/>
              <w:spacing w:after="0"/>
              <w:rPr>
                <w:sz w:val="20"/>
                <w:szCs w:val="20"/>
                <w:color w:val="auto"/>
              </w:rPr>
            </w:pPr>
            <w:r>
              <w:rPr>
                <w:rFonts w:ascii="Arial" w:cs="Arial" w:eastAsia="Arial" w:hAnsi="Arial"/>
                <w:sz w:val="17"/>
                <w:szCs w:val="17"/>
                <w:i w:val="1"/>
                <w:iCs w:val="1"/>
                <w:color w:val="auto"/>
              </w:rPr>
              <w:t>Chairman of the Board of the Company</w:t>
            </w:r>
          </w:p>
        </w:tc>
        <w:tc>
          <w:tcPr>
            <w:tcW w:w="64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0" w:type="dxa"/>
            <w:vAlign w:val="bottom"/>
          </w:tcPr>
          <w:p>
            <w:pPr>
              <w:spacing w:after="0"/>
              <w:rPr>
                <w:sz w:val="9"/>
                <w:szCs w:val="9"/>
                <w:color w:val="auto"/>
              </w:rPr>
            </w:pPr>
          </w:p>
        </w:tc>
        <w:tc>
          <w:tcPr>
            <w:tcW w:w="9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40" w:type="dxa"/>
            <w:vAlign w:val="bottom"/>
            <w:tcBorders>
              <w:right w:val="single" w:sz="8" w:color="auto"/>
            </w:tcBorders>
            <w:shd w:val="clear" w:color="auto" w:fill="000000"/>
          </w:tcPr>
          <w:p>
            <w:pPr>
              <w:spacing w:after="0"/>
              <w:rPr>
                <w:sz w:val="8"/>
                <w:szCs w:val="8"/>
                <w:color w:val="auto"/>
              </w:rPr>
            </w:pPr>
          </w:p>
        </w:tc>
        <w:tc>
          <w:tcPr>
            <w:tcW w:w="5380" w:type="dxa"/>
            <w:vAlign w:val="bottom"/>
            <w:vMerge w:val="continue"/>
          </w:tcPr>
          <w:p>
            <w:pPr>
              <w:spacing w:after="0"/>
              <w:rPr>
                <w:sz w:val="8"/>
                <w:szCs w:val="8"/>
                <w:color w:val="auto"/>
              </w:rPr>
            </w:pPr>
          </w:p>
        </w:tc>
        <w:tc>
          <w:tcPr>
            <w:tcW w:w="6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tcPr>
          <w:p>
            <w:pPr>
              <w:spacing w:after="0"/>
              <w:rPr>
                <w:sz w:val="8"/>
                <w:szCs w:val="8"/>
                <w:color w:val="auto"/>
              </w:rPr>
            </w:pPr>
          </w:p>
        </w:tc>
        <w:tc>
          <w:tcPr>
            <w:tcW w:w="9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40" w:type="dxa"/>
            <w:vAlign w:val="bottom"/>
            <w:tcBorders>
              <w:right w:val="single" w:sz="8" w:color="auto"/>
            </w:tcBorders>
            <w:shd w:val="clear" w:color="auto" w:fill="000000"/>
          </w:tcPr>
          <w:p>
            <w:pPr>
              <w:spacing w:after="0"/>
              <w:rPr>
                <w:sz w:val="8"/>
                <w:szCs w:val="8"/>
                <w:color w:val="auto"/>
              </w:rPr>
            </w:pPr>
          </w:p>
        </w:tc>
        <w:tc>
          <w:tcPr>
            <w:tcW w:w="5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tcPr>
          <w:p>
            <w:pPr>
              <w:spacing w:after="0"/>
              <w:rPr>
                <w:sz w:val="8"/>
                <w:szCs w:val="8"/>
                <w:color w:val="auto"/>
              </w:rPr>
            </w:pPr>
          </w:p>
        </w:tc>
        <w:tc>
          <w:tcPr>
            <w:tcW w:w="9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6"/>
        </w:trPr>
        <w:tc>
          <w:tcPr>
            <w:tcW w:w="40" w:type="dxa"/>
            <w:vAlign w:val="bottom"/>
            <w:tcBorders>
              <w:right w:val="single" w:sz="8" w:color="auto"/>
            </w:tcBorders>
            <w:shd w:val="clear" w:color="auto" w:fill="000000"/>
          </w:tcPr>
          <w:p>
            <w:pPr>
              <w:spacing w:after="0"/>
              <w:rPr>
                <w:sz w:val="16"/>
                <w:szCs w:val="16"/>
                <w:color w:val="auto"/>
              </w:rPr>
            </w:pPr>
          </w:p>
        </w:tc>
        <w:tc>
          <w:tcPr>
            <w:tcW w:w="5380" w:type="dxa"/>
            <w:vAlign w:val="bottom"/>
            <w:shd w:val="clear" w:color="auto" w:fill="D9D9D9"/>
          </w:tcPr>
          <w:p>
            <w:pPr>
              <w:ind w:left="80"/>
              <w:spacing w:after="0" w:line="186" w:lineRule="exact"/>
              <w:rPr>
                <w:sz w:val="20"/>
                <w:szCs w:val="20"/>
                <w:color w:val="auto"/>
              </w:rPr>
            </w:pPr>
            <w:r>
              <w:rPr>
                <w:rFonts w:ascii="Arial" w:cs="Arial" w:eastAsia="Arial" w:hAnsi="Arial"/>
                <w:sz w:val="17"/>
                <w:szCs w:val="17"/>
                <w:b w:val="1"/>
                <w:bCs w:val="1"/>
                <w:color w:val="auto"/>
              </w:rPr>
              <w:t>Timothy J. Donahue</w:t>
            </w:r>
          </w:p>
        </w:tc>
        <w:tc>
          <w:tcPr>
            <w:tcW w:w="640" w:type="dxa"/>
            <w:vAlign w:val="bottom"/>
            <w:vMerge w:val="restart"/>
            <w:shd w:val="clear" w:color="auto" w:fill="D9D9D9"/>
          </w:tcPr>
          <w:p>
            <w:pPr>
              <w:jc w:val="center"/>
              <w:spacing w:after="0"/>
              <w:rPr>
                <w:sz w:val="20"/>
                <w:szCs w:val="20"/>
                <w:color w:val="auto"/>
              </w:rPr>
            </w:pPr>
            <w:r>
              <w:rPr>
                <w:rFonts w:ascii="Arial" w:cs="Arial" w:eastAsia="Arial" w:hAnsi="Arial"/>
                <w:sz w:val="17"/>
                <w:szCs w:val="17"/>
                <w:color w:val="auto"/>
                <w:w w:val="94"/>
              </w:rPr>
              <w:t>57</w:t>
            </w:r>
          </w:p>
        </w:tc>
        <w:tc>
          <w:tcPr>
            <w:tcW w:w="900" w:type="dxa"/>
            <w:vAlign w:val="bottom"/>
            <w:vMerge w:val="restart"/>
            <w:shd w:val="clear" w:color="auto" w:fill="D9D9D9"/>
          </w:tcPr>
          <w:p>
            <w:pPr>
              <w:jc w:val="center"/>
              <w:spacing w:after="0"/>
              <w:rPr>
                <w:sz w:val="20"/>
                <w:szCs w:val="20"/>
                <w:color w:val="auto"/>
              </w:rPr>
            </w:pPr>
            <w:r>
              <w:rPr>
                <w:rFonts w:ascii="Arial" w:cs="Arial" w:eastAsia="Arial" w:hAnsi="Arial"/>
                <w:sz w:val="17"/>
                <w:szCs w:val="17"/>
                <w:color w:val="auto"/>
                <w:w w:val="89"/>
              </w:rPr>
              <w:t>2015</w:t>
            </w:r>
          </w:p>
        </w:tc>
        <w:tc>
          <w:tcPr>
            <w:tcW w:w="1200" w:type="dxa"/>
            <w:vAlign w:val="bottom"/>
            <w:vMerge w:val="restart"/>
            <w:shd w:val="clear" w:color="auto" w:fill="D9D9D9"/>
          </w:tcPr>
          <w:p>
            <w:pPr>
              <w:jc w:val="center"/>
              <w:spacing w:after="0"/>
              <w:rPr>
                <w:sz w:val="20"/>
                <w:szCs w:val="20"/>
                <w:color w:val="auto"/>
              </w:rPr>
            </w:pPr>
            <w:r>
              <w:rPr>
                <w:rFonts w:ascii="Arial" w:cs="Arial" w:eastAsia="Arial" w:hAnsi="Arial"/>
                <w:sz w:val="17"/>
                <w:szCs w:val="17"/>
                <w:color w:val="auto"/>
                <w:w w:val="91"/>
              </w:rPr>
              <w:t>No</w:t>
            </w:r>
          </w:p>
        </w:tc>
        <w:tc>
          <w:tcPr>
            <w:tcW w:w="640" w:type="dxa"/>
            <w:vAlign w:val="bottom"/>
            <w:shd w:val="clear" w:color="auto" w:fill="D9D9D9"/>
          </w:tcPr>
          <w:p>
            <w:pPr>
              <w:spacing w:after="0"/>
              <w:rPr>
                <w:sz w:val="16"/>
                <w:szCs w:val="16"/>
                <w:color w:val="auto"/>
              </w:rPr>
            </w:pPr>
          </w:p>
        </w:tc>
        <w:tc>
          <w:tcPr>
            <w:tcW w:w="760" w:type="dxa"/>
            <w:vAlign w:val="bottom"/>
            <w:shd w:val="clear" w:color="auto" w:fill="D9D9D9"/>
          </w:tcPr>
          <w:p>
            <w:pPr>
              <w:spacing w:after="0"/>
              <w:rPr>
                <w:sz w:val="16"/>
                <w:szCs w:val="16"/>
                <w:color w:val="auto"/>
              </w:rPr>
            </w:pPr>
          </w:p>
        </w:tc>
        <w:tc>
          <w:tcPr>
            <w:tcW w:w="800" w:type="dxa"/>
            <w:vAlign w:val="bottom"/>
            <w:shd w:val="clear" w:color="auto" w:fill="D9D9D9"/>
          </w:tcPr>
          <w:p>
            <w:pPr>
              <w:spacing w:after="0"/>
              <w:rPr>
                <w:sz w:val="16"/>
                <w:szCs w:val="16"/>
                <w:color w:val="auto"/>
              </w:rPr>
            </w:pPr>
          </w:p>
        </w:tc>
        <w:tc>
          <w:tcPr>
            <w:tcW w:w="920" w:type="dxa"/>
            <w:vAlign w:val="bottom"/>
            <w:tcBorders>
              <w:right w:val="single" w:sz="8" w:color="auto"/>
            </w:tcBorders>
            <w:vMerge w:val="restart"/>
            <w:shd w:val="clear" w:color="auto" w:fill="D9D9D9"/>
          </w:tcPr>
          <w:p>
            <w:pPr>
              <w:jc w:val="center"/>
              <w:spacing w:after="0" w:line="171" w:lineRule="exact"/>
              <w:rPr>
                <w:sz w:val="20"/>
                <w:szCs w:val="20"/>
                <w:color w:val="auto"/>
              </w:rPr>
            </w:pPr>
            <w:r>
              <w:rPr>
                <w:rFonts w:ascii="MS PGothic" w:cs="MS PGothic" w:eastAsia="MS PGothic" w:hAnsi="MS PGothic"/>
                <w:sz w:val="17"/>
                <w:szCs w:val="17"/>
                <w:color w:val="auto"/>
                <w:w w:val="82"/>
                <w:shd w:val="clear" w:color="auto" w:fill="29650B"/>
              </w:rPr>
              <w:t>✓</w:t>
            </w:r>
          </w:p>
        </w:tc>
        <w:tc>
          <w:tcPr>
            <w:tcW w:w="0" w:type="dxa"/>
            <w:vAlign w:val="bottom"/>
          </w:tcPr>
          <w:p>
            <w:pPr>
              <w:spacing w:after="0"/>
              <w:rPr>
                <w:sz w:val="1"/>
                <w:szCs w:val="1"/>
                <w:color w:val="auto"/>
              </w:rPr>
            </w:pPr>
          </w:p>
        </w:tc>
      </w:tr>
      <w:tr>
        <w:trPr>
          <w:trHeight w:val="130"/>
        </w:trPr>
        <w:tc>
          <w:tcPr>
            <w:tcW w:w="40" w:type="dxa"/>
            <w:vAlign w:val="bottom"/>
            <w:tcBorders>
              <w:right w:val="single" w:sz="8" w:color="auto"/>
            </w:tcBorders>
            <w:shd w:val="clear" w:color="auto" w:fill="000000"/>
          </w:tcPr>
          <w:p>
            <w:pPr>
              <w:spacing w:after="0"/>
              <w:rPr>
                <w:sz w:val="11"/>
                <w:szCs w:val="11"/>
                <w:color w:val="auto"/>
              </w:rPr>
            </w:pPr>
          </w:p>
        </w:tc>
        <w:tc>
          <w:tcPr>
            <w:tcW w:w="5380" w:type="dxa"/>
            <w:vAlign w:val="bottom"/>
            <w:vMerge w:val="restart"/>
            <w:shd w:val="clear" w:color="auto" w:fill="D9D9D9"/>
          </w:tcPr>
          <w:p>
            <w:pPr>
              <w:ind w:left="80"/>
              <w:spacing w:after="0"/>
              <w:rPr>
                <w:sz w:val="20"/>
                <w:szCs w:val="20"/>
                <w:color w:val="auto"/>
              </w:rPr>
            </w:pPr>
            <w:r>
              <w:rPr>
                <w:rFonts w:ascii="Arial" w:cs="Arial" w:eastAsia="Arial" w:hAnsi="Arial"/>
                <w:sz w:val="17"/>
                <w:szCs w:val="17"/>
                <w:i w:val="1"/>
                <w:iCs w:val="1"/>
                <w:color w:val="auto"/>
              </w:rPr>
              <w:t>President and Chief Executive Officer of the Company</w:t>
            </w:r>
          </w:p>
        </w:tc>
        <w:tc>
          <w:tcPr>
            <w:tcW w:w="640" w:type="dxa"/>
            <w:vAlign w:val="bottom"/>
            <w:vMerge w:val="continue"/>
            <w:shd w:val="clear" w:color="auto" w:fill="D9D9D9"/>
          </w:tcPr>
          <w:p>
            <w:pPr>
              <w:spacing w:after="0"/>
              <w:rPr>
                <w:sz w:val="11"/>
                <w:szCs w:val="11"/>
                <w:color w:val="auto"/>
              </w:rPr>
            </w:pPr>
          </w:p>
        </w:tc>
        <w:tc>
          <w:tcPr>
            <w:tcW w:w="900" w:type="dxa"/>
            <w:vAlign w:val="bottom"/>
            <w:vMerge w:val="continue"/>
            <w:shd w:val="clear" w:color="auto" w:fill="D9D9D9"/>
          </w:tcPr>
          <w:p>
            <w:pPr>
              <w:spacing w:after="0"/>
              <w:rPr>
                <w:sz w:val="11"/>
                <w:szCs w:val="11"/>
                <w:color w:val="auto"/>
              </w:rPr>
            </w:pPr>
          </w:p>
        </w:tc>
        <w:tc>
          <w:tcPr>
            <w:tcW w:w="1200" w:type="dxa"/>
            <w:vAlign w:val="bottom"/>
            <w:vMerge w:val="continue"/>
            <w:shd w:val="clear" w:color="auto" w:fill="D9D9D9"/>
          </w:tcPr>
          <w:p>
            <w:pPr>
              <w:spacing w:after="0"/>
              <w:rPr>
                <w:sz w:val="11"/>
                <w:szCs w:val="11"/>
                <w:color w:val="auto"/>
              </w:rPr>
            </w:pPr>
          </w:p>
        </w:tc>
        <w:tc>
          <w:tcPr>
            <w:tcW w:w="640" w:type="dxa"/>
            <w:vAlign w:val="bottom"/>
            <w:shd w:val="clear" w:color="auto" w:fill="D9D9D9"/>
          </w:tcPr>
          <w:p>
            <w:pPr>
              <w:spacing w:after="0"/>
              <w:rPr>
                <w:sz w:val="11"/>
                <w:szCs w:val="11"/>
                <w:color w:val="auto"/>
              </w:rPr>
            </w:pPr>
          </w:p>
        </w:tc>
        <w:tc>
          <w:tcPr>
            <w:tcW w:w="760" w:type="dxa"/>
            <w:vAlign w:val="bottom"/>
            <w:shd w:val="clear" w:color="auto" w:fill="D9D9D9"/>
          </w:tcPr>
          <w:p>
            <w:pPr>
              <w:spacing w:after="0"/>
              <w:rPr>
                <w:sz w:val="11"/>
                <w:szCs w:val="11"/>
                <w:color w:val="auto"/>
              </w:rPr>
            </w:pPr>
          </w:p>
        </w:tc>
        <w:tc>
          <w:tcPr>
            <w:tcW w:w="800" w:type="dxa"/>
            <w:vAlign w:val="bottom"/>
            <w:shd w:val="clear" w:color="auto" w:fill="D9D9D9"/>
          </w:tcPr>
          <w:p>
            <w:pPr>
              <w:spacing w:after="0"/>
              <w:rPr>
                <w:sz w:val="11"/>
                <w:szCs w:val="11"/>
                <w:color w:val="auto"/>
              </w:rPr>
            </w:pPr>
          </w:p>
        </w:tc>
        <w:tc>
          <w:tcPr>
            <w:tcW w:w="920" w:type="dxa"/>
            <w:vAlign w:val="bottom"/>
            <w:tcBorders>
              <w:right w:val="single" w:sz="8" w:color="auto"/>
            </w:tcBorders>
            <w:vMerge w:val="continue"/>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40" w:type="dxa"/>
            <w:vAlign w:val="bottom"/>
            <w:tcBorders>
              <w:right w:val="single" w:sz="8" w:color="auto"/>
            </w:tcBorders>
            <w:shd w:val="clear" w:color="auto" w:fill="000000"/>
          </w:tcPr>
          <w:p>
            <w:pPr>
              <w:spacing w:after="0"/>
              <w:rPr>
                <w:sz w:val="7"/>
                <w:szCs w:val="7"/>
                <w:color w:val="auto"/>
              </w:rPr>
            </w:pPr>
          </w:p>
        </w:tc>
        <w:tc>
          <w:tcPr>
            <w:tcW w:w="5380" w:type="dxa"/>
            <w:vAlign w:val="bottom"/>
            <w:vMerge w:val="continue"/>
            <w:shd w:val="clear" w:color="auto" w:fill="D9D9D9"/>
          </w:tcPr>
          <w:p>
            <w:pPr>
              <w:spacing w:after="0"/>
              <w:rPr>
                <w:sz w:val="7"/>
                <w:szCs w:val="7"/>
                <w:color w:val="auto"/>
              </w:rPr>
            </w:pPr>
          </w:p>
        </w:tc>
        <w:tc>
          <w:tcPr>
            <w:tcW w:w="640" w:type="dxa"/>
            <w:vAlign w:val="bottom"/>
            <w:shd w:val="clear" w:color="auto" w:fill="D9D9D9"/>
          </w:tcPr>
          <w:p>
            <w:pPr>
              <w:spacing w:after="0"/>
              <w:rPr>
                <w:sz w:val="7"/>
                <w:szCs w:val="7"/>
                <w:color w:val="auto"/>
              </w:rPr>
            </w:pPr>
          </w:p>
        </w:tc>
        <w:tc>
          <w:tcPr>
            <w:tcW w:w="900" w:type="dxa"/>
            <w:vAlign w:val="bottom"/>
            <w:shd w:val="clear" w:color="auto" w:fill="D9D9D9"/>
          </w:tcPr>
          <w:p>
            <w:pPr>
              <w:spacing w:after="0"/>
              <w:rPr>
                <w:sz w:val="7"/>
                <w:szCs w:val="7"/>
                <w:color w:val="auto"/>
              </w:rPr>
            </w:pPr>
          </w:p>
        </w:tc>
        <w:tc>
          <w:tcPr>
            <w:tcW w:w="1200" w:type="dxa"/>
            <w:vAlign w:val="bottom"/>
            <w:shd w:val="clear" w:color="auto" w:fill="D9D9D9"/>
          </w:tcPr>
          <w:p>
            <w:pPr>
              <w:spacing w:after="0"/>
              <w:rPr>
                <w:sz w:val="7"/>
                <w:szCs w:val="7"/>
                <w:color w:val="auto"/>
              </w:rPr>
            </w:pPr>
          </w:p>
        </w:tc>
        <w:tc>
          <w:tcPr>
            <w:tcW w:w="640" w:type="dxa"/>
            <w:vAlign w:val="bottom"/>
            <w:shd w:val="clear" w:color="auto" w:fill="D9D9D9"/>
          </w:tcPr>
          <w:p>
            <w:pPr>
              <w:spacing w:after="0"/>
              <w:rPr>
                <w:sz w:val="7"/>
                <w:szCs w:val="7"/>
                <w:color w:val="auto"/>
              </w:rPr>
            </w:pPr>
          </w:p>
        </w:tc>
        <w:tc>
          <w:tcPr>
            <w:tcW w:w="760" w:type="dxa"/>
            <w:vAlign w:val="bottom"/>
            <w:shd w:val="clear" w:color="auto" w:fill="D9D9D9"/>
          </w:tcPr>
          <w:p>
            <w:pPr>
              <w:spacing w:after="0"/>
              <w:rPr>
                <w:sz w:val="7"/>
                <w:szCs w:val="7"/>
                <w:color w:val="auto"/>
              </w:rPr>
            </w:pPr>
          </w:p>
        </w:tc>
        <w:tc>
          <w:tcPr>
            <w:tcW w:w="800" w:type="dxa"/>
            <w:vAlign w:val="bottom"/>
            <w:shd w:val="clear" w:color="auto" w:fill="D9D9D9"/>
          </w:tcPr>
          <w:p>
            <w:pPr>
              <w:spacing w:after="0"/>
              <w:rPr>
                <w:sz w:val="7"/>
                <w:szCs w:val="7"/>
                <w:color w:val="auto"/>
              </w:rPr>
            </w:pPr>
          </w:p>
        </w:tc>
        <w:tc>
          <w:tcPr>
            <w:tcW w:w="920" w:type="dxa"/>
            <w:vAlign w:val="bottom"/>
            <w:tcBorders>
              <w:right w:val="single" w:sz="8" w:color="auto"/>
            </w:tcBorders>
            <w:shd w:val="clear" w:color="auto" w:fill="D9D9D9"/>
          </w:tcPr>
          <w:p>
            <w:pPr>
              <w:spacing w:after="0"/>
              <w:rPr>
                <w:sz w:val="7"/>
                <w:szCs w:val="7"/>
                <w:color w:val="auto"/>
              </w:rPr>
            </w:pPr>
          </w:p>
        </w:tc>
        <w:tc>
          <w:tcPr>
            <w:tcW w:w="0" w:type="dxa"/>
            <w:vAlign w:val="bottom"/>
          </w:tcPr>
          <w:p>
            <w:pPr>
              <w:spacing w:after="0"/>
              <w:rPr>
                <w:sz w:val="1"/>
                <w:szCs w:val="1"/>
                <w:color w:val="auto"/>
              </w:rPr>
            </w:pPr>
          </w:p>
        </w:tc>
      </w:tr>
      <w:tr>
        <w:trPr>
          <w:trHeight w:val="186"/>
        </w:trPr>
        <w:tc>
          <w:tcPr>
            <w:tcW w:w="40" w:type="dxa"/>
            <w:vAlign w:val="bottom"/>
            <w:tcBorders>
              <w:right w:val="single" w:sz="8" w:color="auto"/>
            </w:tcBorders>
            <w:shd w:val="clear" w:color="auto" w:fill="000000"/>
          </w:tcPr>
          <w:p>
            <w:pPr>
              <w:spacing w:after="0"/>
              <w:rPr>
                <w:sz w:val="16"/>
                <w:szCs w:val="16"/>
                <w:color w:val="auto"/>
              </w:rPr>
            </w:pPr>
          </w:p>
        </w:tc>
        <w:tc>
          <w:tcPr>
            <w:tcW w:w="5380" w:type="dxa"/>
            <w:vAlign w:val="bottom"/>
          </w:tcPr>
          <w:p>
            <w:pPr>
              <w:ind w:left="80"/>
              <w:spacing w:after="0" w:line="186" w:lineRule="exact"/>
              <w:rPr>
                <w:sz w:val="20"/>
                <w:szCs w:val="20"/>
                <w:color w:val="auto"/>
              </w:rPr>
            </w:pPr>
            <w:r>
              <w:rPr>
                <w:rFonts w:ascii="Arial" w:cs="Arial" w:eastAsia="Arial" w:hAnsi="Arial"/>
                <w:sz w:val="17"/>
                <w:szCs w:val="17"/>
                <w:b w:val="1"/>
                <w:bCs w:val="1"/>
                <w:color w:val="auto"/>
              </w:rPr>
              <w:t>Richard H. Fearon</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auto"/>
                <w:w w:val="94"/>
              </w:rPr>
              <w:t>63</w:t>
            </w:r>
          </w:p>
        </w:tc>
        <w:tc>
          <w:tcPr>
            <w:tcW w:w="900" w:type="dxa"/>
            <w:vAlign w:val="bottom"/>
            <w:vMerge w:val="restart"/>
          </w:tcPr>
          <w:p>
            <w:pPr>
              <w:jc w:val="center"/>
              <w:spacing w:after="0"/>
              <w:rPr>
                <w:sz w:val="20"/>
                <w:szCs w:val="20"/>
                <w:color w:val="auto"/>
              </w:rPr>
            </w:pPr>
            <w:r>
              <w:rPr>
                <w:rFonts w:ascii="Arial" w:cs="Arial" w:eastAsia="Arial" w:hAnsi="Arial"/>
                <w:sz w:val="17"/>
                <w:szCs w:val="17"/>
                <w:color w:val="auto"/>
                <w:w w:val="89"/>
              </w:rPr>
              <w:t>2019</w:t>
            </w:r>
          </w:p>
        </w:tc>
        <w:tc>
          <w:tcPr>
            <w:tcW w:w="1200" w:type="dxa"/>
            <w:vAlign w:val="bottom"/>
            <w:vMerge w:val="restart"/>
          </w:tcPr>
          <w:p>
            <w:pPr>
              <w:jc w:val="center"/>
              <w:spacing w:after="0"/>
              <w:rPr>
                <w:sz w:val="20"/>
                <w:szCs w:val="20"/>
                <w:color w:val="auto"/>
              </w:rPr>
            </w:pPr>
            <w:r>
              <w:rPr>
                <w:rFonts w:ascii="Arial" w:cs="Arial" w:eastAsia="Arial" w:hAnsi="Arial"/>
                <w:sz w:val="17"/>
                <w:szCs w:val="17"/>
                <w:color w:val="auto"/>
                <w:w w:val="81"/>
              </w:rPr>
              <w:t>Yes</w:t>
            </w:r>
          </w:p>
        </w:tc>
        <w:tc>
          <w:tcPr>
            <w:tcW w:w="6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0"/>
        </w:trPr>
        <w:tc>
          <w:tcPr>
            <w:tcW w:w="40" w:type="dxa"/>
            <w:vAlign w:val="bottom"/>
            <w:tcBorders>
              <w:right w:val="single" w:sz="8" w:color="auto"/>
            </w:tcBorders>
            <w:shd w:val="clear" w:color="auto" w:fill="000000"/>
          </w:tcPr>
          <w:p>
            <w:pPr>
              <w:spacing w:after="0"/>
              <w:rPr>
                <w:sz w:val="9"/>
                <w:szCs w:val="9"/>
                <w:color w:val="auto"/>
              </w:rPr>
            </w:pPr>
          </w:p>
        </w:tc>
        <w:tc>
          <w:tcPr>
            <w:tcW w:w="5380" w:type="dxa"/>
            <w:vAlign w:val="bottom"/>
            <w:vMerge w:val="restart"/>
          </w:tcPr>
          <w:p>
            <w:pPr>
              <w:ind w:left="80"/>
              <w:spacing w:after="0"/>
              <w:rPr>
                <w:sz w:val="20"/>
                <w:szCs w:val="20"/>
                <w:color w:val="auto"/>
              </w:rPr>
            </w:pPr>
            <w:r>
              <w:rPr>
                <w:rFonts w:ascii="Arial" w:cs="Arial" w:eastAsia="Arial" w:hAnsi="Arial"/>
                <w:sz w:val="17"/>
                <w:szCs w:val="17"/>
                <w:i w:val="1"/>
                <w:iCs w:val="1"/>
                <w:color w:val="auto"/>
                <w:w w:val="90"/>
              </w:rPr>
              <w:t>Vice Chairman and Chief Financial and Planning Officer of Eaton Corporation</w:t>
            </w:r>
          </w:p>
        </w:tc>
        <w:tc>
          <w:tcPr>
            <w:tcW w:w="64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0" w:type="dxa"/>
            <w:vAlign w:val="bottom"/>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40" w:type="dxa"/>
            <w:vAlign w:val="bottom"/>
            <w:tcBorders>
              <w:right w:val="single" w:sz="8" w:color="auto"/>
            </w:tcBorders>
            <w:shd w:val="clear" w:color="auto" w:fill="000000"/>
          </w:tcPr>
          <w:p>
            <w:pPr>
              <w:spacing w:after="0"/>
              <w:rPr>
                <w:sz w:val="8"/>
                <w:szCs w:val="8"/>
                <w:color w:val="auto"/>
              </w:rPr>
            </w:pPr>
          </w:p>
        </w:tc>
        <w:tc>
          <w:tcPr>
            <w:tcW w:w="5380" w:type="dxa"/>
            <w:vAlign w:val="bottom"/>
            <w:vMerge w:val="continue"/>
          </w:tcPr>
          <w:p>
            <w:pPr>
              <w:spacing w:after="0"/>
              <w:rPr>
                <w:sz w:val="8"/>
                <w:szCs w:val="8"/>
                <w:color w:val="auto"/>
              </w:rPr>
            </w:pPr>
          </w:p>
        </w:tc>
        <w:tc>
          <w:tcPr>
            <w:tcW w:w="6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tcPr>
          <w:p>
            <w:pPr>
              <w:spacing w:after="0"/>
              <w:rPr>
                <w:sz w:val="8"/>
                <w:szCs w:val="8"/>
                <w:color w:val="auto"/>
              </w:rPr>
            </w:pPr>
          </w:p>
        </w:tc>
        <w:tc>
          <w:tcPr>
            <w:tcW w:w="9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7"/>
        </w:trPr>
        <w:tc>
          <w:tcPr>
            <w:tcW w:w="40" w:type="dxa"/>
            <w:vAlign w:val="bottom"/>
            <w:tcBorders>
              <w:right w:val="single" w:sz="8" w:color="auto"/>
            </w:tcBorders>
            <w:shd w:val="clear" w:color="auto" w:fill="000000"/>
          </w:tcPr>
          <w:p>
            <w:pPr>
              <w:spacing w:after="0"/>
              <w:rPr>
                <w:sz w:val="16"/>
                <w:szCs w:val="16"/>
                <w:color w:val="auto"/>
              </w:rPr>
            </w:pPr>
          </w:p>
        </w:tc>
        <w:tc>
          <w:tcPr>
            <w:tcW w:w="5380" w:type="dxa"/>
            <w:vAlign w:val="bottom"/>
            <w:shd w:val="clear" w:color="auto" w:fill="D9D9D9"/>
          </w:tcPr>
          <w:p>
            <w:pPr>
              <w:ind w:left="80"/>
              <w:spacing w:after="0" w:line="187" w:lineRule="exact"/>
              <w:rPr>
                <w:sz w:val="20"/>
                <w:szCs w:val="20"/>
                <w:color w:val="auto"/>
              </w:rPr>
            </w:pPr>
            <w:r>
              <w:rPr>
                <w:rFonts w:ascii="Arial" w:cs="Arial" w:eastAsia="Arial" w:hAnsi="Arial"/>
                <w:sz w:val="17"/>
                <w:szCs w:val="17"/>
                <w:b w:val="1"/>
                <w:bCs w:val="1"/>
                <w:color w:val="auto"/>
              </w:rPr>
              <w:t>Andrea J. Funk</w:t>
            </w:r>
          </w:p>
        </w:tc>
        <w:tc>
          <w:tcPr>
            <w:tcW w:w="640" w:type="dxa"/>
            <w:vAlign w:val="bottom"/>
            <w:vMerge w:val="restart"/>
            <w:shd w:val="clear" w:color="auto" w:fill="D9D9D9"/>
          </w:tcPr>
          <w:p>
            <w:pPr>
              <w:jc w:val="center"/>
              <w:spacing w:after="0"/>
              <w:rPr>
                <w:sz w:val="20"/>
                <w:szCs w:val="20"/>
                <w:color w:val="auto"/>
              </w:rPr>
            </w:pPr>
            <w:r>
              <w:rPr>
                <w:rFonts w:ascii="Arial" w:cs="Arial" w:eastAsia="Arial" w:hAnsi="Arial"/>
                <w:sz w:val="17"/>
                <w:szCs w:val="17"/>
                <w:color w:val="auto"/>
                <w:w w:val="94"/>
              </w:rPr>
              <w:t>50</w:t>
            </w:r>
          </w:p>
        </w:tc>
        <w:tc>
          <w:tcPr>
            <w:tcW w:w="900" w:type="dxa"/>
            <w:vAlign w:val="bottom"/>
            <w:vMerge w:val="restart"/>
            <w:shd w:val="clear" w:color="auto" w:fill="D9D9D9"/>
          </w:tcPr>
          <w:p>
            <w:pPr>
              <w:jc w:val="center"/>
              <w:spacing w:after="0"/>
              <w:rPr>
                <w:sz w:val="20"/>
                <w:szCs w:val="20"/>
                <w:color w:val="auto"/>
              </w:rPr>
            </w:pPr>
            <w:r>
              <w:rPr>
                <w:rFonts w:ascii="Arial" w:cs="Arial" w:eastAsia="Arial" w:hAnsi="Arial"/>
                <w:sz w:val="17"/>
                <w:szCs w:val="17"/>
                <w:color w:val="auto"/>
                <w:w w:val="89"/>
              </w:rPr>
              <w:t>2017</w:t>
            </w:r>
          </w:p>
        </w:tc>
        <w:tc>
          <w:tcPr>
            <w:tcW w:w="1200" w:type="dxa"/>
            <w:vAlign w:val="bottom"/>
            <w:vMerge w:val="restart"/>
            <w:shd w:val="clear" w:color="auto" w:fill="D9D9D9"/>
          </w:tcPr>
          <w:p>
            <w:pPr>
              <w:jc w:val="center"/>
              <w:spacing w:after="0"/>
              <w:rPr>
                <w:sz w:val="20"/>
                <w:szCs w:val="20"/>
                <w:color w:val="auto"/>
              </w:rPr>
            </w:pPr>
            <w:r>
              <w:rPr>
                <w:rFonts w:ascii="Arial" w:cs="Arial" w:eastAsia="Arial" w:hAnsi="Arial"/>
                <w:sz w:val="17"/>
                <w:szCs w:val="17"/>
                <w:color w:val="auto"/>
                <w:w w:val="81"/>
              </w:rPr>
              <w:t>Yes</w:t>
            </w:r>
          </w:p>
        </w:tc>
        <w:tc>
          <w:tcPr>
            <w:tcW w:w="640" w:type="dxa"/>
            <w:vAlign w:val="bottom"/>
            <w:vMerge w:val="restart"/>
            <w:shd w:val="clear" w:color="auto" w:fill="D9D9D9"/>
          </w:tcPr>
          <w:p>
            <w:pPr>
              <w:jc w:val="center"/>
              <w:ind w:left="17"/>
              <w:spacing w:after="0" w:line="171" w:lineRule="exact"/>
              <w:rPr>
                <w:sz w:val="20"/>
                <w:szCs w:val="20"/>
                <w:color w:val="auto"/>
              </w:rPr>
            </w:pPr>
            <w:r>
              <w:rPr>
                <w:rFonts w:ascii="MS PGothic" w:cs="MS PGothic" w:eastAsia="MS PGothic" w:hAnsi="MS PGothic"/>
                <w:sz w:val="17"/>
                <w:szCs w:val="17"/>
                <w:color w:val="auto"/>
                <w:w w:val="82"/>
                <w:shd w:val="clear" w:color="auto" w:fill="29650B"/>
              </w:rPr>
              <w:t>✓</w:t>
            </w:r>
          </w:p>
        </w:tc>
        <w:tc>
          <w:tcPr>
            <w:tcW w:w="760" w:type="dxa"/>
            <w:vAlign w:val="bottom"/>
            <w:vMerge w:val="restart"/>
            <w:shd w:val="clear" w:color="auto" w:fill="D9D9D9"/>
          </w:tcPr>
          <w:p>
            <w:pPr>
              <w:jc w:val="center"/>
              <w:spacing w:after="0" w:line="171" w:lineRule="exact"/>
              <w:rPr>
                <w:sz w:val="20"/>
                <w:szCs w:val="20"/>
                <w:color w:val="auto"/>
              </w:rPr>
            </w:pPr>
            <w:r>
              <w:rPr>
                <w:rFonts w:ascii="MS PGothic" w:cs="MS PGothic" w:eastAsia="MS PGothic" w:hAnsi="MS PGothic"/>
                <w:sz w:val="17"/>
                <w:szCs w:val="17"/>
                <w:color w:val="auto"/>
                <w:w w:val="82"/>
                <w:shd w:val="clear" w:color="auto" w:fill="29650B"/>
              </w:rPr>
              <w:t>✓</w:t>
            </w:r>
          </w:p>
        </w:tc>
        <w:tc>
          <w:tcPr>
            <w:tcW w:w="800" w:type="dxa"/>
            <w:vAlign w:val="bottom"/>
            <w:shd w:val="clear" w:color="auto" w:fill="D9D9D9"/>
          </w:tcPr>
          <w:p>
            <w:pPr>
              <w:spacing w:after="0"/>
              <w:rPr>
                <w:sz w:val="16"/>
                <w:szCs w:val="16"/>
                <w:color w:val="auto"/>
              </w:rPr>
            </w:pPr>
          </w:p>
        </w:tc>
        <w:tc>
          <w:tcPr>
            <w:tcW w:w="920" w:type="dxa"/>
            <w:vAlign w:val="bottom"/>
            <w:tcBorders>
              <w:right w:val="single" w:sz="8" w:color="auto"/>
            </w:tcBorders>
            <w:shd w:val="clear" w:color="auto" w:fill="D9D9D9"/>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40" w:type="dxa"/>
            <w:vAlign w:val="bottom"/>
            <w:tcBorders>
              <w:right w:val="single" w:sz="8" w:color="auto"/>
            </w:tcBorders>
            <w:shd w:val="clear" w:color="auto" w:fill="000000"/>
          </w:tcPr>
          <w:p>
            <w:pPr>
              <w:spacing w:after="0"/>
              <w:rPr>
                <w:sz w:val="11"/>
                <w:szCs w:val="11"/>
                <w:color w:val="auto"/>
              </w:rPr>
            </w:pPr>
          </w:p>
        </w:tc>
        <w:tc>
          <w:tcPr>
            <w:tcW w:w="5380" w:type="dxa"/>
            <w:vAlign w:val="bottom"/>
            <w:vMerge w:val="restart"/>
            <w:shd w:val="clear" w:color="auto" w:fill="D9D9D9"/>
          </w:tcPr>
          <w:p>
            <w:pPr>
              <w:ind w:left="80"/>
              <w:spacing w:after="0"/>
              <w:rPr>
                <w:sz w:val="20"/>
                <w:szCs w:val="20"/>
                <w:color w:val="auto"/>
              </w:rPr>
            </w:pPr>
            <w:r>
              <w:rPr>
                <w:rFonts w:ascii="Arial" w:cs="Arial" w:eastAsia="Arial" w:hAnsi="Arial"/>
                <w:sz w:val="17"/>
                <w:szCs w:val="17"/>
                <w:i w:val="1"/>
                <w:iCs w:val="1"/>
                <w:color w:val="auto"/>
              </w:rPr>
              <w:t>VP Finance, Americas of EnerSys</w:t>
            </w:r>
          </w:p>
        </w:tc>
        <w:tc>
          <w:tcPr>
            <w:tcW w:w="640" w:type="dxa"/>
            <w:vAlign w:val="bottom"/>
            <w:vMerge w:val="continue"/>
            <w:shd w:val="clear" w:color="auto" w:fill="D9D9D9"/>
          </w:tcPr>
          <w:p>
            <w:pPr>
              <w:spacing w:after="0"/>
              <w:rPr>
                <w:sz w:val="11"/>
                <w:szCs w:val="11"/>
                <w:color w:val="auto"/>
              </w:rPr>
            </w:pPr>
          </w:p>
        </w:tc>
        <w:tc>
          <w:tcPr>
            <w:tcW w:w="900" w:type="dxa"/>
            <w:vAlign w:val="bottom"/>
            <w:vMerge w:val="continue"/>
            <w:shd w:val="clear" w:color="auto" w:fill="D9D9D9"/>
          </w:tcPr>
          <w:p>
            <w:pPr>
              <w:spacing w:after="0"/>
              <w:rPr>
                <w:sz w:val="11"/>
                <w:szCs w:val="11"/>
                <w:color w:val="auto"/>
              </w:rPr>
            </w:pPr>
          </w:p>
        </w:tc>
        <w:tc>
          <w:tcPr>
            <w:tcW w:w="1200" w:type="dxa"/>
            <w:vAlign w:val="bottom"/>
            <w:vMerge w:val="continue"/>
            <w:shd w:val="clear" w:color="auto" w:fill="D9D9D9"/>
          </w:tcPr>
          <w:p>
            <w:pPr>
              <w:spacing w:after="0"/>
              <w:rPr>
                <w:sz w:val="11"/>
                <w:szCs w:val="11"/>
                <w:color w:val="auto"/>
              </w:rPr>
            </w:pPr>
          </w:p>
        </w:tc>
        <w:tc>
          <w:tcPr>
            <w:tcW w:w="640" w:type="dxa"/>
            <w:vAlign w:val="bottom"/>
            <w:vMerge w:val="continue"/>
            <w:shd w:val="clear" w:color="auto" w:fill="D9D9D9"/>
          </w:tcPr>
          <w:p>
            <w:pPr>
              <w:spacing w:after="0"/>
              <w:rPr>
                <w:sz w:val="11"/>
                <w:szCs w:val="11"/>
                <w:color w:val="auto"/>
              </w:rPr>
            </w:pPr>
          </w:p>
        </w:tc>
        <w:tc>
          <w:tcPr>
            <w:tcW w:w="760" w:type="dxa"/>
            <w:vAlign w:val="bottom"/>
            <w:vMerge w:val="continue"/>
            <w:shd w:val="clear" w:color="auto" w:fill="D9D9D9"/>
          </w:tcPr>
          <w:p>
            <w:pPr>
              <w:spacing w:after="0"/>
              <w:rPr>
                <w:sz w:val="11"/>
                <w:szCs w:val="11"/>
                <w:color w:val="auto"/>
              </w:rPr>
            </w:pPr>
          </w:p>
        </w:tc>
        <w:tc>
          <w:tcPr>
            <w:tcW w:w="800" w:type="dxa"/>
            <w:vAlign w:val="bottom"/>
            <w:shd w:val="clear" w:color="auto" w:fill="D9D9D9"/>
          </w:tcPr>
          <w:p>
            <w:pPr>
              <w:spacing w:after="0"/>
              <w:rPr>
                <w:sz w:val="11"/>
                <w:szCs w:val="11"/>
                <w:color w:val="auto"/>
              </w:rPr>
            </w:pPr>
          </w:p>
        </w:tc>
        <w:tc>
          <w:tcPr>
            <w:tcW w:w="920" w:type="dxa"/>
            <w:vAlign w:val="bottom"/>
            <w:tcBorders>
              <w:right w:val="single" w:sz="8" w:color="auto"/>
            </w:tcBorders>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40" w:type="dxa"/>
            <w:vAlign w:val="bottom"/>
            <w:tcBorders>
              <w:right w:val="single" w:sz="8" w:color="auto"/>
            </w:tcBorders>
            <w:shd w:val="clear" w:color="auto" w:fill="000000"/>
          </w:tcPr>
          <w:p>
            <w:pPr>
              <w:spacing w:after="0"/>
              <w:rPr>
                <w:sz w:val="7"/>
                <w:szCs w:val="7"/>
                <w:color w:val="auto"/>
              </w:rPr>
            </w:pPr>
          </w:p>
        </w:tc>
        <w:tc>
          <w:tcPr>
            <w:tcW w:w="5380" w:type="dxa"/>
            <w:vAlign w:val="bottom"/>
            <w:vMerge w:val="continue"/>
            <w:shd w:val="clear" w:color="auto" w:fill="D9D9D9"/>
          </w:tcPr>
          <w:p>
            <w:pPr>
              <w:spacing w:after="0"/>
              <w:rPr>
                <w:sz w:val="7"/>
                <w:szCs w:val="7"/>
                <w:color w:val="auto"/>
              </w:rPr>
            </w:pPr>
          </w:p>
        </w:tc>
        <w:tc>
          <w:tcPr>
            <w:tcW w:w="640" w:type="dxa"/>
            <w:vAlign w:val="bottom"/>
            <w:shd w:val="clear" w:color="auto" w:fill="D9D9D9"/>
          </w:tcPr>
          <w:p>
            <w:pPr>
              <w:spacing w:after="0"/>
              <w:rPr>
                <w:sz w:val="7"/>
                <w:szCs w:val="7"/>
                <w:color w:val="auto"/>
              </w:rPr>
            </w:pPr>
          </w:p>
        </w:tc>
        <w:tc>
          <w:tcPr>
            <w:tcW w:w="900" w:type="dxa"/>
            <w:vAlign w:val="bottom"/>
            <w:shd w:val="clear" w:color="auto" w:fill="D9D9D9"/>
          </w:tcPr>
          <w:p>
            <w:pPr>
              <w:spacing w:after="0"/>
              <w:rPr>
                <w:sz w:val="7"/>
                <w:szCs w:val="7"/>
                <w:color w:val="auto"/>
              </w:rPr>
            </w:pPr>
          </w:p>
        </w:tc>
        <w:tc>
          <w:tcPr>
            <w:tcW w:w="1200" w:type="dxa"/>
            <w:vAlign w:val="bottom"/>
            <w:shd w:val="clear" w:color="auto" w:fill="D9D9D9"/>
          </w:tcPr>
          <w:p>
            <w:pPr>
              <w:spacing w:after="0"/>
              <w:rPr>
                <w:sz w:val="7"/>
                <w:szCs w:val="7"/>
                <w:color w:val="auto"/>
              </w:rPr>
            </w:pPr>
          </w:p>
        </w:tc>
        <w:tc>
          <w:tcPr>
            <w:tcW w:w="640" w:type="dxa"/>
            <w:vAlign w:val="bottom"/>
            <w:shd w:val="clear" w:color="auto" w:fill="D9D9D9"/>
          </w:tcPr>
          <w:p>
            <w:pPr>
              <w:spacing w:after="0"/>
              <w:rPr>
                <w:sz w:val="7"/>
                <w:szCs w:val="7"/>
                <w:color w:val="auto"/>
              </w:rPr>
            </w:pPr>
          </w:p>
        </w:tc>
        <w:tc>
          <w:tcPr>
            <w:tcW w:w="760" w:type="dxa"/>
            <w:vAlign w:val="bottom"/>
            <w:shd w:val="clear" w:color="auto" w:fill="D9D9D9"/>
          </w:tcPr>
          <w:p>
            <w:pPr>
              <w:spacing w:after="0"/>
              <w:rPr>
                <w:sz w:val="7"/>
                <w:szCs w:val="7"/>
                <w:color w:val="auto"/>
              </w:rPr>
            </w:pPr>
          </w:p>
        </w:tc>
        <w:tc>
          <w:tcPr>
            <w:tcW w:w="800" w:type="dxa"/>
            <w:vAlign w:val="bottom"/>
            <w:shd w:val="clear" w:color="auto" w:fill="D9D9D9"/>
          </w:tcPr>
          <w:p>
            <w:pPr>
              <w:spacing w:after="0"/>
              <w:rPr>
                <w:sz w:val="7"/>
                <w:szCs w:val="7"/>
                <w:color w:val="auto"/>
              </w:rPr>
            </w:pPr>
          </w:p>
        </w:tc>
        <w:tc>
          <w:tcPr>
            <w:tcW w:w="920" w:type="dxa"/>
            <w:vAlign w:val="bottom"/>
            <w:tcBorders>
              <w:right w:val="single" w:sz="8" w:color="auto"/>
            </w:tcBorders>
            <w:shd w:val="clear" w:color="auto" w:fill="D9D9D9"/>
          </w:tcPr>
          <w:p>
            <w:pPr>
              <w:spacing w:after="0"/>
              <w:rPr>
                <w:sz w:val="7"/>
                <w:szCs w:val="7"/>
                <w:color w:val="auto"/>
              </w:rPr>
            </w:pPr>
          </w:p>
        </w:tc>
        <w:tc>
          <w:tcPr>
            <w:tcW w:w="0" w:type="dxa"/>
            <w:vAlign w:val="bottom"/>
          </w:tcPr>
          <w:p>
            <w:pPr>
              <w:spacing w:after="0"/>
              <w:rPr>
                <w:sz w:val="1"/>
                <w:szCs w:val="1"/>
                <w:color w:val="auto"/>
              </w:rPr>
            </w:pPr>
          </w:p>
        </w:tc>
      </w:tr>
      <w:tr>
        <w:trPr>
          <w:trHeight w:val="186"/>
        </w:trPr>
        <w:tc>
          <w:tcPr>
            <w:tcW w:w="40" w:type="dxa"/>
            <w:vAlign w:val="bottom"/>
            <w:tcBorders>
              <w:right w:val="single" w:sz="8" w:color="auto"/>
            </w:tcBorders>
            <w:shd w:val="clear" w:color="auto" w:fill="000000"/>
          </w:tcPr>
          <w:p>
            <w:pPr>
              <w:spacing w:after="0"/>
              <w:rPr>
                <w:sz w:val="16"/>
                <w:szCs w:val="16"/>
                <w:color w:val="auto"/>
              </w:rPr>
            </w:pPr>
          </w:p>
        </w:tc>
        <w:tc>
          <w:tcPr>
            <w:tcW w:w="5380" w:type="dxa"/>
            <w:vAlign w:val="bottom"/>
          </w:tcPr>
          <w:p>
            <w:pPr>
              <w:ind w:left="80"/>
              <w:spacing w:after="0" w:line="186" w:lineRule="exact"/>
              <w:rPr>
                <w:sz w:val="20"/>
                <w:szCs w:val="20"/>
                <w:color w:val="auto"/>
              </w:rPr>
            </w:pPr>
            <w:r>
              <w:rPr>
                <w:rFonts w:ascii="Arial" w:cs="Arial" w:eastAsia="Arial" w:hAnsi="Arial"/>
                <w:sz w:val="17"/>
                <w:szCs w:val="17"/>
                <w:b w:val="1"/>
                <w:bCs w:val="1"/>
                <w:color w:val="auto"/>
              </w:rPr>
              <w:t>Stephen J. Hagge</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auto"/>
                <w:w w:val="94"/>
              </w:rPr>
              <w:t>68</w:t>
            </w:r>
          </w:p>
        </w:tc>
        <w:tc>
          <w:tcPr>
            <w:tcW w:w="900" w:type="dxa"/>
            <w:vAlign w:val="bottom"/>
            <w:vMerge w:val="restart"/>
          </w:tcPr>
          <w:p>
            <w:pPr>
              <w:jc w:val="center"/>
              <w:spacing w:after="0"/>
              <w:rPr>
                <w:sz w:val="20"/>
                <w:szCs w:val="20"/>
                <w:color w:val="auto"/>
              </w:rPr>
            </w:pPr>
            <w:r>
              <w:rPr>
                <w:rFonts w:ascii="Arial" w:cs="Arial" w:eastAsia="Arial" w:hAnsi="Arial"/>
                <w:sz w:val="17"/>
                <w:szCs w:val="17"/>
                <w:color w:val="auto"/>
                <w:w w:val="89"/>
              </w:rPr>
              <w:t>2019</w:t>
            </w:r>
          </w:p>
        </w:tc>
        <w:tc>
          <w:tcPr>
            <w:tcW w:w="1200" w:type="dxa"/>
            <w:vAlign w:val="bottom"/>
            <w:vMerge w:val="restart"/>
          </w:tcPr>
          <w:p>
            <w:pPr>
              <w:jc w:val="center"/>
              <w:spacing w:after="0"/>
              <w:rPr>
                <w:sz w:val="20"/>
                <w:szCs w:val="20"/>
                <w:color w:val="auto"/>
              </w:rPr>
            </w:pPr>
            <w:r>
              <w:rPr>
                <w:rFonts w:ascii="Arial" w:cs="Arial" w:eastAsia="Arial" w:hAnsi="Arial"/>
                <w:sz w:val="17"/>
                <w:szCs w:val="17"/>
                <w:color w:val="auto"/>
                <w:w w:val="81"/>
              </w:rPr>
              <w:t>Yes</w:t>
            </w:r>
          </w:p>
        </w:tc>
        <w:tc>
          <w:tcPr>
            <w:tcW w:w="640" w:type="dxa"/>
            <w:vAlign w:val="bottom"/>
          </w:tcPr>
          <w:p>
            <w:pPr>
              <w:spacing w:after="0"/>
              <w:rPr>
                <w:sz w:val="16"/>
                <w:szCs w:val="16"/>
                <w:color w:val="auto"/>
              </w:rPr>
            </w:pPr>
          </w:p>
        </w:tc>
        <w:tc>
          <w:tcPr>
            <w:tcW w:w="760" w:type="dxa"/>
            <w:vAlign w:val="bottom"/>
            <w:vMerge w:val="restart"/>
          </w:tcPr>
          <w:p>
            <w:pPr>
              <w:jc w:val="center"/>
              <w:spacing w:after="0" w:line="171" w:lineRule="exact"/>
              <w:rPr>
                <w:sz w:val="20"/>
                <w:szCs w:val="20"/>
                <w:color w:val="auto"/>
              </w:rPr>
            </w:pPr>
            <w:r>
              <w:rPr>
                <w:rFonts w:ascii="MS PGothic" w:cs="MS PGothic" w:eastAsia="MS PGothic" w:hAnsi="MS PGothic"/>
                <w:sz w:val="17"/>
                <w:szCs w:val="17"/>
                <w:color w:val="auto"/>
                <w:w w:val="82"/>
                <w:shd w:val="clear" w:color="auto" w:fill="29650B"/>
              </w:rPr>
              <w:t>✓</w:t>
            </w:r>
          </w:p>
        </w:tc>
        <w:tc>
          <w:tcPr>
            <w:tcW w:w="800" w:type="dxa"/>
            <w:vAlign w:val="bottom"/>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40" w:type="dxa"/>
            <w:vAlign w:val="bottom"/>
            <w:tcBorders>
              <w:right w:val="single" w:sz="8" w:color="auto"/>
            </w:tcBorders>
            <w:shd w:val="clear" w:color="auto" w:fill="000000"/>
          </w:tcPr>
          <w:p>
            <w:pPr>
              <w:spacing w:after="0"/>
              <w:rPr>
                <w:sz w:val="13"/>
                <w:szCs w:val="13"/>
                <w:color w:val="auto"/>
              </w:rPr>
            </w:pPr>
          </w:p>
        </w:tc>
        <w:tc>
          <w:tcPr>
            <w:tcW w:w="5380" w:type="dxa"/>
            <w:vAlign w:val="bottom"/>
            <w:vMerge w:val="restart"/>
          </w:tcPr>
          <w:p>
            <w:pPr>
              <w:ind w:left="80"/>
              <w:spacing w:after="0"/>
              <w:rPr>
                <w:sz w:val="20"/>
                <w:szCs w:val="20"/>
                <w:color w:val="auto"/>
              </w:rPr>
            </w:pPr>
            <w:r>
              <w:rPr>
                <w:rFonts w:ascii="Arial" w:cs="Arial" w:eastAsia="Arial" w:hAnsi="Arial"/>
                <w:sz w:val="17"/>
                <w:szCs w:val="17"/>
                <w:i w:val="1"/>
                <w:iCs w:val="1"/>
                <w:color w:val="auto"/>
              </w:rPr>
              <w:t>Former President and Chief Executive Officer of AptarGroup</w:t>
            </w:r>
          </w:p>
        </w:tc>
        <w:tc>
          <w:tcPr>
            <w:tcW w:w="64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1200" w:type="dxa"/>
            <w:vAlign w:val="bottom"/>
            <w:vMerge w:val="continue"/>
          </w:tcPr>
          <w:p>
            <w:pPr>
              <w:spacing w:after="0"/>
              <w:rPr>
                <w:sz w:val="13"/>
                <w:szCs w:val="13"/>
                <w:color w:val="auto"/>
              </w:rPr>
            </w:pPr>
          </w:p>
        </w:tc>
        <w:tc>
          <w:tcPr>
            <w:tcW w:w="64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40" w:type="dxa"/>
            <w:vAlign w:val="bottom"/>
            <w:tcBorders>
              <w:right w:val="single" w:sz="8" w:color="auto"/>
            </w:tcBorders>
            <w:shd w:val="clear" w:color="auto" w:fill="000000"/>
          </w:tcPr>
          <w:p>
            <w:pPr>
              <w:spacing w:after="0"/>
              <w:rPr>
                <w:sz w:val="4"/>
                <w:szCs w:val="4"/>
                <w:color w:val="auto"/>
              </w:rPr>
            </w:pPr>
          </w:p>
        </w:tc>
        <w:tc>
          <w:tcPr>
            <w:tcW w:w="538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0" w:type="dxa"/>
            <w:vAlign w:val="bottom"/>
          </w:tcPr>
          <w:p>
            <w:pPr>
              <w:spacing w:after="0"/>
              <w:rPr>
                <w:sz w:val="4"/>
                <w:szCs w:val="4"/>
                <w:color w:val="auto"/>
              </w:rPr>
            </w:pPr>
          </w:p>
        </w:tc>
        <w:tc>
          <w:tcPr>
            <w:tcW w:w="9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1"/>
        </w:trPr>
        <w:tc>
          <w:tcPr>
            <w:tcW w:w="40" w:type="dxa"/>
            <w:vAlign w:val="bottom"/>
            <w:tcBorders>
              <w:right w:val="single" w:sz="8" w:color="auto"/>
            </w:tcBorders>
            <w:shd w:val="clear" w:color="auto" w:fill="000000"/>
          </w:tcPr>
          <w:p>
            <w:pPr>
              <w:spacing w:after="0"/>
              <w:rPr>
                <w:sz w:val="4"/>
                <w:szCs w:val="4"/>
                <w:color w:val="auto"/>
              </w:rPr>
            </w:pPr>
          </w:p>
        </w:tc>
        <w:tc>
          <w:tcPr>
            <w:tcW w:w="5380" w:type="dxa"/>
            <w:vAlign w:val="bottom"/>
          </w:tcPr>
          <w:p>
            <w:pPr>
              <w:spacing w:after="0"/>
              <w:rPr>
                <w:sz w:val="4"/>
                <w:szCs w:val="4"/>
                <w:color w:val="auto"/>
              </w:rPr>
            </w:pPr>
          </w:p>
        </w:tc>
        <w:tc>
          <w:tcPr>
            <w:tcW w:w="6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0" w:type="dxa"/>
            <w:vAlign w:val="bottom"/>
          </w:tcPr>
          <w:p>
            <w:pPr>
              <w:spacing w:after="0"/>
              <w:rPr>
                <w:sz w:val="4"/>
                <w:szCs w:val="4"/>
                <w:color w:val="auto"/>
              </w:rPr>
            </w:pPr>
          </w:p>
        </w:tc>
        <w:tc>
          <w:tcPr>
            <w:tcW w:w="9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40" w:type="dxa"/>
            <w:vAlign w:val="bottom"/>
            <w:tcBorders>
              <w:right w:val="single" w:sz="8" w:color="auto"/>
            </w:tcBorders>
            <w:shd w:val="clear" w:color="auto" w:fill="000000"/>
          </w:tcPr>
          <w:p>
            <w:pPr>
              <w:spacing w:after="0"/>
              <w:rPr>
                <w:sz w:val="16"/>
                <w:szCs w:val="16"/>
                <w:color w:val="auto"/>
              </w:rPr>
            </w:pPr>
          </w:p>
        </w:tc>
        <w:tc>
          <w:tcPr>
            <w:tcW w:w="5380" w:type="dxa"/>
            <w:vAlign w:val="bottom"/>
            <w:shd w:val="clear" w:color="auto" w:fill="D9D9D9"/>
          </w:tcPr>
          <w:p>
            <w:pPr>
              <w:ind w:left="80"/>
              <w:spacing w:after="0" w:line="186" w:lineRule="exact"/>
              <w:rPr>
                <w:sz w:val="20"/>
                <w:szCs w:val="20"/>
                <w:color w:val="auto"/>
              </w:rPr>
            </w:pPr>
            <w:r>
              <w:rPr>
                <w:rFonts w:ascii="Arial" w:cs="Arial" w:eastAsia="Arial" w:hAnsi="Arial"/>
                <w:sz w:val="17"/>
                <w:szCs w:val="17"/>
                <w:b w:val="1"/>
                <w:bCs w:val="1"/>
                <w:color w:val="auto"/>
              </w:rPr>
              <w:t>Rose Lee</w:t>
            </w:r>
          </w:p>
        </w:tc>
        <w:tc>
          <w:tcPr>
            <w:tcW w:w="640" w:type="dxa"/>
            <w:vAlign w:val="bottom"/>
            <w:vMerge w:val="restart"/>
            <w:shd w:val="clear" w:color="auto" w:fill="D9D9D9"/>
          </w:tcPr>
          <w:p>
            <w:pPr>
              <w:jc w:val="center"/>
              <w:spacing w:after="0"/>
              <w:rPr>
                <w:sz w:val="20"/>
                <w:szCs w:val="20"/>
                <w:color w:val="auto"/>
              </w:rPr>
            </w:pPr>
            <w:r>
              <w:rPr>
                <w:rFonts w:ascii="Arial" w:cs="Arial" w:eastAsia="Arial" w:hAnsi="Arial"/>
                <w:sz w:val="17"/>
                <w:szCs w:val="17"/>
                <w:color w:val="auto"/>
                <w:w w:val="94"/>
              </w:rPr>
              <w:t>54</w:t>
            </w:r>
          </w:p>
        </w:tc>
        <w:tc>
          <w:tcPr>
            <w:tcW w:w="900" w:type="dxa"/>
            <w:vAlign w:val="bottom"/>
            <w:vMerge w:val="restart"/>
            <w:shd w:val="clear" w:color="auto" w:fill="D9D9D9"/>
          </w:tcPr>
          <w:p>
            <w:pPr>
              <w:jc w:val="center"/>
              <w:spacing w:after="0"/>
              <w:rPr>
                <w:sz w:val="20"/>
                <w:szCs w:val="20"/>
                <w:color w:val="auto"/>
              </w:rPr>
            </w:pPr>
            <w:r>
              <w:rPr>
                <w:rFonts w:ascii="Arial" w:cs="Arial" w:eastAsia="Arial" w:hAnsi="Arial"/>
                <w:sz w:val="17"/>
                <w:szCs w:val="17"/>
                <w:color w:val="auto"/>
                <w:w w:val="89"/>
              </w:rPr>
              <w:t>2016</w:t>
            </w:r>
          </w:p>
        </w:tc>
        <w:tc>
          <w:tcPr>
            <w:tcW w:w="1200" w:type="dxa"/>
            <w:vAlign w:val="bottom"/>
            <w:vMerge w:val="restart"/>
            <w:shd w:val="clear" w:color="auto" w:fill="D9D9D9"/>
          </w:tcPr>
          <w:p>
            <w:pPr>
              <w:jc w:val="center"/>
              <w:spacing w:after="0"/>
              <w:rPr>
                <w:sz w:val="20"/>
                <w:szCs w:val="20"/>
                <w:color w:val="auto"/>
              </w:rPr>
            </w:pPr>
            <w:r>
              <w:rPr>
                <w:rFonts w:ascii="Arial" w:cs="Arial" w:eastAsia="Arial" w:hAnsi="Arial"/>
                <w:sz w:val="17"/>
                <w:szCs w:val="17"/>
                <w:color w:val="auto"/>
                <w:w w:val="81"/>
              </w:rPr>
              <w:t>Yes</w:t>
            </w:r>
          </w:p>
        </w:tc>
        <w:tc>
          <w:tcPr>
            <w:tcW w:w="640" w:type="dxa"/>
            <w:vAlign w:val="bottom"/>
            <w:vMerge w:val="restart"/>
            <w:shd w:val="clear" w:color="auto" w:fill="D9D9D9"/>
          </w:tcPr>
          <w:p>
            <w:pPr>
              <w:jc w:val="center"/>
              <w:ind w:left="17"/>
              <w:spacing w:after="0" w:line="171" w:lineRule="exact"/>
              <w:rPr>
                <w:sz w:val="20"/>
                <w:szCs w:val="20"/>
                <w:color w:val="auto"/>
              </w:rPr>
            </w:pPr>
            <w:r>
              <w:rPr>
                <w:rFonts w:ascii="MS PGothic" w:cs="MS PGothic" w:eastAsia="MS PGothic" w:hAnsi="MS PGothic"/>
                <w:sz w:val="17"/>
                <w:szCs w:val="17"/>
                <w:color w:val="auto"/>
                <w:w w:val="82"/>
                <w:shd w:val="clear" w:color="auto" w:fill="29650B"/>
              </w:rPr>
              <w:t>✓</w:t>
            </w:r>
          </w:p>
        </w:tc>
        <w:tc>
          <w:tcPr>
            <w:tcW w:w="760" w:type="dxa"/>
            <w:vAlign w:val="bottom"/>
            <w:shd w:val="clear" w:color="auto" w:fill="D9D9D9"/>
          </w:tcPr>
          <w:p>
            <w:pPr>
              <w:spacing w:after="0"/>
              <w:rPr>
                <w:sz w:val="16"/>
                <w:szCs w:val="16"/>
                <w:color w:val="auto"/>
              </w:rPr>
            </w:pPr>
          </w:p>
        </w:tc>
        <w:tc>
          <w:tcPr>
            <w:tcW w:w="800" w:type="dxa"/>
            <w:vAlign w:val="bottom"/>
            <w:vMerge w:val="restart"/>
            <w:shd w:val="clear" w:color="auto" w:fill="D9D9D9"/>
          </w:tcPr>
          <w:p>
            <w:pPr>
              <w:jc w:val="center"/>
              <w:ind w:right="17"/>
              <w:spacing w:after="0" w:line="171" w:lineRule="exact"/>
              <w:rPr>
                <w:sz w:val="20"/>
                <w:szCs w:val="20"/>
                <w:color w:val="auto"/>
              </w:rPr>
            </w:pPr>
            <w:r>
              <w:rPr>
                <w:rFonts w:ascii="MS PGothic" w:cs="MS PGothic" w:eastAsia="MS PGothic" w:hAnsi="MS PGothic"/>
                <w:sz w:val="17"/>
                <w:szCs w:val="17"/>
                <w:color w:val="auto"/>
                <w:w w:val="82"/>
                <w:shd w:val="clear" w:color="auto" w:fill="29650B"/>
              </w:rPr>
              <w:t>✓</w:t>
            </w:r>
          </w:p>
        </w:tc>
        <w:tc>
          <w:tcPr>
            <w:tcW w:w="920" w:type="dxa"/>
            <w:vAlign w:val="bottom"/>
            <w:tcBorders>
              <w:right w:val="single" w:sz="8" w:color="auto"/>
            </w:tcBorders>
            <w:shd w:val="clear" w:color="auto" w:fill="D9D9D9"/>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40" w:type="dxa"/>
            <w:vAlign w:val="bottom"/>
            <w:tcBorders>
              <w:right w:val="single" w:sz="8" w:color="auto"/>
            </w:tcBorders>
            <w:shd w:val="clear" w:color="auto" w:fill="000000"/>
          </w:tcPr>
          <w:p>
            <w:pPr>
              <w:spacing w:after="0"/>
              <w:rPr>
                <w:sz w:val="11"/>
                <w:szCs w:val="11"/>
                <w:color w:val="auto"/>
              </w:rPr>
            </w:pPr>
          </w:p>
        </w:tc>
        <w:tc>
          <w:tcPr>
            <w:tcW w:w="5380" w:type="dxa"/>
            <w:vAlign w:val="bottom"/>
            <w:vMerge w:val="restart"/>
            <w:shd w:val="clear" w:color="auto" w:fill="D9D9D9"/>
          </w:tcPr>
          <w:p>
            <w:pPr>
              <w:ind w:left="80"/>
              <w:spacing w:after="0"/>
              <w:rPr>
                <w:sz w:val="20"/>
                <w:szCs w:val="20"/>
                <w:color w:val="auto"/>
              </w:rPr>
            </w:pPr>
            <w:r>
              <w:rPr>
                <w:rFonts w:ascii="Arial" w:cs="Arial" w:eastAsia="Arial" w:hAnsi="Arial"/>
                <w:sz w:val="17"/>
                <w:szCs w:val="17"/>
                <w:i w:val="1"/>
                <w:iCs w:val="1"/>
                <w:color w:val="auto"/>
              </w:rPr>
              <w:t>President of DuPont Safety &amp; Construction</w:t>
            </w:r>
          </w:p>
        </w:tc>
        <w:tc>
          <w:tcPr>
            <w:tcW w:w="640" w:type="dxa"/>
            <w:vAlign w:val="bottom"/>
            <w:vMerge w:val="continue"/>
            <w:shd w:val="clear" w:color="auto" w:fill="D9D9D9"/>
          </w:tcPr>
          <w:p>
            <w:pPr>
              <w:spacing w:after="0"/>
              <w:rPr>
                <w:sz w:val="11"/>
                <w:szCs w:val="11"/>
                <w:color w:val="auto"/>
              </w:rPr>
            </w:pPr>
          </w:p>
        </w:tc>
        <w:tc>
          <w:tcPr>
            <w:tcW w:w="900" w:type="dxa"/>
            <w:vAlign w:val="bottom"/>
            <w:vMerge w:val="continue"/>
            <w:shd w:val="clear" w:color="auto" w:fill="D9D9D9"/>
          </w:tcPr>
          <w:p>
            <w:pPr>
              <w:spacing w:after="0"/>
              <w:rPr>
                <w:sz w:val="11"/>
                <w:szCs w:val="11"/>
                <w:color w:val="auto"/>
              </w:rPr>
            </w:pPr>
          </w:p>
        </w:tc>
        <w:tc>
          <w:tcPr>
            <w:tcW w:w="1200" w:type="dxa"/>
            <w:vAlign w:val="bottom"/>
            <w:vMerge w:val="continue"/>
            <w:shd w:val="clear" w:color="auto" w:fill="D9D9D9"/>
          </w:tcPr>
          <w:p>
            <w:pPr>
              <w:spacing w:after="0"/>
              <w:rPr>
                <w:sz w:val="11"/>
                <w:szCs w:val="11"/>
                <w:color w:val="auto"/>
              </w:rPr>
            </w:pPr>
          </w:p>
        </w:tc>
        <w:tc>
          <w:tcPr>
            <w:tcW w:w="640" w:type="dxa"/>
            <w:vAlign w:val="bottom"/>
            <w:vMerge w:val="continue"/>
            <w:shd w:val="clear" w:color="auto" w:fill="D9D9D9"/>
          </w:tcPr>
          <w:p>
            <w:pPr>
              <w:spacing w:after="0"/>
              <w:rPr>
                <w:sz w:val="11"/>
                <w:szCs w:val="11"/>
                <w:color w:val="auto"/>
              </w:rPr>
            </w:pPr>
          </w:p>
        </w:tc>
        <w:tc>
          <w:tcPr>
            <w:tcW w:w="760" w:type="dxa"/>
            <w:vAlign w:val="bottom"/>
            <w:shd w:val="clear" w:color="auto" w:fill="D9D9D9"/>
          </w:tcPr>
          <w:p>
            <w:pPr>
              <w:spacing w:after="0"/>
              <w:rPr>
                <w:sz w:val="11"/>
                <w:szCs w:val="11"/>
                <w:color w:val="auto"/>
              </w:rPr>
            </w:pPr>
          </w:p>
        </w:tc>
        <w:tc>
          <w:tcPr>
            <w:tcW w:w="800" w:type="dxa"/>
            <w:vAlign w:val="bottom"/>
            <w:vMerge w:val="continue"/>
            <w:shd w:val="clear" w:color="auto" w:fill="D9D9D9"/>
          </w:tcPr>
          <w:p>
            <w:pPr>
              <w:spacing w:after="0"/>
              <w:rPr>
                <w:sz w:val="11"/>
                <w:szCs w:val="11"/>
                <w:color w:val="auto"/>
              </w:rPr>
            </w:pPr>
          </w:p>
        </w:tc>
        <w:tc>
          <w:tcPr>
            <w:tcW w:w="920" w:type="dxa"/>
            <w:vAlign w:val="bottom"/>
            <w:tcBorders>
              <w:right w:val="single" w:sz="8" w:color="auto"/>
            </w:tcBorders>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40" w:type="dxa"/>
            <w:vAlign w:val="bottom"/>
            <w:tcBorders>
              <w:right w:val="single" w:sz="8" w:color="auto"/>
            </w:tcBorders>
            <w:shd w:val="clear" w:color="auto" w:fill="000000"/>
          </w:tcPr>
          <w:p>
            <w:pPr>
              <w:spacing w:after="0"/>
              <w:rPr>
                <w:sz w:val="7"/>
                <w:szCs w:val="7"/>
                <w:color w:val="auto"/>
              </w:rPr>
            </w:pPr>
          </w:p>
        </w:tc>
        <w:tc>
          <w:tcPr>
            <w:tcW w:w="5380" w:type="dxa"/>
            <w:vAlign w:val="bottom"/>
            <w:vMerge w:val="continue"/>
            <w:shd w:val="clear" w:color="auto" w:fill="D9D9D9"/>
          </w:tcPr>
          <w:p>
            <w:pPr>
              <w:spacing w:after="0"/>
              <w:rPr>
                <w:sz w:val="7"/>
                <w:szCs w:val="7"/>
                <w:color w:val="auto"/>
              </w:rPr>
            </w:pPr>
          </w:p>
        </w:tc>
        <w:tc>
          <w:tcPr>
            <w:tcW w:w="640" w:type="dxa"/>
            <w:vAlign w:val="bottom"/>
            <w:shd w:val="clear" w:color="auto" w:fill="D9D9D9"/>
          </w:tcPr>
          <w:p>
            <w:pPr>
              <w:spacing w:after="0"/>
              <w:rPr>
                <w:sz w:val="7"/>
                <w:szCs w:val="7"/>
                <w:color w:val="auto"/>
              </w:rPr>
            </w:pPr>
          </w:p>
        </w:tc>
        <w:tc>
          <w:tcPr>
            <w:tcW w:w="900" w:type="dxa"/>
            <w:vAlign w:val="bottom"/>
            <w:shd w:val="clear" w:color="auto" w:fill="D9D9D9"/>
          </w:tcPr>
          <w:p>
            <w:pPr>
              <w:spacing w:after="0"/>
              <w:rPr>
                <w:sz w:val="7"/>
                <w:szCs w:val="7"/>
                <w:color w:val="auto"/>
              </w:rPr>
            </w:pPr>
          </w:p>
        </w:tc>
        <w:tc>
          <w:tcPr>
            <w:tcW w:w="1200" w:type="dxa"/>
            <w:vAlign w:val="bottom"/>
            <w:shd w:val="clear" w:color="auto" w:fill="D9D9D9"/>
          </w:tcPr>
          <w:p>
            <w:pPr>
              <w:spacing w:after="0"/>
              <w:rPr>
                <w:sz w:val="7"/>
                <w:szCs w:val="7"/>
                <w:color w:val="auto"/>
              </w:rPr>
            </w:pPr>
          </w:p>
        </w:tc>
        <w:tc>
          <w:tcPr>
            <w:tcW w:w="640" w:type="dxa"/>
            <w:vAlign w:val="bottom"/>
            <w:shd w:val="clear" w:color="auto" w:fill="D9D9D9"/>
          </w:tcPr>
          <w:p>
            <w:pPr>
              <w:spacing w:after="0"/>
              <w:rPr>
                <w:sz w:val="7"/>
                <w:szCs w:val="7"/>
                <w:color w:val="auto"/>
              </w:rPr>
            </w:pPr>
          </w:p>
        </w:tc>
        <w:tc>
          <w:tcPr>
            <w:tcW w:w="760" w:type="dxa"/>
            <w:vAlign w:val="bottom"/>
            <w:shd w:val="clear" w:color="auto" w:fill="D9D9D9"/>
          </w:tcPr>
          <w:p>
            <w:pPr>
              <w:spacing w:after="0"/>
              <w:rPr>
                <w:sz w:val="7"/>
                <w:szCs w:val="7"/>
                <w:color w:val="auto"/>
              </w:rPr>
            </w:pPr>
          </w:p>
        </w:tc>
        <w:tc>
          <w:tcPr>
            <w:tcW w:w="800" w:type="dxa"/>
            <w:vAlign w:val="bottom"/>
            <w:shd w:val="clear" w:color="auto" w:fill="D9D9D9"/>
          </w:tcPr>
          <w:p>
            <w:pPr>
              <w:spacing w:after="0"/>
              <w:rPr>
                <w:sz w:val="7"/>
                <w:szCs w:val="7"/>
                <w:color w:val="auto"/>
              </w:rPr>
            </w:pPr>
          </w:p>
        </w:tc>
        <w:tc>
          <w:tcPr>
            <w:tcW w:w="920" w:type="dxa"/>
            <w:vAlign w:val="bottom"/>
            <w:tcBorders>
              <w:right w:val="single" w:sz="8" w:color="auto"/>
            </w:tcBorders>
            <w:shd w:val="clear" w:color="auto" w:fill="D9D9D9"/>
          </w:tcPr>
          <w:p>
            <w:pPr>
              <w:spacing w:after="0"/>
              <w:rPr>
                <w:sz w:val="7"/>
                <w:szCs w:val="7"/>
                <w:color w:val="auto"/>
              </w:rPr>
            </w:pPr>
          </w:p>
        </w:tc>
        <w:tc>
          <w:tcPr>
            <w:tcW w:w="0" w:type="dxa"/>
            <w:vAlign w:val="bottom"/>
          </w:tcPr>
          <w:p>
            <w:pPr>
              <w:spacing w:after="0"/>
              <w:rPr>
                <w:sz w:val="1"/>
                <w:szCs w:val="1"/>
                <w:color w:val="auto"/>
              </w:rPr>
            </w:pPr>
          </w:p>
        </w:tc>
      </w:tr>
      <w:tr>
        <w:trPr>
          <w:trHeight w:val="322"/>
        </w:trPr>
        <w:tc>
          <w:tcPr>
            <w:tcW w:w="40" w:type="dxa"/>
            <w:vAlign w:val="bottom"/>
            <w:tcBorders>
              <w:right w:val="single" w:sz="8" w:color="auto"/>
            </w:tcBorders>
            <w:shd w:val="clear" w:color="auto" w:fill="000000"/>
          </w:tcPr>
          <w:p>
            <w:pPr>
              <w:spacing w:after="0"/>
              <w:rPr>
                <w:sz w:val="24"/>
                <w:szCs w:val="24"/>
                <w:color w:val="auto"/>
              </w:rPr>
            </w:pPr>
          </w:p>
        </w:tc>
        <w:tc>
          <w:tcPr>
            <w:tcW w:w="5380" w:type="dxa"/>
            <w:vAlign w:val="bottom"/>
          </w:tcPr>
          <w:p>
            <w:pPr>
              <w:ind w:left="80"/>
              <w:spacing w:after="0"/>
              <w:rPr>
                <w:sz w:val="20"/>
                <w:szCs w:val="20"/>
                <w:color w:val="auto"/>
              </w:rPr>
            </w:pPr>
            <w:r>
              <w:rPr>
                <w:rFonts w:ascii="Arial" w:cs="Arial" w:eastAsia="Arial" w:hAnsi="Arial"/>
                <w:sz w:val="17"/>
                <w:szCs w:val="17"/>
                <w:b w:val="1"/>
                <w:bCs w:val="1"/>
                <w:color w:val="auto"/>
              </w:rPr>
              <w:t>James H. Miller</w:t>
            </w:r>
          </w:p>
        </w:tc>
        <w:tc>
          <w:tcPr>
            <w:tcW w:w="640" w:type="dxa"/>
            <w:vAlign w:val="bottom"/>
          </w:tcPr>
          <w:p>
            <w:pPr>
              <w:jc w:val="center"/>
              <w:spacing w:after="0"/>
              <w:rPr>
                <w:sz w:val="20"/>
                <w:szCs w:val="20"/>
                <w:color w:val="auto"/>
              </w:rPr>
            </w:pPr>
            <w:r>
              <w:rPr>
                <w:rFonts w:ascii="Arial" w:cs="Arial" w:eastAsia="Arial" w:hAnsi="Arial"/>
                <w:sz w:val="17"/>
                <w:szCs w:val="17"/>
                <w:color w:val="auto"/>
                <w:w w:val="94"/>
              </w:rPr>
              <w:t>71</w:t>
            </w:r>
          </w:p>
        </w:tc>
        <w:tc>
          <w:tcPr>
            <w:tcW w:w="900" w:type="dxa"/>
            <w:vAlign w:val="bottom"/>
          </w:tcPr>
          <w:p>
            <w:pPr>
              <w:jc w:val="center"/>
              <w:spacing w:after="0"/>
              <w:rPr>
                <w:sz w:val="20"/>
                <w:szCs w:val="20"/>
                <w:color w:val="auto"/>
              </w:rPr>
            </w:pPr>
            <w:r>
              <w:rPr>
                <w:rFonts w:ascii="Arial" w:cs="Arial" w:eastAsia="Arial" w:hAnsi="Arial"/>
                <w:sz w:val="17"/>
                <w:szCs w:val="17"/>
                <w:color w:val="auto"/>
                <w:w w:val="89"/>
              </w:rPr>
              <w:t>2010</w:t>
            </w:r>
          </w:p>
        </w:tc>
        <w:tc>
          <w:tcPr>
            <w:tcW w:w="1200" w:type="dxa"/>
            <w:vAlign w:val="bottom"/>
          </w:tcPr>
          <w:p>
            <w:pPr>
              <w:jc w:val="center"/>
              <w:spacing w:after="0"/>
              <w:rPr>
                <w:sz w:val="20"/>
                <w:szCs w:val="20"/>
                <w:color w:val="auto"/>
              </w:rPr>
            </w:pPr>
            <w:r>
              <w:rPr>
                <w:rFonts w:ascii="Arial" w:cs="Arial" w:eastAsia="Arial" w:hAnsi="Arial"/>
                <w:sz w:val="17"/>
                <w:szCs w:val="17"/>
                <w:color w:val="auto"/>
                <w:w w:val="81"/>
              </w:rPr>
              <w:t>Yes</w:t>
            </w:r>
          </w:p>
        </w:tc>
        <w:tc>
          <w:tcPr>
            <w:tcW w:w="640" w:type="dxa"/>
            <w:vAlign w:val="bottom"/>
          </w:tcPr>
          <w:p>
            <w:pPr>
              <w:spacing w:after="0"/>
              <w:rPr>
                <w:sz w:val="24"/>
                <w:szCs w:val="24"/>
                <w:color w:val="auto"/>
              </w:rPr>
            </w:pPr>
          </w:p>
        </w:tc>
        <w:tc>
          <w:tcPr>
            <w:tcW w:w="760" w:type="dxa"/>
            <w:vAlign w:val="bottom"/>
          </w:tcPr>
          <w:p>
            <w:pPr>
              <w:jc w:val="center"/>
              <w:spacing w:after="0" w:line="171" w:lineRule="exact"/>
              <w:rPr>
                <w:sz w:val="20"/>
                <w:szCs w:val="20"/>
                <w:color w:val="auto"/>
              </w:rPr>
            </w:pPr>
            <w:r>
              <w:rPr>
                <w:rFonts w:ascii="MS PGothic" w:cs="MS PGothic" w:eastAsia="MS PGothic" w:hAnsi="MS PGothic"/>
                <w:sz w:val="17"/>
                <w:szCs w:val="17"/>
                <w:color w:val="auto"/>
                <w:w w:val="82"/>
                <w:shd w:val="clear" w:color="auto" w:fill="29650B"/>
              </w:rPr>
              <w:t>✓</w:t>
            </w:r>
          </w:p>
        </w:tc>
        <w:tc>
          <w:tcPr>
            <w:tcW w:w="800" w:type="dxa"/>
            <w:vAlign w:val="bottom"/>
          </w:tcPr>
          <w:p>
            <w:pPr>
              <w:jc w:val="center"/>
              <w:spacing w:after="0"/>
              <w:rPr>
                <w:sz w:val="20"/>
                <w:szCs w:val="20"/>
                <w:color w:val="auto"/>
              </w:rPr>
            </w:pPr>
            <w:r>
              <w:rPr>
                <w:rFonts w:ascii="Arial" w:cs="Arial" w:eastAsia="Arial" w:hAnsi="Arial"/>
                <w:sz w:val="17"/>
                <w:szCs w:val="17"/>
                <w:b w:val="1"/>
                <w:bCs w:val="1"/>
                <w:color w:val="29650B"/>
                <w:w w:val="91"/>
              </w:rPr>
              <w:t>Chair</w:t>
            </w:r>
          </w:p>
        </w:tc>
        <w:tc>
          <w:tcPr>
            <w:tcW w:w="920" w:type="dxa"/>
            <w:vAlign w:val="bottom"/>
            <w:tcBorders>
              <w:right w:val="single" w:sz="8" w:color="auto"/>
            </w:tcBorders>
          </w:tcPr>
          <w:p>
            <w:pPr>
              <w:jc w:val="center"/>
              <w:spacing w:after="0" w:line="171" w:lineRule="exact"/>
              <w:rPr>
                <w:sz w:val="20"/>
                <w:szCs w:val="20"/>
                <w:color w:val="auto"/>
              </w:rPr>
            </w:pPr>
            <w:r>
              <w:rPr>
                <w:rFonts w:ascii="MS PGothic" w:cs="MS PGothic" w:eastAsia="MS PGothic" w:hAnsi="MS PGothic"/>
                <w:sz w:val="17"/>
                <w:szCs w:val="17"/>
                <w:color w:val="auto"/>
                <w:w w:val="82"/>
                <w:shd w:val="clear" w:color="auto" w:fill="29650B"/>
              </w:rPr>
              <w:t>✓</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380" w:type="dxa"/>
            <w:vAlign w:val="bottom"/>
          </w:tcPr>
          <w:p>
            <w:pPr>
              <w:ind w:left="80"/>
              <w:spacing w:after="0"/>
              <w:rPr>
                <w:sz w:val="20"/>
                <w:szCs w:val="20"/>
                <w:color w:val="auto"/>
              </w:rPr>
            </w:pPr>
            <w:r>
              <w:rPr>
                <w:rFonts w:ascii="Arial" w:cs="Arial" w:eastAsia="Arial" w:hAnsi="Arial"/>
                <w:sz w:val="17"/>
                <w:szCs w:val="17"/>
                <w:i w:val="1"/>
                <w:iCs w:val="1"/>
                <w:color w:val="auto"/>
              </w:rPr>
              <w:t>Former Chairman and Chief Executive Officer of PPL Corporation</w:t>
            </w:r>
          </w:p>
        </w:tc>
        <w:tc>
          <w:tcPr>
            <w:tcW w:w="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92"/>
        </w:trPr>
        <w:tc>
          <w:tcPr>
            <w:tcW w:w="40" w:type="dxa"/>
            <w:vAlign w:val="bottom"/>
            <w:tcBorders>
              <w:right w:val="single" w:sz="8" w:color="auto"/>
            </w:tcBorders>
            <w:shd w:val="clear" w:color="auto" w:fill="000000"/>
          </w:tcPr>
          <w:p>
            <w:pPr>
              <w:spacing w:after="0"/>
              <w:rPr>
                <w:sz w:val="24"/>
                <w:szCs w:val="24"/>
                <w:color w:val="auto"/>
              </w:rPr>
            </w:pPr>
          </w:p>
        </w:tc>
        <w:tc>
          <w:tcPr>
            <w:tcW w:w="5380" w:type="dxa"/>
            <w:vAlign w:val="bottom"/>
            <w:shd w:val="clear" w:color="auto" w:fill="D9D9D9"/>
          </w:tcPr>
          <w:p>
            <w:pPr>
              <w:ind w:left="80"/>
              <w:spacing w:after="0"/>
              <w:rPr>
                <w:sz w:val="20"/>
                <w:szCs w:val="20"/>
                <w:color w:val="auto"/>
              </w:rPr>
            </w:pPr>
            <w:r>
              <w:rPr>
                <w:rFonts w:ascii="Arial" w:cs="Arial" w:eastAsia="Arial" w:hAnsi="Arial"/>
                <w:sz w:val="17"/>
                <w:szCs w:val="17"/>
                <w:b w:val="1"/>
                <w:bCs w:val="1"/>
                <w:color w:val="auto"/>
              </w:rPr>
              <w:t>Josef M. Müller</w:t>
            </w:r>
          </w:p>
        </w:tc>
        <w:tc>
          <w:tcPr>
            <w:tcW w:w="640" w:type="dxa"/>
            <w:vAlign w:val="bottom"/>
            <w:vMerge w:val="restart"/>
            <w:shd w:val="clear" w:color="auto" w:fill="D9D9D9"/>
          </w:tcPr>
          <w:p>
            <w:pPr>
              <w:jc w:val="center"/>
              <w:spacing w:after="0"/>
              <w:rPr>
                <w:sz w:val="20"/>
                <w:szCs w:val="20"/>
                <w:color w:val="auto"/>
              </w:rPr>
            </w:pPr>
            <w:r>
              <w:rPr>
                <w:rFonts w:ascii="Arial" w:cs="Arial" w:eastAsia="Arial" w:hAnsi="Arial"/>
                <w:sz w:val="17"/>
                <w:szCs w:val="17"/>
                <w:color w:val="auto"/>
                <w:w w:val="94"/>
              </w:rPr>
              <w:t>72</w:t>
            </w:r>
          </w:p>
        </w:tc>
        <w:tc>
          <w:tcPr>
            <w:tcW w:w="900" w:type="dxa"/>
            <w:vAlign w:val="bottom"/>
            <w:vMerge w:val="restart"/>
            <w:shd w:val="clear" w:color="auto" w:fill="D9D9D9"/>
          </w:tcPr>
          <w:p>
            <w:pPr>
              <w:jc w:val="center"/>
              <w:spacing w:after="0"/>
              <w:rPr>
                <w:sz w:val="20"/>
                <w:szCs w:val="20"/>
                <w:color w:val="auto"/>
              </w:rPr>
            </w:pPr>
            <w:r>
              <w:rPr>
                <w:rFonts w:ascii="Arial" w:cs="Arial" w:eastAsia="Arial" w:hAnsi="Arial"/>
                <w:sz w:val="17"/>
                <w:szCs w:val="17"/>
                <w:color w:val="auto"/>
                <w:w w:val="84"/>
              </w:rPr>
              <w:t>2011</w:t>
            </w:r>
          </w:p>
        </w:tc>
        <w:tc>
          <w:tcPr>
            <w:tcW w:w="1200" w:type="dxa"/>
            <w:vAlign w:val="bottom"/>
            <w:vMerge w:val="restart"/>
            <w:shd w:val="clear" w:color="auto" w:fill="D9D9D9"/>
          </w:tcPr>
          <w:p>
            <w:pPr>
              <w:jc w:val="center"/>
              <w:spacing w:after="0"/>
              <w:rPr>
                <w:sz w:val="20"/>
                <w:szCs w:val="20"/>
                <w:color w:val="auto"/>
              </w:rPr>
            </w:pPr>
            <w:r>
              <w:rPr>
                <w:rFonts w:ascii="Arial" w:cs="Arial" w:eastAsia="Arial" w:hAnsi="Arial"/>
                <w:sz w:val="17"/>
                <w:szCs w:val="17"/>
                <w:color w:val="auto"/>
                <w:w w:val="81"/>
              </w:rPr>
              <w:t>Yes</w:t>
            </w:r>
          </w:p>
        </w:tc>
        <w:tc>
          <w:tcPr>
            <w:tcW w:w="640" w:type="dxa"/>
            <w:vAlign w:val="bottom"/>
            <w:vMerge w:val="restart"/>
            <w:shd w:val="clear" w:color="auto" w:fill="D9D9D9"/>
          </w:tcPr>
          <w:p>
            <w:pPr>
              <w:jc w:val="center"/>
              <w:ind w:left="17"/>
              <w:spacing w:after="0" w:line="171" w:lineRule="exact"/>
              <w:rPr>
                <w:sz w:val="20"/>
                <w:szCs w:val="20"/>
                <w:color w:val="auto"/>
              </w:rPr>
            </w:pPr>
            <w:r>
              <w:rPr>
                <w:rFonts w:ascii="MS PGothic" w:cs="MS PGothic" w:eastAsia="MS PGothic" w:hAnsi="MS PGothic"/>
                <w:sz w:val="17"/>
                <w:szCs w:val="17"/>
                <w:color w:val="auto"/>
                <w:w w:val="82"/>
                <w:shd w:val="clear" w:color="auto" w:fill="29650B"/>
              </w:rPr>
              <w:t>✓</w:t>
            </w:r>
          </w:p>
        </w:tc>
        <w:tc>
          <w:tcPr>
            <w:tcW w:w="760" w:type="dxa"/>
            <w:vAlign w:val="bottom"/>
            <w:vMerge w:val="restart"/>
            <w:shd w:val="clear" w:color="auto" w:fill="D9D9D9"/>
          </w:tcPr>
          <w:p>
            <w:pPr>
              <w:jc w:val="center"/>
              <w:spacing w:after="0" w:line="171" w:lineRule="exact"/>
              <w:rPr>
                <w:sz w:val="20"/>
                <w:szCs w:val="20"/>
                <w:color w:val="auto"/>
              </w:rPr>
            </w:pPr>
            <w:r>
              <w:rPr>
                <w:rFonts w:ascii="MS PGothic" w:cs="MS PGothic" w:eastAsia="MS PGothic" w:hAnsi="MS PGothic"/>
                <w:sz w:val="17"/>
                <w:szCs w:val="17"/>
                <w:color w:val="auto"/>
                <w:w w:val="82"/>
                <w:shd w:val="clear" w:color="auto" w:fill="29650B"/>
              </w:rPr>
              <w:t>✓</w:t>
            </w:r>
          </w:p>
        </w:tc>
        <w:tc>
          <w:tcPr>
            <w:tcW w:w="800" w:type="dxa"/>
            <w:vAlign w:val="bottom"/>
            <w:shd w:val="clear" w:color="auto" w:fill="D9D9D9"/>
          </w:tcPr>
          <w:p>
            <w:pPr>
              <w:spacing w:after="0"/>
              <w:rPr>
                <w:sz w:val="24"/>
                <w:szCs w:val="24"/>
                <w:color w:val="auto"/>
              </w:rPr>
            </w:pPr>
          </w:p>
        </w:tc>
        <w:tc>
          <w:tcPr>
            <w:tcW w:w="920" w:type="dxa"/>
            <w:vAlign w:val="bottom"/>
            <w:tcBorders>
              <w:right w:val="single" w:sz="8" w:color="auto"/>
            </w:tcBorders>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40" w:type="dxa"/>
            <w:vAlign w:val="bottom"/>
            <w:tcBorders>
              <w:right w:val="single" w:sz="8" w:color="auto"/>
            </w:tcBorders>
            <w:shd w:val="clear" w:color="auto" w:fill="000000"/>
          </w:tcPr>
          <w:p>
            <w:pPr>
              <w:spacing w:after="0"/>
              <w:rPr>
                <w:sz w:val="17"/>
                <w:szCs w:val="17"/>
                <w:color w:val="auto"/>
              </w:rPr>
            </w:pPr>
          </w:p>
        </w:tc>
        <w:tc>
          <w:tcPr>
            <w:tcW w:w="5380" w:type="dxa"/>
            <w:vAlign w:val="bottom"/>
            <w:shd w:val="clear" w:color="auto" w:fill="D9D9D9"/>
          </w:tcPr>
          <w:p>
            <w:pPr>
              <w:ind w:left="80"/>
              <w:spacing w:after="0"/>
              <w:rPr>
                <w:sz w:val="20"/>
                <w:szCs w:val="20"/>
                <w:color w:val="auto"/>
              </w:rPr>
            </w:pPr>
            <w:r>
              <w:rPr>
                <w:rFonts w:ascii="Arial" w:cs="Arial" w:eastAsia="Arial" w:hAnsi="Arial"/>
                <w:sz w:val="17"/>
                <w:szCs w:val="17"/>
                <w:i w:val="1"/>
                <w:iCs w:val="1"/>
                <w:color w:val="auto"/>
                <w:w w:val="92"/>
              </w:rPr>
              <w:t>Former Chairman and Chief Executive Officer of Nestlé in the Greater China</w:t>
            </w:r>
          </w:p>
        </w:tc>
        <w:tc>
          <w:tcPr>
            <w:tcW w:w="640" w:type="dxa"/>
            <w:vAlign w:val="bottom"/>
            <w:vMerge w:val="continue"/>
            <w:shd w:val="clear" w:color="auto" w:fill="D9D9D9"/>
          </w:tcPr>
          <w:p>
            <w:pPr>
              <w:spacing w:after="0"/>
              <w:rPr>
                <w:sz w:val="17"/>
                <w:szCs w:val="17"/>
                <w:color w:val="auto"/>
              </w:rPr>
            </w:pPr>
          </w:p>
        </w:tc>
        <w:tc>
          <w:tcPr>
            <w:tcW w:w="900" w:type="dxa"/>
            <w:vAlign w:val="bottom"/>
            <w:vMerge w:val="continue"/>
            <w:shd w:val="clear" w:color="auto" w:fill="D9D9D9"/>
          </w:tcPr>
          <w:p>
            <w:pPr>
              <w:spacing w:after="0"/>
              <w:rPr>
                <w:sz w:val="17"/>
                <w:szCs w:val="17"/>
                <w:color w:val="auto"/>
              </w:rPr>
            </w:pPr>
          </w:p>
        </w:tc>
        <w:tc>
          <w:tcPr>
            <w:tcW w:w="1200" w:type="dxa"/>
            <w:vAlign w:val="bottom"/>
            <w:vMerge w:val="continue"/>
            <w:shd w:val="clear" w:color="auto" w:fill="D9D9D9"/>
          </w:tcPr>
          <w:p>
            <w:pPr>
              <w:spacing w:after="0"/>
              <w:rPr>
                <w:sz w:val="17"/>
                <w:szCs w:val="17"/>
                <w:color w:val="auto"/>
              </w:rPr>
            </w:pPr>
          </w:p>
        </w:tc>
        <w:tc>
          <w:tcPr>
            <w:tcW w:w="640" w:type="dxa"/>
            <w:vAlign w:val="bottom"/>
            <w:vMerge w:val="continue"/>
            <w:shd w:val="clear" w:color="auto" w:fill="D9D9D9"/>
          </w:tcPr>
          <w:p>
            <w:pPr>
              <w:spacing w:after="0"/>
              <w:rPr>
                <w:sz w:val="17"/>
                <w:szCs w:val="17"/>
                <w:color w:val="auto"/>
              </w:rPr>
            </w:pPr>
          </w:p>
        </w:tc>
        <w:tc>
          <w:tcPr>
            <w:tcW w:w="760" w:type="dxa"/>
            <w:vAlign w:val="bottom"/>
            <w:vMerge w:val="continue"/>
            <w:shd w:val="clear" w:color="auto" w:fill="D9D9D9"/>
          </w:tcPr>
          <w:p>
            <w:pPr>
              <w:spacing w:after="0"/>
              <w:rPr>
                <w:sz w:val="17"/>
                <w:szCs w:val="17"/>
                <w:color w:val="auto"/>
              </w:rPr>
            </w:pPr>
          </w:p>
        </w:tc>
        <w:tc>
          <w:tcPr>
            <w:tcW w:w="800" w:type="dxa"/>
            <w:vAlign w:val="bottom"/>
            <w:shd w:val="clear" w:color="auto" w:fill="D9D9D9"/>
          </w:tcPr>
          <w:p>
            <w:pPr>
              <w:spacing w:after="0"/>
              <w:rPr>
                <w:sz w:val="17"/>
                <w:szCs w:val="17"/>
                <w:color w:val="auto"/>
              </w:rPr>
            </w:pPr>
          </w:p>
        </w:tc>
        <w:tc>
          <w:tcPr>
            <w:tcW w:w="920" w:type="dxa"/>
            <w:vAlign w:val="bottom"/>
            <w:tcBorders>
              <w:right w:val="single" w:sz="8" w:color="auto"/>
            </w:tcBorders>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5380" w:type="dxa"/>
            <w:vAlign w:val="bottom"/>
            <w:tcBorders>
              <w:bottom w:val="single" w:sz="8" w:color="D9D9D9"/>
            </w:tcBorders>
            <w:shd w:val="clear" w:color="auto" w:fill="D9D9D9"/>
          </w:tcPr>
          <w:p>
            <w:pPr>
              <w:ind w:left="80"/>
              <w:spacing w:after="0"/>
              <w:rPr>
                <w:sz w:val="20"/>
                <w:szCs w:val="20"/>
                <w:color w:val="auto"/>
              </w:rPr>
            </w:pPr>
            <w:r>
              <w:rPr>
                <w:rFonts w:ascii="Arial" w:cs="Arial" w:eastAsia="Arial" w:hAnsi="Arial"/>
                <w:sz w:val="17"/>
                <w:szCs w:val="17"/>
                <w:i w:val="1"/>
                <w:iCs w:val="1"/>
                <w:color w:val="auto"/>
              </w:rPr>
              <w:t>Region</w:t>
            </w:r>
          </w:p>
        </w:tc>
        <w:tc>
          <w:tcPr>
            <w:tcW w:w="640" w:type="dxa"/>
            <w:vAlign w:val="bottom"/>
            <w:tcBorders>
              <w:bottom w:val="single" w:sz="8" w:color="D9D9D9"/>
            </w:tcBorders>
            <w:shd w:val="clear" w:color="auto" w:fill="D9D9D9"/>
          </w:tcPr>
          <w:p>
            <w:pPr>
              <w:spacing w:after="0"/>
              <w:rPr>
                <w:sz w:val="20"/>
                <w:szCs w:val="20"/>
                <w:color w:val="auto"/>
              </w:rPr>
            </w:pPr>
          </w:p>
        </w:tc>
        <w:tc>
          <w:tcPr>
            <w:tcW w:w="900" w:type="dxa"/>
            <w:vAlign w:val="bottom"/>
            <w:tcBorders>
              <w:bottom w:val="single" w:sz="8" w:color="D9D9D9"/>
            </w:tcBorders>
            <w:shd w:val="clear" w:color="auto" w:fill="D9D9D9"/>
          </w:tcPr>
          <w:p>
            <w:pPr>
              <w:spacing w:after="0"/>
              <w:rPr>
                <w:sz w:val="20"/>
                <w:szCs w:val="20"/>
                <w:color w:val="auto"/>
              </w:rPr>
            </w:pPr>
          </w:p>
        </w:tc>
        <w:tc>
          <w:tcPr>
            <w:tcW w:w="1200" w:type="dxa"/>
            <w:vAlign w:val="bottom"/>
            <w:tcBorders>
              <w:bottom w:val="single" w:sz="8" w:color="D9D9D9"/>
            </w:tcBorders>
            <w:shd w:val="clear" w:color="auto" w:fill="D9D9D9"/>
          </w:tcPr>
          <w:p>
            <w:pPr>
              <w:spacing w:after="0"/>
              <w:rPr>
                <w:sz w:val="20"/>
                <w:szCs w:val="20"/>
                <w:color w:val="auto"/>
              </w:rPr>
            </w:pPr>
          </w:p>
        </w:tc>
        <w:tc>
          <w:tcPr>
            <w:tcW w:w="640" w:type="dxa"/>
            <w:vAlign w:val="bottom"/>
            <w:tcBorders>
              <w:bottom w:val="single" w:sz="8" w:color="D9D9D9"/>
            </w:tcBorders>
            <w:shd w:val="clear" w:color="auto" w:fill="D9D9D9"/>
          </w:tcPr>
          <w:p>
            <w:pPr>
              <w:spacing w:after="0"/>
              <w:rPr>
                <w:sz w:val="20"/>
                <w:szCs w:val="20"/>
                <w:color w:val="auto"/>
              </w:rPr>
            </w:pPr>
          </w:p>
        </w:tc>
        <w:tc>
          <w:tcPr>
            <w:tcW w:w="760" w:type="dxa"/>
            <w:vAlign w:val="bottom"/>
            <w:tcBorders>
              <w:bottom w:val="single" w:sz="8" w:color="D9D9D9"/>
            </w:tcBorders>
            <w:shd w:val="clear" w:color="auto" w:fill="D9D9D9"/>
          </w:tcPr>
          <w:p>
            <w:pPr>
              <w:spacing w:after="0"/>
              <w:rPr>
                <w:sz w:val="20"/>
                <w:szCs w:val="20"/>
                <w:color w:val="auto"/>
              </w:rPr>
            </w:pPr>
          </w:p>
        </w:tc>
        <w:tc>
          <w:tcPr>
            <w:tcW w:w="800" w:type="dxa"/>
            <w:vAlign w:val="bottom"/>
            <w:tcBorders>
              <w:bottom w:val="single" w:sz="8" w:color="D9D9D9"/>
            </w:tcBorders>
            <w:shd w:val="clear" w:color="auto" w:fill="D9D9D9"/>
          </w:tcPr>
          <w:p>
            <w:pPr>
              <w:spacing w:after="0"/>
              <w:rPr>
                <w:sz w:val="20"/>
                <w:szCs w:val="20"/>
                <w:color w:val="auto"/>
              </w:rPr>
            </w:pPr>
          </w:p>
        </w:tc>
        <w:tc>
          <w:tcPr>
            <w:tcW w:w="920" w:type="dxa"/>
            <w:vAlign w:val="bottom"/>
            <w:tcBorders>
              <w:bottom w:val="single" w:sz="8" w:color="D9D9D9"/>
              <w:right w:val="single" w:sz="8" w:color="auto"/>
            </w:tcBorders>
            <w:shd w:val="clear" w:color="auto" w:fill="D9D9D9"/>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0" w:type="dxa"/>
            <w:vAlign w:val="bottom"/>
            <w:tcBorders>
              <w:right w:val="single" w:sz="8" w:color="auto"/>
            </w:tcBorders>
            <w:shd w:val="clear" w:color="auto" w:fill="000000"/>
          </w:tcPr>
          <w:p>
            <w:pPr>
              <w:spacing w:after="0"/>
              <w:rPr>
                <w:sz w:val="20"/>
                <w:szCs w:val="20"/>
                <w:color w:val="auto"/>
              </w:rPr>
            </w:pPr>
          </w:p>
        </w:tc>
        <w:tc>
          <w:tcPr>
            <w:tcW w:w="5380" w:type="dxa"/>
            <w:vAlign w:val="bottom"/>
          </w:tcPr>
          <w:p>
            <w:pPr>
              <w:ind w:left="80"/>
              <w:spacing w:after="0"/>
              <w:rPr>
                <w:sz w:val="20"/>
                <w:szCs w:val="20"/>
                <w:color w:val="auto"/>
              </w:rPr>
            </w:pPr>
            <w:r>
              <w:rPr>
                <w:rFonts w:ascii="Arial" w:cs="Arial" w:eastAsia="Arial" w:hAnsi="Arial"/>
                <w:sz w:val="17"/>
                <w:szCs w:val="17"/>
                <w:b w:val="1"/>
                <w:bCs w:val="1"/>
                <w:color w:val="auto"/>
              </w:rPr>
              <w:t>B. Craig Owens</w:t>
            </w:r>
          </w:p>
        </w:tc>
        <w:tc>
          <w:tcPr>
            <w:tcW w:w="6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0" w:type="dxa"/>
            <w:vAlign w:val="bottom"/>
            <w:tcBorders>
              <w:right w:val="single" w:sz="8" w:color="auto"/>
            </w:tcBorders>
            <w:shd w:val="clear" w:color="auto" w:fill="000000"/>
          </w:tcPr>
          <w:p>
            <w:pPr>
              <w:spacing w:after="0"/>
              <w:rPr>
                <w:sz w:val="17"/>
                <w:szCs w:val="17"/>
                <w:color w:val="auto"/>
              </w:rPr>
            </w:pPr>
          </w:p>
        </w:tc>
        <w:tc>
          <w:tcPr>
            <w:tcW w:w="5380" w:type="dxa"/>
            <w:vAlign w:val="bottom"/>
          </w:tcPr>
          <w:p>
            <w:pPr>
              <w:ind w:left="80"/>
              <w:spacing w:after="0"/>
              <w:rPr>
                <w:sz w:val="20"/>
                <w:szCs w:val="20"/>
                <w:color w:val="auto"/>
              </w:rPr>
            </w:pPr>
            <w:r>
              <w:rPr>
                <w:rFonts w:ascii="Arial" w:cs="Arial" w:eastAsia="Arial" w:hAnsi="Arial"/>
                <w:sz w:val="17"/>
                <w:szCs w:val="17"/>
                <w:i w:val="1"/>
                <w:iCs w:val="1"/>
                <w:color w:val="auto"/>
                <w:w w:val="93"/>
              </w:rPr>
              <w:t>Former Chief Financial Officer and Chief Administrative Officer of Campbell</w:t>
            </w:r>
          </w:p>
        </w:tc>
        <w:tc>
          <w:tcPr>
            <w:tcW w:w="640" w:type="dxa"/>
            <w:vAlign w:val="bottom"/>
          </w:tcPr>
          <w:p>
            <w:pPr>
              <w:jc w:val="center"/>
              <w:spacing w:after="0"/>
              <w:rPr>
                <w:sz w:val="20"/>
                <w:szCs w:val="20"/>
                <w:color w:val="auto"/>
              </w:rPr>
            </w:pPr>
            <w:r>
              <w:rPr>
                <w:rFonts w:ascii="Arial" w:cs="Arial" w:eastAsia="Arial" w:hAnsi="Arial"/>
                <w:sz w:val="17"/>
                <w:szCs w:val="17"/>
                <w:color w:val="auto"/>
                <w:w w:val="94"/>
              </w:rPr>
              <w:t>65</w:t>
            </w:r>
          </w:p>
        </w:tc>
        <w:tc>
          <w:tcPr>
            <w:tcW w:w="900" w:type="dxa"/>
            <w:vAlign w:val="bottom"/>
          </w:tcPr>
          <w:p>
            <w:pPr>
              <w:jc w:val="center"/>
              <w:spacing w:after="0"/>
              <w:rPr>
                <w:sz w:val="20"/>
                <w:szCs w:val="20"/>
                <w:color w:val="auto"/>
              </w:rPr>
            </w:pPr>
            <w:r>
              <w:rPr>
                <w:rFonts w:ascii="Arial" w:cs="Arial" w:eastAsia="Arial" w:hAnsi="Arial"/>
                <w:sz w:val="17"/>
                <w:szCs w:val="17"/>
                <w:color w:val="auto"/>
                <w:w w:val="89"/>
              </w:rPr>
              <w:t>2019</w:t>
            </w:r>
          </w:p>
        </w:tc>
        <w:tc>
          <w:tcPr>
            <w:tcW w:w="1200" w:type="dxa"/>
            <w:vAlign w:val="bottom"/>
          </w:tcPr>
          <w:p>
            <w:pPr>
              <w:jc w:val="center"/>
              <w:spacing w:after="0"/>
              <w:rPr>
                <w:sz w:val="20"/>
                <w:szCs w:val="20"/>
                <w:color w:val="auto"/>
              </w:rPr>
            </w:pPr>
            <w:r>
              <w:rPr>
                <w:rFonts w:ascii="Arial" w:cs="Arial" w:eastAsia="Arial" w:hAnsi="Arial"/>
                <w:sz w:val="17"/>
                <w:szCs w:val="17"/>
                <w:color w:val="auto"/>
                <w:w w:val="81"/>
              </w:rPr>
              <w:t>Yes</w:t>
            </w:r>
          </w:p>
        </w:tc>
        <w:tc>
          <w:tcPr>
            <w:tcW w:w="6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0" w:type="dxa"/>
            <w:vAlign w:val="bottom"/>
            <w:tcBorders>
              <w:right w:val="single" w:sz="8" w:color="auto"/>
            </w:tcBorders>
            <w:shd w:val="clear" w:color="auto" w:fill="000000"/>
          </w:tcPr>
          <w:p>
            <w:pPr>
              <w:spacing w:after="0"/>
              <w:rPr>
                <w:sz w:val="18"/>
                <w:szCs w:val="18"/>
                <w:color w:val="auto"/>
              </w:rPr>
            </w:pPr>
          </w:p>
        </w:tc>
        <w:tc>
          <w:tcPr>
            <w:tcW w:w="5380" w:type="dxa"/>
            <w:vAlign w:val="bottom"/>
          </w:tcPr>
          <w:p>
            <w:pPr>
              <w:ind w:left="80"/>
              <w:spacing w:after="0"/>
              <w:rPr>
                <w:sz w:val="20"/>
                <w:szCs w:val="20"/>
                <w:color w:val="auto"/>
              </w:rPr>
            </w:pPr>
            <w:r>
              <w:rPr>
                <w:rFonts w:ascii="Arial" w:cs="Arial" w:eastAsia="Arial" w:hAnsi="Arial"/>
                <w:sz w:val="17"/>
                <w:szCs w:val="17"/>
                <w:i w:val="1"/>
                <w:iCs w:val="1"/>
                <w:color w:val="auto"/>
              </w:rPr>
              <w:t>Soup Company</w:t>
            </w:r>
          </w:p>
        </w:tc>
        <w:tc>
          <w:tcPr>
            <w:tcW w:w="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1"/>
        </w:trPr>
        <w:tc>
          <w:tcPr>
            <w:tcW w:w="40" w:type="dxa"/>
            <w:vAlign w:val="bottom"/>
            <w:tcBorders>
              <w:right w:val="single" w:sz="8" w:color="auto"/>
            </w:tcBorders>
            <w:shd w:val="clear" w:color="auto" w:fill="000000"/>
          </w:tcPr>
          <w:p>
            <w:pPr>
              <w:spacing w:after="0"/>
              <w:rPr>
                <w:sz w:val="4"/>
                <w:szCs w:val="4"/>
                <w:color w:val="auto"/>
              </w:rPr>
            </w:pPr>
          </w:p>
        </w:tc>
        <w:tc>
          <w:tcPr>
            <w:tcW w:w="5380" w:type="dxa"/>
            <w:vAlign w:val="bottom"/>
          </w:tcPr>
          <w:p>
            <w:pPr>
              <w:spacing w:after="0"/>
              <w:rPr>
                <w:sz w:val="4"/>
                <w:szCs w:val="4"/>
                <w:color w:val="auto"/>
              </w:rPr>
            </w:pPr>
          </w:p>
        </w:tc>
        <w:tc>
          <w:tcPr>
            <w:tcW w:w="6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0" w:type="dxa"/>
            <w:vAlign w:val="bottom"/>
          </w:tcPr>
          <w:p>
            <w:pPr>
              <w:spacing w:after="0"/>
              <w:rPr>
                <w:sz w:val="4"/>
                <w:szCs w:val="4"/>
                <w:color w:val="auto"/>
              </w:rPr>
            </w:pPr>
          </w:p>
        </w:tc>
        <w:tc>
          <w:tcPr>
            <w:tcW w:w="9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22"/>
        </w:trPr>
        <w:tc>
          <w:tcPr>
            <w:tcW w:w="40" w:type="dxa"/>
            <w:vAlign w:val="bottom"/>
            <w:tcBorders>
              <w:right w:val="single" w:sz="8" w:color="auto"/>
            </w:tcBorders>
            <w:shd w:val="clear" w:color="auto" w:fill="000000"/>
          </w:tcPr>
          <w:p>
            <w:pPr>
              <w:spacing w:after="0"/>
              <w:rPr>
                <w:sz w:val="24"/>
                <w:szCs w:val="24"/>
                <w:color w:val="auto"/>
              </w:rPr>
            </w:pPr>
          </w:p>
        </w:tc>
        <w:tc>
          <w:tcPr>
            <w:tcW w:w="5380" w:type="dxa"/>
            <w:vAlign w:val="bottom"/>
            <w:shd w:val="clear" w:color="auto" w:fill="D9D9D9"/>
          </w:tcPr>
          <w:p>
            <w:pPr>
              <w:ind w:left="80"/>
              <w:spacing w:after="0"/>
              <w:rPr>
                <w:sz w:val="20"/>
                <w:szCs w:val="20"/>
                <w:color w:val="auto"/>
              </w:rPr>
            </w:pPr>
            <w:r>
              <w:rPr>
                <w:rFonts w:ascii="Arial" w:cs="Arial" w:eastAsia="Arial" w:hAnsi="Arial"/>
                <w:sz w:val="17"/>
                <w:szCs w:val="17"/>
                <w:b w:val="1"/>
                <w:bCs w:val="1"/>
                <w:color w:val="auto"/>
              </w:rPr>
              <w:t>Caesar F. Sweitzer</w:t>
            </w:r>
          </w:p>
        </w:tc>
        <w:tc>
          <w:tcPr>
            <w:tcW w:w="640" w:type="dxa"/>
            <w:vAlign w:val="bottom"/>
            <w:shd w:val="clear" w:color="auto" w:fill="D9D9D9"/>
          </w:tcPr>
          <w:p>
            <w:pPr>
              <w:jc w:val="center"/>
              <w:spacing w:after="0"/>
              <w:rPr>
                <w:sz w:val="20"/>
                <w:szCs w:val="20"/>
                <w:color w:val="auto"/>
              </w:rPr>
            </w:pPr>
            <w:r>
              <w:rPr>
                <w:rFonts w:ascii="Arial" w:cs="Arial" w:eastAsia="Arial" w:hAnsi="Arial"/>
                <w:sz w:val="17"/>
                <w:szCs w:val="17"/>
                <w:color w:val="auto"/>
                <w:w w:val="94"/>
              </w:rPr>
              <w:t>69</w:t>
            </w:r>
          </w:p>
        </w:tc>
        <w:tc>
          <w:tcPr>
            <w:tcW w:w="900" w:type="dxa"/>
            <w:vAlign w:val="bottom"/>
            <w:shd w:val="clear" w:color="auto" w:fill="D9D9D9"/>
          </w:tcPr>
          <w:p>
            <w:pPr>
              <w:jc w:val="center"/>
              <w:spacing w:after="0"/>
              <w:rPr>
                <w:sz w:val="20"/>
                <w:szCs w:val="20"/>
                <w:color w:val="auto"/>
              </w:rPr>
            </w:pPr>
            <w:r>
              <w:rPr>
                <w:rFonts w:ascii="Arial" w:cs="Arial" w:eastAsia="Arial" w:hAnsi="Arial"/>
                <w:sz w:val="17"/>
                <w:szCs w:val="17"/>
                <w:color w:val="auto"/>
                <w:w w:val="89"/>
              </w:rPr>
              <w:t>2014</w:t>
            </w:r>
          </w:p>
        </w:tc>
        <w:tc>
          <w:tcPr>
            <w:tcW w:w="1200" w:type="dxa"/>
            <w:vAlign w:val="bottom"/>
            <w:shd w:val="clear" w:color="auto" w:fill="D9D9D9"/>
          </w:tcPr>
          <w:p>
            <w:pPr>
              <w:jc w:val="center"/>
              <w:spacing w:after="0"/>
              <w:rPr>
                <w:sz w:val="20"/>
                <w:szCs w:val="20"/>
                <w:color w:val="auto"/>
              </w:rPr>
            </w:pPr>
            <w:r>
              <w:rPr>
                <w:rFonts w:ascii="Arial" w:cs="Arial" w:eastAsia="Arial" w:hAnsi="Arial"/>
                <w:sz w:val="17"/>
                <w:szCs w:val="17"/>
                <w:color w:val="auto"/>
                <w:w w:val="81"/>
              </w:rPr>
              <w:t>Yes</w:t>
            </w:r>
          </w:p>
        </w:tc>
        <w:tc>
          <w:tcPr>
            <w:tcW w:w="640" w:type="dxa"/>
            <w:vAlign w:val="bottom"/>
            <w:shd w:val="clear" w:color="auto" w:fill="D9D9D9"/>
          </w:tcPr>
          <w:p>
            <w:pPr>
              <w:jc w:val="center"/>
              <w:spacing w:after="0"/>
              <w:rPr>
                <w:sz w:val="20"/>
                <w:szCs w:val="20"/>
                <w:color w:val="auto"/>
              </w:rPr>
            </w:pPr>
            <w:r>
              <w:rPr>
                <w:rFonts w:ascii="Arial" w:cs="Arial" w:eastAsia="Arial" w:hAnsi="Arial"/>
                <w:sz w:val="17"/>
                <w:szCs w:val="17"/>
                <w:b w:val="1"/>
                <w:bCs w:val="1"/>
                <w:color w:val="29650B"/>
                <w:w w:val="91"/>
              </w:rPr>
              <w:t>Chair</w:t>
            </w:r>
          </w:p>
        </w:tc>
        <w:tc>
          <w:tcPr>
            <w:tcW w:w="760" w:type="dxa"/>
            <w:vAlign w:val="bottom"/>
            <w:shd w:val="clear" w:color="auto" w:fill="D9D9D9"/>
          </w:tcPr>
          <w:p>
            <w:pPr>
              <w:spacing w:after="0"/>
              <w:rPr>
                <w:sz w:val="24"/>
                <w:szCs w:val="24"/>
                <w:color w:val="auto"/>
              </w:rPr>
            </w:pPr>
          </w:p>
        </w:tc>
        <w:tc>
          <w:tcPr>
            <w:tcW w:w="800" w:type="dxa"/>
            <w:vAlign w:val="bottom"/>
            <w:shd w:val="clear" w:color="auto" w:fill="D9D9D9"/>
          </w:tcPr>
          <w:p>
            <w:pPr>
              <w:jc w:val="center"/>
              <w:ind w:right="17"/>
              <w:spacing w:after="0" w:line="171" w:lineRule="exact"/>
              <w:rPr>
                <w:sz w:val="20"/>
                <w:szCs w:val="20"/>
                <w:color w:val="auto"/>
              </w:rPr>
            </w:pPr>
            <w:r>
              <w:rPr>
                <w:rFonts w:ascii="MS PGothic" w:cs="MS PGothic" w:eastAsia="MS PGothic" w:hAnsi="MS PGothic"/>
                <w:sz w:val="17"/>
                <w:szCs w:val="17"/>
                <w:color w:val="auto"/>
                <w:w w:val="82"/>
                <w:shd w:val="clear" w:color="auto" w:fill="29650B"/>
              </w:rPr>
              <w:t>✓</w:t>
            </w:r>
          </w:p>
        </w:tc>
        <w:tc>
          <w:tcPr>
            <w:tcW w:w="920" w:type="dxa"/>
            <w:vAlign w:val="bottom"/>
            <w:tcBorders>
              <w:right w:val="single" w:sz="8" w:color="auto"/>
            </w:tcBorders>
            <w:shd w:val="clear" w:color="auto" w:fill="D9D9D9"/>
          </w:tcPr>
          <w:p>
            <w:pPr>
              <w:jc w:val="center"/>
              <w:spacing w:after="0" w:line="171" w:lineRule="exact"/>
              <w:rPr>
                <w:sz w:val="20"/>
                <w:szCs w:val="20"/>
                <w:color w:val="auto"/>
              </w:rPr>
            </w:pPr>
            <w:r>
              <w:rPr>
                <w:rFonts w:ascii="MS PGothic" w:cs="MS PGothic" w:eastAsia="MS PGothic" w:hAnsi="MS PGothic"/>
                <w:sz w:val="17"/>
                <w:szCs w:val="17"/>
                <w:color w:val="auto"/>
                <w:w w:val="82"/>
                <w:shd w:val="clear" w:color="auto" w:fill="29650B"/>
              </w:rPr>
              <w:t>✓</w:t>
            </w:r>
          </w:p>
        </w:tc>
        <w:tc>
          <w:tcPr>
            <w:tcW w:w="0" w:type="dxa"/>
            <w:vAlign w:val="bottom"/>
          </w:tcPr>
          <w:p>
            <w:pPr>
              <w:spacing w:after="0"/>
              <w:rPr>
                <w:sz w:val="1"/>
                <w:szCs w:val="1"/>
                <w:color w:val="auto"/>
              </w:rPr>
            </w:pPr>
          </w:p>
        </w:tc>
      </w:tr>
      <w:tr>
        <w:trPr>
          <w:trHeight w:val="223"/>
        </w:trPr>
        <w:tc>
          <w:tcPr>
            <w:tcW w:w="40" w:type="dxa"/>
            <w:vAlign w:val="bottom"/>
            <w:tcBorders>
              <w:right w:val="single" w:sz="8" w:color="auto"/>
            </w:tcBorders>
            <w:shd w:val="clear" w:color="auto" w:fill="000000"/>
          </w:tcPr>
          <w:p>
            <w:pPr>
              <w:spacing w:after="0"/>
              <w:rPr>
                <w:sz w:val="19"/>
                <w:szCs w:val="19"/>
                <w:color w:val="auto"/>
              </w:rPr>
            </w:pPr>
          </w:p>
        </w:tc>
        <w:tc>
          <w:tcPr>
            <w:tcW w:w="5380" w:type="dxa"/>
            <w:vAlign w:val="bottom"/>
            <w:shd w:val="clear" w:color="auto" w:fill="D9D9D9"/>
          </w:tcPr>
          <w:p>
            <w:pPr>
              <w:ind w:left="80"/>
              <w:spacing w:after="0"/>
              <w:rPr>
                <w:sz w:val="20"/>
                <w:szCs w:val="20"/>
                <w:color w:val="auto"/>
              </w:rPr>
            </w:pPr>
            <w:r>
              <w:rPr>
                <w:rFonts w:ascii="Arial" w:cs="Arial" w:eastAsia="Arial" w:hAnsi="Arial"/>
                <w:sz w:val="17"/>
                <w:szCs w:val="17"/>
                <w:i w:val="1"/>
                <w:iCs w:val="1"/>
                <w:color w:val="auto"/>
                <w:w w:val="94"/>
              </w:rPr>
              <w:t>Former Senior Advisor and Managing Director of Citigroup Global Markets</w:t>
            </w:r>
          </w:p>
        </w:tc>
        <w:tc>
          <w:tcPr>
            <w:tcW w:w="640" w:type="dxa"/>
            <w:vAlign w:val="bottom"/>
            <w:shd w:val="clear" w:color="auto" w:fill="D9D9D9"/>
          </w:tcPr>
          <w:p>
            <w:pPr>
              <w:spacing w:after="0"/>
              <w:rPr>
                <w:sz w:val="19"/>
                <w:szCs w:val="19"/>
                <w:color w:val="auto"/>
              </w:rPr>
            </w:pPr>
          </w:p>
        </w:tc>
        <w:tc>
          <w:tcPr>
            <w:tcW w:w="900" w:type="dxa"/>
            <w:vAlign w:val="bottom"/>
            <w:shd w:val="clear" w:color="auto" w:fill="D9D9D9"/>
          </w:tcPr>
          <w:p>
            <w:pPr>
              <w:spacing w:after="0"/>
              <w:rPr>
                <w:sz w:val="19"/>
                <w:szCs w:val="19"/>
                <w:color w:val="auto"/>
              </w:rPr>
            </w:pPr>
          </w:p>
        </w:tc>
        <w:tc>
          <w:tcPr>
            <w:tcW w:w="1200" w:type="dxa"/>
            <w:vAlign w:val="bottom"/>
            <w:shd w:val="clear" w:color="auto" w:fill="D9D9D9"/>
          </w:tcPr>
          <w:p>
            <w:pPr>
              <w:spacing w:after="0"/>
              <w:rPr>
                <w:sz w:val="19"/>
                <w:szCs w:val="19"/>
                <w:color w:val="auto"/>
              </w:rPr>
            </w:pPr>
          </w:p>
        </w:tc>
        <w:tc>
          <w:tcPr>
            <w:tcW w:w="640" w:type="dxa"/>
            <w:vAlign w:val="bottom"/>
            <w:shd w:val="clear" w:color="auto" w:fill="D9D9D9"/>
          </w:tcPr>
          <w:p>
            <w:pPr>
              <w:spacing w:after="0"/>
              <w:rPr>
                <w:sz w:val="19"/>
                <w:szCs w:val="19"/>
                <w:color w:val="auto"/>
              </w:rPr>
            </w:pPr>
          </w:p>
        </w:tc>
        <w:tc>
          <w:tcPr>
            <w:tcW w:w="760" w:type="dxa"/>
            <w:vAlign w:val="bottom"/>
            <w:shd w:val="clear" w:color="auto" w:fill="D9D9D9"/>
          </w:tcPr>
          <w:p>
            <w:pPr>
              <w:spacing w:after="0"/>
              <w:rPr>
                <w:sz w:val="19"/>
                <w:szCs w:val="19"/>
                <w:color w:val="auto"/>
              </w:rPr>
            </w:pPr>
          </w:p>
        </w:tc>
        <w:tc>
          <w:tcPr>
            <w:tcW w:w="800" w:type="dxa"/>
            <w:vAlign w:val="bottom"/>
            <w:shd w:val="clear" w:color="auto" w:fill="D9D9D9"/>
          </w:tcPr>
          <w:p>
            <w:pPr>
              <w:spacing w:after="0"/>
              <w:rPr>
                <w:sz w:val="19"/>
                <w:szCs w:val="19"/>
                <w:color w:val="auto"/>
              </w:rPr>
            </w:pPr>
          </w:p>
        </w:tc>
        <w:tc>
          <w:tcPr>
            <w:tcW w:w="920" w:type="dxa"/>
            <w:vAlign w:val="bottom"/>
            <w:tcBorders>
              <w:right w:val="single" w:sz="8" w:color="auto"/>
            </w:tcBorders>
            <w:shd w:val="clear" w:color="auto" w:fill="D9D9D9"/>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40" w:type="dxa"/>
            <w:vAlign w:val="bottom"/>
            <w:tcBorders>
              <w:right w:val="single" w:sz="8" w:color="auto"/>
            </w:tcBorders>
            <w:shd w:val="clear" w:color="auto" w:fill="000000"/>
          </w:tcPr>
          <w:p>
            <w:pPr>
              <w:spacing w:after="0"/>
              <w:rPr>
                <w:sz w:val="24"/>
                <w:szCs w:val="24"/>
                <w:color w:val="auto"/>
              </w:rPr>
            </w:pPr>
          </w:p>
        </w:tc>
        <w:tc>
          <w:tcPr>
            <w:tcW w:w="5380" w:type="dxa"/>
            <w:vAlign w:val="bottom"/>
          </w:tcPr>
          <w:p>
            <w:pPr>
              <w:ind w:left="80"/>
              <w:spacing w:after="0"/>
              <w:rPr>
                <w:sz w:val="20"/>
                <w:szCs w:val="20"/>
                <w:color w:val="auto"/>
              </w:rPr>
            </w:pPr>
            <w:r>
              <w:rPr>
                <w:rFonts w:ascii="Arial" w:cs="Arial" w:eastAsia="Arial" w:hAnsi="Arial"/>
                <w:sz w:val="17"/>
                <w:szCs w:val="17"/>
                <w:b w:val="1"/>
                <w:bCs w:val="1"/>
                <w:color w:val="auto"/>
              </w:rPr>
              <w:t>Jim L. Turner</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auto"/>
                <w:w w:val="94"/>
              </w:rPr>
              <w:t>74</w:t>
            </w:r>
          </w:p>
        </w:tc>
        <w:tc>
          <w:tcPr>
            <w:tcW w:w="900" w:type="dxa"/>
            <w:vAlign w:val="bottom"/>
            <w:vMerge w:val="restart"/>
          </w:tcPr>
          <w:p>
            <w:pPr>
              <w:jc w:val="center"/>
              <w:spacing w:after="0"/>
              <w:rPr>
                <w:sz w:val="20"/>
                <w:szCs w:val="20"/>
                <w:color w:val="auto"/>
              </w:rPr>
            </w:pPr>
            <w:r>
              <w:rPr>
                <w:rFonts w:ascii="Arial" w:cs="Arial" w:eastAsia="Arial" w:hAnsi="Arial"/>
                <w:sz w:val="17"/>
                <w:szCs w:val="17"/>
                <w:color w:val="auto"/>
                <w:w w:val="89"/>
              </w:rPr>
              <w:t>2005</w:t>
            </w:r>
          </w:p>
        </w:tc>
        <w:tc>
          <w:tcPr>
            <w:tcW w:w="1200" w:type="dxa"/>
            <w:vAlign w:val="bottom"/>
            <w:vMerge w:val="restart"/>
          </w:tcPr>
          <w:p>
            <w:pPr>
              <w:jc w:val="center"/>
              <w:spacing w:after="0"/>
              <w:rPr>
                <w:sz w:val="20"/>
                <w:szCs w:val="20"/>
                <w:color w:val="auto"/>
              </w:rPr>
            </w:pPr>
            <w:r>
              <w:rPr>
                <w:rFonts w:ascii="Arial" w:cs="Arial" w:eastAsia="Arial" w:hAnsi="Arial"/>
                <w:sz w:val="17"/>
                <w:szCs w:val="17"/>
                <w:color w:val="auto"/>
                <w:w w:val="81"/>
              </w:rPr>
              <w:t>Yes</w:t>
            </w:r>
          </w:p>
        </w:tc>
        <w:tc>
          <w:tcPr>
            <w:tcW w:w="640" w:type="dxa"/>
            <w:vAlign w:val="bottom"/>
          </w:tcPr>
          <w:p>
            <w:pPr>
              <w:spacing w:after="0"/>
              <w:rPr>
                <w:sz w:val="24"/>
                <w:szCs w:val="24"/>
                <w:color w:val="auto"/>
              </w:rPr>
            </w:pPr>
          </w:p>
        </w:tc>
        <w:tc>
          <w:tcPr>
            <w:tcW w:w="760" w:type="dxa"/>
            <w:vAlign w:val="bottom"/>
            <w:vMerge w:val="restart"/>
          </w:tcPr>
          <w:p>
            <w:pPr>
              <w:jc w:val="center"/>
              <w:spacing w:after="0"/>
              <w:rPr>
                <w:sz w:val="20"/>
                <w:szCs w:val="20"/>
                <w:color w:val="auto"/>
              </w:rPr>
            </w:pPr>
            <w:r>
              <w:rPr>
                <w:rFonts w:ascii="Arial" w:cs="Arial" w:eastAsia="Arial" w:hAnsi="Arial"/>
                <w:sz w:val="17"/>
                <w:szCs w:val="17"/>
                <w:b w:val="1"/>
                <w:bCs w:val="1"/>
                <w:color w:val="29650B"/>
                <w:w w:val="96"/>
              </w:rPr>
              <w:t>Chair</w:t>
            </w:r>
          </w:p>
        </w:tc>
        <w:tc>
          <w:tcPr>
            <w:tcW w:w="800" w:type="dxa"/>
            <w:vAlign w:val="bottom"/>
            <w:vMerge w:val="restart"/>
          </w:tcPr>
          <w:p>
            <w:pPr>
              <w:jc w:val="center"/>
              <w:ind w:right="17"/>
              <w:spacing w:after="0" w:line="171" w:lineRule="exact"/>
              <w:rPr>
                <w:sz w:val="20"/>
                <w:szCs w:val="20"/>
                <w:color w:val="auto"/>
              </w:rPr>
            </w:pPr>
            <w:r>
              <w:rPr>
                <w:rFonts w:ascii="MS PGothic" w:cs="MS PGothic" w:eastAsia="MS PGothic" w:hAnsi="MS PGothic"/>
                <w:sz w:val="17"/>
                <w:szCs w:val="17"/>
                <w:color w:val="auto"/>
                <w:w w:val="82"/>
                <w:shd w:val="clear" w:color="auto" w:fill="29650B"/>
              </w:rPr>
              <w:t>✓</w:t>
            </w:r>
          </w:p>
        </w:tc>
        <w:tc>
          <w:tcPr>
            <w:tcW w:w="920" w:type="dxa"/>
            <w:vAlign w:val="bottom"/>
            <w:tcBorders>
              <w:right w:val="single" w:sz="8" w:color="auto"/>
            </w:tcBorders>
            <w:vMerge w:val="restart"/>
          </w:tcPr>
          <w:p>
            <w:pPr>
              <w:jc w:val="center"/>
              <w:spacing w:after="0" w:line="171" w:lineRule="exact"/>
              <w:rPr>
                <w:sz w:val="20"/>
                <w:szCs w:val="20"/>
                <w:color w:val="auto"/>
              </w:rPr>
            </w:pPr>
            <w:r>
              <w:rPr>
                <w:rFonts w:ascii="MS PGothic" w:cs="MS PGothic" w:eastAsia="MS PGothic" w:hAnsi="MS PGothic"/>
                <w:sz w:val="17"/>
                <w:szCs w:val="17"/>
                <w:color w:val="auto"/>
                <w:w w:val="82"/>
                <w:shd w:val="clear" w:color="auto" w:fill="29650B"/>
              </w:rPr>
              <w:t>✓</w:t>
            </w:r>
          </w:p>
        </w:tc>
        <w:tc>
          <w:tcPr>
            <w:tcW w:w="0" w:type="dxa"/>
            <w:vAlign w:val="bottom"/>
          </w:tcPr>
          <w:p>
            <w:pPr>
              <w:spacing w:after="0"/>
              <w:rPr>
                <w:sz w:val="1"/>
                <w:szCs w:val="1"/>
                <w:color w:val="auto"/>
              </w:rPr>
            </w:pPr>
          </w:p>
        </w:tc>
      </w:tr>
      <w:tr>
        <w:trPr>
          <w:trHeight w:val="198"/>
        </w:trPr>
        <w:tc>
          <w:tcPr>
            <w:tcW w:w="40" w:type="dxa"/>
            <w:vAlign w:val="bottom"/>
            <w:tcBorders>
              <w:right w:val="single" w:sz="8" w:color="auto"/>
            </w:tcBorders>
            <w:shd w:val="clear" w:color="auto" w:fill="000000"/>
          </w:tcPr>
          <w:p>
            <w:pPr>
              <w:spacing w:after="0"/>
              <w:rPr>
                <w:sz w:val="17"/>
                <w:szCs w:val="17"/>
                <w:color w:val="auto"/>
              </w:rPr>
            </w:pPr>
          </w:p>
        </w:tc>
        <w:tc>
          <w:tcPr>
            <w:tcW w:w="5380" w:type="dxa"/>
            <w:vAlign w:val="bottom"/>
          </w:tcPr>
          <w:p>
            <w:pPr>
              <w:ind w:left="80"/>
              <w:spacing w:after="0"/>
              <w:rPr>
                <w:sz w:val="20"/>
                <w:szCs w:val="20"/>
                <w:color w:val="auto"/>
              </w:rPr>
            </w:pPr>
            <w:r>
              <w:rPr>
                <w:rFonts w:ascii="Arial" w:cs="Arial" w:eastAsia="Arial" w:hAnsi="Arial"/>
                <w:sz w:val="17"/>
                <w:szCs w:val="17"/>
                <w:i w:val="1"/>
                <w:iCs w:val="1"/>
                <w:color w:val="auto"/>
                <w:w w:val="93"/>
              </w:rPr>
              <w:t>Chief Executive Officer of JLT Beverages; former Chairman, President and</w:t>
            </w:r>
          </w:p>
        </w:tc>
        <w:tc>
          <w:tcPr>
            <w:tcW w:w="64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64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92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0" w:type="dxa"/>
            <w:vAlign w:val="bottom"/>
            <w:tcBorders>
              <w:right w:val="single" w:sz="8" w:color="auto"/>
            </w:tcBorders>
            <w:shd w:val="clear" w:color="auto" w:fill="000000"/>
          </w:tcPr>
          <w:p>
            <w:pPr>
              <w:spacing w:after="0"/>
              <w:rPr>
                <w:sz w:val="18"/>
                <w:szCs w:val="18"/>
                <w:color w:val="auto"/>
              </w:rPr>
            </w:pPr>
          </w:p>
        </w:tc>
        <w:tc>
          <w:tcPr>
            <w:tcW w:w="5380" w:type="dxa"/>
            <w:vAlign w:val="bottom"/>
          </w:tcPr>
          <w:p>
            <w:pPr>
              <w:ind w:left="80"/>
              <w:spacing w:after="0"/>
              <w:rPr>
                <w:sz w:val="20"/>
                <w:szCs w:val="20"/>
                <w:color w:val="auto"/>
              </w:rPr>
            </w:pPr>
            <w:r>
              <w:rPr>
                <w:rFonts w:ascii="Arial" w:cs="Arial" w:eastAsia="Arial" w:hAnsi="Arial"/>
                <w:sz w:val="17"/>
                <w:szCs w:val="17"/>
                <w:i w:val="1"/>
                <w:iCs w:val="1"/>
                <w:color w:val="auto"/>
              </w:rPr>
              <w:t>Chief Executive Officer of Dr Pepper/Seven Up Bottling Group</w:t>
            </w:r>
          </w:p>
        </w:tc>
        <w:tc>
          <w:tcPr>
            <w:tcW w:w="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6"/>
        </w:trPr>
        <w:tc>
          <w:tcPr>
            <w:tcW w:w="40" w:type="dxa"/>
            <w:vAlign w:val="bottom"/>
            <w:tcBorders>
              <w:right w:val="single" w:sz="8" w:color="auto"/>
            </w:tcBorders>
            <w:shd w:val="clear" w:color="auto" w:fill="000000"/>
          </w:tcPr>
          <w:p>
            <w:pPr>
              <w:spacing w:after="0"/>
              <w:rPr>
                <w:sz w:val="24"/>
                <w:szCs w:val="24"/>
                <w:color w:val="auto"/>
              </w:rPr>
            </w:pPr>
          </w:p>
        </w:tc>
        <w:tc>
          <w:tcPr>
            <w:tcW w:w="5380" w:type="dxa"/>
            <w:vAlign w:val="bottom"/>
            <w:shd w:val="clear" w:color="auto" w:fill="D9D9D9"/>
          </w:tcPr>
          <w:p>
            <w:pPr>
              <w:ind w:left="80"/>
              <w:spacing w:after="0"/>
              <w:rPr>
                <w:sz w:val="20"/>
                <w:szCs w:val="20"/>
                <w:color w:val="auto"/>
              </w:rPr>
            </w:pPr>
            <w:r>
              <w:rPr>
                <w:rFonts w:ascii="Arial" w:cs="Arial" w:eastAsia="Arial" w:hAnsi="Arial"/>
                <w:sz w:val="17"/>
                <w:szCs w:val="17"/>
                <w:b w:val="1"/>
                <w:bCs w:val="1"/>
                <w:color w:val="auto"/>
              </w:rPr>
              <w:t>William S. Urkiel</w:t>
            </w:r>
          </w:p>
        </w:tc>
        <w:tc>
          <w:tcPr>
            <w:tcW w:w="640" w:type="dxa"/>
            <w:vAlign w:val="bottom"/>
            <w:shd w:val="clear" w:color="auto" w:fill="D9D9D9"/>
          </w:tcPr>
          <w:p>
            <w:pPr>
              <w:spacing w:after="0"/>
              <w:rPr>
                <w:sz w:val="24"/>
                <w:szCs w:val="24"/>
                <w:color w:val="auto"/>
              </w:rPr>
            </w:pPr>
          </w:p>
        </w:tc>
        <w:tc>
          <w:tcPr>
            <w:tcW w:w="900" w:type="dxa"/>
            <w:vAlign w:val="bottom"/>
            <w:shd w:val="clear" w:color="auto" w:fill="D9D9D9"/>
          </w:tcPr>
          <w:p>
            <w:pPr>
              <w:spacing w:after="0"/>
              <w:rPr>
                <w:sz w:val="24"/>
                <w:szCs w:val="24"/>
                <w:color w:val="auto"/>
              </w:rPr>
            </w:pPr>
          </w:p>
        </w:tc>
        <w:tc>
          <w:tcPr>
            <w:tcW w:w="1200" w:type="dxa"/>
            <w:vAlign w:val="bottom"/>
            <w:shd w:val="clear" w:color="auto" w:fill="D9D9D9"/>
          </w:tcPr>
          <w:p>
            <w:pPr>
              <w:spacing w:after="0"/>
              <w:rPr>
                <w:sz w:val="24"/>
                <w:szCs w:val="24"/>
                <w:color w:val="auto"/>
              </w:rPr>
            </w:pPr>
          </w:p>
        </w:tc>
        <w:tc>
          <w:tcPr>
            <w:tcW w:w="640" w:type="dxa"/>
            <w:vAlign w:val="bottom"/>
            <w:vMerge w:val="restart"/>
            <w:shd w:val="clear" w:color="auto" w:fill="D9D9D9"/>
          </w:tcPr>
          <w:p>
            <w:pPr>
              <w:jc w:val="center"/>
              <w:ind w:left="17"/>
              <w:spacing w:after="0" w:line="171" w:lineRule="exact"/>
              <w:rPr>
                <w:sz w:val="20"/>
                <w:szCs w:val="20"/>
                <w:color w:val="auto"/>
              </w:rPr>
            </w:pPr>
            <w:r>
              <w:rPr>
                <w:rFonts w:ascii="MS PGothic" w:cs="MS PGothic" w:eastAsia="MS PGothic" w:hAnsi="MS PGothic"/>
                <w:sz w:val="17"/>
                <w:szCs w:val="17"/>
                <w:color w:val="auto"/>
                <w:w w:val="82"/>
                <w:shd w:val="clear" w:color="auto" w:fill="29650B"/>
              </w:rPr>
              <w:t>✓</w:t>
            </w:r>
          </w:p>
        </w:tc>
        <w:tc>
          <w:tcPr>
            <w:tcW w:w="760" w:type="dxa"/>
            <w:vAlign w:val="bottom"/>
            <w:shd w:val="clear" w:color="auto" w:fill="D9D9D9"/>
          </w:tcPr>
          <w:p>
            <w:pPr>
              <w:spacing w:after="0"/>
              <w:rPr>
                <w:sz w:val="24"/>
                <w:szCs w:val="24"/>
                <w:color w:val="auto"/>
              </w:rPr>
            </w:pPr>
          </w:p>
        </w:tc>
        <w:tc>
          <w:tcPr>
            <w:tcW w:w="800" w:type="dxa"/>
            <w:vAlign w:val="bottom"/>
            <w:vMerge w:val="restart"/>
            <w:shd w:val="clear" w:color="auto" w:fill="D9D9D9"/>
          </w:tcPr>
          <w:p>
            <w:pPr>
              <w:jc w:val="center"/>
              <w:ind w:right="17"/>
              <w:spacing w:after="0" w:line="171" w:lineRule="exact"/>
              <w:rPr>
                <w:sz w:val="20"/>
                <w:szCs w:val="20"/>
                <w:color w:val="auto"/>
              </w:rPr>
            </w:pPr>
            <w:r>
              <w:rPr>
                <w:rFonts w:ascii="MS PGothic" w:cs="MS PGothic" w:eastAsia="MS PGothic" w:hAnsi="MS PGothic"/>
                <w:sz w:val="17"/>
                <w:szCs w:val="17"/>
                <w:color w:val="auto"/>
                <w:w w:val="82"/>
                <w:shd w:val="clear" w:color="auto" w:fill="29650B"/>
              </w:rPr>
              <w:t>✓</w:t>
            </w:r>
          </w:p>
        </w:tc>
        <w:tc>
          <w:tcPr>
            <w:tcW w:w="920" w:type="dxa"/>
            <w:vAlign w:val="bottom"/>
            <w:tcBorders>
              <w:right w:val="single" w:sz="8" w:color="auto"/>
            </w:tcBorders>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40" w:type="dxa"/>
            <w:vAlign w:val="bottom"/>
            <w:tcBorders>
              <w:right w:val="single" w:sz="8" w:color="auto"/>
            </w:tcBorders>
            <w:shd w:val="clear" w:color="auto" w:fill="000000"/>
          </w:tcPr>
          <w:p>
            <w:pPr>
              <w:spacing w:after="0"/>
              <w:rPr>
                <w:sz w:val="17"/>
                <w:szCs w:val="17"/>
                <w:color w:val="auto"/>
              </w:rPr>
            </w:pPr>
          </w:p>
        </w:tc>
        <w:tc>
          <w:tcPr>
            <w:tcW w:w="5380" w:type="dxa"/>
            <w:vAlign w:val="bottom"/>
            <w:shd w:val="clear" w:color="auto" w:fill="D9D9D9"/>
          </w:tcPr>
          <w:p>
            <w:pPr>
              <w:ind w:left="80"/>
              <w:spacing w:after="0"/>
              <w:rPr>
                <w:sz w:val="20"/>
                <w:szCs w:val="20"/>
                <w:color w:val="auto"/>
              </w:rPr>
            </w:pPr>
            <w:r>
              <w:rPr>
                <w:rFonts w:ascii="Arial" w:cs="Arial" w:eastAsia="Arial" w:hAnsi="Arial"/>
                <w:sz w:val="17"/>
                <w:szCs w:val="17"/>
                <w:i w:val="1"/>
                <w:iCs w:val="1"/>
                <w:color w:val="auto"/>
                <w:w w:val="97"/>
              </w:rPr>
              <w:t>Former Senior Vice President and Chief Financial Officer of IKON Office</w:t>
            </w:r>
          </w:p>
        </w:tc>
        <w:tc>
          <w:tcPr>
            <w:tcW w:w="640" w:type="dxa"/>
            <w:vAlign w:val="bottom"/>
            <w:shd w:val="clear" w:color="auto" w:fill="D9D9D9"/>
          </w:tcPr>
          <w:p>
            <w:pPr>
              <w:jc w:val="center"/>
              <w:spacing w:after="0"/>
              <w:rPr>
                <w:sz w:val="20"/>
                <w:szCs w:val="20"/>
                <w:color w:val="auto"/>
              </w:rPr>
            </w:pPr>
            <w:r>
              <w:rPr>
                <w:rFonts w:ascii="Arial" w:cs="Arial" w:eastAsia="Arial" w:hAnsi="Arial"/>
                <w:sz w:val="17"/>
                <w:szCs w:val="17"/>
                <w:color w:val="auto"/>
                <w:w w:val="94"/>
              </w:rPr>
              <w:t>74</w:t>
            </w:r>
          </w:p>
        </w:tc>
        <w:tc>
          <w:tcPr>
            <w:tcW w:w="900" w:type="dxa"/>
            <w:vAlign w:val="bottom"/>
            <w:shd w:val="clear" w:color="auto" w:fill="D9D9D9"/>
          </w:tcPr>
          <w:p>
            <w:pPr>
              <w:jc w:val="center"/>
              <w:spacing w:after="0"/>
              <w:rPr>
                <w:sz w:val="20"/>
                <w:szCs w:val="20"/>
                <w:color w:val="auto"/>
              </w:rPr>
            </w:pPr>
            <w:r>
              <w:rPr>
                <w:rFonts w:ascii="Arial" w:cs="Arial" w:eastAsia="Arial" w:hAnsi="Arial"/>
                <w:sz w:val="17"/>
                <w:szCs w:val="17"/>
                <w:color w:val="auto"/>
                <w:w w:val="89"/>
              </w:rPr>
              <w:t>2004</w:t>
            </w:r>
          </w:p>
        </w:tc>
        <w:tc>
          <w:tcPr>
            <w:tcW w:w="1200" w:type="dxa"/>
            <w:vAlign w:val="bottom"/>
            <w:shd w:val="clear" w:color="auto" w:fill="D9D9D9"/>
          </w:tcPr>
          <w:p>
            <w:pPr>
              <w:jc w:val="center"/>
              <w:spacing w:after="0"/>
              <w:rPr>
                <w:sz w:val="20"/>
                <w:szCs w:val="20"/>
                <w:color w:val="auto"/>
              </w:rPr>
            </w:pPr>
            <w:r>
              <w:rPr>
                <w:rFonts w:ascii="Arial" w:cs="Arial" w:eastAsia="Arial" w:hAnsi="Arial"/>
                <w:sz w:val="17"/>
                <w:szCs w:val="17"/>
                <w:color w:val="auto"/>
                <w:w w:val="81"/>
              </w:rPr>
              <w:t>Yes</w:t>
            </w:r>
          </w:p>
        </w:tc>
        <w:tc>
          <w:tcPr>
            <w:tcW w:w="640" w:type="dxa"/>
            <w:vAlign w:val="bottom"/>
            <w:vMerge w:val="continue"/>
            <w:shd w:val="clear" w:color="auto" w:fill="D9D9D9"/>
          </w:tcPr>
          <w:p>
            <w:pPr>
              <w:spacing w:after="0"/>
              <w:rPr>
                <w:sz w:val="17"/>
                <w:szCs w:val="17"/>
                <w:color w:val="auto"/>
              </w:rPr>
            </w:pPr>
          </w:p>
        </w:tc>
        <w:tc>
          <w:tcPr>
            <w:tcW w:w="760" w:type="dxa"/>
            <w:vAlign w:val="bottom"/>
            <w:shd w:val="clear" w:color="auto" w:fill="D9D9D9"/>
          </w:tcPr>
          <w:p>
            <w:pPr>
              <w:spacing w:after="0"/>
              <w:rPr>
                <w:sz w:val="17"/>
                <w:szCs w:val="17"/>
                <w:color w:val="auto"/>
              </w:rPr>
            </w:pPr>
          </w:p>
        </w:tc>
        <w:tc>
          <w:tcPr>
            <w:tcW w:w="800" w:type="dxa"/>
            <w:vAlign w:val="bottom"/>
            <w:vMerge w:val="continue"/>
            <w:shd w:val="clear" w:color="auto" w:fill="D9D9D9"/>
          </w:tcPr>
          <w:p>
            <w:pPr>
              <w:spacing w:after="0"/>
              <w:rPr>
                <w:sz w:val="17"/>
                <w:szCs w:val="17"/>
                <w:color w:val="auto"/>
              </w:rPr>
            </w:pPr>
          </w:p>
        </w:tc>
        <w:tc>
          <w:tcPr>
            <w:tcW w:w="920" w:type="dxa"/>
            <w:vAlign w:val="bottom"/>
            <w:tcBorders>
              <w:right w:val="single" w:sz="8" w:color="auto"/>
            </w:tcBorders>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0" w:type="dxa"/>
            <w:vAlign w:val="bottom"/>
            <w:tcBorders>
              <w:right w:val="single" w:sz="8" w:color="auto"/>
            </w:tcBorders>
            <w:shd w:val="clear" w:color="auto" w:fill="000000"/>
          </w:tcPr>
          <w:p>
            <w:pPr>
              <w:spacing w:after="0"/>
              <w:rPr>
                <w:sz w:val="18"/>
                <w:szCs w:val="18"/>
                <w:color w:val="auto"/>
              </w:rPr>
            </w:pPr>
          </w:p>
        </w:tc>
        <w:tc>
          <w:tcPr>
            <w:tcW w:w="5380" w:type="dxa"/>
            <w:vAlign w:val="bottom"/>
            <w:shd w:val="clear" w:color="auto" w:fill="D9D9D9"/>
          </w:tcPr>
          <w:p>
            <w:pPr>
              <w:ind w:left="80"/>
              <w:spacing w:after="0"/>
              <w:rPr>
                <w:sz w:val="20"/>
                <w:szCs w:val="20"/>
                <w:color w:val="auto"/>
              </w:rPr>
            </w:pPr>
            <w:r>
              <w:rPr>
                <w:rFonts w:ascii="Arial" w:cs="Arial" w:eastAsia="Arial" w:hAnsi="Arial"/>
                <w:sz w:val="17"/>
                <w:szCs w:val="17"/>
                <w:i w:val="1"/>
                <w:iCs w:val="1"/>
                <w:color w:val="auto"/>
              </w:rPr>
              <w:t>Solutions</w:t>
            </w:r>
          </w:p>
        </w:tc>
        <w:tc>
          <w:tcPr>
            <w:tcW w:w="640" w:type="dxa"/>
            <w:vAlign w:val="bottom"/>
            <w:shd w:val="clear" w:color="auto" w:fill="D9D9D9"/>
          </w:tcPr>
          <w:p>
            <w:pPr>
              <w:spacing w:after="0"/>
              <w:rPr>
                <w:sz w:val="18"/>
                <w:szCs w:val="18"/>
                <w:color w:val="auto"/>
              </w:rPr>
            </w:pPr>
          </w:p>
        </w:tc>
        <w:tc>
          <w:tcPr>
            <w:tcW w:w="900" w:type="dxa"/>
            <w:vAlign w:val="bottom"/>
            <w:shd w:val="clear" w:color="auto" w:fill="D9D9D9"/>
          </w:tcPr>
          <w:p>
            <w:pPr>
              <w:spacing w:after="0"/>
              <w:rPr>
                <w:sz w:val="18"/>
                <w:szCs w:val="18"/>
                <w:color w:val="auto"/>
              </w:rPr>
            </w:pPr>
          </w:p>
        </w:tc>
        <w:tc>
          <w:tcPr>
            <w:tcW w:w="1200" w:type="dxa"/>
            <w:vAlign w:val="bottom"/>
            <w:shd w:val="clear" w:color="auto" w:fill="D9D9D9"/>
          </w:tcPr>
          <w:p>
            <w:pPr>
              <w:spacing w:after="0"/>
              <w:rPr>
                <w:sz w:val="18"/>
                <w:szCs w:val="18"/>
                <w:color w:val="auto"/>
              </w:rPr>
            </w:pPr>
          </w:p>
        </w:tc>
        <w:tc>
          <w:tcPr>
            <w:tcW w:w="640" w:type="dxa"/>
            <w:vAlign w:val="bottom"/>
            <w:shd w:val="clear" w:color="auto" w:fill="D9D9D9"/>
          </w:tcPr>
          <w:p>
            <w:pPr>
              <w:spacing w:after="0"/>
              <w:rPr>
                <w:sz w:val="18"/>
                <w:szCs w:val="18"/>
                <w:color w:val="auto"/>
              </w:rPr>
            </w:pPr>
          </w:p>
        </w:tc>
        <w:tc>
          <w:tcPr>
            <w:tcW w:w="760" w:type="dxa"/>
            <w:vAlign w:val="bottom"/>
            <w:shd w:val="clear" w:color="auto" w:fill="D9D9D9"/>
          </w:tcPr>
          <w:p>
            <w:pPr>
              <w:spacing w:after="0"/>
              <w:rPr>
                <w:sz w:val="18"/>
                <w:szCs w:val="18"/>
                <w:color w:val="auto"/>
              </w:rPr>
            </w:pPr>
          </w:p>
        </w:tc>
        <w:tc>
          <w:tcPr>
            <w:tcW w:w="800" w:type="dxa"/>
            <w:vAlign w:val="bottom"/>
            <w:shd w:val="clear" w:color="auto" w:fill="D9D9D9"/>
          </w:tcPr>
          <w:p>
            <w:pPr>
              <w:spacing w:after="0"/>
              <w:rPr>
                <w:sz w:val="18"/>
                <w:szCs w:val="18"/>
                <w:color w:val="auto"/>
              </w:rPr>
            </w:pPr>
          </w:p>
        </w:tc>
        <w:tc>
          <w:tcPr>
            <w:tcW w:w="920" w:type="dxa"/>
            <w:vAlign w:val="bottom"/>
            <w:tcBorders>
              <w:right w:val="single" w:sz="8" w:color="auto"/>
            </w:tcBorders>
            <w:shd w:val="clear" w:color="auto" w:fill="D9D9D9"/>
          </w:tcPr>
          <w:p>
            <w:pPr>
              <w:spacing w:after="0"/>
              <w:rPr>
                <w:sz w:val="18"/>
                <w:szCs w:val="18"/>
                <w:color w:val="auto"/>
              </w:rPr>
            </w:pPr>
          </w:p>
        </w:tc>
        <w:tc>
          <w:tcPr>
            <w:tcW w:w="0" w:type="dxa"/>
            <w:vAlign w:val="bottom"/>
          </w:tcPr>
          <w:p>
            <w:pPr>
              <w:spacing w:after="0"/>
              <w:rPr>
                <w:sz w:val="1"/>
                <w:szCs w:val="1"/>
                <w:color w:val="auto"/>
              </w:rPr>
            </w:pPr>
          </w:p>
        </w:tc>
      </w:tr>
      <w:tr>
        <w:trPr>
          <w:trHeight w:val="106"/>
        </w:trPr>
        <w:tc>
          <w:tcPr>
            <w:tcW w:w="40" w:type="dxa"/>
            <w:vAlign w:val="bottom"/>
            <w:tcBorders>
              <w:bottom w:val="single" w:sz="8" w:color="auto"/>
              <w:right w:val="single" w:sz="8" w:color="auto"/>
            </w:tcBorders>
            <w:shd w:val="clear" w:color="auto" w:fill="000000"/>
          </w:tcPr>
          <w:p>
            <w:pPr>
              <w:spacing w:after="0"/>
              <w:rPr>
                <w:sz w:val="9"/>
                <w:szCs w:val="9"/>
                <w:color w:val="auto"/>
              </w:rPr>
            </w:pPr>
          </w:p>
        </w:tc>
        <w:tc>
          <w:tcPr>
            <w:tcW w:w="5380" w:type="dxa"/>
            <w:vAlign w:val="bottom"/>
            <w:tcBorders>
              <w:bottom w:val="single" w:sz="8" w:color="auto"/>
            </w:tcBorders>
            <w:shd w:val="clear" w:color="auto" w:fill="D9D9D9"/>
          </w:tcPr>
          <w:p>
            <w:pPr>
              <w:spacing w:after="0"/>
              <w:rPr>
                <w:sz w:val="9"/>
                <w:szCs w:val="9"/>
                <w:color w:val="auto"/>
              </w:rPr>
            </w:pPr>
          </w:p>
        </w:tc>
        <w:tc>
          <w:tcPr>
            <w:tcW w:w="640" w:type="dxa"/>
            <w:vAlign w:val="bottom"/>
            <w:tcBorders>
              <w:bottom w:val="single" w:sz="8" w:color="auto"/>
            </w:tcBorders>
            <w:shd w:val="clear" w:color="auto" w:fill="D9D9D9"/>
          </w:tcPr>
          <w:p>
            <w:pPr>
              <w:spacing w:after="0"/>
              <w:rPr>
                <w:sz w:val="9"/>
                <w:szCs w:val="9"/>
                <w:color w:val="auto"/>
              </w:rPr>
            </w:pPr>
          </w:p>
        </w:tc>
        <w:tc>
          <w:tcPr>
            <w:tcW w:w="900" w:type="dxa"/>
            <w:vAlign w:val="bottom"/>
            <w:tcBorders>
              <w:bottom w:val="single" w:sz="8" w:color="auto"/>
            </w:tcBorders>
            <w:shd w:val="clear" w:color="auto" w:fill="D9D9D9"/>
          </w:tcPr>
          <w:p>
            <w:pPr>
              <w:spacing w:after="0"/>
              <w:rPr>
                <w:sz w:val="9"/>
                <w:szCs w:val="9"/>
                <w:color w:val="auto"/>
              </w:rPr>
            </w:pPr>
          </w:p>
        </w:tc>
        <w:tc>
          <w:tcPr>
            <w:tcW w:w="1200" w:type="dxa"/>
            <w:vAlign w:val="bottom"/>
            <w:tcBorders>
              <w:bottom w:val="single" w:sz="8" w:color="auto"/>
            </w:tcBorders>
            <w:shd w:val="clear" w:color="auto" w:fill="D9D9D9"/>
          </w:tcPr>
          <w:p>
            <w:pPr>
              <w:spacing w:after="0"/>
              <w:rPr>
                <w:sz w:val="9"/>
                <w:szCs w:val="9"/>
                <w:color w:val="auto"/>
              </w:rPr>
            </w:pPr>
          </w:p>
        </w:tc>
        <w:tc>
          <w:tcPr>
            <w:tcW w:w="640" w:type="dxa"/>
            <w:vAlign w:val="bottom"/>
            <w:tcBorders>
              <w:bottom w:val="single" w:sz="8" w:color="auto"/>
            </w:tcBorders>
            <w:shd w:val="clear" w:color="auto" w:fill="D9D9D9"/>
          </w:tcPr>
          <w:p>
            <w:pPr>
              <w:spacing w:after="0"/>
              <w:rPr>
                <w:sz w:val="9"/>
                <w:szCs w:val="9"/>
                <w:color w:val="auto"/>
              </w:rPr>
            </w:pPr>
          </w:p>
        </w:tc>
        <w:tc>
          <w:tcPr>
            <w:tcW w:w="760" w:type="dxa"/>
            <w:vAlign w:val="bottom"/>
            <w:tcBorders>
              <w:bottom w:val="single" w:sz="8" w:color="auto"/>
            </w:tcBorders>
            <w:shd w:val="clear" w:color="auto" w:fill="D9D9D9"/>
          </w:tcPr>
          <w:p>
            <w:pPr>
              <w:spacing w:after="0"/>
              <w:rPr>
                <w:sz w:val="9"/>
                <w:szCs w:val="9"/>
                <w:color w:val="auto"/>
              </w:rPr>
            </w:pPr>
          </w:p>
        </w:tc>
        <w:tc>
          <w:tcPr>
            <w:tcW w:w="800" w:type="dxa"/>
            <w:vAlign w:val="bottom"/>
            <w:tcBorders>
              <w:bottom w:val="single" w:sz="8" w:color="auto"/>
            </w:tcBorders>
            <w:shd w:val="clear" w:color="auto" w:fill="D9D9D9"/>
          </w:tcPr>
          <w:p>
            <w:pPr>
              <w:spacing w:after="0"/>
              <w:rPr>
                <w:sz w:val="9"/>
                <w:szCs w:val="9"/>
                <w:color w:val="auto"/>
              </w:rPr>
            </w:pPr>
          </w:p>
        </w:tc>
        <w:tc>
          <w:tcPr>
            <w:tcW w:w="920" w:type="dxa"/>
            <w:vAlign w:val="bottom"/>
            <w:tcBorders>
              <w:bottom w:val="single" w:sz="8" w:color="auto"/>
              <w:right w:val="single" w:sz="8" w:color="auto"/>
            </w:tcBorders>
            <w:shd w:val="clear" w:color="auto" w:fill="D9D9D9"/>
          </w:tcPr>
          <w:p>
            <w:pPr>
              <w:spacing w:after="0"/>
              <w:rPr>
                <w:sz w:val="9"/>
                <w:szCs w:val="9"/>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 xml:space="preserve">A: </w:t>
      </w:r>
      <w:r>
        <w:rPr>
          <w:rFonts w:ascii="Arial" w:cs="Arial" w:eastAsia="Arial" w:hAnsi="Arial"/>
          <w:sz w:val="16"/>
          <w:szCs w:val="16"/>
          <w:i w:val="1"/>
          <w:iCs w:val="1"/>
          <w:color w:val="auto"/>
        </w:rPr>
        <w:t>Audit Committee</w:t>
      </w:r>
      <w:r>
        <w:rPr>
          <w:rFonts w:ascii="Arial" w:cs="Arial" w:eastAsia="Arial" w:hAnsi="Arial"/>
          <w:sz w:val="16"/>
          <w:szCs w:val="16"/>
          <w:b w:val="1"/>
          <w:bCs w:val="1"/>
          <w:color w:val="auto"/>
        </w:rPr>
        <w:t xml:space="preserve">  C: </w:t>
      </w:r>
      <w:r>
        <w:rPr>
          <w:rFonts w:ascii="Arial" w:cs="Arial" w:eastAsia="Arial" w:hAnsi="Arial"/>
          <w:sz w:val="16"/>
          <w:szCs w:val="16"/>
          <w:i w:val="1"/>
          <w:iCs w:val="1"/>
          <w:color w:val="auto"/>
        </w:rPr>
        <w:t>Compensation Committee</w:t>
      </w:r>
      <w:r>
        <w:rPr>
          <w:rFonts w:ascii="Arial" w:cs="Arial" w:eastAsia="Arial" w:hAnsi="Arial"/>
          <w:sz w:val="16"/>
          <w:szCs w:val="16"/>
          <w:b w:val="1"/>
          <w:bCs w:val="1"/>
          <w:color w:val="auto"/>
        </w:rPr>
        <w:t xml:space="preserve">  NCG: </w:t>
      </w:r>
      <w:r>
        <w:rPr>
          <w:rFonts w:ascii="Arial" w:cs="Arial" w:eastAsia="Arial" w:hAnsi="Arial"/>
          <w:sz w:val="16"/>
          <w:szCs w:val="16"/>
          <w:i w:val="1"/>
          <w:iCs w:val="1"/>
          <w:color w:val="auto"/>
        </w:rPr>
        <w:t>Nominating and Corporate Governance Committee</w:t>
      </w:r>
      <w:r>
        <w:rPr>
          <w:rFonts w:ascii="Arial" w:cs="Arial" w:eastAsia="Arial" w:hAnsi="Arial"/>
          <w:sz w:val="16"/>
          <w:szCs w:val="16"/>
          <w:b w:val="1"/>
          <w:bCs w:val="1"/>
          <w:color w:val="auto"/>
        </w:rPr>
        <w:t xml:space="preserve">  E: </w:t>
      </w:r>
      <w:r>
        <w:rPr>
          <w:rFonts w:ascii="Arial" w:cs="Arial" w:eastAsia="Arial" w:hAnsi="Arial"/>
          <w:sz w:val="16"/>
          <w:szCs w:val="16"/>
          <w:i w:val="1"/>
          <w:iCs w:val="1"/>
          <w:color w:val="auto"/>
        </w:rPr>
        <w:t>Executive Committee</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60"/>
          </w:cols>
          <w:pgMar w:left="300" w:top="705" w:right="3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26"/>
          <w:szCs w:val="26"/>
          <w:b w:val="1"/>
          <w:bCs w:val="1"/>
          <w:color w:val="auto"/>
        </w:rPr>
        <w:t>Director Tenure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-186055</wp:posOffset>
            </wp:positionV>
            <wp:extent cx="7143750" cy="12287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3750" cy="1228725"/>
                    </a:xfrm>
                    <a:prstGeom prst="rect">
                      <a:avLst/>
                    </a:prstGeom>
                    <a:noFill/>
                  </pic:spPr>
                </pic:pic>
              </a:graphicData>
            </a:graphic>
          </wp:anchor>
        </w:drawing>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471"/>
        </w:trPr>
        <w:tc>
          <w:tcPr>
            <w:tcW w:w="4080" w:type="dxa"/>
            <w:vAlign w:val="bottom"/>
            <w:tcBorders>
              <w:top w:val="single" w:sz="8" w:color="auto"/>
              <w:bottom w:val="single" w:sz="8" w:color="auto"/>
              <w:right w:val="single" w:sz="8" w:color="auto"/>
            </w:tcBorders>
            <w:gridSpan w:val="3"/>
          </w:tcPr>
          <w:p>
            <w:pPr>
              <w:ind w:left="1300"/>
              <w:spacing w:after="0"/>
              <w:rPr>
                <w:sz w:val="20"/>
                <w:szCs w:val="20"/>
                <w:color w:val="auto"/>
              </w:rPr>
            </w:pPr>
            <w:r>
              <w:rPr>
                <w:rFonts w:ascii="Arial" w:cs="Arial" w:eastAsia="Arial" w:hAnsi="Arial"/>
                <w:sz w:val="20"/>
                <w:szCs w:val="20"/>
                <w:b w:val="1"/>
                <w:bCs w:val="1"/>
                <w:color w:val="auto"/>
              </w:rPr>
              <w:t>Less than 6 years</w:t>
            </w:r>
          </w:p>
        </w:tc>
        <w:tc>
          <w:tcPr>
            <w:tcW w:w="3820" w:type="dxa"/>
            <w:vAlign w:val="bottom"/>
            <w:tcBorders>
              <w:top w:val="single" w:sz="8" w:color="auto"/>
              <w:bottom w:val="single" w:sz="8" w:color="auto"/>
              <w:right w:val="single" w:sz="8" w:color="auto"/>
            </w:tcBorders>
            <w:gridSpan w:val="3"/>
          </w:tcPr>
          <w:p>
            <w:pPr>
              <w:ind w:left="1440"/>
              <w:spacing w:after="0"/>
              <w:rPr>
                <w:sz w:val="20"/>
                <w:szCs w:val="20"/>
                <w:color w:val="auto"/>
              </w:rPr>
            </w:pPr>
            <w:r>
              <w:rPr>
                <w:rFonts w:ascii="Arial" w:cs="Arial" w:eastAsia="Arial" w:hAnsi="Arial"/>
                <w:sz w:val="20"/>
                <w:szCs w:val="20"/>
                <w:b w:val="1"/>
                <w:bCs w:val="1"/>
                <w:color w:val="auto"/>
              </w:rPr>
              <w:t>6 – 10 years</w:t>
            </w:r>
          </w:p>
        </w:tc>
        <w:tc>
          <w:tcPr>
            <w:tcW w:w="3340" w:type="dxa"/>
            <w:vAlign w:val="bottom"/>
            <w:tcBorders>
              <w:top w:val="single" w:sz="8" w:color="auto"/>
              <w:bottom w:val="single" w:sz="8" w:color="auto"/>
            </w:tcBorders>
            <w:gridSpan w:val="3"/>
          </w:tcPr>
          <w:p>
            <w:pPr>
              <w:ind w:left="940"/>
              <w:spacing w:after="0"/>
              <w:rPr>
                <w:sz w:val="20"/>
                <w:szCs w:val="20"/>
                <w:color w:val="auto"/>
              </w:rPr>
            </w:pPr>
            <w:r>
              <w:rPr>
                <w:rFonts w:ascii="Arial" w:cs="Arial" w:eastAsia="Arial" w:hAnsi="Arial"/>
                <w:sz w:val="20"/>
                <w:szCs w:val="20"/>
                <w:b w:val="1"/>
                <w:bCs w:val="1"/>
                <w:color w:val="auto"/>
              </w:rPr>
              <w:t>More than 10 years</w:t>
            </w:r>
          </w:p>
        </w:tc>
      </w:tr>
      <w:tr>
        <w:trPr>
          <w:trHeight w:val="652"/>
        </w:trPr>
        <w:tc>
          <w:tcPr>
            <w:tcW w:w="1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20" w:type="dxa"/>
            <w:vAlign w:val="bottom"/>
            <w:tcBorders>
              <w:right w:val="single" w:sz="8" w:color="auto"/>
            </w:tcBorders>
          </w:tcPr>
          <w:p>
            <w:pPr>
              <w:spacing w:after="0"/>
              <w:rPr>
                <w:sz w:val="24"/>
                <w:szCs w:val="24"/>
                <w:color w:val="auto"/>
              </w:rPr>
            </w:pPr>
          </w:p>
        </w:tc>
        <w:tc>
          <w:tcPr>
            <w:tcW w:w="1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520" w:type="dxa"/>
            <w:vAlign w:val="bottom"/>
            <w:tcBorders>
              <w:right w:val="single" w:sz="8" w:color="auto"/>
            </w:tcBorders>
          </w:tcPr>
          <w:p>
            <w:pPr>
              <w:spacing w:after="0"/>
              <w:rPr>
                <w:sz w:val="24"/>
                <w:szCs w:val="24"/>
                <w:color w:val="auto"/>
              </w:rPr>
            </w:pPr>
          </w:p>
        </w:tc>
        <w:tc>
          <w:tcPr>
            <w:tcW w:w="1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74"/>
        </w:trPr>
        <w:tc>
          <w:tcPr>
            <w:tcW w:w="1320" w:type="dxa"/>
            <w:vAlign w:val="bottom"/>
          </w:tcPr>
          <w:p>
            <w:pPr>
              <w:spacing w:after="0"/>
              <w:rPr>
                <w:sz w:val="15"/>
                <w:szCs w:val="15"/>
                <w:color w:val="auto"/>
              </w:rPr>
            </w:pPr>
          </w:p>
        </w:tc>
        <w:tc>
          <w:tcPr>
            <w:tcW w:w="1440" w:type="dxa"/>
            <w:vAlign w:val="bottom"/>
            <w:shd w:val="clear" w:color="auto" w:fill="29650B"/>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c>
          <w:tcPr>
            <w:tcW w:w="1580" w:type="dxa"/>
            <w:vAlign w:val="bottom"/>
          </w:tcPr>
          <w:p>
            <w:pPr>
              <w:spacing w:after="0"/>
              <w:rPr>
                <w:sz w:val="15"/>
                <w:szCs w:val="15"/>
                <w:color w:val="auto"/>
              </w:rPr>
            </w:pPr>
          </w:p>
        </w:tc>
        <w:tc>
          <w:tcPr>
            <w:tcW w:w="720" w:type="dxa"/>
            <w:vAlign w:val="bottom"/>
            <w:shd w:val="clear" w:color="auto" w:fill="29650B"/>
          </w:tcPr>
          <w:p>
            <w:pPr>
              <w:spacing w:after="0"/>
              <w:rPr>
                <w:sz w:val="15"/>
                <w:szCs w:val="15"/>
                <w:color w:val="auto"/>
              </w:rPr>
            </w:pPr>
          </w:p>
        </w:tc>
        <w:tc>
          <w:tcPr>
            <w:tcW w:w="1520" w:type="dxa"/>
            <w:vAlign w:val="bottom"/>
            <w:tcBorders>
              <w:right w:val="single" w:sz="8" w:color="auto"/>
            </w:tcBorders>
          </w:tcPr>
          <w:p>
            <w:pPr>
              <w:spacing w:after="0"/>
              <w:rPr>
                <w:sz w:val="15"/>
                <w:szCs w:val="15"/>
                <w:color w:val="auto"/>
              </w:rPr>
            </w:pPr>
          </w:p>
        </w:tc>
        <w:tc>
          <w:tcPr>
            <w:tcW w:w="1420" w:type="dxa"/>
            <w:vAlign w:val="bottom"/>
          </w:tcPr>
          <w:p>
            <w:pPr>
              <w:spacing w:after="0"/>
              <w:rPr>
                <w:sz w:val="15"/>
                <w:szCs w:val="15"/>
                <w:color w:val="auto"/>
              </w:rPr>
            </w:pPr>
          </w:p>
        </w:tc>
        <w:tc>
          <w:tcPr>
            <w:tcW w:w="700" w:type="dxa"/>
            <w:vAlign w:val="bottom"/>
            <w:shd w:val="clear" w:color="auto" w:fill="29650B"/>
          </w:tcPr>
          <w:p>
            <w:pPr>
              <w:spacing w:after="0"/>
              <w:rPr>
                <w:sz w:val="15"/>
                <w:szCs w:val="15"/>
                <w:color w:val="auto"/>
              </w:rPr>
            </w:pPr>
          </w:p>
        </w:tc>
        <w:tc>
          <w:tcPr>
            <w:tcW w:w="1220" w:type="dxa"/>
            <w:vAlign w:val="bottom"/>
          </w:tcPr>
          <w:p>
            <w:pPr>
              <w:spacing w:after="0"/>
              <w:rPr>
                <w:sz w:val="15"/>
                <w:szCs w:val="15"/>
                <w:color w:val="auto"/>
              </w:rPr>
            </w:pPr>
          </w:p>
        </w:tc>
      </w:tr>
      <w:tr>
        <w:trPr>
          <w:trHeight w:val="248"/>
        </w:trPr>
        <w:tc>
          <w:tcPr>
            <w:tcW w:w="13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spacing w:after="0"/>
              <w:rPr>
                <w:sz w:val="21"/>
                <w:szCs w:val="21"/>
                <w:color w:val="auto"/>
              </w:rPr>
            </w:pPr>
          </w:p>
        </w:tc>
        <w:tc>
          <w:tcPr>
            <w:tcW w:w="1320" w:type="dxa"/>
            <w:vAlign w:val="bottom"/>
            <w:tcBorders>
              <w:bottom w:val="single" w:sz="8" w:color="auto"/>
              <w:right w:val="single" w:sz="8" w:color="auto"/>
            </w:tcBorders>
          </w:tcPr>
          <w:p>
            <w:pPr>
              <w:spacing w:after="0"/>
              <w:rPr>
                <w:sz w:val="21"/>
                <w:szCs w:val="21"/>
                <w:color w:val="auto"/>
              </w:rPr>
            </w:pPr>
          </w:p>
        </w:tc>
        <w:tc>
          <w:tcPr>
            <w:tcW w:w="15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520" w:type="dxa"/>
            <w:vAlign w:val="bottom"/>
            <w:tcBorders>
              <w:bottom w:val="single" w:sz="8" w:color="auto"/>
              <w:right w:val="single" w:sz="8" w:color="auto"/>
            </w:tcBorders>
          </w:tcPr>
          <w:p>
            <w:pPr>
              <w:spacing w:after="0"/>
              <w:rPr>
                <w:sz w:val="21"/>
                <w:szCs w:val="21"/>
                <w:color w:val="auto"/>
              </w:rPr>
            </w:pPr>
          </w:p>
        </w:tc>
        <w:tc>
          <w:tcPr>
            <w:tcW w:w="14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228600</wp:posOffset>
            </wp:positionV>
            <wp:extent cx="7201535" cy="19691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1535" cy="1969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The twelve Director nominees standing for reelection to the Board have diverse backgrounds, skills and experiences. We believe their varied backgrounds contribute to an effective and well-balanced Board that is able to provide valuable insight to, and effective oversight of, our senior executive team.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261620</wp:posOffset>
            </wp:positionV>
            <wp:extent cx="6836410" cy="3701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36410" cy="3701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940" w:right="339" w:bottom="1440" w:gutter="0" w:footer="0" w:header="0"/>
        </w:sectPr>
      </w:pPr>
    </w:p>
    <w:bookmarkStart w:id="7" w:name="page8"/>
    <w:bookmarkEnd w:id="7"/>
    <w:p>
      <w:pPr>
        <w:spacing w:after="0"/>
        <w:rPr>
          <w:sz w:val="20"/>
          <w:szCs w:val="20"/>
          <w:color w:val="auto"/>
        </w:rPr>
      </w:pPr>
      <w:r>
        <w:rPr>
          <w:rFonts w:ascii="Arial" w:cs="Arial" w:eastAsia="Arial" w:hAnsi="Arial"/>
          <w:sz w:val="26"/>
          <w:szCs w:val="26"/>
          <w:b w:val="1"/>
          <w:bCs w:val="1"/>
          <w:color w:val="29650B"/>
        </w:rPr>
        <w:t>Governance Best Practices</w:t>
      </w:r>
    </w:p>
    <w:p>
      <w:pPr>
        <w:spacing w:after="0" w:line="245" w:lineRule="exact"/>
        <w:rPr>
          <w:sz w:val="20"/>
          <w:szCs w:val="20"/>
          <w:color w:val="auto"/>
        </w:rPr>
      </w:pPr>
    </w:p>
    <w:p>
      <w:pPr>
        <w:jc w:val="both"/>
        <w:spacing w:after="0"/>
        <w:rPr>
          <w:sz w:val="20"/>
          <w:szCs w:val="20"/>
          <w:color w:val="auto"/>
        </w:rPr>
      </w:pPr>
      <w:r>
        <w:rPr>
          <w:rFonts w:ascii="Arial" w:cs="Arial" w:eastAsia="Arial" w:hAnsi="Arial"/>
          <w:sz w:val="20"/>
          <w:szCs w:val="20"/>
          <w:color w:val="auto"/>
        </w:rPr>
        <w:t>The Board of Directors is committed to implementing and maintaining strong corporate governance practices. The Board continually adopts emerging best practices in governance that enhance the effectiveness of the Board and our management and that serve the best interests of the Company’s Shareholders. The Corporate Governance section beginning on page 27 describes our governance framework. We call your attention to the following best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121285</wp:posOffset>
            </wp:positionV>
            <wp:extent cx="7143750" cy="32372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3750" cy="3237230"/>
                    </a:xfrm>
                    <a:prstGeom prst="rect">
                      <a:avLst/>
                    </a:prstGeom>
                    <a:noFill/>
                  </pic:spPr>
                </pic:pic>
              </a:graphicData>
            </a:graphic>
          </wp:anchor>
        </w:drawing>
      </w:r>
    </w:p>
    <w:p>
      <w:pPr>
        <w:spacing w:after="0" w:line="216" w:lineRule="exact"/>
        <w:rPr>
          <w:sz w:val="20"/>
          <w:szCs w:val="20"/>
          <w:color w:val="auto"/>
        </w:rPr>
      </w:pPr>
    </w:p>
    <w:p>
      <w:pPr>
        <w:ind w:left="520" w:hanging="136"/>
        <w:spacing w:after="0"/>
        <w:tabs>
          <w:tab w:leader="none" w:pos="520" w:val="left"/>
        </w:tabs>
        <w:numPr>
          <w:ilvl w:val="0"/>
          <w:numId w:val="6"/>
        </w:numPr>
        <w:rPr>
          <w:rFonts w:ascii="Arial" w:cs="Arial" w:eastAsia="Arial" w:hAnsi="Arial"/>
          <w:sz w:val="18"/>
          <w:szCs w:val="18"/>
          <w:color w:val="4F6228"/>
        </w:rPr>
      </w:pPr>
      <w:r>
        <w:rPr>
          <w:rFonts w:ascii="Arial" w:cs="Arial" w:eastAsia="Arial" w:hAnsi="Arial"/>
          <w:sz w:val="18"/>
          <w:szCs w:val="18"/>
          <w:color w:val="auto"/>
        </w:rPr>
        <w:t>Annual election of all Directors</w:t>
      </w:r>
    </w:p>
    <w:p>
      <w:pPr>
        <w:spacing w:after="0" w:line="53" w:lineRule="exact"/>
        <w:rPr>
          <w:rFonts w:ascii="Arial" w:cs="Arial" w:eastAsia="Arial" w:hAnsi="Arial"/>
          <w:sz w:val="18"/>
          <w:szCs w:val="18"/>
          <w:color w:val="4F6228"/>
        </w:rPr>
      </w:pPr>
    </w:p>
    <w:p>
      <w:pPr>
        <w:ind w:left="520" w:hanging="136"/>
        <w:spacing w:after="0"/>
        <w:tabs>
          <w:tab w:leader="none" w:pos="520" w:val="left"/>
        </w:tabs>
        <w:numPr>
          <w:ilvl w:val="0"/>
          <w:numId w:val="6"/>
        </w:numPr>
        <w:rPr>
          <w:rFonts w:ascii="Arial" w:cs="Arial" w:eastAsia="Arial" w:hAnsi="Arial"/>
          <w:sz w:val="18"/>
          <w:szCs w:val="18"/>
          <w:color w:val="4F6228"/>
        </w:rPr>
      </w:pPr>
      <w:r>
        <w:rPr>
          <w:rFonts w:ascii="Arial" w:cs="Arial" w:eastAsia="Arial" w:hAnsi="Arial"/>
          <w:sz w:val="18"/>
          <w:szCs w:val="18"/>
          <w:color w:val="auto"/>
        </w:rPr>
        <w:t>Resignation policy applicable to Directors who do not receive a majority of votes cast in uncontested elections</w:t>
      </w:r>
    </w:p>
    <w:p>
      <w:pPr>
        <w:spacing w:after="0" w:line="53" w:lineRule="exact"/>
        <w:rPr>
          <w:rFonts w:ascii="Arial" w:cs="Arial" w:eastAsia="Arial" w:hAnsi="Arial"/>
          <w:sz w:val="18"/>
          <w:szCs w:val="18"/>
          <w:color w:val="4F6228"/>
        </w:rPr>
      </w:pPr>
    </w:p>
    <w:p>
      <w:pPr>
        <w:ind w:left="520" w:hanging="136"/>
        <w:spacing w:after="0"/>
        <w:tabs>
          <w:tab w:leader="none" w:pos="520" w:val="left"/>
        </w:tabs>
        <w:numPr>
          <w:ilvl w:val="0"/>
          <w:numId w:val="6"/>
        </w:numPr>
        <w:rPr>
          <w:rFonts w:ascii="Arial" w:cs="Arial" w:eastAsia="Arial" w:hAnsi="Arial"/>
          <w:sz w:val="18"/>
          <w:szCs w:val="18"/>
          <w:color w:val="4F6228"/>
        </w:rPr>
      </w:pPr>
      <w:r>
        <w:rPr>
          <w:rFonts w:ascii="Arial" w:cs="Arial" w:eastAsia="Arial" w:hAnsi="Arial"/>
          <w:sz w:val="18"/>
          <w:szCs w:val="18"/>
          <w:color w:val="auto"/>
        </w:rPr>
        <w:t>Mandatory retirement policy for Directors</w:t>
      </w:r>
    </w:p>
    <w:p>
      <w:pPr>
        <w:spacing w:after="0" w:line="53" w:lineRule="exact"/>
        <w:rPr>
          <w:rFonts w:ascii="Arial" w:cs="Arial" w:eastAsia="Arial" w:hAnsi="Arial"/>
          <w:sz w:val="18"/>
          <w:szCs w:val="18"/>
          <w:color w:val="4F6228"/>
        </w:rPr>
      </w:pPr>
    </w:p>
    <w:p>
      <w:pPr>
        <w:ind w:left="520" w:hanging="136"/>
        <w:spacing w:after="0"/>
        <w:tabs>
          <w:tab w:leader="none" w:pos="520" w:val="left"/>
        </w:tabs>
        <w:numPr>
          <w:ilvl w:val="0"/>
          <w:numId w:val="6"/>
        </w:numPr>
        <w:rPr>
          <w:rFonts w:ascii="Arial" w:cs="Arial" w:eastAsia="Arial" w:hAnsi="Arial"/>
          <w:sz w:val="18"/>
          <w:szCs w:val="18"/>
          <w:color w:val="4F6228"/>
        </w:rPr>
      </w:pPr>
      <w:r>
        <w:rPr>
          <w:rFonts w:ascii="Arial" w:cs="Arial" w:eastAsia="Arial" w:hAnsi="Arial"/>
          <w:sz w:val="18"/>
          <w:szCs w:val="18"/>
          <w:color w:val="auto"/>
        </w:rPr>
        <w:t>Proxy access</w:t>
      </w:r>
    </w:p>
    <w:p>
      <w:pPr>
        <w:spacing w:after="0" w:line="65" w:lineRule="exact"/>
        <w:rPr>
          <w:rFonts w:ascii="Arial" w:cs="Arial" w:eastAsia="Arial" w:hAnsi="Arial"/>
          <w:sz w:val="18"/>
          <w:szCs w:val="18"/>
          <w:color w:val="4F6228"/>
        </w:rPr>
      </w:pPr>
    </w:p>
    <w:p>
      <w:pPr>
        <w:ind w:left="520" w:hanging="136"/>
        <w:spacing w:after="0"/>
        <w:tabs>
          <w:tab w:leader="none" w:pos="520" w:val="left"/>
        </w:tabs>
        <w:numPr>
          <w:ilvl w:val="0"/>
          <w:numId w:val="6"/>
        </w:numPr>
        <w:rPr>
          <w:rFonts w:ascii="Arial" w:cs="Arial" w:eastAsia="Arial" w:hAnsi="Arial"/>
          <w:sz w:val="18"/>
          <w:szCs w:val="18"/>
          <w:color w:val="4F6228"/>
        </w:rPr>
      </w:pPr>
      <w:r>
        <w:rPr>
          <w:rFonts w:ascii="Arial" w:cs="Arial" w:eastAsia="Arial" w:hAnsi="Arial"/>
          <w:sz w:val="18"/>
          <w:szCs w:val="18"/>
          <w:color w:val="auto"/>
        </w:rPr>
        <w:t>Annual Shareholder engagement</w:t>
      </w:r>
    </w:p>
    <w:p>
      <w:pPr>
        <w:spacing w:after="0" w:line="53" w:lineRule="exact"/>
        <w:rPr>
          <w:rFonts w:ascii="Arial" w:cs="Arial" w:eastAsia="Arial" w:hAnsi="Arial"/>
          <w:sz w:val="18"/>
          <w:szCs w:val="18"/>
          <w:color w:val="4F6228"/>
        </w:rPr>
      </w:pPr>
    </w:p>
    <w:p>
      <w:pPr>
        <w:ind w:left="520" w:hanging="136"/>
        <w:spacing w:after="0"/>
        <w:tabs>
          <w:tab w:leader="none" w:pos="520" w:val="left"/>
        </w:tabs>
        <w:numPr>
          <w:ilvl w:val="0"/>
          <w:numId w:val="6"/>
        </w:numPr>
        <w:rPr>
          <w:rFonts w:ascii="Arial" w:cs="Arial" w:eastAsia="Arial" w:hAnsi="Arial"/>
          <w:sz w:val="18"/>
          <w:szCs w:val="18"/>
          <w:color w:val="4F6228"/>
        </w:rPr>
      </w:pPr>
      <w:r>
        <w:rPr>
          <w:rFonts w:ascii="Arial" w:cs="Arial" w:eastAsia="Arial" w:hAnsi="Arial"/>
          <w:sz w:val="18"/>
          <w:szCs w:val="18"/>
          <w:color w:val="auto"/>
        </w:rPr>
        <w:t>Overboarding limits</w:t>
      </w:r>
    </w:p>
    <w:p>
      <w:pPr>
        <w:spacing w:after="0" w:line="53" w:lineRule="exact"/>
        <w:rPr>
          <w:rFonts w:ascii="Arial" w:cs="Arial" w:eastAsia="Arial" w:hAnsi="Arial"/>
          <w:sz w:val="18"/>
          <w:szCs w:val="18"/>
          <w:color w:val="4F6228"/>
        </w:rPr>
      </w:pPr>
    </w:p>
    <w:p>
      <w:pPr>
        <w:ind w:left="520" w:hanging="136"/>
        <w:spacing w:after="0"/>
        <w:tabs>
          <w:tab w:leader="none" w:pos="520" w:val="left"/>
        </w:tabs>
        <w:numPr>
          <w:ilvl w:val="0"/>
          <w:numId w:val="6"/>
        </w:numPr>
        <w:rPr>
          <w:rFonts w:ascii="Arial" w:cs="Arial" w:eastAsia="Arial" w:hAnsi="Arial"/>
          <w:sz w:val="18"/>
          <w:szCs w:val="18"/>
          <w:color w:val="4F6228"/>
        </w:rPr>
      </w:pPr>
      <w:r>
        <w:rPr>
          <w:rFonts w:ascii="Arial" w:cs="Arial" w:eastAsia="Arial" w:hAnsi="Arial"/>
          <w:sz w:val="18"/>
          <w:szCs w:val="18"/>
          <w:color w:val="auto"/>
        </w:rPr>
        <w:t>Robust Board refreshment with five new independent Directors joining the Board in the last four years</w:t>
      </w:r>
    </w:p>
    <w:p>
      <w:pPr>
        <w:spacing w:after="0" w:line="53" w:lineRule="exact"/>
        <w:rPr>
          <w:rFonts w:ascii="Arial" w:cs="Arial" w:eastAsia="Arial" w:hAnsi="Arial"/>
          <w:sz w:val="18"/>
          <w:szCs w:val="18"/>
          <w:color w:val="4F6228"/>
        </w:rPr>
      </w:pPr>
    </w:p>
    <w:p>
      <w:pPr>
        <w:ind w:left="520" w:hanging="136"/>
        <w:spacing w:after="0"/>
        <w:tabs>
          <w:tab w:leader="none" w:pos="520" w:val="left"/>
        </w:tabs>
        <w:numPr>
          <w:ilvl w:val="0"/>
          <w:numId w:val="6"/>
        </w:numPr>
        <w:rPr>
          <w:rFonts w:ascii="Arial" w:cs="Arial" w:eastAsia="Arial" w:hAnsi="Arial"/>
          <w:sz w:val="18"/>
          <w:szCs w:val="18"/>
          <w:color w:val="4F6228"/>
        </w:rPr>
      </w:pPr>
      <w:r>
        <w:rPr>
          <w:rFonts w:ascii="Arial" w:cs="Arial" w:eastAsia="Arial" w:hAnsi="Arial"/>
          <w:sz w:val="18"/>
          <w:szCs w:val="18"/>
          <w:color w:val="auto"/>
        </w:rPr>
        <w:t>11of 12 Directors independent – all key committees consisting solely of independent Directors</w:t>
      </w:r>
    </w:p>
    <w:p>
      <w:pPr>
        <w:spacing w:after="0" w:line="53" w:lineRule="exact"/>
        <w:rPr>
          <w:rFonts w:ascii="Arial" w:cs="Arial" w:eastAsia="Arial" w:hAnsi="Arial"/>
          <w:sz w:val="18"/>
          <w:szCs w:val="18"/>
          <w:color w:val="4F6228"/>
        </w:rPr>
      </w:pPr>
    </w:p>
    <w:p>
      <w:pPr>
        <w:ind w:left="520" w:hanging="136"/>
        <w:spacing w:after="0"/>
        <w:tabs>
          <w:tab w:leader="none" w:pos="520" w:val="left"/>
        </w:tabs>
        <w:numPr>
          <w:ilvl w:val="0"/>
          <w:numId w:val="6"/>
        </w:numPr>
        <w:rPr>
          <w:rFonts w:ascii="Arial" w:cs="Arial" w:eastAsia="Arial" w:hAnsi="Arial"/>
          <w:sz w:val="18"/>
          <w:szCs w:val="18"/>
          <w:color w:val="4F6228"/>
        </w:rPr>
      </w:pPr>
      <w:r>
        <w:rPr>
          <w:rFonts w:ascii="Arial" w:cs="Arial" w:eastAsia="Arial" w:hAnsi="Arial"/>
          <w:sz w:val="18"/>
          <w:szCs w:val="18"/>
          <w:color w:val="auto"/>
        </w:rPr>
        <w:t>Independent Lead Director with broad authority</w:t>
      </w:r>
    </w:p>
    <w:p>
      <w:pPr>
        <w:spacing w:after="0" w:line="53" w:lineRule="exact"/>
        <w:rPr>
          <w:rFonts w:ascii="Arial" w:cs="Arial" w:eastAsia="Arial" w:hAnsi="Arial"/>
          <w:sz w:val="18"/>
          <w:szCs w:val="18"/>
          <w:color w:val="4F6228"/>
        </w:rPr>
      </w:pPr>
    </w:p>
    <w:p>
      <w:pPr>
        <w:ind w:left="520" w:hanging="136"/>
        <w:spacing w:after="0"/>
        <w:tabs>
          <w:tab w:leader="none" w:pos="520" w:val="left"/>
        </w:tabs>
        <w:numPr>
          <w:ilvl w:val="0"/>
          <w:numId w:val="6"/>
        </w:numPr>
        <w:rPr>
          <w:rFonts w:ascii="Arial" w:cs="Arial" w:eastAsia="Arial" w:hAnsi="Arial"/>
          <w:sz w:val="18"/>
          <w:szCs w:val="18"/>
          <w:color w:val="4F6228"/>
        </w:rPr>
      </w:pPr>
      <w:r>
        <w:rPr>
          <w:rFonts w:ascii="Arial" w:cs="Arial" w:eastAsia="Arial" w:hAnsi="Arial"/>
          <w:sz w:val="18"/>
          <w:szCs w:val="18"/>
          <w:color w:val="auto"/>
        </w:rPr>
        <w:t>Executive sessions of independent Directors held regularly</w:t>
      </w:r>
    </w:p>
    <w:p>
      <w:pPr>
        <w:spacing w:after="0" w:line="53" w:lineRule="exact"/>
        <w:rPr>
          <w:rFonts w:ascii="Arial" w:cs="Arial" w:eastAsia="Arial" w:hAnsi="Arial"/>
          <w:sz w:val="18"/>
          <w:szCs w:val="18"/>
          <w:color w:val="4F6228"/>
        </w:rPr>
      </w:pPr>
    </w:p>
    <w:p>
      <w:pPr>
        <w:ind w:left="520" w:hanging="136"/>
        <w:spacing w:after="0"/>
        <w:tabs>
          <w:tab w:leader="none" w:pos="520" w:val="left"/>
        </w:tabs>
        <w:numPr>
          <w:ilvl w:val="0"/>
          <w:numId w:val="6"/>
        </w:numPr>
        <w:rPr>
          <w:rFonts w:ascii="Arial" w:cs="Arial" w:eastAsia="Arial" w:hAnsi="Arial"/>
          <w:sz w:val="18"/>
          <w:szCs w:val="18"/>
          <w:color w:val="4F6228"/>
        </w:rPr>
      </w:pPr>
      <w:r>
        <w:rPr>
          <w:rFonts w:ascii="Arial" w:cs="Arial" w:eastAsia="Arial" w:hAnsi="Arial"/>
          <w:sz w:val="18"/>
          <w:szCs w:val="18"/>
          <w:color w:val="auto"/>
        </w:rPr>
        <w:t>Annual review of Committee charters and Corporate Governance Guidelines</w:t>
      </w:r>
    </w:p>
    <w:p>
      <w:pPr>
        <w:spacing w:after="0" w:line="53" w:lineRule="exact"/>
        <w:rPr>
          <w:rFonts w:ascii="Arial" w:cs="Arial" w:eastAsia="Arial" w:hAnsi="Arial"/>
          <w:sz w:val="18"/>
          <w:szCs w:val="18"/>
          <w:color w:val="4F6228"/>
        </w:rPr>
      </w:pPr>
    </w:p>
    <w:p>
      <w:pPr>
        <w:ind w:left="520" w:hanging="136"/>
        <w:spacing w:after="0"/>
        <w:tabs>
          <w:tab w:leader="none" w:pos="520" w:val="left"/>
        </w:tabs>
        <w:numPr>
          <w:ilvl w:val="0"/>
          <w:numId w:val="6"/>
        </w:numPr>
        <w:rPr>
          <w:rFonts w:ascii="Arial" w:cs="Arial" w:eastAsia="Arial" w:hAnsi="Arial"/>
          <w:sz w:val="18"/>
          <w:szCs w:val="18"/>
          <w:color w:val="4F6228"/>
        </w:rPr>
      </w:pPr>
      <w:r>
        <w:rPr>
          <w:rFonts w:ascii="Arial" w:cs="Arial" w:eastAsia="Arial" w:hAnsi="Arial"/>
          <w:sz w:val="18"/>
          <w:szCs w:val="18"/>
          <w:color w:val="auto"/>
        </w:rPr>
        <w:t>Robust stock ownership guidelines for Directors and Named Executive Officers</w:t>
      </w:r>
    </w:p>
    <w:p>
      <w:pPr>
        <w:spacing w:after="0" w:line="53" w:lineRule="exact"/>
        <w:rPr>
          <w:rFonts w:ascii="Arial" w:cs="Arial" w:eastAsia="Arial" w:hAnsi="Arial"/>
          <w:sz w:val="18"/>
          <w:szCs w:val="18"/>
          <w:color w:val="4F6228"/>
        </w:rPr>
      </w:pPr>
    </w:p>
    <w:p>
      <w:pPr>
        <w:ind w:left="520" w:hanging="136"/>
        <w:spacing w:after="0"/>
        <w:tabs>
          <w:tab w:leader="none" w:pos="520" w:val="left"/>
        </w:tabs>
        <w:numPr>
          <w:ilvl w:val="0"/>
          <w:numId w:val="6"/>
        </w:numPr>
        <w:rPr>
          <w:rFonts w:ascii="Arial" w:cs="Arial" w:eastAsia="Arial" w:hAnsi="Arial"/>
          <w:sz w:val="18"/>
          <w:szCs w:val="18"/>
          <w:color w:val="4F6228"/>
        </w:rPr>
      </w:pPr>
      <w:r>
        <w:rPr>
          <w:rFonts w:ascii="Arial" w:cs="Arial" w:eastAsia="Arial" w:hAnsi="Arial"/>
          <w:sz w:val="18"/>
          <w:szCs w:val="18"/>
          <w:color w:val="auto"/>
        </w:rPr>
        <w:t>Prohibition on all pledging and hedging of the Company’s stock by Directors, Officers and other insiders</w:t>
      </w:r>
    </w:p>
    <w:p>
      <w:pPr>
        <w:spacing w:after="0" w:line="53" w:lineRule="exact"/>
        <w:rPr>
          <w:rFonts w:ascii="Arial" w:cs="Arial" w:eastAsia="Arial" w:hAnsi="Arial"/>
          <w:sz w:val="18"/>
          <w:szCs w:val="18"/>
          <w:color w:val="4F6228"/>
        </w:rPr>
      </w:pPr>
    </w:p>
    <w:p>
      <w:pPr>
        <w:ind w:left="520" w:hanging="136"/>
        <w:spacing w:after="0"/>
        <w:tabs>
          <w:tab w:leader="none" w:pos="520" w:val="left"/>
        </w:tabs>
        <w:numPr>
          <w:ilvl w:val="0"/>
          <w:numId w:val="6"/>
        </w:numPr>
        <w:rPr>
          <w:rFonts w:ascii="Arial" w:cs="Arial" w:eastAsia="Arial" w:hAnsi="Arial"/>
          <w:sz w:val="18"/>
          <w:szCs w:val="18"/>
          <w:color w:val="4F6228"/>
        </w:rPr>
      </w:pPr>
      <w:r>
        <w:rPr>
          <w:rFonts w:ascii="Arial" w:cs="Arial" w:eastAsia="Arial" w:hAnsi="Arial"/>
          <w:sz w:val="18"/>
          <w:szCs w:val="18"/>
          <w:color w:val="auto"/>
        </w:rPr>
        <w:t>Annual advisory vote on executive compensation</w:t>
      </w:r>
    </w:p>
    <w:p>
      <w:pPr>
        <w:spacing w:after="0" w:line="53" w:lineRule="exact"/>
        <w:rPr>
          <w:rFonts w:ascii="Arial" w:cs="Arial" w:eastAsia="Arial" w:hAnsi="Arial"/>
          <w:sz w:val="18"/>
          <w:szCs w:val="18"/>
          <w:color w:val="4F6228"/>
        </w:rPr>
      </w:pPr>
    </w:p>
    <w:p>
      <w:pPr>
        <w:ind w:left="520" w:hanging="136"/>
        <w:spacing w:after="0"/>
        <w:tabs>
          <w:tab w:leader="none" w:pos="520" w:val="left"/>
        </w:tabs>
        <w:numPr>
          <w:ilvl w:val="0"/>
          <w:numId w:val="6"/>
        </w:numPr>
        <w:rPr>
          <w:rFonts w:ascii="Arial" w:cs="Arial" w:eastAsia="Arial" w:hAnsi="Arial"/>
          <w:sz w:val="18"/>
          <w:szCs w:val="18"/>
          <w:color w:val="4F6228"/>
        </w:rPr>
      </w:pPr>
      <w:r>
        <w:rPr>
          <w:rFonts w:ascii="Arial" w:cs="Arial" w:eastAsia="Arial" w:hAnsi="Arial"/>
          <w:sz w:val="18"/>
          <w:szCs w:val="18"/>
          <w:color w:val="auto"/>
        </w:rPr>
        <w:t>Code of Business Conduct and Ethics that applies to Directors and employees</w:t>
      </w:r>
    </w:p>
    <w:p>
      <w:pPr>
        <w:spacing w:after="0" w:line="53" w:lineRule="exact"/>
        <w:rPr>
          <w:rFonts w:ascii="Arial" w:cs="Arial" w:eastAsia="Arial" w:hAnsi="Arial"/>
          <w:sz w:val="18"/>
          <w:szCs w:val="18"/>
          <w:color w:val="4F6228"/>
        </w:rPr>
      </w:pPr>
    </w:p>
    <w:p>
      <w:pPr>
        <w:ind w:left="520" w:hanging="136"/>
        <w:spacing w:after="0"/>
        <w:tabs>
          <w:tab w:leader="none" w:pos="520" w:val="left"/>
        </w:tabs>
        <w:numPr>
          <w:ilvl w:val="0"/>
          <w:numId w:val="6"/>
        </w:numPr>
        <w:rPr>
          <w:rFonts w:ascii="Arial" w:cs="Arial" w:eastAsia="Arial" w:hAnsi="Arial"/>
          <w:sz w:val="18"/>
          <w:szCs w:val="18"/>
          <w:color w:val="4F6228"/>
        </w:rPr>
      </w:pPr>
      <w:r>
        <w:rPr>
          <w:rFonts w:ascii="Arial" w:cs="Arial" w:eastAsia="Arial" w:hAnsi="Arial"/>
          <w:sz w:val="18"/>
          <w:szCs w:val="18"/>
          <w:color w:val="auto"/>
        </w:rPr>
        <w:t>No supermajority voting requirement to amend By-Laws</w:t>
      </w:r>
    </w:p>
    <w:p>
      <w:pPr>
        <w:spacing w:after="0" w:line="53" w:lineRule="exact"/>
        <w:rPr>
          <w:rFonts w:ascii="Arial" w:cs="Arial" w:eastAsia="Arial" w:hAnsi="Arial"/>
          <w:sz w:val="18"/>
          <w:szCs w:val="18"/>
          <w:color w:val="4F6228"/>
        </w:rPr>
      </w:pPr>
    </w:p>
    <w:p>
      <w:pPr>
        <w:ind w:left="520" w:hanging="136"/>
        <w:spacing w:after="0"/>
        <w:tabs>
          <w:tab w:leader="none" w:pos="520" w:val="left"/>
        </w:tabs>
        <w:numPr>
          <w:ilvl w:val="0"/>
          <w:numId w:val="6"/>
        </w:numPr>
        <w:rPr>
          <w:rFonts w:ascii="Arial" w:cs="Arial" w:eastAsia="Arial" w:hAnsi="Arial"/>
          <w:sz w:val="18"/>
          <w:szCs w:val="18"/>
          <w:color w:val="4F6228"/>
        </w:rPr>
      </w:pPr>
      <w:r>
        <w:rPr>
          <w:rFonts w:ascii="Arial" w:cs="Arial" w:eastAsia="Arial" w:hAnsi="Arial"/>
          <w:sz w:val="18"/>
          <w:szCs w:val="18"/>
          <w:color w:val="auto"/>
        </w:rPr>
        <w:t>No poison pill</w:t>
      </w:r>
    </w:p>
    <w:p>
      <w:pPr>
        <w:spacing w:after="0" w:line="53" w:lineRule="exact"/>
        <w:rPr>
          <w:rFonts w:ascii="Arial" w:cs="Arial" w:eastAsia="Arial" w:hAnsi="Arial"/>
          <w:sz w:val="18"/>
          <w:szCs w:val="18"/>
          <w:color w:val="4F6228"/>
        </w:rPr>
      </w:pPr>
    </w:p>
    <w:p>
      <w:pPr>
        <w:ind w:left="520" w:hanging="136"/>
        <w:spacing w:after="0"/>
        <w:tabs>
          <w:tab w:leader="none" w:pos="520" w:val="left"/>
        </w:tabs>
        <w:numPr>
          <w:ilvl w:val="0"/>
          <w:numId w:val="6"/>
        </w:numPr>
        <w:rPr>
          <w:rFonts w:ascii="Arial" w:cs="Arial" w:eastAsia="Arial" w:hAnsi="Arial"/>
          <w:sz w:val="18"/>
          <w:szCs w:val="18"/>
          <w:color w:val="4F6228"/>
        </w:rPr>
      </w:pPr>
      <w:r>
        <w:rPr>
          <w:rFonts w:ascii="Arial" w:cs="Arial" w:eastAsia="Arial" w:hAnsi="Arial"/>
          <w:sz w:val="18"/>
          <w:szCs w:val="18"/>
          <w:color w:val="auto"/>
        </w:rPr>
        <w:t>Oversight of sustainability/ESG assigned to Nominating and Corporate Governance Committee</w:t>
      </w:r>
    </w:p>
    <w:p>
      <w:pPr>
        <w:spacing w:after="0" w:line="65" w:lineRule="exact"/>
        <w:rPr>
          <w:rFonts w:ascii="Arial" w:cs="Arial" w:eastAsia="Arial" w:hAnsi="Arial"/>
          <w:sz w:val="18"/>
          <w:szCs w:val="18"/>
          <w:color w:val="4F6228"/>
        </w:rPr>
      </w:pPr>
    </w:p>
    <w:p>
      <w:pPr>
        <w:ind w:left="540" w:hanging="156"/>
        <w:spacing w:after="0"/>
        <w:tabs>
          <w:tab w:leader="none" w:pos="540" w:val="left"/>
        </w:tabs>
        <w:numPr>
          <w:ilvl w:val="0"/>
          <w:numId w:val="6"/>
        </w:numPr>
        <w:rPr>
          <w:rFonts w:ascii="Arial" w:cs="Arial" w:eastAsia="Arial" w:hAnsi="Arial"/>
          <w:sz w:val="20"/>
          <w:szCs w:val="20"/>
          <w:color w:val="4F6228"/>
        </w:rPr>
      </w:pPr>
      <w:r>
        <w:rPr>
          <w:rFonts w:ascii="Arial" w:cs="Arial" w:eastAsia="Arial" w:hAnsi="Arial"/>
          <w:sz w:val="18"/>
          <w:szCs w:val="18"/>
          <w:color w:val="auto"/>
        </w:rPr>
        <w:t>Active outreach and engagement with Shareholders throughout the year</w:t>
      </w:r>
    </w:p>
    <w:p>
      <w:pPr>
        <w:spacing w:after="0" w:line="278" w:lineRule="exact"/>
        <w:rPr>
          <w:sz w:val="20"/>
          <w:szCs w:val="20"/>
          <w:color w:val="auto"/>
        </w:rPr>
      </w:pPr>
    </w:p>
    <w:p>
      <w:pPr>
        <w:spacing w:after="0"/>
        <w:rPr>
          <w:sz w:val="20"/>
          <w:szCs w:val="20"/>
          <w:color w:val="auto"/>
        </w:rPr>
      </w:pPr>
      <w:r>
        <w:rPr>
          <w:rFonts w:ascii="Arial" w:cs="Arial" w:eastAsia="Arial" w:hAnsi="Arial"/>
          <w:sz w:val="26"/>
          <w:szCs w:val="26"/>
          <w:b w:val="1"/>
          <w:bCs w:val="1"/>
          <w:color w:val="29650B"/>
        </w:rPr>
        <w:t>Shareholder Engagement</w:t>
      </w:r>
    </w:p>
    <w:p>
      <w:pPr>
        <w:spacing w:after="0" w:line="121"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The Company has developed a multi-platform Shareholder engagement program that results in active dialogue with both current and prospective Shareholders all over the world. Major elements of the program include individual or group investor meetings, scheduled teleconferences, participation in sponsored institutional investor conferences and investor visits to Company manufacturing or administrative facilities. Subjects of discussion at these events include long-term strategy, historical and pro-forma financial information, recent and pending acquisitions, major trends and issues affecting the Company’s businesses, industry dynamics, executive compensation, sustainability and corporate governance, among other matters. In addition, since the November 2019 announcement of our ongoing Board-led review of our portfolio and capital allocation/return and our continuing Board refreshment process, our Shareholder engagement has included the receipt of shareholder perspectives on our businesses and capital allocation as well as our Board composition. During last year’s engagement cycle we estimate that we had personal contact with investors owning well over 50% of the Company’s outstanding shares.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742" w:right="339" w:bottom="1440" w:gutter="0" w:footer="0" w:header="0"/>
        </w:sectPr>
      </w:pPr>
    </w:p>
    <w:bookmarkStart w:id="8" w:name="page9"/>
    <w:bookmarkEnd w:id="8"/>
    <w:p>
      <w:pPr>
        <w:spacing w:after="0"/>
        <w:rPr>
          <w:sz w:val="20"/>
          <w:szCs w:val="20"/>
          <w:color w:val="auto"/>
        </w:rPr>
      </w:pPr>
      <w:r>
        <w:rPr>
          <w:rFonts w:ascii="Arial" w:cs="Arial" w:eastAsia="Arial" w:hAnsi="Arial"/>
          <w:sz w:val="26"/>
          <w:szCs w:val="26"/>
          <w:b w:val="1"/>
          <w:bCs w:val="1"/>
          <w:color w:val="29650B"/>
        </w:rPr>
        <w:t>Sustainability – Environmental and Social Responsibility</w:t>
      </w:r>
    </w:p>
    <w:p>
      <w:pPr>
        <w:spacing w:after="0" w:line="24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Sustainability is integral to the Company’s business strategy. The Company’s Nominating and Corporate Governance Committee has oversight of the Company’s sustainability efforts pursuant to its Committee charter. We manage our business with ESG as an important operational consideration and with a relentless focus on safety, innovation and efficiency – both in our manufacturing processes and our use of resources. That discipline has enabled us to reduce our overall energy consumption and greenhouse gas emissions, even as demand for our metal packaging products has continued to increase and we have grown our global footprint to best support our regional and international customers. In 2020, we will expand our conservation efforts to water usage. Our focus on sustainability is aided by the strong recyclability credentials of aluminum and steel, our primary raw materials for metal packaging that can be infinitely recycled with no loss of physical properties. These natural elements maintain their properties forever, making metal a key contributor to the circular economy. This constant reuse into new containers or other metal products saves raw materials and energy and reduces CO</w:t>
      </w:r>
      <w:r>
        <w:rPr>
          <w:rFonts w:ascii="Arial" w:cs="Arial" w:eastAsia="Arial" w:hAnsi="Arial"/>
          <w:sz w:val="30"/>
          <w:szCs w:val="30"/>
          <w:color w:val="auto"/>
          <w:vertAlign w:val="subscript"/>
        </w:rPr>
        <w:t>2</w:t>
      </w:r>
      <w:r>
        <w:rPr>
          <w:rFonts w:ascii="Arial" w:cs="Arial" w:eastAsia="Arial" w:hAnsi="Arial"/>
          <w:sz w:val="18"/>
          <w:szCs w:val="18"/>
          <w:color w:val="auto"/>
        </w:rPr>
        <w:t xml:space="preserve"> emissions. Most of the products made by our Transit Packaging Division use a high-degree of recycled content and many use 100% recycled content.</w:t>
      </w:r>
    </w:p>
    <w:p>
      <w:pPr>
        <w:spacing w:after="0" w:line="178" w:lineRule="exact"/>
        <w:rPr>
          <w:sz w:val="20"/>
          <w:szCs w:val="20"/>
          <w:color w:val="auto"/>
        </w:rPr>
      </w:pPr>
    </w:p>
    <w:p>
      <w:pPr>
        <w:jc w:val="both"/>
        <w:ind w:right="20"/>
        <w:spacing w:after="0" w:line="254" w:lineRule="auto"/>
        <w:rPr>
          <w:sz w:val="20"/>
          <w:szCs w:val="20"/>
          <w:color w:val="auto"/>
        </w:rPr>
      </w:pPr>
      <w:r>
        <w:rPr>
          <w:rFonts w:ascii="Arial" w:cs="Arial" w:eastAsia="Arial" w:hAnsi="Arial"/>
          <w:sz w:val="20"/>
          <w:szCs w:val="20"/>
          <w:color w:val="auto"/>
        </w:rPr>
        <w:t xml:space="preserve">The Company issued its most recent biennial Sustainability Report in February 2020. The report uses the Global Reporting Initiative’s G4 guidelines and is available in full at </w:t>
      </w:r>
      <w:r>
        <w:rPr>
          <w:rFonts w:ascii="Arial" w:cs="Arial" w:eastAsia="Arial" w:hAnsi="Arial"/>
          <w:sz w:val="20"/>
          <w:szCs w:val="20"/>
          <w:b w:val="1"/>
          <w:bCs w:val="1"/>
          <w:u w:val="single" w:color="auto"/>
          <w:color w:val="29650B"/>
        </w:rPr>
        <w:t>https://sustainability.crowncork.com/</w:t>
      </w:r>
      <w:r>
        <w:rPr>
          <w:rFonts w:ascii="Arial" w:cs="Arial" w:eastAsia="Arial" w:hAnsi="Arial"/>
          <w:sz w:val="20"/>
          <w:szCs w:val="20"/>
          <w:color w:val="auto"/>
        </w:rPr>
        <w:t>.</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color w:val="auto"/>
        </w:rPr>
        <w:t>Some highlights from our recent sustainability results are as follows:</w:t>
      </w:r>
      <w:r>
        <w:rPr>
          <w:rFonts w:ascii="Arial" w:cs="Arial" w:eastAsia="Arial" w:hAnsi="Arial"/>
          <w:sz w:val="33"/>
          <w:szCs w:val="33"/>
          <w:color w:val="auto"/>
          <w:vertAlign w:val="superscript"/>
        </w:rPr>
        <w:t>1</w:t>
      </w:r>
    </w:p>
    <w:p>
      <w:pPr>
        <w:spacing w:after="0" w:line="85" w:lineRule="exact"/>
        <w:rPr>
          <w:sz w:val="20"/>
          <w:szCs w:val="20"/>
          <w:color w:val="auto"/>
        </w:rPr>
      </w:pPr>
    </w:p>
    <w:p>
      <w:pPr>
        <w:jc w:val="both"/>
        <w:ind w:left="1320" w:right="100" w:hanging="549"/>
        <w:spacing w:after="0"/>
        <w:tabs>
          <w:tab w:leader="none" w:pos="1320" w:val="left"/>
        </w:tabs>
        <w:numPr>
          <w:ilvl w:val="1"/>
          <w:numId w:val="7"/>
        </w:numPr>
        <w:rPr>
          <w:rFonts w:ascii="Arial" w:cs="Arial" w:eastAsia="Arial" w:hAnsi="Arial"/>
          <w:sz w:val="20"/>
          <w:szCs w:val="20"/>
          <w:color w:val="auto"/>
        </w:rPr>
      </w:pPr>
      <w:r>
        <w:rPr>
          <w:rFonts w:ascii="Arial" w:cs="Arial" w:eastAsia="Arial" w:hAnsi="Arial"/>
          <w:sz w:val="20"/>
          <w:szCs w:val="20"/>
          <w:color w:val="auto"/>
        </w:rPr>
        <w:t>We participate in the climate change program of CDP (formerly known as the Carbon Disclosure Project) to further increase transparency with customers and other important stakeholders. Our last three annual submissions have received high rankings, placing us in the “Leadership” and “Management” tiers. Crown consistently scores as one of the highest companies in the packaging sector.</w:t>
      </w:r>
    </w:p>
    <w:p>
      <w:pPr>
        <w:spacing w:after="0" w:line="171" w:lineRule="exact"/>
        <w:rPr>
          <w:rFonts w:ascii="Arial" w:cs="Arial" w:eastAsia="Arial" w:hAnsi="Arial"/>
          <w:sz w:val="20"/>
          <w:szCs w:val="20"/>
          <w:color w:val="auto"/>
        </w:rPr>
      </w:pPr>
    </w:p>
    <w:p>
      <w:pPr>
        <w:ind w:left="1320" w:right="100" w:hanging="549"/>
        <w:spacing w:after="0" w:line="254" w:lineRule="auto"/>
        <w:tabs>
          <w:tab w:leader="none" w:pos="1320" w:val="left"/>
        </w:tabs>
        <w:numPr>
          <w:ilvl w:val="1"/>
          <w:numId w:val="7"/>
        </w:numPr>
        <w:rPr>
          <w:rFonts w:ascii="Arial" w:cs="Arial" w:eastAsia="Arial" w:hAnsi="Arial"/>
          <w:sz w:val="20"/>
          <w:szCs w:val="20"/>
          <w:color w:val="auto"/>
        </w:rPr>
      </w:pPr>
      <w:r>
        <w:rPr>
          <w:rFonts w:ascii="Arial" w:cs="Arial" w:eastAsia="Arial" w:hAnsi="Arial"/>
          <w:sz w:val="20"/>
          <w:szCs w:val="20"/>
          <w:color w:val="auto"/>
        </w:rPr>
        <w:t>The Company expects to report under the SASB methodology in its next Sustainability Report, which will be published in early 2021.</w:t>
      </w:r>
    </w:p>
    <w:p>
      <w:pPr>
        <w:spacing w:after="0" w:line="158" w:lineRule="exact"/>
        <w:rPr>
          <w:rFonts w:ascii="Arial" w:cs="Arial" w:eastAsia="Arial" w:hAnsi="Arial"/>
          <w:sz w:val="20"/>
          <w:szCs w:val="20"/>
          <w:color w:val="auto"/>
        </w:rPr>
      </w:pPr>
    </w:p>
    <w:p>
      <w:pPr>
        <w:jc w:val="both"/>
        <w:ind w:left="1320" w:right="100" w:hanging="549"/>
        <w:spacing w:after="0" w:line="262" w:lineRule="auto"/>
        <w:tabs>
          <w:tab w:leader="none" w:pos="1320" w:val="left"/>
        </w:tabs>
        <w:numPr>
          <w:ilvl w:val="1"/>
          <w:numId w:val="7"/>
        </w:numPr>
        <w:rPr>
          <w:rFonts w:ascii="Arial" w:cs="Arial" w:eastAsia="Arial" w:hAnsi="Arial"/>
          <w:sz w:val="19"/>
          <w:szCs w:val="19"/>
          <w:color w:val="auto"/>
        </w:rPr>
      </w:pPr>
      <w:r>
        <w:rPr>
          <w:rFonts w:ascii="Arial" w:cs="Arial" w:eastAsia="Arial" w:hAnsi="Arial"/>
          <w:sz w:val="19"/>
          <w:szCs w:val="19"/>
          <w:color w:val="auto"/>
        </w:rPr>
        <w:t>We established a goal to reduce energy consumption by 5% per billion standard units of production (our unit of measure for metal packaging defined in the report) from 2015 levels by the end of 2020. As of December 31, 2018, we have exceeded this goal, reducing energy consumption by 6.23% per billion standard units for metal packaging.</w:t>
      </w:r>
    </w:p>
    <w:p>
      <w:pPr>
        <w:spacing w:after="0" w:line="152" w:lineRule="exact"/>
        <w:rPr>
          <w:rFonts w:ascii="Arial" w:cs="Arial" w:eastAsia="Arial" w:hAnsi="Arial"/>
          <w:sz w:val="19"/>
          <w:szCs w:val="19"/>
          <w:color w:val="auto"/>
        </w:rPr>
      </w:pPr>
    </w:p>
    <w:p>
      <w:pPr>
        <w:jc w:val="both"/>
        <w:ind w:left="1320" w:right="100" w:hanging="549"/>
        <w:spacing w:after="0"/>
        <w:tabs>
          <w:tab w:leader="none" w:pos="1320" w:val="left"/>
        </w:tabs>
        <w:numPr>
          <w:ilvl w:val="1"/>
          <w:numId w:val="7"/>
        </w:numPr>
        <w:rPr>
          <w:rFonts w:ascii="Arial" w:cs="Arial" w:eastAsia="Arial" w:hAnsi="Arial"/>
          <w:sz w:val="20"/>
          <w:szCs w:val="20"/>
          <w:color w:val="auto"/>
        </w:rPr>
      </w:pPr>
      <w:r>
        <w:rPr>
          <w:rFonts w:ascii="Arial" w:cs="Arial" w:eastAsia="Arial" w:hAnsi="Arial"/>
          <w:sz w:val="20"/>
          <w:szCs w:val="20"/>
          <w:color w:val="auto"/>
        </w:rPr>
        <w:t>We established a goal to reduce Scope 1 and Scope 2 greenhouse gas emissions by 10% per billion standard units of production from 2015 levels by the end of 2020. As of December 31, 2018, we are 94% of the way towards achieving this goal, with greenhouse gas emissions reduced by 9.43% per billion standard units. Absolute emissions have decreased by 1.7% even as production has increased by 8.4%.</w:t>
      </w:r>
    </w:p>
    <w:p>
      <w:pPr>
        <w:spacing w:after="0" w:line="200" w:lineRule="exact"/>
        <w:rPr>
          <w:rFonts w:ascii="Arial" w:cs="Arial" w:eastAsia="Arial" w:hAnsi="Arial"/>
          <w:sz w:val="20"/>
          <w:szCs w:val="20"/>
          <w:color w:val="auto"/>
        </w:rPr>
      </w:pPr>
    </w:p>
    <w:p>
      <w:pPr>
        <w:spacing w:after="0" w:line="339" w:lineRule="exact"/>
        <w:rPr>
          <w:rFonts w:ascii="Arial" w:cs="Arial" w:eastAsia="Arial" w:hAnsi="Arial"/>
          <w:sz w:val="20"/>
          <w:szCs w:val="20"/>
          <w:color w:val="auto"/>
        </w:rPr>
      </w:pPr>
    </w:p>
    <w:p>
      <w:pPr>
        <w:jc w:val="both"/>
        <w:ind w:right="20" w:firstLine="331"/>
        <w:spacing w:after="0" w:line="225" w:lineRule="auto"/>
        <w:rPr>
          <w:rFonts w:ascii="Arial" w:cs="Arial" w:eastAsia="Arial" w:hAnsi="Arial"/>
          <w:sz w:val="20"/>
          <w:szCs w:val="20"/>
          <w:color w:val="auto"/>
        </w:rPr>
      </w:pPr>
      <w:r>
        <w:rPr>
          <w:rFonts w:ascii="Arial" w:cs="Arial" w:eastAsia="Arial" w:hAnsi="Arial"/>
          <w:sz w:val="30"/>
          <w:szCs w:val="30"/>
          <w:color w:val="auto"/>
          <w:vertAlign w:val="superscript"/>
        </w:rPr>
        <w:t>1</w:t>
      </w:r>
      <w:r>
        <w:rPr>
          <w:rFonts w:ascii="Arial" w:cs="Arial" w:eastAsia="Arial" w:hAnsi="Arial"/>
          <w:sz w:val="18"/>
          <w:szCs w:val="18"/>
          <w:color w:val="auto"/>
        </w:rPr>
        <w:t xml:space="preserve"> We continue actively working to integrate our new Transit Packaging Division, which has a much more diverse set of product offerings and manufacturing formats than our metal packaging business, into our sustainability measurement methodology. The data above do not include Transit Packaging. Nevertheless, we note that a large percentage of the products sold by the Transit Packaging Division are made from recycled materials and that the Transit Packaging Division recycles millions of pounds of material to manufacture its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-622935</wp:posOffset>
            </wp:positionV>
            <wp:extent cx="1787525"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87525" cy="7620"/>
                    </a:xfrm>
                    <a:prstGeom prst="rect">
                      <a:avLst/>
                    </a:prstGeom>
                    <a:noFill/>
                  </pic:spPr>
                </pic:pic>
              </a:graphicData>
            </a:graphic>
          </wp:anchor>
        </w:drawing>
      </w:r>
    </w:p>
    <w:p>
      <w:pPr>
        <w:spacing w:after="0" w:line="18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60"/>
          </w:cols>
          <w:pgMar w:left="320" w:top="531" w:right="319" w:bottom="1440" w:gutter="0" w:footer="0" w:header="0"/>
        </w:sectPr>
      </w:pPr>
    </w:p>
    <w:bookmarkStart w:id="9" w:name="page10"/>
    <w:bookmarkEnd w:id="9"/>
    <w:p>
      <w:pPr>
        <w:ind w:left="1320" w:right="80" w:hanging="549"/>
        <w:spacing w:after="0" w:line="254" w:lineRule="auto"/>
        <w:tabs>
          <w:tab w:leader="none" w:pos="1320" w:val="left"/>
        </w:tabs>
        <w:numPr>
          <w:ilvl w:val="0"/>
          <w:numId w:val="8"/>
        </w:numPr>
        <w:rPr>
          <w:rFonts w:ascii="Arial" w:cs="Arial" w:eastAsia="Arial" w:hAnsi="Arial"/>
          <w:sz w:val="20"/>
          <w:szCs w:val="20"/>
          <w:color w:val="auto"/>
        </w:rPr>
      </w:pPr>
      <w:r>
        <w:rPr>
          <w:rFonts w:ascii="Arial" w:cs="Arial" w:eastAsia="Arial" w:hAnsi="Arial"/>
          <w:sz w:val="20"/>
          <w:szCs w:val="20"/>
          <w:color w:val="auto"/>
        </w:rPr>
        <w:t>During the reporting period, the Company won numerous awards in multiple U.S. states and in all three of our global geographic divisions in areas such as safety, recycling, pollution prevention and green manufacturing.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Since the date of our last proxy statement, the Company has taken many additional steps in our sustainability efforts, including the following:</w:t>
      </w:r>
    </w:p>
    <w:p>
      <w:pPr>
        <w:spacing w:after="0" w:line="240" w:lineRule="exact"/>
        <w:rPr>
          <w:sz w:val="20"/>
          <w:szCs w:val="20"/>
          <w:color w:val="auto"/>
        </w:rPr>
      </w:pPr>
    </w:p>
    <w:p>
      <w:pPr>
        <w:jc w:val="both"/>
        <w:ind w:left="1320" w:right="80" w:hanging="549"/>
        <w:spacing w:after="0" w:line="262" w:lineRule="auto"/>
        <w:tabs>
          <w:tab w:leader="none" w:pos="1320" w:val="left"/>
        </w:tabs>
        <w:numPr>
          <w:ilvl w:val="0"/>
          <w:numId w:val="9"/>
        </w:numPr>
        <w:rPr>
          <w:rFonts w:ascii="Arial" w:cs="Arial" w:eastAsia="Arial" w:hAnsi="Arial"/>
          <w:sz w:val="19"/>
          <w:szCs w:val="19"/>
          <w:color w:val="auto"/>
        </w:rPr>
      </w:pPr>
      <w:r>
        <w:rPr>
          <w:rFonts w:ascii="Arial" w:cs="Arial" w:eastAsia="Arial" w:hAnsi="Arial"/>
          <w:sz w:val="19"/>
          <w:szCs w:val="19"/>
          <w:color w:val="auto"/>
        </w:rPr>
        <w:t>We signed one of the largest non-investment grade “sustainability-linked loans” in history. The interest rate on the Company’s revolving credit facility will increase or decrease, in part, based on the annual environmental, social and governance scores received by the Company from one of the major third-party sustainability ratings agencies.</w:t>
      </w:r>
    </w:p>
    <w:p>
      <w:pPr>
        <w:spacing w:after="0" w:line="177" w:lineRule="exact"/>
        <w:rPr>
          <w:rFonts w:ascii="Arial" w:cs="Arial" w:eastAsia="Arial" w:hAnsi="Arial"/>
          <w:sz w:val="19"/>
          <w:szCs w:val="19"/>
          <w:color w:val="auto"/>
        </w:rPr>
      </w:pPr>
    </w:p>
    <w:p>
      <w:pPr>
        <w:ind w:left="1320" w:right="80" w:hanging="549"/>
        <w:spacing w:after="0" w:line="254" w:lineRule="auto"/>
        <w:tabs>
          <w:tab w:leader="none" w:pos="1320" w:val="left"/>
        </w:tabs>
        <w:numPr>
          <w:ilvl w:val="0"/>
          <w:numId w:val="9"/>
        </w:numPr>
        <w:rPr>
          <w:rFonts w:ascii="Arial" w:cs="Arial" w:eastAsia="Arial" w:hAnsi="Arial"/>
          <w:sz w:val="20"/>
          <w:szCs w:val="20"/>
          <w:color w:val="auto"/>
        </w:rPr>
      </w:pPr>
      <w:r>
        <w:rPr>
          <w:rFonts w:ascii="Arial" w:cs="Arial" w:eastAsia="Arial" w:hAnsi="Arial"/>
          <w:sz w:val="20"/>
          <w:szCs w:val="20"/>
          <w:color w:val="auto"/>
        </w:rPr>
        <w:t>We announced plans to reduce water usage in our global operations by 20% from 2019 levels by the end of 2025. These efforts will decrease the Company’s water usage by over 500 million gallons annually.</w:t>
      </w:r>
    </w:p>
    <w:p>
      <w:pPr>
        <w:spacing w:after="0" w:line="182" w:lineRule="exact"/>
        <w:rPr>
          <w:rFonts w:ascii="Arial" w:cs="Arial" w:eastAsia="Arial" w:hAnsi="Arial"/>
          <w:sz w:val="20"/>
          <w:szCs w:val="20"/>
          <w:color w:val="auto"/>
        </w:rPr>
      </w:pPr>
    </w:p>
    <w:p>
      <w:pPr>
        <w:ind w:left="1320" w:hanging="549"/>
        <w:spacing w:after="0"/>
        <w:tabs>
          <w:tab w:leader="none" w:pos="1320" w:val="left"/>
        </w:tabs>
        <w:numPr>
          <w:ilvl w:val="0"/>
          <w:numId w:val="9"/>
        </w:numPr>
        <w:rPr>
          <w:rFonts w:ascii="Arial" w:cs="Arial" w:eastAsia="Arial" w:hAnsi="Arial"/>
          <w:sz w:val="20"/>
          <w:szCs w:val="20"/>
          <w:color w:val="auto"/>
        </w:rPr>
      </w:pPr>
      <w:r>
        <w:rPr>
          <w:rFonts w:ascii="Arial" w:cs="Arial" w:eastAsia="Arial" w:hAnsi="Arial"/>
          <w:sz w:val="20"/>
          <w:szCs w:val="20"/>
          <w:color w:val="auto"/>
        </w:rPr>
        <w:t>We joined RE100, pledging a total transition to 100% renewable electricity by 2050.</w:t>
      </w:r>
    </w:p>
    <w:p>
      <w:pPr>
        <w:spacing w:after="0" w:line="216" w:lineRule="exact"/>
        <w:rPr>
          <w:rFonts w:ascii="Arial" w:cs="Arial" w:eastAsia="Arial" w:hAnsi="Arial"/>
          <w:sz w:val="20"/>
          <w:szCs w:val="20"/>
          <w:color w:val="auto"/>
        </w:rPr>
      </w:pPr>
    </w:p>
    <w:p>
      <w:pPr>
        <w:jc w:val="both"/>
        <w:ind w:left="1320" w:right="80" w:hanging="549"/>
        <w:spacing w:after="0" w:line="243" w:lineRule="auto"/>
        <w:tabs>
          <w:tab w:leader="none" w:pos="1320" w:val="left"/>
        </w:tabs>
        <w:numPr>
          <w:ilvl w:val="0"/>
          <w:numId w:val="9"/>
        </w:numPr>
        <w:rPr>
          <w:rFonts w:ascii="Arial" w:cs="Arial" w:eastAsia="Arial" w:hAnsi="Arial"/>
          <w:sz w:val="20"/>
          <w:szCs w:val="20"/>
          <w:color w:val="auto"/>
        </w:rPr>
      </w:pPr>
      <w:r>
        <w:rPr>
          <w:rFonts w:ascii="Arial" w:cs="Arial" w:eastAsia="Arial" w:hAnsi="Arial"/>
          <w:sz w:val="20"/>
          <w:szCs w:val="20"/>
          <w:color w:val="auto"/>
        </w:rPr>
        <w:t>We committed to the Science-Based Targets Initiative, which requires the Company to set specific goals for reducing GHG emissions. These targets, which will be announced in 2020, will align with global temperature limits set by the Paris Agreement of 2015.</w:t>
      </w:r>
    </w:p>
    <w:p>
      <w:pPr>
        <w:spacing w:after="0" w:line="194" w:lineRule="exact"/>
        <w:rPr>
          <w:rFonts w:ascii="Arial" w:cs="Arial" w:eastAsia="Arial" w:hAnsi="Arial"/>
          <w:sz w:val="20"/>
          <w:szCs w:val="20"/>
          <w:color w:val="auto"/>
        </w:rPr>
      </w:pPr>
    </w:p>
    <w:p>
      <w:pPr>
        <w:ind w:left="1320" w:right="80" w:hanging="549"/>
        <w:spacing w:after="0" w:line="254" w:lineRule="auto"/>
        <w:tabs>
          <w:tab w:leader="none" w:pos="1320" w:val="left"/>
        </w:tabs>
        <w:numPr>
          <w:ilvl w:val="0"/>
          <w:numId w:val="9"/>
        </w:numPr>
        <w:rPr>
          <w:rFonts w:ascii="Arial" w:cs="Arial" w:eastAsia="Arial" w:hAnsi="Arial"/>
          <w:sz w:val="20"/>
          <w:szCs w:val="20"/>
          <w:color w:val="auto"/>
        </w:rPr>
      </w:pPr>
      <w:r>
        <w:rPr>
          <w:rFonts w:ascii="Arial" w:cs="Arial" w:eastAsia="Arial" w:hAnsi="Arial"/>
          <w:sz w:val="20"/>
          <w:szCs w:val="20"/>
          <w:color w:val="auto"/>
        </w:rPr>
        <w:t>We created the new corporate-level position of Vice President – Global Sustainability and have centralized management oversight of our corporate-level efforts under this office.</w:t>
      </w:r>
    </w:p>
    <w:p>
      <w:pPr>
        <w:spacing w:after="0" w:line="182" w:lineRule="exact"/>
        <w:rPr>
          <w:rFonts w:ascii="Arial" w:cs="Arial" w:eastAsia="Arial" w:hAnsi="Arial"/>
          <w:sz w:val="20"/>
          <w:szCs w:val="20"/>
          <w:color w:val="auto"/>
        </w:rPr>
      </w:pPr>
    </w:p>
    <w:p>
      <w:pPr>
        <w:jc w:val="both"/>
        <w:ind w:left="1320" w:right="80" w:hanging="549"/>
        <w:spacing w:after="0" w:line="284" w:lineRule="auto"/>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created Sustainability Steering Committees at the corporate and divisional levels to drive the Company’s sustainability agenda. These committees are led by our sustainability team and staffed by senior executives from areas such as operations, EHS, human resources, sourcing, corporate technologies, risk management, investor relations and legal.</w:t>
      </w:r>
    </w:p>
    <w:p>
      <w:pPr>
        <w:spacing w:after="0" w:line="152" w:lineRule="exact"/>
        <w:rPr>
          <w:rFonts w:ascii="Arial" w:cs="Arial" w:eastAsia="Arial" w:hAnsi="Arial"/>
          <w:sz w:val="18"/>
          <w:szCs w:val="18"/>
          <w:color w:val="auto"/>
        </w:rPr>
      </w:pPr>
    </w:p>
    <w:p>
      <w:pPr>
        <w:ind w:left="1320" w:right="80" w:hanging="549"/>
        <w:spacing w:after="0" w:line="287" w:lineRule="auto"/>
        <w:tabs>
          <w:tab w:leader="none" w:pos="1320" w:val="left"/>
        </w:tabs>
        <w:numPr>
          <w:ilvl w:val="0"/>
          <w:numId w:val="9"/>
        </w:numPr>
        <w:rPr>
          <w:rFonts w:ascii="Arial" w:cs="Arial" w:eastAsia="Arial" w:hAnsi="Arial"/>
          <w:sz w:val="19"/>
          <w:szCs w:val="19"/>
          <w:color w:val="auto"/>
        </w:rPr>
      </w:pPr>
      <w:r>
        <w:rPr>
          <w:rFonts w:ascii="Arial" w:cs="Arial" w:eastAsia="Arial" w:hAnsi="Arial"/>
          <w:sz w:val="19"/>
          <w:szCs w:val="19"/>
          <w:color w:val="auto"/>
        </w:rPr>
        <w:t xml:space="preserve">We launched our new Supplier Code of Conduct, available at </w:t>
      </w:r>
      <w:r>
        <w:rPr>
          <w:rFonts w:ascii="Arial" w:cs="Arial" w:eastAsia="Arial" w:hAnsi="Arial"/>
          <w:sz w:val="19"/>
          <w:szCs w:val="19"/>
          <w:b w:val="1"/>
          <w:bCs w:val="1"/>
          <w:u w:val="single" w:color="auto"/>
          <w:color w:val="29650B"/>
        </w:rPr>
        <w:t>https://www.crowncork.com/investors/corporate-governance/supplier-code-conduct</w:t>
      </w:r>
      <w:r>
        <w:rPr>
          <w:rFonts w:ascii="Arial" w:cs="Arial" w:eastAsia="Arial" w:hAnsi="Arial"/>
          <w:sz w:val="19"/>
          <w:szCs w:val="19"/>
          <w:color w:val="000000"/>
        </w:rPr>
        <w:t>, to ensure alignment of supplier conduct with the Company’s core values.</w:t>
      </w: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666" w:right="339" w:bottom="1440" w:gutter="0" w:footer="0" w:header="0"/>
        </w:sectPr>
      </w:pPr>
    </w:p>
    <w:bookmarkStart w:id="10" w:name="page11"/>
    <w:bookmarkEnd w:id="10"/>
    <w:p>
      <w:pPr>
        <w:spacing w:after="0"/>
        <w:rPr>
          <w:sz w:val="20"/>
          <w:szCs w:val="20"/>
          <w:color w:val="auto"/>
        </w:rPr>
      </w:pPr>
      <w:r>
        <w:rPr>
          <w:rFonts w:ascii="Arial" w:cs="Arial" w:eastAsia="Arial" w:hAnsi="Arial"/>
          <w:sz w:val="26"/>
          <w:szCs w:val="26"/>
          <w:b w:val="1"/>
          <w:bCs w:val="1"/>
          <w:color w:val="29650B"/>
        </w:rPr>
        <w:t>Proposal 2 – Ratification of Appointment of Independent Auditors</w:t>
      </w:r>
    </w:p>
    <w:p>
      <w:pPr>
        <w:spacing w:after="0" w:line="245"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As a matter of good corporate governance, we are asking you to ratify the selection by the Audit Committee of PricewaterhouseCoopers LLP (“PwC”) as our independent auditors for 2020. The following table summarizes the fees PwC billed to the Company for 2019.</w:t>
      </w:r>
    </w:p>
    <w:p>
      <w:pPr>
        <w:spacing w:after="0" w:line="111" w:lineRule="exact"/>
        <w:rPr>
          <w:sz w:val="20"/>
          <w:szCs w:val="20"/>
          <w:color w:val="auto"/>
        </w:rPr>
      </w:pPr>
    </w:p>
    <w:tbl>
      <w:tblPr>
        <w:tblLayout w:type="fixed"/>
        <w:tblInd w:w="10" w:type="dxa"/>
        <w:tblCellMar>
          <w:top w:w="0" w:type="dxa"/>
          <w:left w:w="0" w:type="dxa"/>
          <w:bottom w:w="0" w:type="dxa"/>
          <w:right w:w="0" w:type="dxa"/>
        </w:tblCellMar>
      </w:tblPr>
      <w:tr>
        <w:trPr>
          <w:trHeight w:val="269"/>
        </w:trPr>
        <w:tc>
          <w:tcPr>
            <w:tcW w:w="1480" w:type="dxa"/>
            <w:vAlign w:val="bottom"/>
            <w:tcBorders>
              <w:top w:val="single" w:sz="8" w:color="auto"/>
              <w:left w:val="single" w:sz="8" w:color="auto"/>
              <w:right w:val="single" w:sz="8" w:color="auto"/>
            </w:tcBorders>
            <w:shd w:val="clear" w:color="auto" w:fill="29650B"/>
          </w:tcPr>
          <w:p>
            <w:pPr>
              <w:ind w:left="280"/>
              <w:spacing w:after="0"/>
              <w:rPr>
                <w:sz w:val="20"/>
                <w:szCs w:val="20"/>
                <w:color w:val="auto"/>
              </w:rPr>
            </w:pPr>
            <w:r>
              <w:rPr>
                <w:rFonts w:ascii="Arial" w:cs="Arial" w:eastAsia="Arial" w:hAnsi="Arial"/>
                <w:sz w:val="20"/>
                <w:szCs w:val="20"/>
                <w:b w:val="1"/>
                <w:bCs w:val="1"/>
                <w:color w:val="FFFFFF"/>
              </w:rPr>
              <w:t>Audit Fees</w:t>
            </w:r>
          </w:p>
        </w:tc>
        <w:tc>
          <w:tcPr>
            <w:tcW w:w="2260" w:type="dxa"/>
            <w:vAlign w:val="bottom"/>
            <w:tcBorders>
              <w:top w:val="single" w:sz="8" w:color="auto"/>
              <w:right w:val="single" w:sz="8" w:color="auto"/>
            </w:tcBorders>
            <w:shd w:val="clear" w:color="auto" w:fill="29650B"/>
          </w:tcPr>
          <w:p>
            <w:pPr>
              <w:jc w:val="right"/>
              <w:ind w:right="221"/>
              <w:spacing w:after="0"/>
              <w:rPr>
                <w:sz w:val="20"/>
                <w:szCs w:val="20"/>
                <w:color w:val="auto"/>
              </w:rPr>
            </w:pPr>
            <w:r>
              <w:rPr>
                <w:rFonts w:ascii="Arial" w:cs="Arial" w:eastAsia="Arial" w:hAnsi="Arial"/>
                <w:sz w:val="20"/>
                <w:szCs w:val="20"/>
                <w:b w:val="1"/>
                <w:bCs w:val="1"/>
                <w:color w:val="FFFFFF"/>
              </w:rPr>
              <w:t>Audit-Related Fees</w:t>
            </w:r>
          </w:p>
        </w:tc>
        <w:tc>
          <w:tcPr>
            <w:tcW w:w="2480" w:type="dxa"/>
            <w:vAlign w:val="bottom"/>
            <w:tcBorders>
              <w:top w:val="single" w:sz="8" w:color="auto"/>
              <w:right w:val="single" w:sz="8" w:color="auto"/>
            </w:tcBorders>
            <w:shd w:val="clear" w:color="auto" w:fill="29650B"/>
          </w:tcPr>
          <w:p>
            <w:pPr>
              <w:jc w:val="right"/>
              <w:ind w:right="261"/>
              <w:spacing w:after="0"/>
              <w:rPr>
                <w:sz w:val="20"/>
                <w:szCs w:val="20"/>
                <w:color w:val="auto"/>
              </w:rPr>
            </w:pPr>
            <w:r>
              <w:rPr>
                <w:rFonts w:ascii="Arial" w:cs="Arial" w:eastAsia="Arial" w:hAnsi="Arial"/>
                <w:sz w:val="20"/>
                <w:szCs w:val="20"/>
                <w:b w:val="1"/>
                <w:bCs w:val="1"/>
                <w:color w:val="FFFFFF"/>
              </w:rPr>
              <w:t>Tax Compliance Fees</w:t>
            </w:r>
          </w:p>
        </w:tc>
        <w:tc>
          <w:tcPr>
            <w:tcW w:w="3360" w:type="dxa"/>
            <w:vAlign w:val="bottom"/>
            <w:tcBorders>
              <w:top w:val="single" w:sz="8" w:color="auto"/>
              <w:right w:val="single" w:sz="8" w:color="auto"/>
            </w:tcBorders>
            <w:shd w:val="clear" w:color="auto" w:fill="29650B"/>
          </w:tcPr>
          <w:p>
            <w:pPr>
              <w:jc w:val="right"/>
              <w:ind w:right="441"/>
              <w:spacing w:after="0"/>
              <w:rPr>
                <w:sz w:val="20"/>
                <w:szCs w:val="20"/>
                <w:color w:val="auto"/>
              </w:rPr>
            </w:pPr>
            <w:r>
              <w:rPr>
                <w:rFonts w:ascii="Arial" w:cs="Arial" w:eastAsia="Arial" w:hAnsi="Arial"/>
                <w:sz w:val="20"/>
                <w:szCs w:val="20"/>
                <w:b w:val="1"/>
                <w:bCs w:val="1"/>
                <w:color w:val="FFFFFF"/>
              </w:rPr>
              <w:t>Tax Advisory Services Fees</w:t>
            </w:r>
          </w:p>
        </w:tc>
        <w:tc>
          <w:tcPr>
            <w:tcW w:w="1680" w:type="dxa"/>
            <w:vAlign w:val="bottom"/>
            <w:tcBorders>
              <w:top w:val="single" w:sz="8" w:color="auto"/>
              <w:right w:val="single" w:sz="8" w:color="auto"/>
            </w:tcBorders>
            <w:shd w:val="clear" w:color="auto" w:fill="29650B"/>
          </w:tcPr>
          <w:p>
            <w:pPr>
              <w:jc w:val="right"/>
              <w:ind w:right="141"/>
              <w:spacing w:after="0"/>
              <w:rPr>
                <w:sz w:val="20"/>
                <w:szCs w:val="20"/>
                <w:color w:val="auto"/>
              </w:rPr>
            </w:pPr>
            <w:r>
              <w:rPr>
                <w:rFonts w:ascii="Arial" w:cs="Arial" w:eastAsia="Arial" w:hAnsi="Arial"/>
                <w:sz w:val="20"/>
                <w:szCs w:val="20"/>
                <w:b w:val="1"/>
                <w:bCs w:val="1"/>
                <w:color w:val="FFFFFF"/>
              </w:rPr>
              <w:t>All Other Fees</w:t>
            </w:r>
          </w:p>
        </w:tc>
      </w:tr>
      <w:tr>
        <w:trPr>
          <w:trHeight w:val="190"/>
        </w:trPr>
        <w:tc>
          <w:tcPr>
            <w:tcW w:w="1480" w:type="dxa"/>
            <w:vAlign w:val="bottom"/>
            <w:tcBorders>
              <w:left w:val="single" w:sz="8" w:color="auto"/>
              <w:bottom w:val="single" w:sz="8" w:color="auto"/>
              <w:right w:val="single" w:sz="8" w:color="auto"/>
            </w:tcBorders>
            <w:shd w:val="clear" w:color="auto" w:fill="29650B"/>
          </w:tcPr>
          <w:p>
            <w:pPr>
              <w:spacing w:after="0"/>
              <w:rPr>
                <w:sz w:val="16"/>
                <w:szCs w:val="16"/>
                <w:color w:val="auto"/>
              </w:rPr>
            </w:pPr>
          </w:p>
        </w:tc>
        <w:tc>
          <w:tcPr>
            <w:tcW w:w="2260" w:type="dxa"/>
            <w:vAlign w:val="bottom"/>
            <w:tcBorders>
              <w:bottom w:val="single" w:sz="8" w:color="auto"/>
              <w:right w:val="single" w:sz="8" w:color="auto"/>
            </w:tcBorders>
            <w:shd w:val="clear" w:color="auto" w:fill="29650B"/>
          </w:tcPr>
          <w:p>
            <w:pPr>
              <w:spacing w:after="0"/>
              <w:rPr>
                <w:sz w:val="16"/>
                <w:szCs w:val="16"/>
                <w:color w:val="auto"/>
              </w:rPr>
            </w:pPr>
          </w:p>
        </w:tc>
        <w:tc>
          <w:tcPr>
            <w:tcW w:w="2480" w:type="dxa"/>
            <w:vAlign w:val="bottom"/>
            <w:tcBorders>
              <w:bottom w:val="single" w:sz="8" w:color="auto"/>
              <w:right w:val="single" w:sz="8" w:color="auto"/>
            </w:tcBorders>
            <w:shd w:val="clear" w:color="auto" w:fill="29650B"/>
          </w:tcPr>
          <w:p>
            <w:pPr>
              <w:spacing w:after="0"/>
              <w:rPr>
                <w:sz w:val="16"/>
                <w:szCs w:val="16"/>
                <w:color w:val="auto"/>
              </w:rPr>
            </w:pPr>
          </w:p>
        </w:tc>
        <w:tc>
          <w:tcPr>
            <w:tcW w:w="3360" w:type="dxa"/>
            <w:vAlign w:val="bottom"/>
            <w:tcBorders>
              <w:bottom w:val="single" w:sz="8" w:color="auto"/>
              <w:right w:val="single" w:sz="8" w:color="auto"/>
            </w:tcBorders>
            <w:shd w:val="clear" w:color="auto" w:fill="29650B"/>
          </w:tcPr>
          <w:p>
            <w:pPr>
              <w:spacing w:after="0"/>
              <w:rPr>
                <w:sz w:val="16"/>
                <w:szCs w:val="16"/>
                <w:color w:val="auto"/>
              </w:rPr>
            </w:pPr>
          </w:p>
        </w:tc>
        <w:tc>
          <w:tcPr>
            <w:tcW w:w="1680" w:type="dxa"/>
            <w:vAlign w:val="bottom"/>
            <w:tcBorders>
              <w:bottom w:val="single" w:sz="8" w:color="auto"/>
              <w:right w:val="single" w:sz="8" w:color="auto"/>
            </w:tcBorders>
            <w:shd w:val="clear" w:color="auto" w:fill="29650B"/>
          </w:tcPr>
          <w:p>
            <w:pPr>
              <w:spacing w:after="0"/>
              <w:rPr>
                <w:sz w:val="16"/>
                <w:szCs w:val="16"/>
                <w:color w:val="auto"/>
              </w:rPr>
            </w:pPr>
          </w:p>
        </w:tc>
      </w:tr>
      <w:tr>
        <w:trPr>
          <w:trHeight w:val="216"/>
        </w:trPr>
        <w:tc>
          <w:tcPr>
            <w:tcW w:w="1480" w:type="dxa"/>
            <w:vAlign w:val="bottom"/>
            <w:tcBorders>
              <w:left w:val="single" w:sz="8" w:color="auto"/>
              <w:bottom w:val="single" w:sz="8" w:color="auto"/>
              <w:right w:val="single" w:sz="8" w:color="auto"/>
            </w:tcBorders>
          </w:tcPr>
          <w:p>
            <w:pPr>
              <w:ind w:left="280"/>
              <w:spacing w:after="0" w:line="216" w:lineRule="exact"/>
              <w:rPr>
                <w:sz w:val="20"/>
                <w:szCs w:val="20"/>
                <w:color w:val="auto"/>
              </w:rPr>
            </w:pPr>
            <w:r>
              <w:rPr>
                <w:rFonts w:ascii="Arial" w:cs="Arial" w:eastAsia="Arial" w:hAnsi="Arial"/>
                <w:sz w:val="20"/>
                <w:szCs w:val="20"/>
                <w:color w:val="auto"/>
              </w:rPr>
              <w:t>$10,148,000</w:t>
            </w:r>
          </w:p>
        </w:tc>
        <w:tc>
          <w:tcPr>
            <w:tcW w:w="2260" w:type="dxa"/>
            <w:vAlign w:val="bottom"/>
            <w:tcBorders>
              <w:bottom w:val="single" w:sz="8" w:color="auto"/>
              <w:right w:val="single" w:sz="8" w:color="auto"/>
            </w:tcBorders>
          </w:tcPr>
          <w:p>
            <w:pPr>
              <w:jc w:val="right"/>
              <w:ind w:right="721"/>
              <w:spacing w:after="0" w:line="216" w:lineRule="exact"/>
              <w:rPr>
                <w:sz w:val="20"/>
                <w:szCs w:val="20"/>
                <w:color w:val="auto"/>
              </w:rPr>
            </w:pPr>
            <w:r>
              <w:rPr>
                <w:rFonts w:ascii="Arial" w:cs="Arial" w:eastAsia="Arial" w:hAnsi="Arial"/>
                <w:sz w:val="20"/>
                <w:szCs w:val="20"/>
                <w:color w:val="auto"/>
              </w:rPr>
              <w:t>$714,000</w:t>
            </w:r>
          </w:p>
        </w:tc>
        <w:tc>
          <w:tcPr>
            <w:tcW w:w="2480" w:type="dxa"/>
            <w:vAlign w:val="bottom"/>
            <w:tcBorders>
              <w:bottom w:val="single" w:sz="8" w:color="auto"/>
              <w:right w:val="single" w:sz="8" w:color="auto"/>
            </w:tcBorders>
          </w:tcPr>
          <w:p>
            <w:pPr>
              <w:jc w:val="right"/>
              <w:ind w:right="841"/>
              <w:spacing w:after="0" w:line="216" w:lineRule="exact"/>
              <w:rPr>
                <w:sz w:val="20"/>
                <w:szCs w:val="20"/>
                <w:color w:val="auto"/>
              </w:rPr>
            </w:pPr>
            <w:r>
              <w:rPr>
                <w:rFonts w:ascii="Arial" w:cs="Arial" w:eastAsia="Arial" w:hAnsi="Arial"/>
                <w:sz w:val="20"/>
                <w:szCs w:val="20"/>
                <w:color w:val="auto"/>
              </w:rPr>
              <w:t>$388,000</w:t>
            </w:r>
          </w:p>
        </w:tc>
        <w:tc>
          <w:tcPr>
            <w:tcW w:w="3360" w:type="dxa"/>
            <w:vAlign w:val="bottom"/>
            <w:tcBorders>
              <w:bottom w:val="single" w:sz="8" w:color="auto"/>
              <w:right w:val="single" w:sz="8" w:color="auto"/>
            </w:tcBorders>
          </w:tcPr>
          <w:p>
            <w:pPr>
              <w:jc w:val="right"/>
              <w:ind w:right="1201"/>
              <w:spacing w:after="0" w:line="216" w:lineRule="exact"/>
              <w:rPr>
                <w:sz w:val="20"/>
                <w:szCs w:val="20"/>
                <w:color w:val="auto"/>
              </w:rPr>
            </w:pPr>
            <w:r>
              <w:rPr>
                <w:rFonts w:ascii="Arial" w:cs="Arial" w:eastAsia="Arial" w:hAnsi="Arial"/>
                <w:sz w:val="20"/>
                <w:szCs w:val="20"/>
                <w:color w:val="auto"/>
              </w:rPr>
              <w:t>$1,307,000</w:t>
            </w:r>
          </w:p>
        </w:tc>
        <w:tc>
          <w:tcPr>
            <w:tcW w:w="1680" w:type="dxa"/>
            <w:vAlign w:val="bottom"/>
            <w:tcBorders>
              <w:bottom w:val="single" w:sz="8" w:color="auto"/>
              <w:right w:val="single" w:sz="8" w:color="auto"/>
            </w:tcBorders>
          </w:tcPr>
          <w:p>
            <w:pPr>
              <w:jc w:val="right"/>
              <w:ind w:right="121"/>
              <w:spacing w:after="0" w:line="216" w:lineRule="exact"/>
              <w:rPr>
                <w:sz w:val="20"/>
                <w:szCs w:val="20"/>
                <w:color w:val="auto"/>
              </w:rPr>
            </w:pPr>
            <w:r>
              <w:rPr>
                <w:rFonts w:ascii="Arial" w:cs="Arial" w:eastAsia="Arial" w:hAnsi="Arial"/>
                <w:sz w:val="20"/>
                <w:szCs w:val="20"/>
                <w:color w:val="auto"/>
              </w:rPr>
              <w:t>$40,000</w:t>
            </w:r>
          </w:p>
        </w:tc>
      </w:tr>
    </w:tbl>
    <w:p>
      <w:pPr>
        <w:spacing w:after="0" w:line="216"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Additional information in the section titled “Principal Accountant Fees and Services” and the Audit Committee Report may be found on pages 61 and 62.</w:t>
      </w:r>
    </w:p>
    <w:p>
      <w:pPr>
        <w:spacing w:after="0" w:line="172" w:lineRule="exact"/>
        <w:rPr>
          <w:sz w:val="20"/>
          <w:szCs w:val="20"/>
          <w:color w:val="auto"/>
        </w:rPr>
      </w:pPr>
    </w:p>
    <w:p>
      <w:pPr>
        <w:spacing w:after="0"/>
        <w:rPr>
          <w:sz w:val="20"/>
          <w:szCs w:val="20"/>
          <w:color w:val="auto"/>
        </w:rPr>
      </w:pPr>
      <w:r>
        <w:rPr>
          <w:rFonts w:ascii="Arial" w:cs="Arial" w:eastAsia="Arial" w:hAnsi="Arial"/>
          <w:sz w:val="26"/>
          <w:szCs w:val="26"/>
          <w:b w:val="1"/>
          <w:bCs w:val="1"/>
          <w:color w:val="29650B"/>
        </w:rPr>
        <w:t>Proposal 3 – Advisory Vote to Approve Executive Compensation</w:t>
      </w:r>
    </w:p>
    <w:p>
      <w:pPr>
        <w:spacing w:after="0" w:line="121" w:lineRule="exact"/>
        <w:rPr>
          <w:sz w:val="20"/>
          <w:szCs w:val="20"/>
          <w:color w:val="auto"/>
        </w:rPr>
      </w:pPr>
    </w:p>
    <w:p>
      <w:pPr>
        <w:jc w:val="both"/>
        <w:spacing w:after="0" w:line="238" w:lineRule="auto"/>
        <w:rPr>
          <w:sz w:val="20"/>
          <w:szCs w:val="20"/>
          <w:color w:val="auto"/>
        </w:rPr>
      </w:pPr>
      <w:r>
        <w:rPr>
          <w:rFonts w:ascii="Arial" w:cs="Arial" w:eastAsia="Arial" w:hAnsi="Arial"/>
          <w:sz w:val="20"/>
          <w:szCs w:val="20"/>
          <w:color w:val="auto"/>
        </w:rPr>
        <w:t>At the 2019 Annual Meeting, the say-on-pay resolution with respect to Named Executive Officer (“NEO”) compensation received a favorable vote of over 97%. Accordingly, the general approach to the compensation of the NEOs, including the Chief Executive Officer (“CEO”), remained largely unchanged. See Compensation and Discussion Analysis (“CD&amp;A”) that begins on page 31. Below is a summary of the CEO’s compensation for 2017, 2018 and 2019. Compensation of Mr. Donahue and the other NEOs is more fully described in the Summary Compensation Table on page 49.</w:t>
      </w:r>
    </w:p>
    <w:p>
      <w:pPr>
        <w:spacing w:after="0" w:line="186" w:lineRule="exact"/>
        <w:rPr>
          <w:sz w:val="20"/>
          <w:szCs w:val="20"/>
          <w:color w:val="auto"/>
        </w:rPr>
      </w:pPr>
    </w:p>
    <w:tbl>
      <w:tblPr>
        <w:tblLayout w:type="fixed"/>
        <w:tblInd w:w="10" w:type="dxa"/>
        <w:tblCellMar>
          <w:top w:w="0" w:type="dxa"/>
          <w:left w:w="0" w:type="dxa"/>
          <w:bottom w:w="0" w:type="dxa"/>
          <w:right w:w="0" w:type="dxa"/>
        </w:tblCellMar>
      </w:tblPr>
      <w:tr>
        <w:trPr>
          <w:trHeight w:val="186"/>
        </w:trPr>
        <w:tc>
          <w:tcPr>
            <w:tcW w:w="1380" w:type="dxa"/>
            <w:vAlign w:val="bottom"/>
            <w:tcBorders>
              <w:top w:val="single" w:sz="8" w:color="auto"/>
              <w:left w:val="single" w:sz="8" w:color="auto"/>
              <w:right w:val="single" w:sz="8" w:color="auto"/>
            </w:tcBorders>
            <w:shd w:val="clear" w:color="auto" w:fill="29650B"/>
          </w:tcPr>
          <w:p>
            <w:pPr>
              <w:spacing w:after="0"/>
              <w:rPr>
                <w:sz w:val="16"/>
                <w:szCs w:val="16"/>
                <w:color w:val="auto"/>
              </w:rPr>
            </w:pPr>
          </w:p>
        </w:tc>
        <w:tc>
          <w:tcPr>
            <w:tcW w:w="480" w:type="dxa"/>
            <w:vAlign w:val="bottom"/>
            <w:tcBorders>
              <w:top w:val="single" w:sz="8" w:color="auto"/>
              <w:right w:val="single" w:sz="8" w:color="auto"/>
            </w:tcBorders>
            <w:shd w:val="clear" w:color="auto" w:fill="29650B"/>
          </w:tcPr>
          <w:p>
            <w:pPr>
              <w:spacing w:after="0"/>
              <w:rPr>
                <w:sz w:val="16"/>
                <w:szCs w:val="16"/>
                <w:color w:val="auto"/>
              </w:rPr>
            </w:pPr>
          </w:p>
        </w:tc>
        <w:tc>
          <w:tcPr>
            <w:tcW w:w="1020" w:type="dxa"/>
            <w:vAlign w:val="bottom"/>
            <w:tcBorders>
              <w:top w:val="single" w:sz="8" w:color="auto"/>
              <w:right w:val="single" w:sz="8" w:color="auto"/>
            </w:tcBorders>
            <w:shd w:val="clear" w:color="auto" w:fill="29650B"/>
          </w:tcPr>
          <w:p>
            <w:pPr>
              <w:spacing w:after="0"/>
              <w:rPr>
                <w:sz w:val="16"/>
                <w:szCs w:val="16"/>
                <w:color w:val="auto"/>
              </w:rPr>
            </w:pPr>
          </w:p>
        </w:tc>
        <w:tc>
          <w:tcPr>
            <w:tcW w:w="1340" w:type="dxa"/>
            <w:vAlign w:val="bottom"/>
            <w:tcBorders>
              <w:top w:val="single" w:sz="8" w:color="auto"/>
              <w:right w:val="single" w:sz="8" w:color="auto"/>
            </w:tcBorders>
            <w:shd w:val="clear" w:color="auto" w:fill="29650B"/>
          </w:tcPr>
          <w:p>
            <w:pPr>
              <w:jc w:val="center"/>
              <w:spacing w:after="0"/>
              <w:rPr>
                <w:sz w:val="20"/>
                <w:szCs w:val="20"/>
                <w:color w:val="auto"/>
              </w:rPr>
            </w:pPr>
            <w:r>
              <w:rPr>
                <w:rFonts w:ascii="Arial" w:cs="Arial" w:eastAsia="Arial" w:hAnsi="Arial"/>
                <w:sz w:val="15"/>
                <w:szCs w:val="15"/>
                <w:b w:val="1"/>
                <w:bCs w:val="1"/>
                <w:color w:val="FFFFFF"/>
                <w:w w:val="93"/>
              </w:rPr>
              <w:t>Grant Date</w:t>
            </w:r>
          </w:p>
        </w:tc>
        <w:tc>
          <w:tcPr>
            <w:tcW w:w="1340" w:type="dxa"/>
            <w:vAlign w:val="bottom"/>
            <w:tcBorders>
              <w:top w:val="single" w:sz="8" w:color="auto"/>
              <w:right w:val="single" w:sz="8" w:color="auto"/>
            </w:tcBorders>
            <w:shd w:val="clear" w:color="auto" w:fill="29650B"/>
          </w:tcPr>
          <w:p>
            <w:pPr>
              <w:spacing w:after="0"/>
              <w:rPr>
                <w:sz w:val="16"/>
                <w:szCs w:val="16"/>
                <w:color w:val="auto"/>
              </w:rPr>
            </w:pPr>
          </w:p>
        </w:tc>
        <w:tc>
          <w:tcPr>
            <w:tcW w:w="1000" w:type="dxa"/>
            <w:vAlign w:val="bottom"/>
            <w:tcBorders>
              <w:top w:val="single" w:sz="8" w:color="auto"/>
              <w:right w:val="single" w:sz="8" w:color="auto"/>
            </w:tcBorders>
            <w:shd w:val="clear" w:color="auto" w:fill="29650B"/>
          </w:tcPr>
          <w:p>
            <w:pPr>
              <w:spacing w:after="0"/>
              <w:rPr>
                <w:sz w:val="16"/>
                <w:szCs w:val="16"/>
                <w:color w:val="auto"/>
              </w:rPr>
            </w:pPr>
          </w:p>
        </w:tc>
        <w:tc>
          <w:tcPr>
            <w:tcW w:w="1340" w:type="dxa"/>
            <w:vAlign w:val="bottom"/>
            <w:tcBorders>
              <w:top w:val="single" w:sz="8" w:color="auto"/>
              <w:right w:val="single" w:sz="8" w:color="auto"/>
            </w:tcBorders>
            <w:shd w:val="clear" w:color="auto" w:fill="29650B"/>
          </w:tcPr>
          <w:p>
            <w:pPr>
              <w:spacing w:after="0"/>
              <w:rPr>
                <w:sz w:val="16"/>
                <w:szCs w:val="16"/>
                <w:color w:val="auto"/>
              </w:rPr>
            </w:pPr>
          </w:p>
        </w:tc>
        <w:tc>
          <w:tcPr>
            <w:tcW w:w="2020" w:type="dxa"/>
            <w:vAlign w:val="bottom"/>
            <w:tcBorders>
              <w:top w:val="single" w:sz="8" w:color="auto"/>
              <w:right w:val="single" w:sz="8" w:color="auto"/>
            </w:tcBorders>
            <w:shd w:val="clear" w:color="auto" w:fill="29650B"/>
          </w:tcPr>
          <w:p>
            <w:pPr>
              <w:spacing w:after="0"/>
              <w:rPr>
                <w:sz w:val="16"/>
                <w:szCs w:val="16"/>
                <w:color w:val="auto"/>
              </w:rPr>
            </w:pPr>
          </w:p>
        </w:tc>
        <w:tc>
          <w:tcPr>
            <w:tcW w:w="1340" w:type="dxa"/>
            <w:vAlign w:val="bottom"/>
            <w:tcBorders>
              <w:top w:val="single" w:sz="8" w:color="auto"/>
              <w:right w:val="single" w:sz="8" w:color="auto"/>
            </w:tcBorders>
            <w:shd w:val="clear" w:color="auto" w:fill="EAF1DD"/>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380" w:type="dxa"/>
            <w:vAlign w:val="bottom"/>
            <w:tcBorders>
              <w:left w:val="single" w:sz="8" w:color="auto"/>
              <w:right w:val="single" w:sz="8" w:color="auto"/>
            </w:tcBorders>
            <w:shd w:val="clear" w:color="auto" w:fill="29650B"/>
          </w:tcPr>
          <w:p>
            <w:pPr>
              <w:spacing w:after="0"/>
              <w:rPr>
                <w:sz w:val="16"/>
                <w:szCs w:val="16"/>
                <w:color w:val="auto"/>
              </w:rPr>
            </w:pPr>
          </w:p>
        </w:tc>
        <w:tc>
          <w:tcPr>
            <w:tcW w:w="480" w:type="dxa"/>
            <w:vAlign w:val="bottom"/>
            <w:tcBorders>
              <w:right w:val="single" w:sz="8" w:color="auto"/>
            </w:tcBorders>
            <w:shd w:val="clear" w:color="auto" w:fill="29650B"/>
          </w:tcPr>
          <w:p>
            <w:pPr>
              <w:spacing w:after="0"/>
              <w:rPr>
                <w:sz w:val="16"/>
                <w:szCs w:val="16"/>
                <w:color w:val="auto"/>
              </w:rPr>
            </w:pPr>
          </w:p>
        </w:tc>
        <w:tc>
          <w:tcPr>
            <w:tcW w:w="1020" w:type="dxa"/>
            <w:vAlign w:val="bottom"/>
            <w:tcBorders>
              <w:right w:val="single" w:sz="8" w:color="auto"/>
            </w:tcBorders>
            <w:shd w:val="clear" w:color="auto" w:fill="29650B"/>
          </w:tcPr>
          <w:p>
            <w:pPr>
              <w:spacing w:after="0"/>
              <w:rPr>
                <w:sz w:val="16"/>
                <w:szCs w:val="16"/>
                <w:color w:val="auto"/>
              </w:rPr>
            </w:pPr>
          </w:p>
        </w:tc>
        <w:tc>
          <w:tcPr>
            <w:tcW w:w="134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5"/>
                <w:szCs w:val="15"/>
                <w:b w:val="1"/>
                <w:bCs w:val="1"/>
                <w:color w:val="FFFFFF"/>
                <w:w w:val="90"/>
              </w:rPr>
              <w:t>Projected Value</w:t>
            </w:r>
          </w:p>
        </w:tc>
        <w:tc>
          <w:tcPr>
            <w:tcW w:w="1340" w:type="dxa"/>
            <w:vAlign w:val="bottom"/>
            <w:tcBorders>
              <w:right w:val="single" w:sz="8" w:color="auto"/>
            </w:tcBorders>
            <w:shd w:val="clear" w:color="auto" w:fill="29650B"/>
          </w:tcPr>
          <w:p>
            <w:pPr>
              <w:spacing w:after="0"/>
              <w:rPr>
                <w:sz w:val="16"/>
                <w:szCs w:val="16"/>
                <w:color w:val="auto"/>
              </w:rPr>
            </w:pPr>
          </w:p>
        </w:tc>
        <w:tc>
          <w:tcPr>
            <w:tcW w:w="1000" w:type="dxa"/>
            <w:vAlign w:val="bottom"/>
            <w:tcBorders>
              <w:right w:val="single" w:sz="8" w:color="auto"/>
            </w:tcBorders>
            <w:shd w:val="clear" w:color="auto" w:fill="29650B"/>
          </w:tcPr>
          <w:p>
            <w:pPr>
              <w:spacing w:after="0"/>
              <w:rPr>
                <w:sz w:val="16"/>
                <w:szCs w:val="16"/>
                <w:color w:val="auto"/>
              </w:rPr>
            </w:pPr>
          </w:p>
        </w:tc>
        <w:tc>
          <w:tcPr>
            <w:tcW w:w="1340" w:type="dxa"/>
            <w:vAlign w:val="bottom"/>
            <w:tcBorders>
              <w:right w:val="single" w:sz="8" w:color="auto"/>
            </w:tcBorders>
            <w:shd w:val="clear" w:color="auto" w:fill="29650B"/>
          </w:tcPr>
          <w:p>
            <w:pPr>
              <w:spacing w:after="0"/>
              <w:rPr>
                <w:sz w:val="16"/>
                <w:szCs w:val="16"/>
                <w:color w:val="auto"/>
              </w:rPr>
            </w:pPr>
          </w:p>
        </w:tc>
        <w:tc>
          <w:tcPr>
            <w:tcW w:w="2020" w:type="dxa"/>
            <w:vAlign w:val="bottom"/>
            <w:tcBorders>
              <w:right w:val="single" w:sz="8" w:color="auto"/>
            </w:tcBorders>
            <w:shd w:val="clear" w:color="auto" w:fill="29650B"/>
          </w:tcPr>
          <w:p>
            <w:pPr>
              <w:spacing w:after="0"/>
              <w:rPr>
                <w:sz w:val="16"/>
                <w:szCs w:val="16"/>
                <w:color w:val="auto"/>
              </w:rPr>
            </w:pPr>
          </w:p>
        </w:tc>
        <w:tc>
          <w:tcPr>
            <w:tcW w:w="1340" w:type="dxa"/>
            <w:vAlign w:val="bottom"/>
            <w:tcBorders>
              <w:right w:val="single" w:sz="8" w:color="auto"/>
            </w:tcBorders>
            <w:vMerge w:val="restart"/>
            <w:shd w:val="clear" w:color="auto" w:fill="EAF1DD"/>
          </w:tcPr>
          <w:p>
            <w:pPr>
              <w:jc w:val="center"/>
              <w:spacing w:after="0"/>
              <w:rPr>
                <w:sz w:val="20"/>
                <w:szCs w:val="20"/>
                <w:color w:val="auto"/>
              </w:rPr>
            </w:pPr>
            <w:r>
              <w:rPr>
                <w:rFonts w:ascii="Arial" w:cs="Arial" w:eastAsia="Arial" w:hAnsi="Arial"/>
                <w:sz w:val="15"/>
                <w:szCs w:val="15"/>
                <w:b w:val="1"/>
                <w:bCs w:val="1"/>
                <w:color w:val="auto"/>
                <w:w w:val="90"/>
              </w:rPr>
              <w:t>Total Actual</w:t>
            </w:r>
          </w:p>
        </w:tc>
        <w:tc>
          <w:tcPr>
            <w:tcW w:w="0" w:type="dxa"/>
            <w:vAlign w:val="bottom"/>
          </w:tcPr>
          <w:p>
            <w:pPr>
              <w:spacing w:after="0"/>
              <w:rPr>
                <w:sz w:val="1"/>
                <w:szCs w:val="1"/>
                <w:color w:val="auto"/>
              </w:rPr>
            </w:pPr>
          </w:p>
        </w:tc>
      </w:tr>
      <w:tr>
        <w:trPr>
          <w:trHeight w:val="112"/>
        </w:trPr>
        <w:tc>
          <w:tcPr>
            <w:tcW w:w="1380" w:type="dxa"/>
            <w:vAlign w:val="bottom"/>
            <w:tcBorders>
              <w:left w:val="single" w:sz="8" w:color="auto"/>
              <w:right w:val="single" w:sz="8" w:color="auto"/>
            </w:tcBorders>
            <w:shd w:val="clear" w:color="auto" w:fill="29650B"/>
          </w:tcPr>
          <w:p>
            <w:pPr>
              <w:spacing w:after="0"/>
              <w:rPr>
                <w:sz w:val="9"/>
                <w:szCs w:val="9"/>
                <w:color w:val="auto"/>
              </w:rPr>
            </w:pPr>
          </w:p>
        </w:tc>
        <w:tc>
          <w:tcPr>
            <w:tcW w:w="480" w:type="dxa"/>
            <w:vAlign w:val="bottom"/>
            <w:tcBorders>
              <w:right w:val="single" w:sz="8" w:color="auto"/>
            </w:tcBorders>
            <w:shd w:val="clear" w:color="auto" w:fill="29650B"/>
          </w:tcPr>
          <w:p>
            <w:pPr>
              <w:spacing w:after="0"/>
              <w:rPr>
                <w:sz w:val="9"/>
                <w:szCs w:val="9"/>
                <w:color w:val="auto"/>
              </w:rPr>
            </w:pPr>
          </w:p>
        </w:tc>
        <w:tc>
          <w:tcPr>
            <w:tcW w:w="1020" w:type="dxa"/>
            <w:vAlign w:val="bottom"/>
            <w:tcBorders>
              <w:right w:val="single" w:sz="8" w:color="auto"/>
            </w:tcBorders>
            <w:shd w:val="clear" w:color="auto" w:fill="29650B"/>
          </w:tcPr>
          <w:p>
            <w:pPr>
              <w:spacing w:after="0"/>
              <w:rPr>
                <w:sz w:val="9"/>
                <w:szCs w:val="9"/>
                <w:color w:val="auto"/>
              </w:rPr>
            </w:pPr>
          </w:p>
        </w:tc>
        <w:tc>
          <w:tcPr>
            <w:tcW w:w="1340" w:type="dxa"/>
            <w:vAlign w:val="bottom"/>
            <w:tcBorders>
              <w:right w:val="single" w:sz="8" w:color="auto"/>
            </w:tcBorders>
            <w:vMerge w:val="restart"/>
            <w:shd w:val="clear" w:color="auto" w:fill="29650B"/>
          </w:tcPr>
          <w:p>
            <w:pPr>
              <w:jc w:val="center"/>
              <w:spacing w:after="0"/>
              <w:rPr>
                <w:sz w:val="20"/>
                <w:szCs w:val="20"/>
                <w:color w:val="auto"/>
              </w:rPr>
            </w:pPr>
            <w:r>
              <w:rPr>
                <w:rFonts w:ascii="Arial" w:cs="Arial" w:eastAsia="Arial" w:hAnsi="Arial"/>
                <w:sz w:val="15"/>
                <w:szCs w:val="15"/>
                <w:b w:val="1"/>
                <w:bCs w:val="1"/>
                <w:color w:val="FFFFFF"/>
                <w:w w:val="86"/>
              </w:rPr>
              <w:t>of Unvested</w:t>
            </w:r>
          </w:p>
        </w:tc>
        <w:tc>
          <w:tcPr>
            <w:tcW w:w="1340" w:type="dxa"/>
            <w:vAlign w:val="bottom"/>
            <w:tcBorders>
              <w:right w:val="single" w:sz="8" w:color="auto"/>
            </w:tcBorders>
            <w:vMerge w:val="restart"/>
            <w:shd w:val="clear" w:color="auto" w:fill="29650B"/>
          </w:tcPr>
          <w:p>
            <w:pPr>
              <w:jc w:val="center"/>
              <w:spacing w:after="0"/>
              <w:rPr>
                <w:sz w:val="20"/>
                <w:szCs w:val="20"/>
                <w:color w:val="auto"/>
              </w:rPr>
            </w:pPr>
            <w:r>
              <w:rPr>
                <w:rFonts w:ascii="Arial" w:cs="Arial" w:eastAsia="Arial" w:hAnsi="Arial"/>
                <w:sz w:val="15"/>
                <w:szCs w:val="15"/>
                <w:b w:val="1"/>
                <w:bCs w:val="1"/>
                <w:color w:val="FFFFFF"/>
                <w:w w:val="92"/>
              </w:rPr>
              <w:t>Non-Equity</w:t>
            </w:r>
          </w:p>
        </w:tc>
        <w:tc>
          <w:tcPr>
            <w:tcW w:w="1000" w:type="dxa"/>
            <w:vAlign w:val="bottom"/>
            <w:tcBorders>
              <w:right w:val="single" w:sz="8" w:color="auto"/>
            </w:tcBorders>
            <w:vMerge w:val="restart"/>
            <w:shd w:val="clear" w:color="auto" w:fill="29650B"/>
          </w:tcPr>
          <w:p>
            <w:pPr>
              <w:jc w:val="center"/>
              <w:spacing w:after="0"/>
              <w:rPr>
                <w:sz w:val="20"/>
                <w:szCs w:val="20"/>
                <w:color w:val="auto"/>
              </w:rPr>
            </w:pPr>
            <w:r>
              <w:rPr>
                <w:rFonts w:ascii="Arial" w:cs="Arial" w:eastAsia="Arial" w:hAnsi="Arial"/>
                <w:sz w:val="15"/>
                <w:szCs w:val="15"/>
                <w:b w:val="1"/>
                <w:bCs w:val="1"/>
                <w:color w:val="FFFFFF"/>
                <w:w w:val="88"/>
              </w:rPr>
              <w:t>Change in</w:t>
            </w:r>
          </w:p>
        </w:tc>
        <w:tc>
          <w:tcPr>
            <w:tcW w:w="1340" w:type="dxa"/>
            <w:vAlign w:val="bottom"/>
            <w:tcBorders>
              <w:right w:val="single" w:sz="8" w:color="auto"/>
            </w:tcBorders>
            <w:shd w:val="clear" w:color="auto" w:fill="29650B"/>
          </w:tcPr>
          <w:p>
            <w:pPr>
              <w:spacing w:after="0"/>
              <w:rPr>
                <w:sz w:val="9"/>
                <w:szCs w:val="9"/>
                <w:color w:val="auto"/>
              </w:rPr>
            </w:pPr>
          </w:p>
        </w:tc>
        <w:tc>
          <w:tcPr>
            <w:tcW w:w="2020" w:type="dxa"/>
            <w:vAlign w:val="bottom"/>
            <w:tcBorders>
              <w:right w:val="single" w:sz="8" w:color="auto"/>
            </w:tcBorders>
            <w:shd w:val="clear" w:color="auto" w:fill="29650B"/>
          </w:tcPr>
          <w:p>
            <w:pPr>
              <w:spacing w:after="0"/>
              <w:rPr>
                <w:sz w:val="9"/>
                <w:szCs w:val="9"/>
                <w:color w:val="auto"/>
              </w:rPr>
            </w:pPr>
          </w:p>
        </w:tc>
        <w:tc>
          <w:tcPr>
            <w:tcW w:w="1340" w:type="dxa"/>
            <w:vAlign w:val="bottom"/>
            <w:tcBorders>
              <w:right w:val="single" w:sz="8" w:color="auto"/>
            </w:tcBorders>
            <w:vMerge w:val="continue"/>
            <w:shd w:val="clear" w:color="auto" w:fill="EAF1DD"/>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1380" w:type="dxa"/>
            <w:vAlign w:val="bottom"/>
            <w:tcBorders>
              <w:left w:val="single" w:sz="8" w:color="auto"/>
              <w:right w:val="single" w:sz="8" w:color="auto"/>
            </w:tcBorders>
            <w:shd w:val="clear" w:color="auto" w:fill="29650B"/>
          </w:tcPr>
          <w:p>
            <w:pPr>
              <w:spacing w:after="0"/>
              <w:rPr>
                <w:sz w:val="6"/>
                <w:szCs w:val="6"/>
                <w:color w:val="auto"/>
              </w:rPr>
            </w:pPr>
          </w:p>
        </w:tc>
        <w:tc>
          <w:tcPr>
            <w:tcW w:w="480" w:type="dxa"/>
            <w:vAlign w:val="bottom"/>
            <w:tcBorders>
              <w:right w:val="single" w:sz="8" w:color="auto"/>
            </w:tcBorders>
            <w:shd w:val="clear" w:color="auto" w:fill="29650B"/>
          </w:tcPr>
          <w:p>
            <w:pPr>
              <w:spacing w:after="0"/>
              <w:rPr>
                <w:sz w:val="6"/>
                <w:szCs w:val="6"/>
                <w:color w:val="auto"/>
              </w:rPr>
            </w:pPr>
          </w:p>
        </w:tc>
        <w:tc>
          <w:tcPr>
            <w:tcW w:w="1020" w:type="dxa"/>
            <w:vAlign w:val="bottom"/>
            <w:tcBorders>
              <w:right w:val="single" w:sz="8" w:color="auto"/>
            </w:tcBorders>
            <w:shd w:val="clear" w:color="auto" w:fill="29650B"/>
          </w:tcPr>
          <w:p>
            <w:pPr>
              <w:spacing w:after="0"/>
              <w:rPr>
                <w:sz w:val="6"/>
                <w:szCs w:val="6"/>
                <w:color w:val="auto"/>
              </w:rPr>
            </w:pPr>
          </w:p>
        </w:tc>
        <w:tc>
          <w:tcPr>
            <w:tcW w:w="1340" w:type="dxa"/>
            <w:vAlign w:val="bottom"/>
            <w:tcBorders>
              <w:right w:val="single" w:sz="8" w:color="auto"/>
            </w:tcBorders>
            <w:vMerge w:val="continue"/>
            <w:shd w:val="clear" w:color="auto" w:fill="29650B"/>
          </w:tcPr>
          <w:p>
            <w:pPr>
              <w:spacing w:after="0"/>
              <w:rPr>
                <w:sz w:val="6"/>
                <w:szCs w:val="6"/>
                <w:color w:val="auto"/>
              </w:rPr>
            </w:pPr>
          </w:p>
        </w:tc>
        <w:tc>
          <w:tcPr>
            <w:tcW w:w="1340" w:type="dxa"/>
            <w:vAlign w:val="bottom"/>
            <w:tcBorders>
              <w:right w:val="single" w:sz="8" w:color="auto"/>
            </w:tcBorders>
            <w:vMerge w:val="continue"/>
            <w:shd w:val="clear" w:color="auto" w:fill="29650B"/>
          </w:tcPr>
          <w:p>
            <w:pPr>
              <w:spacing w:after="0"/>
              <w:rPr>
                <w:sz w:val="6"/>
                <w:szCs w:val="6"/>
                <w:color w:val="auto"/>
              </w:rPr>
            </w:pPr>
          </w:p>
        </w:tc>
        <w:tc>
          <w:tcPr>
            <w:tcW w:w="1000" w:type="dxa"/>
            <w:vAlign w:val="bottom"/>
            <w:tcBorders>
              <w:right w:val="single" w:sz="8" w:color="auto"/>
            </w:tcBorders>
            <w:vMerge w:val="continue"/>
            <w:shd w:val="clear" w:color="auto" w:fill="29650B"/>
          </w:tcPr>
          <w:p>
            <w:pPr>
              <w:spacing w:after="0"/>
              <w:rPr>
                <w:sz w:val="6"/>
                <w:szCs w:val="6"/>
                <w:color w:val="auto"/>
              </w:rPr>
            </w:pPr>
          </w:p>
        </w:tc>
        <w:tc>
          <w:tcPr>
            <w:tcW w:w="1340" w:type="dxa"/>
            <w:vAlign w:val="bottom"/>
            <w:tcBorders>
              <w:right w:val="single" w:sz="8" w:color="auto"/>
            </w:tcBorders>
            <w:shd w:val="clear" w:color="auto" w:fill="29650B"/>
          </w:tcPr>
          <w:p>
            <w:pPr>
              <w:spacing w:after="0"/>
              <w:rPr>
                <w:sz w:val="6"/>
                <w:szCs w:val="6"/>
                <w:color w:val="auto"/>
              </w:rPr>
            </w:pPr>
          </w:p>
        </w:tc>
        <w:tc>
          <w:tcPr>
            <w:tcW w:w="2020" w:type="dxa"/>
            <w:vAlign w:val="bottom"/>
            <w:tcBorders>
              <w:right w:val="single" w:sz="8" w:color="auto"/>
            </w:tcBorders>
            <w:vMerge w:val="restart"/>
            <w:shd w:val="clear" w:color="auto" w:fill="29650B"/>
          </w:tcPr>
          <w:p>
            <w:pPr>
              <w:jc w:val="center"/>
              <w:spacing w:after="0"/>
              <w:rPr>
                <w:sz w:val="20"/>
                <w:szCs w:val="20"/>
                <w:color w:val="auto"/>
              </w:rPr>
            </w:pPr>
            <w:r>
              <w:rPr>
                <w:rFonts w:ascii="Arial" w:cs="Arial" w:eastAsia="Arial" w:hAnsi="Arial"/>
                <w:sz w:val="15"/>
                <w:szCs w:val="15"/>
                <w:b w:val="1"/>
                <w:bCs w:val="1"/>
                <w:color w:val="FFFFFF"/>
                <w:w w:val="89"/>
              </w:rPr>
              <w:t>Total Realizable</w:t>
            </w:r>
          </w:p>
        </w:tc>
        <w:tc>
          <w:tcPr>
            <w:tcW w:w="1340" w:type="dxa"/>
            <w:vAlign w:val="bottom"/>
            <w:tcBorders>
              <w:right w:val="single" w:sz="8" w:color="auto"/>
            </w:tcBorders>
            <w:vMerge w:val="restart"/>
            <w:shd w:val="clear" w:color="auto" w:fill="EAF1DD"/>
          </w:tcPr>
          <w:p>
            <w:pPr>
              <w:jc w:val="center"/>
              <w:spacing w:after="0"/>
              <w:rPr>
                <w:sz w:val="20"/>
                <w:szCs w:val="20"/>
                <w:color w:val="auto"/>
              </w:rPr>
            </w:pPr>
            <w:r>
              <w:rPr>
                <w:rFonts w:ascii="Arial" w:cs="Arial" w:eastAsia="Arial" w:hAnsi="Arial"/>
                <w:sz w:val="15"/>
                <w:szCs w:val="15"/>
                <w:b w:val="1"/>
                <w:bCs w:val="1"/>
                <w:color w:val="auto"/>
                <w:w w:val="88"/>
              </w:rPr>
              <w:t>Realized</w:t>
            </w:r>
          </w:p>
        </w:tc>
        <w:tc>
          <w:tcPr>
            <w:tcW w:w="0" w:type="dxa"/>
            <w:vAlign w:val="bottom"/>
          </w:tcPr>
          <w:p>
            <w:pPr>
              <w:spacing w:after="0"/>
              <w:rPr>
                <w:sz w:val="1"/>
                <w:szCs w:val="1"/>
                <w:color w:val="auto"/>
              </w:rPr>
            </w:pPr>
          </w:p>
        </w:tc>
      </w:tr>
      <w:tr>
        <w:trPr>
          <w:trHeight w:val="109"/>
        </w:trPr>
        <w:tc>
          <w:tcPr>
            <w:tcW w:w="1380" w:type="dxa"/>
            <w:vAlign w:val="bottom"/>
            <w:tcBorders>
              <w:left w:val="single" w:sz="8" w:color="auto"/>
              <w:right w:val="single" w:sz="8" w:color="auto"/>
            </w:tcBorders>
            <w:vMerge w:val="restart"/>
            <w:shd w:val="clear" w:color="auto" w:fill="29650B"/>
          </w:tcPr>
          <w:p>
            <w:pPr>
              <w:ind w:left="100"/>
              <w:spacing w:after="0"/>
              <w:rPr>
                <w:sz w:val="20"/>
                <w:szCs w:val="20"/>
                <w:color w:val="auto"/>
              </w:rPr>
            </w:pPr>
            <w:r>
              <w:rPr>
                <w:rFonts w:ascii="Arial" w:cs="Arial" w:eastAsia="Arial" w:hAnsi="Arial"/>
                <w:sz w:val="15"/>
                <w:szCs w:val="15"/>
                <w:b w:val="1"/>
                <w:bCs w:val="1"/>
                <w:color w:val="FFFFFF"/>
              </w:rPr>
              <w:t>Name and</w:t>
            </w:r>
          </w:p>
        </w:tc>
        <w:tc>
          <w:tcPr>
            <w:tcW w:w="480" w:type="dxa"/>
            <w:vAlign w:val="bottom"/>
            <w:tcBorders>
              <w:right w:val="single" w:sz="8" w:color="auto"/>
            </w:tcBorders>
            <w:shd w:val="clear" w:color="auto" w:fill="29650B"/>
          </w:tcPr>
          <w:p>
            <w:pPr>
              <w:spacing w:after="0"/>
              <w:rPr>
                <w:sz w:val="9"/>
                <w:szCs w:val="9"/>
                <w:color w:val="auto"/>
              </w:rPr>
            </w:pPr>
          </w:p>
        </w:tc>
        <w:tc>
          <w:tcPr>
            <w:tcW w:w="1020" w:type="dxa"/>
            <w:vAlign w:val="bottom"/>
            <w:tcBorders>
              <w:right w:val="single" w:sz="8" w:color="auto"/>
            </w:tcBorders>
            <w:shd w:val="clear" w:color="auto" w:fill="29650B"/>
          </w:tcPr>
          <w:p>
            <w:pPr>
              <w:spacing w:after="0"/>
              <w:rPr>
                <w:sz w:val="9"/>
                <w:szCs w:val="9"/>
                <w:color w:val="auto"/>
              </w:rPr>
            </w:pPr>
          </w:p>
        </w:tc>
        <w:tc>
          <w:tcPr>
            <w:tcW w:w="1340" w:type="dxa"/>
            <w:vAlign w:val="bottom"/>
            <w:tcBorders>
              <w:right w:val="single" w:sz="8" w:color="auto"/>
            </w:tcBorders>
            <w:vMerge w:val="restart"/>
            <w:shd w:val="clear" w:color="auto" w:fill="29650B"/>
          </w:tcPr>
          <w:p>
            <w:pPr>
              <w:jc w:val="center"/>
              <w:spacing w:after="0"/>
              <w:rPr>
                <w:sz w:val="20"/>
                <w:szCs w:val="20"/>
                <w:color w:val="auto"/>
              </w:rPr>
            </w:pPr>
            <w:r>
              <w:rPr>
                <w:rFonts w:ascii="Arial" w:cs="Arial" w:eastAsia="Arial" w:hAnsi="Arial"/>
                <w:sz w:val="15"/>
                <w:szCs w:val="15"/>
                <w:b w:val="1"/>
                <w:bCs w:val="1"/>
                <w:color w:val="FFFFFF"/>
                <w:w w:val="89"/>
              </w:rPr>
              <w:t>Restricted Stock</w:t>
            </w:r>
          </w:p>
        </w:tc>
        <w:tc>
          <w:tcPr>
            <w:tcW w:w="1340" w:type="dxa"/>
            <w:vAlign w:val="bottom"/>
            <w:tcBorders>
              <w:right w:val="single" w:sz="8" w:color="auto"/>
            </w:tcBorders>
            <w:vMerge w:val="restart"/>
            <w:shd w:val="clear" w:color="auto" w:fill="29650B"/>
          </w:tcPr>
          <w:p>
            <w:pPr>
              <w:jc w:val="center"/>
              <w:spacing w:after="0"/>
              <w:rPr>
                <w:sz w:val="20"/>
                <w:szCs w:val="20"/>
                <w:color w:val="auto"/>
              </w:rPr>
            </w:pPr>
            <w:r>
              <w:rPr>
                <w:rFonts w:ascii="Arial" w:cs="Arial" w:eastAsia="Arial" w:hAnsi="Arial"/>
                <w:sz w:val="15"/>
                <w:szCs w:val="15"/>
                <w:b w:val="1"/>
                <w:bCs w:val="1"/>
                <w:color w:val="FFFFFF"/>
                <w:w w:val="89"/>
              </w:rPr>
              <w:t>Incentive Plan</w:t>
            </w:r>
          </w:p>
        </w:tc>
        <w:tc>
          <w:tcPr>
            <w:tcW w:w="1000" w:type="dxa"/>
            <w:vAlign w:val="bottom"/>
            <w:tcBorders>
              <w:right w:val="single" w:sz="8" w:color="auto"/>
            </w:tcBorders>
            <w:vMerge w:val="restart"/>
            <w:shd w:val="clear" w:color="auto" w:fill="29650B"/>
          </w:tcPr>
          <w:p>
            <w:pPr>
              <w:jc w:val="center"/>
              <w:spacing w:after="0"/>
              <w:rPr>
                <w:sz w:val="20"/>
                <w:szCs w:val="20"/>
                <w:color w:val="auto"/>
              </w:rPr>
            </w:pPr>
            <w:r>
              <w:rPr>
                <w:rFonts w:ascii="Arial" w:cs="Arial" w:eastAsia="Arial" w:hAnsi="Arial"/>
                <w:sz w:val="15"/>
                <w:szCs w:val="15"/>
                <w:b w:val="1"/>
                <w:bCs w:val="1"/>
                <w:color w:val="FFFFFF"/>
                <w:w w:val="82"/>
              </w:rPr>
              <w:t>Pension</w:t>
            </w:r>
          </w:p>
        </w:tc>
        <w:tc>
          <w:tcPr>
            <w:tcW w:w="1340" w:type="dxa"/>
            <w:vAlign w:val="bottom"/>
            <w:tcBorders>
              <w:right w:val="single" w:sz="8" w:color="auto"/>
            </w:tcBorders>
            <w:vMerge w:val="restart"/>
            <w:shd w:val="clear" w:color="auto" w:fill="29650B"/>
          </w:tcPr>
          <w:p>
            <w:pPr>
              <w:jc w:val="center"/>
              <w:spacing w:after="0"/>
              <w:rPr>
                <w:sz w:val="20"/>
                <w:szCs w:val="20"/>
                <w:color w:val="auto"/>
              </w:rPr>
            </w:pPr>
            <w:r>
              <w:rPr>
                <w:rFonts w:ascii="Arial" w:cs="Arial" w:eastAsia="Arial" w:hAnsi="Arial"/>
                <w:sz w:val="15"/>
                <w:szCs w:val="15"/>
                <w:b w:val="1"/>
                <w:bCs w:val="1"/>
                <w:color w:val="FFFFFF"/>
                <w:w w:val="97"/>
              </w:rPr>
              <w:t>All Other</w:t>
            </w:r>
          </w:p>
        </w:tc>
        <w:tc>
          <w:tcPr>
            <w:tcW w:w="2020" w:type="dxa"/>
            <w:vAlign w:val="bottom"/>
            <w:tcBorders>
              <w:right w:val="single" w:sz="8" w:color="auto"/>
            </w:tcBorders>
            <w:vMerge w:val="continue"/>
            <w:shd w:val="clear" w:color="auto" w:fill="29650B"/>
          </w:tcPr>
          <w:p>
            <w:pPr>
              <w:spacing w:after="0"/>
              <w:rPr>
                <w:sz w:val="9"/>
                <w:szCs w:val="9"/>
                <w:color w:val="auto"/>
              </w:rPr>
            </w:pPr>
          </w:p>
        </w:tc>
        <w:tc>
          <w:tcPr>
            <w:tcW w:w="1340" w:type="dxa"/>
            <w:vAlign w:val="bottom"/>
            <w:tcBorders>
              <w:right w:val="single" w:sz="8" w:color="auto"/>
            </w:tcBorders>
            <w:vMerge w:val="continue"/>
            <w:shd w:val="clear" w:color="auto" w:fill="EAF1DD"/>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1380" w:type="dxa"/>
            <w:vAlign w:val="bottom"/>
            <w:tcBorders>
              <w:left w:val="single" w:sz="8" w:color="auto"/>
              <w:right w:val="single" w:sz="8" w:color="auto"/>
            </w:tcBorders>
            <w:vMerge w:val="continue"/>
            <w:shd w:val="clear" w:color="auto" w:fill="29650B"/>
          </w:tcPr>
          <w:p>
            <w:pPr>
              <w:spacing w:after="0"/>
              <w:rPr>
                <w:sz w:val="6"/>
                <w:szCs w:val="6"/>
                <w:color w:val="auto"/>
              </w:rPr>
            </w:pPr>
          </w:p>
        </w:tc>
        <w:tc>
          <w:tcPr>
            <w:tcW w:w="480" w:type="dxa"/>
            <w:vAlign w:val="bottom"/>
            <w:tcBorders>
              <w:right w:val="single" w:sz="8" w:color="auto"/>
            </w:tcBorders>
            <w:shd w:val="clear" w:color="auto" w:fill="29650B"/>
          </w:tcPr>
          <w:p>
            <w:pPr>
              <w:spacing w:after="0"/>
              <w:rPr>
                <w:sz w:val="6"/>
                <w:szCs w:val="6"/>
                <w:color w:val="auto"/>
              </w:rPr>
            </w:pPr>
          </w:p>
        </w:tc>
        <w:tc>
          <w:tcPr>
            <w:tcW w:w="1020" w:type="dxa"/>
            <w:vAlign w:val="bottom"/>
            <w:tcBorders>
              <w:right w:val="single" w:sz="8" w:color="auto"/>
            </w:tcBorders>
            <w:shd w:val="clear" w:color="auto" w:fill="29650B"/>
          </w:tcPr>
          <w:p>
            <w:pPr>
              <w:spacing w:after="0"/>
              <w:rPr>
                <w:sz w:val="6"/>
                <w:szCs w:val="6"/>
                <w:color w:val="auto"/>
              </w:rPr>
            </w:pPr>
          </w:p>
        </w:tc>
        <w:tc>
          <w:tcPr>
            <w:tcW w:w="1340" w:type="dxa"/>
            <w:vAlign w:val="bottom"/>
            <w:tcBorders>
              <w:right w:val="single" w:sz="8" w:color="auto"/>
            </w:tcBorders>
            <w:vMerge w:val="continue"/>
            <w:shd w:val="clear" w:color="auto" w:fill="29650B"/>
          </w:tcPr>
          <w:p>
            <w:pPr>
              <w:spacing w:after="0"/>
              <w:rPr>
                <w:sz w:val="6"/>
                <w:szCs w:val="6"/>
                <w:color w:val="auto"/>
              </w:rPr>
            </w:pPr>
          </w:p>
        </w:tc>
        <w:tc>
          <w:tcPr>
            <w:tcW w:w="1340" w:type="dxa"/>
            <w:vAlign w:val="bottom"/>
            <w:tcBorders>
              <w:right w:val="single" w:sz="8" w:color="auto"/>
            </w:tcBorders>
            <w:vMerge w:val="continue"/>
            <w:shd w:val="clear" w:color="auto" w:fill="29650B"/>
          </w:tcPr>
          <w:p>
            <w:pPr>
              <w:spacing w:after="0"/>
              <w:rPr>
                <w:sz w:val="6"/>
                <w:szCs w:val="6"/>
                <w:color w:val="auto"/>
              </w:rPr>
            </w:pPr>
          </w:p>
        </w:tc>
        <w:tc>
          <w:tcPr>
            <w:tcW w:w="1000" w:type="dxa"/>
            <w:vAlign w:val="bottom"/>
            <w:tcBorders>
              <w:right w:val="single" w:sz="8" w:color="auto"/>
            </w:tcBorders>
            <w:vMerge w:val="continue"/>
            <w:shd w:val="clear" w:color="auto" w:fill="29650B"/>
          </w:tcPr>
          <w:p>
            <w:pPr>
              <w:spacing w:after="0"/>
              <w:rPr>
                <w:sz w:val="6"/>
                <w:szCs w:val="6"/>
                <w:color w:val="auto"/>
              </w:rPr>
            </w:pPr>
          </w:p>
        </w:tc>
        <w:tc>
          <w:tcPr>
            <w:tcW w:w="1340" w:type="dxa"/>
            <w:vAlign w:val="bottom"/>
            <w:tcBorders>
              <w:right w:val="single" w:sz="8" w:color="auto"/>
            </w:tcBorders>
            <w:vMerge w:val="continue"/>
            <w:shd w:val="clear" w:color="auto" w:fill="29650B"/>
          </w:tcPr>
          <w:p>
            <w:pPr>
              <w:spacing w:after="0"/>
              <w:rPr>
                <w:sz w:val="6"/>
                <w:szCs w:val="6"/>
                <w:color w:val="auto"/>
              </w:rPr>
            </w:pPr>
          </w:p>
        </w:tc>
        <w:tc>
          <w:tcPr>
            <w:tcW w:w="2020" w:type="dxa"/>
            <w:vAlign w:val="bottom"/>
            <w:tcBorders>
              <w:right w:val="single" w:sz="8" w:color="auto"/>
            </w:tcBorders>
            <w:vMerge w:val="restart"/>
            <w:shd w:val="clear" w:color="auto" w:fill="29650B"/>
          </w:tcPr>
          <w:p>
            <w:pPr>
              <w:jc w:val="center"/>
              <w:spacing w:after="0" w:line="275" w:lineRule="exact"/>
              <w:rPr>
                <w:sz w:val="20"/>
                <w:szCs w:val="20"/>
                <w:color w:val="auto"/>
              </w:rPr>
            </w:pPr>
            <w:r>
              <w:rPr>
                <w:rFonts w:ascii="Arial" w:cs="Arial" w:eastAsia="Arial" w:hAnsi="Arial"/>
                <w:sz w:val="15"/>
                <w:szCs w:val="15"/>
                <w:b w:val="1"/>
                <w:bCs w:val="1"/>
                <w:color w:val="FFFFFF"/>
                <w:w w:val="85"/>
              </w:rPr>
              <w:t>Compensation</w:t>
            </w:r>
            <w:r>
              <w:rPr>
                <w:rFonts w:ascii="Arial" w:cs="Arial" w:eastAsia="Arial" w:hAnsi="Arial"/>
                <w:sz w:val="30"/>
                <w:szCs w:val="30"/>
                <w:b w:val="1"/>
                <w:bCs w:val="1"/>
                <w:color w:val="FFFFFF"/>
                <w:w w:val="85"/>
                <w:vertAlign w:val="superscript"/>
              </w:rPr>
              <w:t>(1)</w:t>
            </w:r>
          </w:p>
        </w:tc>
        <w:tc>
          <w:tcPr>
            <w:tcW w:w="1340" w:type="dxa"/>
            <w:vAlign w:val="bottom"/>
            <w:tcBorders>
              <w:right w:val="single" w:sz="8" w:color="auto"/>
            </w:tcBorders>
            <w:vMerge w:val="restart"/>
            <w:shd w:val="clear" w:color="auto" w:fill="EAF1DD"/>
          </w:tcPr>
          <w:p>
            <w:pPr>
              <w:jc w:val="center"/>
              <w:spacing w:after="0" w:line="275" w:lineRule="exact"/>
              <w:rPr>
                <w:sz w:val="20"/>
                <w:szCs w:val="20"/>
                <w:color w:val="auto"/>
              </w:rPr>
            </w:pPr>
            <w:r>
              <w:rPr>
                <w:rFonts w:ascii="Arial" w:cs="Arial" w:eastAsia="Arial" w:hAnsi="Arial"/>
                <w:sz w:val="15"/>
                <w:szCs w:val="15"/>
                <w:b w:val="1"/>
                <w:bCs w:val="1"/>
                <w:color w:val="auto"/>
                <w:w w:val="85"/>
              </w:rPr>
              <w:t>Compensation</w:t>
            </w:r>
            <w:r>
              <w:rPr>
                <w:rFonts w:ascii="Arial" w:cs="Arial" w:eastAsia="Arial" w:hAnsi="Arial"/>
                <w:sz w:val="30"/>
                <w:szCs w:val="30"/>
                <w:b w:val="1"/>
                <w:bCs w:val="1"/>
                <w:color w:val="auto"/>
                <w:w w:val="85"/>
                <w:vertAlign w:val="superscript"/>
              </w:rPr>
              <w:t>(2)</w:t>
            </w:r>
          </w:p>
        </w:tc>
        <w:tc>
          <w:tcPr>
            <w:tcW w:w="0" w:type="dxa"/>
            <w:vAlign w:val="bottom"/>
          </w:tcPr>
          <w:p>
            <w:pPr>
              <w:spacing w:after="0"/>
              <w:rPr>
                <w:sz w:val="1"/>
                <w:szCs w:val="1"/>
                <w:color w:val="auto"/>
              </w:rPr>
            </w:pPr>
          </w:p>
        </w:tc>
      </w:tr>
      <w:tr>
        <w:trPr>
          <w:trHeight w:val="198"/>
        </w:trPr>
        <w:tc>
          <w:tcPr>
            <w:tcW w:w="1380" w:type="dxa"/>
            <w:vAlign w:val="bottom"/>
            <w:tcBorders>
              <w:left w:val="single" w:sz="8" w:color="auto"/>
              <w:bottom w:val="single" w:sz="8" w:color="auto"/>
              <w:right w:val="single" w:sz="8" w:color="auto"/>
            </w:tcBorders>
            <w:shd w:val="clear" w:color="auto" w:fill="29650B"/>
          </w:tcPr>
          <w:p>
            <w:pPr>
              <w:ind w:left="100"/>
              <w:spacing w:after="0"/>
              <w:rPr>
                <w:sz w:val="20"/>
                <w:szCs w:val="20"/>
                <w:color w:val="auto"/>
              </w:rPr>
            </w:pPr>
            <w:r>
              <w:rPr>
                <w:rFonts w:ascii="Arial" w:cs="Arial" w:eastAsia="Arial" w:hAnsi="Arial"/>
                <w:sz w:val="15"/>
                <w:szCs w:val="15"/>
                <w:b w:val="1"/>
                <w:bCs w:val="1"/>
                <w:color w:val="FFFFFF"/>
              </w:rPr>
              <w:t>Position</w:t>
            </w:r>
          </w:p>
        </w:tc>
        <w:tc>
          <w:tcPr>
            <w:tcW w:w="480" w:type="dxa"/>
            <w:vAlign w:val="bottom"/>
            <w:tcBorders>
              <w:bottom w:val="single" w:sz="8" w:color="auto"/>
              <w:right w:val="single" w:sz="8" w:color="auto"/>
            </w:tcBorders>
            <w:shd w:val="clear" w:color="auto" w:fill="29650B"/>
          </w:tcPr>
          <w:p>
            <w:pPr>
              <w:ind w:left="80"/>
              <w:spacing w:after="0"/>
              <w:rPr>
                <w:sz w:val="20"/>
                <w:szCs w:val="20"/>
                <w:color w:val="auto"/>
              </w:rPr>
            </w:pPr>
            <w:r>
              <w:rPr>
                <w:rFonts w:ascii="Arial" w:cs="Arial" w:eastAsia="Arial" w:hAnsi="Arial"/>
                <w:sz w:val="15"/>
                <w:szCs w:val="15"/>
                <w:b w:val="1"/>
                <w:bCs w:val="1"/>
                <w:color w:val="FFFFFF"/>
              </w:rPr>
              <w:t>Year</w:t>
            </w:r>
          </w:p>
        </w:tc>
        <w:tc>
          <w:tcPr>
            <w:tcW w:w="1020" w:type="dxa"/>
            <w:vAlign w:val="bottom"/>
            <w:tcBorders>
              <w:bottom w:val="single" w:sz="8" w:color="auto"/>
              <w:right w:val="single" w:sz="8" w:color="auto"/>
            </w:tcBorders>
            <w:shd w:val="clear" w:color="auto" w:fill="29650B"/>
          </w:tcPr>
          <w:p>
            <w:pPr>
              <w:ind w:left="280"/>
              <w:spacing w:after="0"/>
              <w:rPr>
                <w:sz w:val="20"/>
                <w:szCs w:val="20"/>
                <w:color w:val="auto"/>
              </w:rPr>
            </w:pPr>
            <w:r>
              <w:rPr>
                <w:rFonts w:ascii="Arial" w:cs="Arial" w:eastAsia="Arial" w:hAnsi="Arial"/>
                <w:sz w:val="15"/>
                <w:szCs w:val="15"/>
                <w:b w:val="1"/>
                <w:bCs w:val="1"/>
                <w:color w:val="FFFFFF"/>
              </w:rPr>
              <w:t>Salary</w:t>
            </w:r>
          </w:p>
        </w:tc>
        <w:tc>
          <w:tcPr>
            <w:tcW w:w="134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Arial" w:cs="Arial" w:eastAsia="Arial" w:hAnsi="Arial"/>
                <w:sz w:val="15"/>
                <w:szCs w:val="15"/>
                <w:b w:val="1"/>
                <w:bCs w:val="1"/>
                <w:color w:val="FFFFFF"/>
                <w:w w:val="92"/>
              </w:rPr>
              <w:t>Awards</w:t>
            </w:r>
          </w:p>
        </w:tc>
        <w:tc>
          <w:tcPr>
            <w:tcW w:w="134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Arial" w:cs="Arial" w:eastAsia="Arial" w:hAnsi="Arial"/>
                <w:sz w:val="15"/>
                <w:szCs w:val="15"/>
                <w:b w:val="1"/>
                <w:bCs w:val="1"/>
                <w:color w:val="FFFFFF"/>
                <w:w w:val="88"/>
              </w:rPr>
              <w:t>Compensation</w:t>
            </w:r>
          </w:p>
        </w:tc>
        <w:tc>
          <w:tcPr>
            <w:tcW w:w="100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Arial" w:cs="Arial" w:eastAsia="Arial" w:hAnsi="Arial"/>
                <w:sz w:val="15"/>
                <w:szCs w:val="15"/>
                <w:b w:val="1"/>
                <w:bCs w:val="1"/>
                <w:color w:val="FFFFFF"/>
                <w:w w:val="89"/>
              </w:rPr>
              <w:t>Value</w:t>
            </w:r>
          </w:p>
        </w:tc>
        <w:tc>
          <w:tcPr>
            <w:tcW w:w="134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Arial" w:cs="Arial" w:eastAsia="Arial" w:hAnsi="Arial"/>
                <w:sz w:val="15"/>
                <w:szCs w:val="15"/>
                <w:b w:val="1"/>
                <w:bCs w:val="1"/>
                <w:color w:val="FFFFFF"/>
                <w:w w:val="88"/>
              </w:rPr>
              <w:t>Compensation</w:t>
            </w:r>
          </w:p>
        </w:tc>
        <w:tc>
          <w:tcPr>
            <w:tcW w:w="2020" w:type="dxa"/>
            <w:vAlign w:val="bottom"/>
            <w:tcBorders>
              <w:bottom w:val="single" w:sz="8" w:color="auto"/>
              <w:right w:val="single" w:sz="8" w:color="auto"/>
            </w:tcBorders>
            <w:vMerge w:val="continue"/>
            <w:shd w:val="clear" w:color="auto" w:fill="29650B"/>
          </w:tcPr>
          <w:p>
            <w:pPr>
              <w:spacing w:after="0"/>
              <w:rPr>
                <w:sz w:val="17"/>
                <w:szCs w:val="17"/>
                <w:color w:val="auto"/>
              </w:rPr>
            </w:pPr>
          </w:p>
        </w:tc>
        <w:tc>
          <w:tcPr>
            <w:tcW w:w="1340" w:type="dxa"/>
            <w:vAlign w:val="bottom"/>
            <w:tcBorders>
              <w:bottom w:val="single" w:sz="8" w:color="auto"/>
              <w:right w:val="single" w:sz="8" w:color="auto"/>
            </w:tcBorders>
            <w:vMerge w:val="continue"/>
            <w:shd w:val="clear" w:color="auto" w:fill="EAF1DD"/>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38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15"/>
                <w:szCs w:val="15"/>
                <w:color w:val="auto"/>
              </w:rPr>
              <w:t>Timothy Donahue</w:t>
            </w:r>
          </w:p>
        </w:tc>
        <w:tc>
          <w:tcPr>
            <w:tcW w:w="48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2019</w:t>
            </w: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90"/>
              </w:rPr>
              <w:t>$1,155,000</w:t>
            </w:r>
          </w:p>
        </w:tc>
        <w:tc>
          <w:tcPr>
            <w:tcW w:w="1340" w:type="dxa"/>
            <w:vAlign w:val="bottom"/>
            <w:tcBorders>
              <w:right w:val="single" w:sz="8" w:color="auto"/>
            </w:tcBorders>
            <w:vMerge w:val="restart"/>
          </w:tcPr>
          <w:p>
            <w:pPr>
              <w:jc w:val="right"/>
              <w:ind w:right="86"/>
              <w:spacing w:after="0"/>
              <w:rPr>
                <w:sz w:val="20"/>
                <w:szCs w:val="20"/>
                <w:color w:val="auto"/>
              </w:rPr>
            </w:pPr>
            <w:r>
              <w:rPr>
                <w:rFonts w:ascii="Arial" w:cs="Arial" w:eastAsia="Arial" w:hAnsi="Arial"/>
                <w:sz w:val="15"/>
                <w:szCs w:val="15"/>
                <w:color w:val="auto"/>
              </w:rPr>
              <w:t>$6,005,970</w:t>
            </w:r>
          </w:p>
        </w:tc>
        <w:tc>
          <w:tcPr>
            <w:tcW w:w="1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90"/>
              </w:rPr>
              <w:t>$1,711,710</w:t>
            </w:r>
          </w:p>
        </w:tc>
        <w:tc>
          <w:tcPr>
            <w:tcW w:w="1000" w:type="dxa"/>
            <w:vAlign w:val="bottom"/>
            <w:tcBorders>
              <w:right w:val="single" w:sz="8" w:color="auto"/>
            </w:tcBorders>
            <w:vMerge w:val="restart"/>
          </w:tcPr>
          <w:p>
            <w:pPr>
              <w:jc w:val="right"/>
              <w:ind w:right="46"/>
              <w:spacing w:after="0"/>
              <w:rPr>
                <w:sz w:val="20"/>
                <w:szCs w:val="20"/>
                <w:color w:val="auto"/>
              </w:rPr>
            </w:pPr>
            <w:r>
              <w:rPr>
                <w:rFonts w:ascii="Arial" w:cs="Arial" w:eastAsia="Arial" w:hAnsi="Arial"/>
                <w:sz w:val="15"/>
                <w:szCs w:val="15"/>
                <w:color w:val="auto"/>
              </w:rPr>
              <w:t>$4,056,957</w:t>
            </w:r>
          </w:p>
        </w:tc>
        <w:tc>
          <w:tcPr>
            <w:tcW w:w="1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87"/>
              </w:rPr>
              <w:t>$1,081,053</w:t>
            </w:r>
          </w:p>
        </w:tc>
        <w:tc>
          <w:tcPr>
            <w:tcW w:w="2020" w:type="dxa"/>
            <w:vAlign w:val="bottom"/>
            <w:tcBorders>
              <w:right w:val="single" w:sz="8" w:color="auto"/>
            </w:tcBorders>
            <w:vMerge w:val="restart"/>
          </w:tcPr>
          <w:p>
            <w:pPr>
              <w:jc w:val="right"/>
              <w:ind w:right="606"/>
              <w:spacing w:after="0"/>
              <w:rPr>
                <w:sz w:val="20"/>
                <w:szCs w:val="20"/>
                <w:color w:val="auto"/>
              </w:rPr>
            </w:pPr>
            <w:r>
              <w:rPr>
                <w:rFonts w:ascii="Arial" w:cs="Arial" w:eastAsia="Arial" w:hAnsi="Arial"/>
                <w:sz w:val="15"/>
                <w:szCs w:val="15"/>
                <w:color w:val="auto"/>
              </w:rPr>
              <w:t>$14,010,690</w:t>
            </w:r>
          </w:p>
        </w:tc>
        <w:tc>
          <w:tcPr>
            <w:tcW w:w="1340" w:type="dxa"/>
            <w:vAlign w:val="bottom"/>
            <w:tcBorders>
              <w:right w:val="single" w:sz="8" w:color="auto"/>
            </w:tcBorders>
            <w:vMerge w:val="restart"/>
            <w:shd w:val="clear" w:color="auto" w:fill="EAF1DD"/>
          </w:tcPr>
          <w:p>
            <w:pPr>
              <w:jc w:val="center"/>
              <w:ind w:left="26"/>
              <w:spacing w:after="0"/>
              <w:rPr>
                <w:sz w:val="20"/>
                <w:szCs w:val="20"/>
                <w:color w:val="auto"/>
              </w:rPr>
            </w:pPr>
            <w:r>
              <w:rPr>
                <w:rFonts w:ascii="Arial" w:cs="Arial" w:eastAsia="Arial" w:hAnsi="Arial"/>
                <w:sz w:val="15"/>
                <w:szCs w:val="15"/>
                <w:color w:val="auto"/>
                <w:w w:val="90"/>
              </w:rPr>
              <w:t>$9,598,445</w:t>
            </w:r>
          </w:p>
        </w:tc>
        <w:tc>
          <w:tcPr>
            <w:tcW w:w="0" w:type="dxa"/>
            <w:vAlign w:val="bottom"/>
          </w:tcPr>
          <w:p>
            <w:pPr>
              <w:spacing w:after="0"/>
              <w:rPr>
                <w:sz w:val="1"/>
                <w:szCs w:val="1"/>
                <w:color w:val="auto"/>
              </w:rPr>
            </w:pPr>
          </w:p>
        </w:tc>
      </w:tr>
      <w:tr>
        <w:trPr>
          <w:trHeight w:val="62"/>
        </w:trPr>
        <w:tc>
          <w:tcPr>
            <w:tcW w:w="1380" w:type="dxa"/>
            <w:vAlign w:val="bottom"/>
            <w:tcBorders>
              <w:left w:val="single" w:sz="8" w:color="auto"/>
              <w:right w:val="single" w:sz="8" w:color="auto"/>
            </w:tcBorders>
            <w:vMerge w:val="continue"/>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1020" w:type="dxa"/>
            <w:vAlign w:val="bottom"/>
            <w:tcBorders>
              <w:right w:val="single" w:sz="8" w:color="auto"/>
            </w:tcBorders>
            <w:vMerge w:val="continue"/>
          </w:tcPr>
          <w:p>
            <w:pPr>
              <w:spacing w:after="0"/>
              <w:rPr>
                <w:sz w:val="5"/>
                <w:szCs w:val="5"/>
                <w:color w:val="auto"/>
              </w:rPr>
            </w:pPr>
          </w:p>
        </w:tc>
        <w:tc>
          <w:tcPr>
            <w:tcW w:w="1340" w:type="dxa"/>
            <w:vAlign w:val="bottom"/>
            <w:tcBorders>
              <w:right w:val="single" w:sz="8" w:color="auto"/>
            </w:tcBorders>
            <w:vMerge w:val="continue"/>
          </w:tcPr>
          <w:p>
            <w:pPr>
              <w:spacing w:after="0"/>
              <w:rPr>
                <w:sz w:val="5"/>
                <w:szCs w:val="5"/>
                <w:color w:val="auto"/>
              </w:rPr>
            </w:pPr>
          </w:p>
        </w:tc>
        <w:tc>
          <w:tcPr>
            <w:tcW w:w="1340" w:type="dxa"/>
            <w:vAlign w:val="bottom"/>
            <w:tcBorders>
              <w:right w:val="single" w:sz="8" w:color="auto"/>
            </w:tcBorders>
            <w:vMerge w:val="continue"/>
          </w:tcPr>
          <w:p>
            <w:pPr>
              <w:spacing w:after="0"/>
              <w:rPr>
                <w:sz w:val="5"/>
                <w:szCs w:val="5"/>
                <w:color w:val="auto"/>
              </w:rPr>
            </w:pPr>
          </w:p>
        </w:tc>
        <w:tc>
          <w:tcPr>
            <w:tcW w:w="1000" w:type="dxa"/>
            <w:vAlign w:val="bottom"/>
            <w:tcBorders>
              <w:right w:val="single" w:sz="8" w:color="auto"/>
            </w:tcBorders>
            <w:vMerge w:val="continue"/>
          </w:tcPr>
          <w:p>
            <w:pPr>
              <w:spacing w:after="0"/>
              <w:rPr>
                <w:sz w:val="5"/>
                <w:szCs w:val="5"/>
                <w:color w:val="auto"/>
              </w:rPr>
            </w:pPr>
          </w:p>
        </w:tc>
        <w:tc>
          <w:tcPr>
            <w:tcW w:w="1340" w:type="dxa"/>
            <w:vAlign w:val="bottom"/>
            <w:tcBorders>
              <w:right w:val="single" w:sz="8" w:color="auto"/>
            </w:tcBorders>
            <w:vMerge w:val="continue"/>
          </w:tcPr>
          <w:p>
            <w:pPr>
              <w:spacing w:after="0"/>
              <w:rPr>
                <w:sz w:val="5"/>
                <w:szCs w:val="5"/>
                <w:color w:val="auto"/>
              </w:rPr>
            </w:pPr>
          </w:p>
        </w:tc>
        <w:tc>
          <w:tcPr>
            <w:tcW w:w="2020" w:type="dxa"/>
            <w:vAlign w:val="bottom"/>
            <w:tcBorders>
              <w:right w:val="single" w:sz="8" w:color="auto"/>
            </w:tcBorders>
            <w:vMerge w:val="continue"/>
          </w:tcPr>
          <w:p>
            <w:pPr>
              <w:spacing w:after="0"/>
              <w:rPr>
                <w:sz w:val="5"/>
                <w:szCs w:val="5"/>
                <w:color w:val="auto"/>
              </w:rPr>
            </w:pPr>
          </w:p>
        </w:tc>
        <w:tc>
          <w:tcPr>
            <w:tcW w:w="1340" w:type="dxa"/>
            <w:vAlign w:val="bottom"/>
            <w:tcBorders>
              <w:right w:val="single" w:sz="8" w:color="auto"/>
            </w:tcBorders>
            <w:vMerge w:val="continue"/>
            <w:shd w:val="clear" w:color="auto" w:fill="EAF1DD"/>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1380" w:type="dxa"/>
            <w:vAlign w:val="bottom"/>
            <w:tcBorders>
              <w:left w:val="single" w:sz="8" w:color="auto"/>
              <w:right w:val="single" w:sz="8" w:color="auto"/>
            </w:tcBorders>
            <w:vMerge w:val="continue"/>
          </w:tcPr>
          <w:p>
            <w:pPr>
              <w:spacing w:after="0"/>
              <w:rPr>
                <w:sz w:val="5"/>
                <w:szCs w:val="5"/>
                <w:color w:val="auto"/>
              </w:rPr>
            </w:pPr>
          </w:p>
        </w:tc>
        <w:tc>
          <w:tcPr>
            <w:tcW w:w="48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0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20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shd w:val="clear" w:color="auto" w:fill="EAF1DD"/>
          </w:tcPr>
          <w:p>
            <w:pPr>
              <w:spacing w:after="0"/>
              <w:rPr>
                <w:sz w:val="5"/>
                <w:szCs w:val="5"/>
                <w:color w:val="auto"/>
              </w:rPr>
            </w:pPr>
          </w:p>
        </w:tc>
        <w:tc>
          <w:tcPr>
            <w:tcW w:w="0" w:type="dxa"/>
            <w:vAlign w:val="bottom"/>
          </w:tcPr>
          <w:p>
            <w:pPr>
              <w:spacing w:after="0"/>
              <w:rPr>
                <w:sz w:val="1"/>
                <w:szCs w:val="1"/>
                <w:color w:val="auto"/>
              </w:rPr>
            </w:pPr>
          </w:p>
        </w:tc>
      </w:tr>
      <w:tr>
        <w:trPr>
          <w:trHeight w:val="213"/>
        </w:trPr>
        <w:tc>
          <w:tcPr>
            <w:tcW w:w="138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5"/>
                <w:szCs w:val="15"/>
                <w:color w:val="auto"/>
              </w:rPr>
              <w:t>President and</w:t>
            </w:r>
          </w:p>
        </w:tc>
        <w:tc>
          <w:tcPr>
            <w:tcW w:w="48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2018</w:t>
            </w: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89"/>
              </w:rPr>
              <w:t>1,100,000</w:t>
            </w:r>
          </w:p>
        </w:tc>
        <w:tc>
          <w:tcPr>
            <w:tcW w:w="1340" w:type="dxa"/>
            <w:vAlign w:val="bottom"/>
            <w:tcBorders>
              <w:right w:val="single" w:sz="8" w:color="auto"/>
            </w:tcBorders>
            <w:vMerge w:val="restart"/>
          </w:tcPr>
          <w:p>
            <w:pPr>
              <w:jc w:val="right"/>
              <w:ind w:right="86"/>
              <w:spacing w:after="0"/>
              <w:rPr>
                <w:sz w:val="20"/>
                <w:szCs w:val="20"/>
                <w:color w:val="auto"/>
              </w:rPr>
            </w:pPr>
            <w:r>
              <w:rPr>
                <w:rFonts w:ascii="Arial" w:cs="Arial" w:eastAsia="Arial" w:hAnsi="Arial"/>
                <w:sz w:val="15"/>
                <w:szCs w:val="15"/>
                <w:color w:val="auto"/>
              </w:rPr>
              <w:t>5,720,055</w:t>
            </w:r>
          </w:p>
        </w:tc>
        <w:tc>
          <w:tcPr>
            <w:tcW w:w="1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89"/>
              </w:rPr>
              <w:t>1,735,800</w:t>
            </w:r>
          </w:p>
        </w:tc>
        <w:tc>
          <w:tcPr>
            <w:tcW w:w="1000" w:type="dxa"/>
            <w:vAlign w:val="bottom"/>
            <w:tcBorders>
              <w:right w:val="single" w:sz="8" w:color="auto"/>
            </w:tcBorders>
            <w:vMerge w:val="restart"/>
          </w:tcPr>
          <w:p>
            <w:pPr>
              <w:jc w:val="right"/>
              <w:ind w:right="46"/>
              <w:spacing w:after="0"/>
              <w:rPr>
                <w:sz w:val="20"/>
                <w:szCs w:val="20"/>
                <w:color w:val="auto"/>
              </w:rPr>
            </w:pPr>
            <w:r>
              <w:rPr>
                <w:rFonts w:ascii="Arial" w:cs="Arial" w:eastAsia="Arial" w:hAnsi="Arial"/>
                <w:sz w:val="15"/>
                <w:szCs w:val="15"/>
                <w:color w:val="auto"/>
              </w:rPr>
              <w:t>1,183,618</w:t>
            </w:r>
          </w:p>
        </w:tc>
        <w:tc>
          <w:tcPr>
            <w:tcW w:w="1340" w:type="dxa"/>
            <w:vAlign w:val="bottom"/>
            <w:tcBorders>
              <w:right w:val="single" w:sz="8" w:color="auto"/>
            </w:tcBorders>
            <w:vMerge w:val="restart"/>
          </w:tcPr>
          <w:p>
            <w:pPr>
              <w:jc w:val="right"/>
              <w:ind w:right="286"/>
              <w:spacing w:after="0"/>
              <w:rPr>
                <w:sz w:val="20"/>
                <w:szCs w:val="20"/>
                <w:color w:val="auto"/>
              </w:rPr>
            </w:pPr>
            <w:r>
              <w:rPr>
                <w:rFonts w:ascii="Arial" w:cs="Arial" w:eastAsia="Arial" w:hAnsi="Arial"/>
                <w:sz w:val="15"/>
                <w:szCs w:val="15"/>
                <w:color w:val="auto"/>
              </w:rPr>
              <w:t>77,268</w:t>
            </w:r>
          </w:p>
        </w:tc>
        <w:tc>
          <w:tcPr>
            <w:tcW w:w="2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86"/>
              </w:rPr>
              <w:t>9,816,741</w:t>
            </w:r>
          </w:p>
        </w:tc>
        <w:tc>
          <w:tcPr>
            <w:tcW w:w="1340" w:type="dxa"/>
            <w:vAlign w:val="bottom"/>
            <w:tcBorders>
              <w:right w:val="single" w:sz="8" w:color="auto"/>
            </w:tcBorders>
            <w:vMerge w:val="restart"/>
            <w:shd w:val="clear" w:color="auto" w:fill="EAF1DD"/>
          </w:tcPr>
          <w:p>
            <w:pPr>
              <w:jc w:val="center"/>
              <w:ind w:left="26"/>
              <w:spacing w:after="0"/>
              <w:rPr>
                <w:sz w:val="20"/>
                <w:szCs w:val="20"/>
                <w:color w:val="auto"/>
              </w:rPr>
            </w:pPr>
            <w:r>
              <w:rPr>
                <w:rFonts w:ascii="Arial" w:cs="Arial" w:eastAsia="Arial" w:hAnsi="Arial"/>
                <w:sz w:val="15"/>
                <w:szCs w:val="15"/>
                <w:color w:val="auto"/>
                <w:w w:val="89"/>
              </w:rPr>
              <w:t>5,498,602</w:t>
            </w:r>
          </w:p>
        </w:tc>
        <w:tc>
          <w:tcPr>
            <w:tcW w:w="0" w:type="dxa"/>
            <w:vAlign w:val="bottom"/>
          </w:tcPr>
          <w:p>
            <w:pPr>
              <w:spacing w:after="0"/>
              <w:rPr>
                <w:sz w:val="1"/>
                <w:szCs w:val="1"/>
                <w:color w:val="auto"/>
              </w:rPr>
            </w:pPr>
          </w:p>
        </w:tc>
      </w:tr>
      <w:tr>
        <w:trPr>
          <w:trHeight w:val="77"/>
        </w:trPr>
        <w:tc>
          <w:tcPr>
            <w:tcW w:w="1380" w:type="dxa"/>
            <w:vAlign w:val="bottom"/>
            <w:tcBorders>
              <w:left w:val="single" w:sz="8" w:color="auto"/>
              <w:right w:val="single" w:sz="8" w:color="auto"/>
            </w:tcBorders>
            <w:vMerge w:val="restart"/>
          </w:tcPr>
          <w:p>
            <w:pPr>
              <w:ind w:left="240"/>
              <w:spacing w:after="0" w:line="125" w:lineRule="exact"/>
              <w:rPr>
                <w:sz w:val="20"/>
                <w:szCs w:val="20"/>
                <w:color w:val="auto"/>
              </w:rPr>
            </w:pPr>
            <w:r>
              <w:rPr>
                <w:rFonts w:ascii="Arial" w:cs="Arial" w:eastAsia="Arial" w:hAnsi="Arial"/>
                <w:sz w:val="14"/>
                <w:szCs w:val="14"/>
                <w:color w:val="auto"/>
              </w:rPr>
              <w:t>Chief Executive</w:t>
            </w:r>
          </w:p>
        </w:tc>
        <w:tc>
          <w:tcPr>
            <w:tcW w:w="480" w:type="dxa"/>
            <w:vAlign w:val="bottom"/>
            <w:tcBorders>
              <w:right w:val="single" w:sz="8" w:color="auto"/>
            </w:tcBorders>
          </w:tcPr>
          <w:p>
            <w:pPr>
              <w:spacing w:after="0"/>
              <w:rPr>
                <w:sz w:val="6"/>
                <w:szCs w:val="6"/>
                <w:color w:val="auto"/>
              </w:rPr>
            </w:pPr>
          </w:p>
        </w:tc>
        <w:tc>
          <w:tcPr>
            <w:tcW w:w="1020" w:type="dxa"/>
            <w:vAlign w:val="bottom"/>
            <w:tcBorders>
              <w:right w:val="single" w:sz="8" w:color="auto"/>
            </w:tcBorders>
            <w:vMerge w:val="continue"/>
          </w:tcPr>
          <w:p>
            <w:pPr>
              <w:spacing w:after="0"/>
              <w:rPr>
                <w:sz w:val="6"/>
                <w:szCs w:val="6"/>
                <w:color w:val="auto"/>
              </w:rPr>
            </w:pPr>
          </w:p>
        </w:tc>
        <w:tc>
          <w:tcPr>
            <w:tcW w:w="1340" w:type="dxa"/>
            <w:vAlign w:val="bottom"/>
            <w:tcBorders>
              <w:right w:val="single" w:sz="8" w:color="auto"/>
            </w:tcBorders>
            <w:vMerge w:val="continue"/>
          </w:tcPr>
          <w:p>
            <w:pPr>
              <w:spacing w:after="0"/>
              <w:rPr>
                <w:sz w:val="6"/>
                <w:szCs w:val="6"/>
                <w:color w:val="auto"/>
              </w:rPr>
            </w:pPr>
          </w:p>
        </w:tc>
        <w:tc>
          <w:tcPr>
            <w:tcW w:w="1340" w:type="dxa"/>
            <w:vAlign w:val="bottom"/>
            <w:tcBorders>
              <w:right w:val="single" w:sz="8" w:color="auto"/>
            </w:tcBorders>
            <w:vMerge w:val="continue"/>
          </w:tcPr>
          <w:p>
            <w:pPr>
              <w:spacing w:after="0"/>
              <w:rPr>
                <w:sz w:val="6"/>
                <w:szCs w:val="6"/>
                <w:color w:val="auto"/>
              </w:rPr>
            </w:pPr>
          </w:p>
        </w:tc>
        <w:tc>
          <w:tcPr>
            <w:tcW w:w="1000" w:type="dxa"/>
            <w:vAlign w:val="bottom"/>
            <w:tcBorders>
              <w:right w:val="single" w:sz="8" w:color="auto"/>
            </w:tcBorders>
            <w:vMerge w:val="continue"/>
          </w:tcPr>
          <w:p>
            <w:pPr>
              <w:spacing w:after="0"/>
              <w:rPr>
                <w:sz w:val="6"/>
                <w:szCs w:val="6"/>
                <w:color w:val="auto"/>
              </w:rPr>
            </w:pPr>
          </w:p>
        </w:tc>
        <w:tc>
          <w:tcPr>
            <w:tcW w:w="1340" w:type="dxa"/>
            <w:vAlign w:val="bottom"/>
            <w:tcBorders>
              <w:right w:val="single" w:sz="8" w:color="auto"/>
            </w:tcBorders>
            <w:vMerge w:val="continue"/>
          </w:tcPr>
          <w:p>
            <w:pPr>
              <w:spacing w:after="0"/>
              <w:rPr>
                <w:sz w:val="6"/>
                <w:szCs w:val="6"/>
                <w:color w:val="auto"/>
              </w:rPr>
            </w:pPr>
          </w:p>
        </w:tc>
        <w:tc>
          <w:tcPr>
            <w:tcW w:w="2020" w:type="dxa"/>
            <w:vAlign w:val="bottom"/>
            <w:tcBorders>
              <w:right w:val="single" w:sz="8" w:color="auto"/>
            </w:tcBorders>
            <w:vMerge w:val="continue"/>
          </w:tcPr>
          <w:p>
            <w:pPr>
              <w:spacing w:after="0"/>
              <w:rPr>
                <w:sz w:val="6"/>
                <w:szCs w:val="6"/>
                <w:color w:val="auto"/>
              </w:rPr>
            </w:pPr>
          </w:p>
        </w:tc>
        <w:tc>
          <w:tcPr>
            <w:tcW w:w="1340" w:type="dxa"/>
            <w:vAlign w:val="bottom"/>
            <w:tcBorders>
              <w:right w:val="single" w:sz="8" w:color="auto"/>
            </w:tcBorders>
            <w:vMerge w:val="continue"/>
            <w:shd w:val="clear" w:color="auto" w:fill="EAF1DD"/>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1380" w:type="dxa"/>
            <w:vAlign w:val="bottom"/>
            <w:tcBorders>
              <w:left w:val="single" w:sz="8" w:color="auto"/>
              <w:right w:val="single" w:sz="8" w:color="auto"/>
            </w:tcBorders>
            <w:vMerge w:val="continue"/>
          </w:tcPr>
          <w:p>
            <w:pPr>
              <w:spacing w:after="0"/>
              <w:rPr>
                <w:sz w:val="5"/>
                <w:szCs w:val="5"/>
                <w:color w:val="auto"/>
              </w:rPr>
            </w:pPr>
          </w:p>
        </w:tc>
        <w:tc>
          <w:tcPr>
            <w:tcW w:w="48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0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20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shd w:val="clear" w:color="auto" w:fill="EAF1DD"/>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138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5"/>
                <w:szCs w:val="15"/>
                <w:color w:val="auto"/>
              </w:rPr>
              <w:t>Officer</w:t>
            </w:r>
          </w:p>
        </w:tc>
        <w:tc>
          <w:tcPr>
            <w:tcW w:w="48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2017</w:t>
            </w: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89"/>
              </w:rPr>
              <w:t>1,000,000</w:t>
            </w:r>
          </w:p>
        </w:tc>
        <w:tc>
          <w:tcPr>
            <w:tcW w:w="1340" w:type="dxa"/>
            <w:vAlign w:val="bottom"/>
            <w:tcBorders>
              <w:right w:val="single" w:sz="8" w:color="auto"/>
            </w:tcBorders>
            <w:vMerge w:val="restart"/>
          </w:tcPr>
          <w:p>
            <w:pPr>
              <w:jc w:val="right"/>
              <w:ind w:right="86"/>
              <w:spacing w:after="0"/>
              <w:rPr>
                <w:sz w:val="20"/>
                <w:szCs w:val="20"/>
                <w:color w:val="auto"/>
              </w:rPr>
            </w:pPr>
            <w:r>
              <w:rPr>
                <w:rFonts w:ascii="Arial" w:cs="Arial" w:eastAsia="Arial" w:hAnsi="Arial"/>
                <w:sz w:val="15"/>
                <w:szCs w:val="15"/>
                <w:color w:val="auto"/>
              </w:rPr>
              <w:t>5,200,004</w:t>
            </w:r>
          </w:p>
        </w:tc>
        <w:tc>
          <w:tcPr>
            <w:tcW w:w="1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89"/>
              </w:rPr>
              <w:t>2,295,600</w:t>
            </w:r>
          </w:p>
        </w:tc>
        <w:tc>
          <w:tcPr>
            <w:tcW w:w="1000" w:type="dxa"/>
            <w:vAlign w:val="bottom"/>
            <w:tcBorders>
              <w:right w:val="single" w:sz="8" w:color="auto"/>
            </w:tcBorders>
            <w:vMerge w:val="restart"/>
          </w:tcPr>
          <w:p>
            <w:pPr>
              <w:jc w:val="right"/>
              <w:ind w:right="46"/>
              <w:spacing w:after="0"/>
              <w:rPr>
                <w:sz w:val="20"/>
                <w:szCs w:val="20"/>
                <w:color w:val="auto"/>
              </w:rPr>
            </w:pPr>
            <w:r>
              <w:rPr>
                <w:rFonts w:ascii="Arial" w:cs="Arial" w:eastAsia="Arial" w:hAnsi="Arial"/>
                <w:sz w:val="15"/>
                <w:szCs w:val="15"/>
                <w:color w:val="auto"/>
              </w:rPr>
              <w:t>2,810,148</w:t>
            </w:r>
          </w:p>
        </w:tc>
        <w:tc>
          <w:tcPr>
            <w:tcW w:w="1340" w:type="dxa"/>
            <w:vAlign w:val="bottom"/>
            <w:tcBorders>
              <w:right w:val="single" w:sz="8" w:color="auto"/>
            </w:tcBorders>
            <w:vMerge w:val="restart"/>
          </w:tcPr>
          <w:p>
            <w:pPr>
              <w:jc w:val="right"/>
              <w:ind w:right="266"/>
              <w:spacing w:after="0"/>
              <w:rPr>
                <w:sz w:val="20"/>
                <w:szCs w:val="20"/>
                <w:color w:val="auto"/>
              </w:rPr>
            </w:pPr>
            <w:r>
              <w:rPr>
                <w:rFonts w:ascii="Arial" w:cs="Arial" w:eastAsia="Arial" w:hAnsi="Arial"/>
                <w:sz w:val="15"/>
                <w:szCs w:val="15"/>
                <w:color w:val="auto"/>
              </w:rPr>
              <w:t>634,208</w:t>
            </w:r>
          </w:p>
        </w:tc>
        <w:tc>
          <w:tcPr>
            <w:tcW w:w="2020" w:type="dxa"/>
            <w:vAlign w:val="bottom"/>
            <w:tcBorders>
              <w:right w:val="single" w:sz="8" w:color="auto"/>
            </w:tcBorders>
            <w:vMerge w:val="restart"/>
          </w:tcPr>
          <w:p>
            <w:pPr>
              <w:jc w:val="right"/>
              <w:ind w:right="646"/>
              <w:spacing w:after="0"/>
              <w:rPr>
                <w:sz w:val="20"/>
                <w:szCs w:val="20"/>
                <w:color w:val="auto"/>
              </w:rPr>
            </w:pPr>
            <w:r>
              <w:rPr>
                <w:rFonts w:ascii="Arial" w:cs="Arial" w:eastAsia="Arial" w:hAnsi="Arial"/>
                <w:sz w:val="15"/>
                <w:szCs w:val="15"/>
                <w:color w:val="auto"/>
              </w:rPr>
              <w:t>11,939,960</w:t>
            </w:r>
          </w:p>
        </w:tc>
        <w:tc>
          <w:tcPr>
            <w:tcW w:w="1340" w:type="dxa"/>
            <w:vAlign w:val="bottom"/>
            <w:tcBorders>
              <w:right w:val="single" w:sz="8" w:color="auto"/>
            </w:tcBorders>
            <w:vMerge w:val="restart"/>
            <w:shd w:val="clear" w:color="auto" w:fill="EAF1DD"/>
          </w:tcPr>
          <w:p>
            <w:pPr>
              <w:jc w:val="center"/>
              <w:ind w:left="26"/>
              <w:spacing w:after="0"/>
              <w:rPr>
                <w:sz w:val="20"/>
                <w:szCs w:val="20"/>
                <w:color w:val="auto"/>
              </w:rPr>
            </w:pPr>
            <w:r>
              <w:rPr>
                <w:rFonts w:ascii="Arial" w:cs="Arial" w:eastAsia="Arial" w:hAnsi="Arial"/>
                <w:sz w:val="15"/>
                <w:szCs w:val="15"/>
                <w:color w:val="auto"/>
                <w:w w:val="89"/>
              </w:rPr>
              <w:t>8,500,616</w:t>
            </w:r>
          </w:p>
        </w:tc>
        <w:tc>
          <w:tcPr>
            <w:tcW w:w="0" w:type="dxa"/>
            <w:vAlign w:val="bottom"/>
          </w:tcPr>
          <w:p>
            <w:pPr>
              <w:spacing w:after="0"/>
              <w:rPr>
                <w:sz w:val="1"/>
                <w:szCs w:val="1"/>
                <w:color w:val="auto"/>
              </w:rPr>
            </w:pPr>
          </w:p>
        </w:tc>
      </w:tr>
      <w:tr>
        <w:trPr>
          <w:trHeight w:val="62"/>
        </w:trPr>
        <w:tc>
          <w:tcPr>
            <w:tcW w:w="1380" w:type="dxa"/>
            <w:vAlign w:val="bottom"/>
            <w:tcBorders>
              <w:left w:val="single" w:sz="8" w:color="auto"/>
              <w:right w:val="single" w:sz="8" w:color="auto"/>
            </w:tcBorders>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1020" w:type="dxa"/>
            <w:vAlign w:val="bottom"/>
            <w:tcBorders>
              <w:right w:val="single" w:sz="8" w:color="auto"/>
            </w:tcBorders>
            <w:vMerge w:val="continue"/>
          </w:tcPr>
          <w:p>
            <w:pPr>
              <w:spacing w:after="0"/>
              <w:rPr>
                <w:sz w:val="5"/>
                <w:szCs w:val="5"/>
                <w:color w:val="auto"/>
              </w:rPr>
            </w:pPr>
          </w:p>
        </w:tc>
        <w:tc>
          <w:tcPr>
            <w:tcW w:w="1340" w:type="dxa"/>
            <w:vAlign w:val="bottom"/>
            <w:tcBorders>
              <w:right w:val="single" w:sz="8" w:color="auto"/>
            </w:tcBorders>
            <w:vMerge w:val="continue"/>
          </w:tcPr>
          <w:p>
            <w:pPr>
              <w:spacing w:after="0"/>
              <w:rPr>
                <w:sz w:val="5"/>
                <w:szCs w:val="5"/>
                <w:color w:val="auto"/>
              </w:rPr>
            </w:pPr>
          </w:p>
        </w:tc>
        <w:tc>
          <w:tcPr>
            <w:tcW w:w="1340" w:type="dxa"/>
            <w:vAlign w:val="bottom"/>
            <w:tcBorders>
              <w:right w:val="single" w:sz="8" w:color="auto"/>
            </w:tcBorders>
            <w:vMerge w:val="continue"/>
          </w:tcPr>
          <w:p>
            <w:pPr>
              <w:spacing w:after="0"/>
              <w:rPr>
                <w:sz w:val="5"/>
                <w:szCs w:val="5"/>
                <w:color w:val="auto"/>
              </w:rPr>
            </w:pPr>
          </w:p>
        </w:tc>
        <w:tc>
          <w:tcPr>
            <w:tcW w:w="1000" w:type="dxa"/>
            <w:vAlign w:val="bottom"/>
            <w:tcBorders>
              <w:right w:val="single" w:sz="8" w:color="auto"/>
            </w:tcBorders>
            <w:vMerge w:val="continue"/>
          </w:tcPr>
          <w:p>
            <w:pPr>
              <w:spacing w:after="0"/>
              <w:rPr>
                <w:sz w:val="5"/>
                <w:szCs w:val="5"/>
                <w:color w:val="auto"/>
              </w:rPr>
            </w:pPr>
          </w:p>
        </w:tc>
        <w:tc>
          <w:tcPr>
            <w:tcW w:w="1340" w:type="dxa"/>
            <w:vAlign w:val="bottom"/>
            <w:tcBorders>
              <w:right w:val="single" w:sz="8" w:color="auto"/>
            </w:tcBorders>
            <w:vMerge w:val="continue"/>
          </w:tcPr>
          <w:p>
            <w:pPr>
              <w:spacing w:after="0"/>
              <w:rPr>
                <w:sz w:val="5"/>
                <w:szCs w:val="5"/>
                <w:color w:val="auto"/>
              </w:rPr>
            </w:pPr>
          </w:p>
        </w:tc>
        <w:tc>
          <w:tcPr>
            <w:tcW w:w="2020" w:type="dxa"/>
            <w:vAlign w:val="bottom"/>
            <w:tcBorders>
              <w:right w:val="single" w:sz="8" w:color="auto"/>
            </w:tcBorders>
            <w:vMerge w:val="continue"/>
          </w:tcPr>
          <w:p>
            <w:pPr>
              <w:spacing w:after="0"/>
              <w:rPr>
                <w:sz w:val="5"/>
                <w:szCs w:val="5"/>
                <w:color w:val="auto"/>
              </w:rPr>
            </w:pPr>
          </w:p>
        </w:tc>
        <w:tc>
          <w:tcPr>
            <w:tcW w:w="1340" w:type="dxa"/>
            <w:vAlign w:val="bottom"/>
            <w:tcBorders>
              <w:right w:val="single" w:sz="8" w:color="auto"/>
            </w:tcBorders>
            <w:vMerge w:val="continue"/>
            <w:shd w:val="clear" w:color="auto" w:fill="EAF1DD"/>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1380" w:type="dxa"/>
            <w:vAlign w:val="bottom"/>
            <w:tcBorders>
              <w:left w:val="single" w:sz="8" w:color="auto"/>
              <w:bottom w:val="single" w:sz="8" w:color="auto"/>
              <w:right w:val="single" w:sz="8" w:color="auto"/>
            </w:tcBorders>
          </w:tcPr>
          <w:p>
            <w:pPr>
              <w:spacing w:after="0"/>
              <w:rPr>
                <w:sz w:val="5"/>
                <w:szCs w:val="5"/>
                <w:color w:val="auto"/>
              </w:rPr>
            </w:pPr>
          </w:p>
        </w:tc>
        <w:tc>
          <w:tcPr>
            <w:tcW w:w="48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0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20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shd w:val="clear" w:color="auto" w:fill="EAF1DD"/>
          </w:tcPr>
          <w:p>
            <w:pPr>
              <w:spacing w:after="0"/>
              <w:rPr>
                <w:sz w:val="5"/>
                <w:szCs w:val="5"/>
                <w:color w:val="auto"/>
              </w:rPr>
            </w:pPr>
          </w:p>
        </w:tc>
        <w:tc>
          <w:tcPr>
            <w:tcW w:w="0" w:type="dxa"/>
            <w:vAlign w:val="bottom"/>
          </w:tcPr>
          <w:p>
            <w:pPr>
              <w:spacing w:after="0"/>
              <w:rPr>
                <w:sz w:val="1"/>
                <w:szCs w:val="1"/>
                <w:color w:val="auto"/>
              </w:rPr>
            </w:pPr>
          </w:p>
        </w:tc>
      </w:tr>
    </w:tbl>
    <w:p>
      <w:pPr>
        <w:spacing w:after="0" w:line="393" w:lineRule="exact"/>
        <w:rPr>
          <w:sz w:val="20"/>
          <w:szCs w:val="20"/>
          <w:color w:val="auto"/>
        </w:rPr>
      </w:pPr>
    </w:p>
    <w:p>
      <w:pPr>
        <w:ind w:left="780" w:hanging="692"/>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Sum of the previous five columns.</w:t>
      </w:r>
    </w:p>
    <w:p>
      <w:pPr>
        <w:spacing w:after="0" w:line="103" w:lineRule="exact"/>
        <w:rPr>
          <w:rFonts w:ascii="Arial" w:cs="Arial" w:eastAsia="Arial" w:hAnsi="Arial"/>
          <w:sz w:val="18"/>
          <w:szCs w:val="18"/>
          <w:color w:val="auto"/>
        </w:rPr>
      </w:pPr>
    </w:p>
    <w:p>
      <w:pPr>
        <w:jc w:val="both"/>
        <w:ind w:left="780" w:right="80" w:hanging="692"/>
        <w:spacing w:after="0" w:line="249" w:lineRule="auto"/>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Total Actual Realized Compensation is computed by subtracting, from Total Realizable Compensation, the Grant Date Projected Value of Unvested Restricted Stock Awards (because all or part of those awards may never vest in the future) and then adding the value of Company stock previously granted under the Company’s long-term incentive compensation plan that actually vested in the relevant year, computed at the market value at the date of vesting, which was $1,593,725 for shares vesting in 2019, $1,401,916 for shares vesting in 2018 and $1,760,660 for shares vesting in 2017. All performance-based shares were forfeited in 2019 and 2018; and 34% of performance-based shares were forfeited in 2017. The restricted shares vesting in 2017 and 2018 were from grants made to Mr. Donahue before he was named the Company’s Chief Executive Officer.</w:t>
      </w:r>
    </w:p>
    <w:p>
      <w:pPr>
        <w:spacing w:after="0" w:line="70"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It is important to note that interest rates continue to be at historic lows, which inflate the lump-sum present value of the Change in Pension Value calculation for all our NEOs. Not all of the pension benefits payable to our NEOs will be paid in a lump sum. Future increases in interest rates could cause a significant reduction in the lump-sum value of such benefits.</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40"/>
          </w:cols>
          <w:pgMar w:left="320" w:top="1052" w:right="339" w:bottom="1440" w:gutter="0" w:footer="0" w:header="0"/>
        </w:sectPr>
      </w:pPr>
    </w:p>
    <w:bookmarkStart w:id="11" w:name="page12"/>
    <w:bookmarkEnd w:id="11"/>
    <w:p>
      <w:pPr>
        <w:spacing w:after="0"/>
        <w:rPr>
          <w:sz w:val="20"/>
          <w:szCs w:val="20"/>
          <w:color w:val="auto"/>
        </w:rPr>
      </w:pPr>
      <w:r>
        <w:rPr>
          <w:rFonts w:ascii="Arial" w:cs="Arial" w:eastAsia="Arial" w:hAnsi="Arial"/>
          <w:sz w:val="26"/>
          <w:szCs w:val="26"/>
          <w:b w:val="1"/>
          <w:bCs w:val="1"/>
          <w:color w:val="29650B"/>
        </w:rPr>
        <w:t>Pay for Performance Alignment – Forfeiture of Performance-Based Shares</w:t>
      </w:r>
    </w:p>
    <w:p>
      <w:pPr>
        <w:spacing w:after="0" w:line="233" w:lineRule="exact"/>
        <w:rPr>
          <w:sz w:val="20"/>
          <w:szCs w:val="20"/>
          <w:color w:val="auto"/>
        </w:rPr>
      </w:pPr>
    </w:p>
    <w:p>
      <w:pPr>
        <w:jc w:val="both"/>
        <w:spacing w:after="0" w:line="238" w:lineRule="auto"/>
        <w:rPr>
          <w:sz w:val="20"/>
          <w:szCs w:val="20"/>
          <w:color w:val="auto"/>
        </w:rPr>
      </w:pPr>
      <w:r>
        <w:rPr>
          <w:rFonts w:ascii="Arial" w:cs="Arial" w:eastAsia="Arial" w:hAnsi="Arial"/>
          <w:sz w:val="20"/>
          <w:szCs w:val="20"/>
          <w:color w:val="auto"/>
        </w:rPr>
        <w:t>The Company has developed an executive compensation program that is ownership-oriented and that rewards the attainment of specific annual and long-term goals that will result in improvement in Shareholder value. Two-thirds of our NEOs’ share awards are performance-based, and vesting of shares granted before 2017 and vesting through 2019 had been based on the Company’s relative total shareholder return (“TSR”) against a peer group. Beginning with 2017 grants, which vested in early 2020, vesting is based on two performance metrics: TSR and the Company’s return on invested capital (“ROIC”).</w:t>
      </w:r>
    </w:p>
    <w:p>
      <w:pPr>
        <w:spacing w:after="0" w:line="199"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Based on the Company’s TSR under-performance versus its peer group for the measurement periods related to the vesting of performance-based shares in the last three years, the Company’s NEOs, including the CEO, forfeited 100% of the performance-based shares scheduled to vest in 2018 and 2019 and 34% of the performance-based shares vesting in 2017, resulting in the lower Total Actual Realized Compensation set forth in the table above. This performance-based vesting history illustrates a strong pay-for-performance alignment.</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40"/>
          </w:cols>
          <w:pgMar w:left="320" w:top="1052" w:right="339" w:bottom="1440" w:gutter="0" w:footer="0" w:header="0"/>
        </w:sectPr>
      </w:pPr>
    </w:p>
    <w:bookmarkStart w:id="12" w:name="page13"/>
    <w:bookmarkEnd w:id="12"/>
    <w:p>
      <w:pPr>
        <w:spacing w:after="0"/>
        <w:rPr>
          <w:sz w:val="20"/>
          <w:szCs w:val="20"/>
          <w:color w:val="auto"/>
        </w:rPr>
      </w:pPr>
      <w:r>
        <w:rPr>
          <w:rFonts w:ascii="Arial" w:cs="Arial" w:eastAsia="Arial" w:hAnsi="Arial"/>
          <w:sz w:val="26"/>
          <w:szCs w:val="26"/>
          <w:b w:val="1"/>
          <w:bCs w:val="1"/>
          <w:color w:val="29650B"/>
        </w:rPr>
        <w:t>Elements of Total Direct Compensation</w:t>
      </w:r>
    </w:p>
    <w:p>
      <w:pPr>
        <w:spacing w:after="0" w:line="220" w:lineRule="exact"/>
        <w:rPr>
          <w:sz w:val="20"/>
          <w:szCs w:val="20"/>
          <w:color w:val="auto"/>
        </w:rPr>
      </w:pPr>
    </w:p>
    <w:p>
      <w:pPr>
        <w:spacing w:after="0" w:line="280" w:lineRule="auto"/>
        <w:rPr>
          <w:sz w:val="20"/>
          <w:szCs w:val="20"/>
          <w:color w:val="auto"/>
        </w:rPr>
      </w:pPr>
      <w:r>
        <w:rPr>
          <w:rFonts w:ascii="Arial" w:cs="Arial" w:eastAsia="Arial" w:hAnsi="Arial"/>
          <w:sz w:val="19"/>
          <w:szCs w:val="19"/>
          <w:color w:val="auto"/>
        </w:rPr>
        <w:t>The allocation of 2019 total direct compensation for our CEO and for our other NEOs among the various components of compensation is set forth in the following charts that highlight the Company’s emphasis on “at risk” and equity-based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381635</wp:posOffset>
            </wp:positionV>
            <wp:extent cx="7143750" cy="5733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3750" cy="5733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240"/>
          </w:cols>
          <w:pgMar w:left="320" w:top="854" w:right="339" w:bottom="1440" w:gutter="0" w:footer="0" w:header="0"/>
        </w:sectPr>
      </w:pPr>
    </w:p>
    <w:bookmarkStart w:id="13" w:name="page14"/>
    <w:bookmarkEnd w:id="13"/>
    <w:p>
      <w:pPr>
        <w:spacing w:after="0"/>
        <w:rPr>
          <w:sz w:val="20"/>
          <w:szCs w:val="20"/>
          <w:color w:val="auto"/>
        </w:rPr>
      </w:pPr>
      <w:r>
        <w:rPr>
          <w:rFonts w:ascii="Arial" w:cs="Arial" w:eastAsia="Arial" w:hAnsi="Arial"/>
          <w:sz w:val="26"/>
          <w:szCs w:val="26"/>
          <w:b w:val="1"/>
          <w:bCs w:val="1"/>
          <w:color w:val="29650B"/>
        </w:rPr>
        <w:t>Executive Compensation Best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278130</wp:posOffset>
            </wp:positionV>
            <wp:extent cx="7143750" cy="5749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3750" cy="5749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39"/>
        <w:spacing w:after="0"/>
        <w:rPr>
          <w:sz w:val="20"/>
          <w:szCs w:val="20"/>
          <w:color w:val="auto"/>
        </w:rPr>
      </w:pPr>
      <w:r>
        <w:rPr>
          <w:rFonts w:ascii="Arial" w:cs="Arial" w:eastAsia="Arial" w:hAnsi="Arial"/>
          <w:sz w:val="20"/>
          <w:szCs w:val="20"/>
          <w:b w:val="1"/>
          <w:bCs w:val="1"/>
          <w:color w:val="auto"/>
        </w:rPr>
        <w:t>WHAT WE DO</w:t>
      </w:r>
    </w:p>
    <w:p>
      <w:pPr>
        <w:spacing w:after="0" w:line="225" w:lineRule="exact"/>
        <w:rPr>
          <w:sz w:val="20"/>
          <w:szCs w:val="20"/>
          <w:color w:val="auto"/>
        </w:rPr>
      </w:pPr>
    </w:p>
    <w:p>
      <w:pPr>
        <w:ind w:left="680" w:hanging="503"/>
        <w:spacing w:after="0"/>
        <w:tabs>
          <w:tab w:leader="none" w:pos="680" w:val="left"/>
        </w:tabs>
        <w:numPr>
          <w:ilvl w:val="0"/>
          <w:numId w:val="11"/>
        </w:numPr>
        <w:rPr>
          <w:rFonts w:ascii="Arial" w:cs="Arial" w:eastAsia="Arial" w:hAnsi="Arial"/>
          <w:sz w:val="40"/>
          <w:szCs w:val="40"/>
          <w:color w:val="4F6228"/>
          <w:vertAlign w:val="superscript"/>
        </w:rPr>
      </w:pPr>
      <w:r>
        <w:rPr>
          <w:rFonts w:ascii="Arial" w:cs="Arial" w:eastAsia="Arial" w:hAnsi="Arial"/>
          <w:sz w:val="20"/>
          <w:szCs w:val="20"/>
          <w:color w:val="auto"/>
        </w:rPr>
        <w:t>Benchmark our NEOs’ total direct compensation at the 50</w:t>
      </w:r>
      <w:r>
        <w:rPr>
          <w:rFonts w:ascii="Arial" w:cs="Arial" w:eastAsia="Arial" w:hAnsi="Arial"/>
          <w:sz w:val="33"/>
          <w:szCs w:val="33"/>
          <w:color w:val="auto"/>
          <w:vertAlign w:val="superscript"/>
        </w:rPr>
        <w:t>th</w:t>
      </w:r>
      <w:r>
        <w:rPr>
          <w:rFonts w:ascii="Arial" w:cs="Arial" w:eastAsia="Arial" w:hAnsi="Arial"/>
          <w:sz w:val="20"/>
          <w:szCs w:val="20"/>
          <w:color w:val="auto"/>
        </w:rPr>
        <w:t xml:space="preserve"> percentile of our peer group</w:t>
      </w:r>
    </w:p>
    <w:p>
      <w:pPr>
        <w:ind w:left="680" w:hanging="503"/>
        <w:spacing w:after="0"/>
        <w:tabs>
          <w:tab w:leader="none" w:pos="680" w:val="left"/>
        </w:tabs>
        <w:numPr>
          <w:ilvl w:val="0"/>
          <w:numId w:val="11"/>
        </w:numPr>
        <w:rPr>
          <w:rFonts w:ascii="Arial" w:cs="Arial" w:eastAsia="Arial" w:hAnsi="Arial"/>
          <w:sz w:val="20"/>
          <w:szCs w:val="20"/>
          <w:color w:val="4F6228"/>
        </w:rPr>
      </w:pPr>
      <w:r>
        <w:rPr>
          <w:rFonts w:ascii="Arial" w:cs="Arial" w:eastAsia="Arial" w:hAnsi="Arial"/>
          <w:sz w:val="20"/>
          <w:szCs w:val="20"/>
          <w:color w:val="auto"/>
        </w:rPr>
        <w:t>Review pay and performance alignment</w:t>
      </w:r>
    </w:p>
    <w:p>
      <w:pPr>
        <w:spacing w:after="0" w:line="76" w:lineRule="exact"/>
        <w:rPr>
          <w:rFonts w:ascii="Arial" w:cs="Arial" w:eastAsia="Arial" w:hAnsi="Arial"/>
          <w:sz w:val="20"/>
          <w:szCs w:val="20"/>
          <w:color w:val="4F6228"/>
        </w:rPr>
      </w:pPr>
    </w:p>
    <w:p>
      <w:pPr>
        <w:ind w:left="680" w:hanging="503"/>
        <w:spacing w:after="0"/>
        <w:tabs>
          <w:tab w:leader="none" w:pos="680" w:val="left"/>
        </w:tabs>
        <w:numPr>
          <w:ilvl w:val="0"/>
          <w:numId w:val="11"/>
        </w:numPr>
        <w:rPr>
          <w:rFonts w:ascii="Arial" w:cs="Arial" w:eastAsia="Arial" w:hAnsi="Arial"/>
          <w:sz w:val="20"/>
          <w:szCs w:val="20"/>
          <w:color w:val="4F6228"/>
        </w:rPr>
      </w:pPr>
      <w:r>
        <w:rPr>
          <w:rFonts w:ascii="Arial" w:cs="Arial" w:eastAsia="Arial" w:hAnsi="Arial"/>
          <w:sz w:val="20"/>
          <w:szCs w:val="20"/>
          <w:color w:val="auto"/>
        </w:rPr>
        <w:t>Provide a majority of the direct compensation paid to our NEOs in performance-based compensation</w:t>
      </w:r>
    </w:p>
    <w:p>
      <w:pPr>
        <w:spacing w:after="0" w:line="191" w:lineRule="exact"/>
        <w:rPr>
          <w:rFonts w:ascii="Arial" w:cs="Arial" w:eastAsia="Arial" w:hAnsi="Arial"/>
          <w:sz w:val="20"/>
          <w:szCs w:val="20"/>
          <w:color w:val="4F6228"/>
        </w:rPr>
      </w:pPr>
    </w:p>
    <w:p>
      <w:pPr>
        <w:ind w:left="680" w:hanging="503"/>
        <w:spacing w:after="0" w:line="254" w:lineRule="auto"/>
        <w:tabs>
          <w:tab w:leader="none" w:pos="680" w:val="left"/>
        </w:tabs>
        <w:numPr>
          <w:ilvl w:val="0"/>
          <w:numId w:val="11"/>
        </w:numPr>
        <w:rPr>
          <w:rFonts w:ascii="Arial" w:cs="Arial" w:eastAsia="Arial" w:hAnsi="Arial"/>
          <w:sz w:val="20"/>
          <w:szCs w:val="20"/>
          <w:color w:val="4F6228"/>
        </w:rPr>
      </w:pPr>
      <w:r>
        <w:rPr>
          <w:rFonts w:ascii="Arial" w:cs="Arial" w:eastAsia="Arial" w:hAnsi="Arial"/>
          <w:sz w:val="20"/>
          <w:szCs w:val="20"/>
          <w:color w:val="auto"/>
        </w:rPr>
        <w:t>Allocate two-thirds of compensation under the Company’s long-term incentive plan to performance-based share awards and one-third to time-based share awards</w:t>
      </w:r>
    </w:p>
    <w:p>
      <w:pPr>
        <w:spacing w:after="0" w:line="158" w:lineRule="exact"/>
        <w:rPr>
          <w:rFonts w:ascii="Arial" w:cs="Arial" w:eastAsia="Arial" w:hAnsi="Arial"/>
          <w:sz w:val="20"/>
          <w:szCs w:val="20"/>
          <w:color w:val="4F6228"/>
        </w:rPr>
      </w:pPr>
    </w:p>
    <w:p>
      <w:pPr>
        <w:ind w:left="680" w:hanging="503"/>
        <w:spacing w:after="0"/>
        <w:tabs>
          <w:tab w:leader="none" w:pos="680" w:val="left"/>
        </w:tabs>
        <w:numPr>
          <w:ilvl w:val="0"/>
          <w:numId w:val="11"/>
        </w:numPr>
        <w:rPr>
          <w:rFonts w:ascii="Arial" w:cs="Arial" w:eastAsia="Arial" w:hAnsi="Arial"/>
          <w:sz w:val="20"/>
          <w:szCs w:val="20"/>
          <w:color w:val="4F6228"/>
        </w:rPr>
      </w:pPr>
      <w:r>
        <w:rPr>
          <w:rFonts w:ascii="Arial" w:cs="Arial" w:eastAsia="Arial" w:hAnsi="Arial"/>
          <w:sz w:val="20"/>
          <w:szCs w:val="20"/>
          <w:color w:val="auto"/>
        </w:rPr>
        <w:t>Vest performance-based shares on the basis of two metrics (total shareholder return and return on invested capital)</w:t>
      </w:r>
    </w:p>
    <w:p>
      <w:pPr>
        <w:spacing w:after="0" w:line="191" w:lineRule="exact"/>
        <w:rPr>
          <w:rFonts w:ascii="Arial" w:cs="Arial" w:eastAsia="Arial" w:hAnsi="Arial"/>
          <w:sz w:val="20"/>
          <w:szCs w:val="20"/>
          <w:color w:val="4F6228"/>
        </w:rPr>
      </w:pPr>
    </w:p>
    <w:p>
      <w:pPr>
        <w:ind w:left="680" w:right="100" w:hanging="503"/>
        <w:spacing w:after="0" w:line="254" w:lineRule="auto"/>
        <w:tabs>
          <w:tab w:leader="none" w:pos="680" w:val="left"/>
        </w:tabs>
        <w:numPr>
          <w:ilvl w:val="0"/>
          <w:numId w:val="11"/>
        </w:numPr>
        <w:rPr>
          <w:rFonts w:ascii="Arial" w:cs="Arial" w:eastAsia="Arial" w:hAnsi="Arial"/>
          <w:sz w:val="20"/>
          <w:szCs w:val="20"/>
          <w:color w:val="4F6228"/>
        </w:rPr>
      </w:pPr>
      <w:r>
        <w:rPr>
          <w:rFonts w:ascii="Arial" w:cs="Arial" w:eastAsia="Arial" w:hAnsi="Arial"/>
          <w:sz w:val="20"/>
          <w:szCs w:val="20"/>
          <w:color w:val="auto"/>
        </w:rPr>
        <w:t>Base payouts under the Company’s Annual Incentive Bonus Plan on the achievement of specified levels of economic profit and modified operating cash flow</w:t>
      </w:r>
    </w:p>
    <w:p>
      <w:pPr>
        <w:spacing w:after="0" w:line="158" w:lineRule="exact"/>
        <w:rPr>
          <w:rFonts w:ascii="Arial" w:cs="Arial" w:eastAsia="Arial" w:hAnsi="Arial"/>
          <w:sz w:val="20"/>
          <w:szCs w:val="20"/>
          <w:color w:val="4F6228"/>
        </w:rPr>
      </w:pPr>
    </w:p>
    <w:p>
      <w:pPr>
        <w:ind w:left="680" w:hanging="503"/>
        <w:spacing w:after="0"/>
        <w:tabs>
          <w:tab w:leader="none" w:pos="680" w:val="left"/>
        </w:tabs>
        <w:numPr>
          <w:ilvl w:val="0"/>
          <w:numId w:val="11"/>
        </w:numPr>
        <w:rPr>
          <w:rFonts w:ascii="Arial" w:cs="Arial" w:eastAsia="Arial" w:hAnsi="Arial"/>
          <w:sz w:val="20"/>
          <w:szCs w:val="20"/>
          <w:color w:val="4F6228"/>
        </w:rPr>
      </w:pPr>
      <w:r>
        <w:rPr>
          <w:rFonts w:ascii="Arial" w:cs="Arial" w:eastAsia="Arial" w:hAnsi="Arial"/>
          <w:sz w:val="20"/>
          <w:szCs w:val="20"/>
          <w:color w:val="auto"/>
        </w:rPr>
        <w:t>Maintain stock ownership and holding period requirements for our NEOs</w:t>
      </w:r>
    </w:p>
    <w:p>
      <w:pPr>
        <w:spacing w:after="0" w:line="191" w:lineRule="exact"/>
        <w:rPr>
          <w:rFonts w:ascii="Arial" w:cs="Arial" w:eastAsia="Arial" w:hAnsi="Arial"/>
          <w:sz w:val="20"/>
          <w:szCs w:val="20"/>
          <w:color w:val="4F6228"/>
        </w:rPr>
      </w:pPr>
    </w:p>
    <w:p>
      <w:pPr>
        <w:ind w:left="680" w:hanging="503"/>
        <w:spacing w:after="0"/>
        <w:tabs>
          <w:tab w:leader="none" w:pos="680" w:val="left"/>
        </w:tabs>
        <w:numPr>
          <w:ilvl w:val="0"/>
          <w:numId w:val="11"/>
        </w:numPr>
        <w:rPr>
          <w:rFonts w:ascii="Arial" w:cs="Arial" w:eastAsia="Arial" w:hAnsi="Arial"/>
          <w:sz w:val="20"/>
          <w:szCs w:val="20"/>
          <w:color w:val="4F6228"/>
        </w:rPr>
      </w:pPr>
      <w:r>
        <w:rPr>
          <w:rFonts w:ascii="Arial" w:cs="Arial" w:eastAsia="Arial" w:hAnsi="Arial"/>
          <w:sz w:val="20"/>
          <w:szCs w:val="20"/>
          <w:color w:val="auto"/>
        </w:rPr>
        <w:t>“Clawback” non-equity incentive bonus payments from NEOs in the event of certain acts of misconduct</w:t>
      </w:r>
    </w:p>
    <w:p>
      <w:pPr>
        <w:spacing w:after="0" w:line="191" w:lineRule="exact"/>
        <w:rPr>
          <w:rFonts w:ascii="Arial" w:cs="Arial" w:eastAsia="Arial" w:hAnsi="Arial"/>
          <w:sz w:val="20"/>
          <w:szCs w:val="20"/>
          <w:color w:val="4F6228"/>
        </w:rPr>
      </w:pPr>
    </w:p>
    <w:p>
      <w:pPr>
        <w:ind w:left="680" w:hanging="503"/>
        <w:spacing w:after="0"/>
        <w:tabs>
          <w:tab w:leader="none" w:pos="680" w:val="left"/>
        </w:tabs>
        <w:numPr>
          <w:ilvl w:val="0"/>
          <w:numId w:val="11"/>
        </w:numPr>
        <w:rPr>
          <w:rFonts w:ascii="Arial" w:cs="Arial" w:eastAsia="Arial" w:hAnsi="Arial"/>
          <w:sz w:val="20"/>
          <w:szCs w:val="20"/>
          <w:color w:val="4F6228"/>
        </w:rPr>
      </w:pPr>
      <w:r>
        <w:rPr>
          <w:rFonts w:ascii="Arial" w:cs="Arial" w:eastAsia="Arial" w:hAnsi="Arial"/>
          <w:sz w:val="20"/>
          <w:szCs w:val="20"/>
          <w:color w:val="auto"/>
        </w:rPr>
        <w:t>Engage an independent compensation consultant for our Compensation Committee</w:t>
      </w:r>
    </w:p>
    <w:p>
      <w:pPr>
        <w:spacing w:after="0" w:line="191" w:lineRule="exact"/>
        <w:rPr>
          <w:rFonts w:ascii="Arial" w:cs="Arial" w:eastAsia="Arial" w:hAnsi="Arial"/>
          <w:sz w:val="20"/>
          <w:szCs w:val="20"/>
          <w:color w:val="4F6228"/>
        </w:rPr>
      </w:pPr>
    </w:p>
    <w:p>
      <w:pPr>
        <w:ind w:left="680" w:hanging="503"/>
        <w:spacing w:after="0"/>
        <w:tabs>
          <w:tab w:leader="none" w:pos="680" w:val="left"/>
        </w:tabs>
        <w:numPr>
          <w:ilvl w:val="0"/>
          <w:numId w:val="11"/>
        </w:numPr>
        <w:rPr>
          <w:rFonts w:ascii="Arial" w:cs="Arial" w:eastAsia="Arial" w:hAnsi="Arial"/>
          <w:sz w:val="20"/>
          <w:szCs w:val="20"/>
          <w:color w:val="4F6228"/>
        </w:rPr>
      </w:pPr>
      <w:r>
        <w:rPr>
          <w:rFonts w:ascii="Arial" w:cs="Arial" w:eastAsia="Arial" w:hAnsi="Arial"/>
          <w:sz w:val="20"/>
          <w:szCs w:val="20"/>
          <w:color w:val="auto"/>
        </w:rPr>
        <w:t>Annually review the independence of the compensation consultant retained by the Compensation Committee</w:t>
      </w:r>
    </w:p>
    <w:p>
      <w:pPr>
        <w:spacing w:after="0" w:line="191" w:lineRule="exact"/>
        <w:rPr>
          <w:rFonts w:ascii="Arial" w:cs="Arial" w:eastAsia="Arial" w:hAnsi="Arial"/>
          <w:sz w:val="20"/>
          <w:szCs w:val="20"/>
          <w:color w:val="4F6228"/>
        </w:rPr>
      </w:pPr>
    </w:p>
    <w:p>
      <w:pPr>
        <w:ind w:left="680" w:right="720" w:hanging="503"/>
        <w:spacing w:after="0" w:line="254" w:lineRule="auto"/>
        <w:tabs>
          <w:tab w:leader="none" w:pos="680" w:val="left"/>
        </w:tabs>
        <w:numPr>
          <w:ilvl w:val="0"/>
          <w:numId w:val="11"/>
        </w:numPr>
        <w:rPr>
          <w:rFonts w:ascii="Arial" w:cs="Arial" w:eastAsia="Arial" w:hAnsi="Arial"/>
          <w:sz w:val="20"/>
          <w:szCs w:val="20"/>
          <w:color w:val="4F6228"/>
        </w:rPr>
      </w:pPr>
      <w:r>
        <w:rPr>
          <w:rFonts w:ascii="Arial" w:cs="Arial" w:eastAsia="Arial" w:hAnsi="Arial"/>
          <w:sz w:val="20"/>
          <w:szCs w:val="20"/>
          <w:color w:val="auto"/>
        </w:rPr>
        <w:t>Utilize tally sheets to review total compensation, compensation mix, internal pay equity, payouts under certain potential termination scenarios and the aggregate value of retirement benefits</w:t>
      </w:r>
    </w:p>
    <w:p>
      <w:pPr>
        <w:spacing w:after="0" w:line="158" w:lineRule="exact"/>
        <w:rPr>
          <w:rFonts w:ascii="Arial" w:cs="Arial" w:eastAsia="Arial" w:hAnsi="Arial"/>
          <w:sz w:val="20"/>
          <w:szCs w:val="20"/>
          <w:color w:val="4F6228"/>
        </w:rPr>
      </w:pPr>
    </w:p>
    <w:p>
      <w:pPr>
        <w:ind w:left="680" w:hanging="503"/>
        <w:spacing w:after="0"/>
        <w:tabs>
          <w:tab w:leader="none" w:pos="680" w:val="left"/>
        </w:tabs>
        <w:numPr>
          <w:ilvl w:val="0"/>
          <w:numId w:val="11"/>
        </w:numPr>
        <w:rPr>
          <w:rFonts w:ascii="Arial" w:cs="Arial" w:eastAsia="Arial" w:hAnsi="Arial"/>
          <w:sz w:val="20"/>
          <w:szCs w:val="20"/>
          <w:color w:val="4F6228"/>
        </w:rPr>
      </w:pPr>
      <w:r>
        <w:rPr>
          <w:rFonts w:ascii="Arial" w:cs="Arial" w:eastAsia="Arial" w:hAnsi="Arial"/>
          <w:sz w:val="20"/>
          <w:szCs w:val="20"/>
          <w:color w:val="auto"/>
        </w:rPr>
        <w:t>Hold annual Say-on-Pay votes</w:t>
      </w:r>
    </w:p>
    <w:p>
      <w:pPr>
        <w:spacing w:after="0" w:line="384" w:lineRule="exact"/>
        <w:rPr>
          <w:sz w:val="20"/>
          <w:szCs w:val="20"/>
          <w:color w:val="auto"/>
        </w:rPr>
      </w:pPr>
    </w:p>
    <w:p>
      <w:pPr>
        <w:jc w:val="center"/>
        <w:ind w:right="-319"/>
        <w:spacing w:after="0"/>
        <w:rPr>
          <w:sz w:val="20"/>
          <w:szCs w:val="20"/>
          <w:color w:val="auto"/>
        </w:rPr>
      </w:pPr>
      <w:r>
        <w:rPr>
          <w:rFonts w:ascii="Arial" w:cs="Arial" w:eastAsia="Arial" w:hAnsi="Arial"/>
          <w:sz w:val="20"/>
          <w:szCs w:val="20"/>
          <w:b w:val="1"/>
          <w:bCs w:val="1"/>
          <w:color w:val="auto"/>
        </w:rPr>
        <w:t>WHAT WE DON’T DO</w:t>
      </w:r>
    </w:p>
    <w:p>
      <w:pPr>
        <w:spacing w:after="0" w:line="396" w:lineRule="exact"/>
        <w:rPr>
          <w:sz w:val="20"/>
          <w:szCs w:val="20"/>
          <w:color w:val="auto"/>
        </w:rPr>
      </w:pPr>
    </w:p>
    <w:p>
      <w:pPr>
        <w:ind w:left="680" w:hanging="503"/>
        <w:spacing w:after="0"/>
        <w:tabs>
          <w:tab w:leader="none" w:pos="680" w:val="left"/>
        </w:tabs>
        <w:numPr>
          <w:ilvl w:val="0"/>
          <w:numId w:val="12"/>
        </w:numPr>
        <w:rPr>
          <w:rFonts w:ascii="Arial" w:cs="Arial" w:eastAsia="Arial" w:hAnsi="Arial"/>
          <w:sz w:val="20"/>
          <w:szCs w:val="20"/>
          <w:color w:val="4F6228"/>
        </w:rPr>
      </w:pPr>
      <w:r>
        <w:rPr>
          <w:rFonts w:ascii="Arial" w:cs="Arial" w:eastAsia="Arial" w:hAnsi="Arial"/>
          <w:sz w:val="20"/>
          <w:szCs w:val="20"/>
          <w:color w:val="auto"/>
        </w:rPr>
        <w:t>Allow carry-forward or banking of economic profit achievement in our Annual Incentive Bonus Plan</w:t>
      </w:r>
    </w:p>
    <w:p>
      <w:pPr>
        <w:spacing w:after="0" w:line="191" w:lineRule="exact"/>
        <w:rPr>
          <w:rFonts w:ascii="Arial" w:cs="Arial" w:eastAsia="Arial" w:hAnsi="Arial"/>
          <w:sz w:val="20"/>
          <w:szCs w:val="20"/>
          <w:color w:val="4F6228"/>
        </w:rPr>
      </w:pPr>
    </w:p>
    <w:p>
      <w:pPr>
        <w:ind w:left="680" w:hanging="503"/>
        <w:spacing w:after="0"/>
        <w:tabs>
          <w:tab w:leader="none" w:pos="680" w:val="left"/>
        </w:tabs>
        <w:numPr>
          <w:ilvl w:val="0"/>
          <w:numId w:val="12"/>
        </w:numPr>
        <w:rPr>
          <w:rFonts w:ascii="Arial" w:cs="Arial" w:eastAsia="Arial" w:hAnsi="Arial"/>
          <w:sz w:val="20"/>
          <w:szCs w:val="20"/>
          <w:color w:val="4F6228"/>
        </w:rPr>
      </w:pPr>
      <w:r>
        <w:rPr>
          <w:rFonts w:ascii="Arial" w:cs="Arial" w:eastAsia="Arial" w:hAnsi="Arial"/>
          <w:sz w:val="20"/>
          <w:szCs w:val="20"/>
          <w:color w:val="auto"/>
        </w:rPr>
        <w:t>Use subjective individual qualitative factors in determining executives’ annual bonuses</w:t>
      </w:r>
    </w:p>
    <w:p>
      <w:pPr>
        <w:spacing w:after="0" w:line="191" w:lineRule="exact"/>
        <w:rPr>
          <w:rFonts w:ascii="Arial" w:cs="Arial" w:eastAsia="Arial" w:hAnsi="Arial"/>
          <w:sz w:val="20"/>
          <w:szCs w:val="20"/>
          <w:color w:val="4F6228"/>
        </w:rPr>
      </w:pPr>
    </w:p>
    <w:p>
      <w:pPr>
        <w:ind w:left="680" w:hanging="503"/>
        <w:spacing w:after="0"/>
        <w:tabs>
          <w:tab w:leader="none" w:pos="680" w:val="left"/>
        </w:tabs>
        <w:numPr>
          <w:ilvl w:val="0"/>
          <w:numId w:val="12"/>
        </w:numPr>
        <w:rPr>
          <w:rFonts w:ascii="Arial" w:cs="Arial" w:eastAsia="Arial" w:hAnsi="Arial"/>
          <w:sz w:val="20"/>
          <w:szCs w:val="20"/>
          <w:color w:val="4F6228"/>
        </w:rPr>
      </w:pPr>
      <w:r>
        <w:rPr>
          <w:rFonts w:ascii="Arial" w:cs="Arial" w:eastAsia="Arial" w:hAnsi="Arial"/>
          <w:sz w:val="20"/>
          <w:szCs w:val="20"/>
          <w:color w:val="auto"/>
        </w:rPr>
        <w:t>Include tax gross-up provisions in any new or revised executive employment agreements</w:t>
      </w:r>
    </w:p>
    <w:p>
      <w:pPr>
        <w:spacing w:after="0" w:line="191" w:lineRule="exact"/>
        <w:rPr>
          <w:rFonts w:ascii="Arial" w:cs="Arial" w:eastAsia="Arial" w:hAnsi="Arial"/>
          <w:sz w:val="20"/>
          <w:szCs w:val="20"/>
          <w:color w:val="4F6228"/>
        </w:rPr>
      </w:pPr>
    </w:p>
    <w:p>
      <w:pPr>
        <w:ind w:left="680" w:hanging="503"/>
        <w:spacing w:after="0"/>
        <w:tabs>
          <w:tab w:leader="none" w:pos="680" w:val="left"/>
        </w:tabs>
        <w:numPr>
          <w:ilvl w:val="0"/>
          <w:numId w:val="12"/>
        </w:numPr>
        <w:rPr>
          <w:rFonts w:ascii="Arial" w:cs="Arial" w:eastAsia="Arial" w:hAnsi="Arial"/>
          <w:sz w:val="20"/>
          <w:szCs w:val="20"/>
          <w:color w:val="4F6228"/>
        </w:rPr>
      </w:pPr>
      <w:r>
        <w:rPr>
          <w:rFonts w:ascii="Arial" w:cs="Arial" w:eastAsia="Arial" w:hAnsi="Arial"/>
          <w:sz w:val="20"/>
          <w:szCs w:val="20"/>
          <w:color w:val="auto"/>
        </w:rPr>
        <w:t>Provide excessive perquisites</w:t>
      </w:r>
    </w:p>
    <w:p>
      <w:pPr>
        <w:spacing w:after="0" w:line="92" w:lineRule="exact"/>
        <w:rPr>
          <w:rFonts w:ascii="Arial" w:cs="Arial" w:eastAsia="Arial" w:hAnsi="Arial"/>
          <w:sz w:val="20"/>
          <w:szCs w:val="20"/>
          <w:color w:val="4F6228"/>
        </w:rPr>
      </w:pPr>
    </w:p>
    <w:p>
      <w:pPr>
        <w:ind w:left="680" w:hanging="503"/>
        <w:spacing w:after="0"/>
        <w:tabs>
          <w:tab w:leader="none" w:pos="680" w:val="left"/>
        </w:tabs>
        <w:numPr>
          <w:ilvl w:val="0"/>
          <w:numId w:val="12"/>
        </w:numPr>
        <w:rPr>
          <w:rFonts w:ascii="Arial" w:cs="Arial" w:eastAsia="Arial" w:hAnsi="Arial"/>
          <w:sz w:val="20"/>
          <w:szCs w:val="20"/>
          <w:color w:val="4F6228"/>
        </w:rPr>
      </w:pPr>
      <w:r>
        <w:rPr>
          <w:rFonts w:ascii="Arial" w:cs="Arial" w:eastAsia="Arial" w:hAnsi="Arial"/>
          <w:sz w:val="20"/>
          <w:szCs w:val="20"/>
          <w:color w:val="auto"/>
        </w:rPr>
        <w:t>Permit any form of hedging or pledging of Company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Please read the CD&amp;A, beginning on page 31, for a more detailed description of the Company’s executive compensation program.</w:t>
      </w:r>
    </w:p>
    <w:p>
      <w:pPr>
        <w:spacing w:after="0" w:line="200" w:lineRule="exact"/>
        <w:rPr>
          <w:sz w:val="20"/>
          <w:szCs w:val="20"/>
          <w:color w:val="auto"/>
        </w:rPr>
      </w:pPr>
    </w:p>
    <w:p>
      <w:pPr>
        <w:spacing w:after="0" w:line="312" w:lineRule="exact"/>
        <w:rPr>
          <w:sz w:val="20"/>
          <w:szCs w:val="20"/>
          <w:color w:val="auto"/>
        </w:rPr>
      </w:pPr>
    </w:p>
    <w:p>
      <w:pPr>
        <w:jc w:val="center"/>
        <w:ind w:right="-319"/>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0920"/>
          </w:cols>
          <w:pgMar w:left="320" w:top="1139" w:right="659" w:bottom="1440" w:gutter="0" w:footer="0" w:header="0"/>
        </w:sectPr>
      </w:pPr>
    </w:p>
    <w:bookmarkStart w:id="14" w:name="page15"/>
    <w:bookmarkEnd w:id="14"/>
    <w:p>
      <w:pPr>
        <w:spacing w:after="0"/>
        <w:rPr>
          <w:sz w:val="20"/>
          <w:szCs w:val="20"/>
          <w:color w:val="auto"/>
        </w:rPr>
      </w:pPr>
      <w:r>
        <w:rPr>
          <w:rFonts w:ascii="Arial" w:cs="Arial" w:eastAsia="Arial" w:hAnsi="Arial"/>
          <w:sz w:val="26"/>
          <w:szCs w:val="26"/>
          <w:b w:val="1"/>
          <w:bCs w:val="1"/>
          <w:color w:val="29650B"/>
        </w:rPr>
        <w:t>Proposal 4 - Shareholder Proposal</w:t>
      </w:r>
    </w:p>
    <w:p>
      <w:pPr>
        <w:spacing w:after="0" w:line="245"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For the second consecutive year, Mr. John Chevedden has advised he intends to submit a Shareholder proposal requesting the Board of Directors to adopt a policy for an independent Board Chairman.</w:t>
      </w:r>
    </w:p>
    <w:p>
      <w:pPr>
        <w:spacing w:after="0" w:line="183"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The Board has carefully considered this Shareholder proposal and believes that it is unnecessary and potentially detrimental to the Company and its Shareholders. Accordingly, the Board recommends a vote AGAINST Proposal 4.</w:t>
      </w:r>
    </w:p>
    <w:p>
      <w:pPr>
        <w:spacing w:after="0" w:line="183" w:lineRule="exact"/>
        <w:rPr>
          <w:sz w:val="20"/>
          <w:szCs w:val="20"/>
          <w:color w:val="auto"/>
        </w:rPr>
      </w:pPr>
    </w:p>
    <w:p>
      <w:pPr>
        <w:jc w:val="both"/>
        <w:spacing w:after="0"/>
        <w:rPr>
          <w:sz w:val="20"/>
          <w:szCs w:val="20"/>
          <w:color w:val="auto"/>
        </w:rPr>
      </w:pPr>
      <w:r>
        <w:rPr>
          <w:rFonts w:ascii="Arial" w:cs="Arial" w:eastAsia="Arial" w:hAnsi="Arial"/>
          <w:sz w:val="20"/>
          <w:szCs w:val="20"/>
          <w:color w:val="auto"/>
        </w:rPr>
        <w:t>The Company has both an independent Chairman of the Board and an Independent Lead Director. Eleven of the Company’s twelve Directors, including the Company’s non-executive Chairman of the Board, qualify as independent under the listing standards of the New York Stock Exchange. As part of the Company’s Board refreshment process, in the last year, three new independent Directors joined the Board, and a new Independent Lead Director and two new Committee chairs were elected.</w:t>
      </w:r>
    </w:p>
    <w:p>
      <w:pPr>
        <w:spacing w:after="0" w:line="196"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The Board believes that it is important to maintain the flexibility to establish a leadership structure that best serves the interests of the Company and its Shareholders as circumstances evolve. Additional information may be found under “Proposal 4 – Shareholder Proposal” on page 65.</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240"/>
          </w:cols>
          <w:pgMar w:left="320" w:top="928" w:right="339" w:bottom="1440" w:gutter="0" w:footer="0" w:header="0"/>
        </w:sectPr>
      </w:pPr>
    </w:p>
    <w:bookmarkStart w:id="15" w:name="page16"/>
    <w:bookmarkEnd w:id="1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1"/>
          <w:szCs w:val="21"/>
          <w:i w:val="1"/>
          <w:iCs w:val="1"/>
          <w:color w:val="auto"/>
        </w:rPr>
        <w:t>(This Page Intentionally Left Blank)</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9019"/>
          </w:cols>
          <w:pgMar w:left="1440" w:top="1440" w:right="1440"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30"/>
          <w:szCs w:val="30"/>
          <w:b w:val="1"/>
          <w:bCs w:val="1"/>
          <w:color w:val="29650B"/>
        </w:rPr>
        <w:t>QUESTIONS &amp; ANSWERS ABOUT THE 2020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3750" cy="317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3750" cy="3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Why am I receiving these materials?</w:t>
      </w:r>
    </w:p>
    <w:p>
      <w:pPr>
        <w:spacing w:after="0" w:line="217" w:lineRule="exact"/>
        <w:rPr>
          <w:sz w:val="20"/>
          <w:szCs w:val="20"/>
          <w:color w:val="auto"/>
        </w:rPr>
      </w:pPr>
    </w:p>
    <w:p>
      <w:pPr>
        <w:jc w:val="both"/>
        <w:spacing w:after="0" w:line="251" w:lineRule="auto"/>
        <w:rPr>
          <w:sz w:val="20"/>
          <w:szCs w:val="20"/>
          <w:color w:val="auto"/>
        </w:rPr>
      </w:pPr>
      <w:r>
        <w:rPr>
          <w:rFonts w:ascii="Arial" w:cs="Arial" w:eastAsia="Arial" w:hAnsi="Arial"/>
          <w:sz w:val="19"/>
          <w:szCs w:val="19"/>
          <w:color w:val="auto"/>
        </w:rPr>
        <w:t>The Company is providing you this Proxy Statement, the accompanying Proxy Card and a copy of our Annual Report for the year ended December 31, 2019, containing audited financial statements, in connection with our Annual Meeting of Shareholders or any adjournments or postponements of the Annual Meeting. The Meeting will be held on April 23, 2020 at 9:30 a.m. local time at the Company’s Corporate Headquarters located at 770 Township Line Road, Yardley, Pennsylvania. As a Shareholder of the Company, you are cordially invited to attend the Annual Meeting and are entitled and requested to vote on the matters described in this Proxy Statement. The accompanying Proxy is solicited on behalf of the Board of Directors of the Company. We are mailing this Proxy Statement and the accompanying Proxy Card and Annual Report to our Shareholders on or about March 16, 2020.</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What is a Proxy?</w:t>
      </w:r>
    </w:p>
    <w:p>
      <w:pPr>
        <w:spacing w:after="0" w:line="192" w:lineRule="exact"/>
        <w:rPr>
          <w:sz w:val="20"/>
          <w:szCs w:val="20"/>
          <w:color w:val="auto"/>
        </w:rPr>
      </w:pPr>
    </w:p>
    <w:p>
      <w:pPr>
        <w:jc w:val="both"/>
        <w:spacing w:after="0" w:line="238" w:lineRule="auto"/>
        <w:rPr>
          <w:sz w:val="20"/>
          <w:szCs w:val="20"/>
          <w:color w:val="auto"/>
        </w:rPr>
      </w:pPr>
      <w:r>
        <w:rPr>
          <w:rFonts w:ascii="Arial" w:cs="Arial" w:eastAsia="Arial" w:hAnsi="Arial"/>
          <w:sz w:val="20"/>
          <w:szCs w:val="20"/>
          <w:color w:val="auto"/>
        </w:rPr>
        <w:t>A Proxy is your legal designation of another person to vote the shares that you own in accordance with your instructions. The person you appoint to vote your shares is called a Proxy Holder. On the Proxy Card you will find the names of the persons designated by the Company to act as Proxy Holders to vote your shares at the Annual Meeting. The Board is asking you to allow any of the persons named as Proxy Holders on the Proxy Card (all of whom are Officers of the Company) to vote your shares at the Annual Meeting. The Proxy Holders must vote your shares in the manner you instruct.</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Who is entitled to vote?</w:t>
      </w:r>
    </w:p>
    <w:p>
      <w:pPr>
        <w:spacing w:after="0" w:line="192"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Only Shareholders as of the close of business on March 3, 2020 (“Record Date”) are entitled to receive notice of, to attend and to vote at the Annual Meeting or any adjournment or postponement of the Annual Meeting. Each Shareholder has one vote per share on all matters to be voted on. As of the Record Date, there were 135,696,867 shares of Common Stock outstanding.</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What is the difference between a “record owner” and a “beneficial owner”?</w:t>
      </w:r>
    </w:p>
    <w:p>
      <w:pPr>
        <w:spacing w:after="0" w:line="18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b w:val="1"/>
          <w:bCs w:val="1"/>
          <w:color w:val="auto"/>
        </w:rPr>
        <w:t>Record Owners</w:t>
      </w:r>
      <w:r>
        <w:rPr>
          <w:rFonts w:ascii="Arial" w:cs="Arial" w:eastAsia="Arial" w:hAnsi="Arial"/>
          <w:sz w:val="20"/>
          <w:szCs w:val="20"/>
          <w:color w:val="auto"/>
        </w:rPr>
        <w:t>: If your shares are registered directly in your name with EQ Shareowner Services, the Company’s stock transfer agent, you</w:t>
      </w:r>
      <w:r>
        <w:rPr>
          <w:rFonts w:ascii="Arial" w:cs="Arial" w:eastAsia="Arial" w:hAnsi="Arial"/>
          <w:sz w:val="20"/>
          <w:szCs w:val="20"/>
          <w:b w:val="1"/>
          <w:bCs w:val="1"/>
          <w:color w:val="auto"/>
        </w:rPr>
        <w:t xml:space="preserve"> </w:t>
      </w:r>
      <w:r>
        <w:rPr>
          <w:rFonts w:ascii="Arial" w:cs="Arial" w:eastAsia="Arial" w:hAnsi="Arial"/>
          <w:sz w:val="20"/>
          <w:szCs w:val="20"/>
          <w:color w:val="auto"/>
        </w:rPr>
        <w:t>are considered the “Shareholder of record” or “record owner” with respect to those shares. You vote your shares directly and may vote in-person at the Annual Meeting with no prior authorizations required.</w:t>
      </w:r>
    </w:p>
    <w:p>
      <w:pPr>
        <w:spacing w:after="0" w:line="161" w:lineRule="exact"/>
        <w:rPr>
          <w:sz w:val="20"/>
          <w:szCs w:val="20"/>
          <w:color w:val="auto"/>
        </w:rPr>
      </w:pPr>
    </w:p>
    <w:p>
      <w:pPr>
        <w:jc w:val="both"/>
        <w:spacing w:after="0" w:line="251" w:lineRule="auto"/>
        <w:rPr>
          <w:sz w:val="20"/>
          <w:szCs w:val="20"/>
          <w:color w:val="auto"/>
        </w:rPr>
      </w:pPr>
      <w:r>
        <w:rPr>
          <w:rFonts w:ascii="Arial" w:cs="Arial" w:eastAsia="Arial" w:hAnsi="Arial"/>
          <w:sz w:val="19"/>
          <w:szCs w:val="19"/>
          <w:b w:val="1"/>
          <w:bCs w:val="1"/>
          <w:color w:val="auto"/>
        </w:rPr>
        <w:t>Beneficial Owners</w:t>
      </w:r>
      <w:r>
        <w:rPr>
          <w:rFonts w:ascii="Arial" w:cs="Arial" w:eastAsia="Arial" w:hAnsi="Arial"/>
          <w:sz w:val="19"/>
          <w:szCs w:val="19"/>
          <w:color w:val="auto"/>
        </w:rPr>
        <w:t>: If your shares are held in an account at a brokerage firm, bank or trust as custodian on your behalf, you are considered</w:t>
      </w:r>
      <w:r>
        <w:rPr>
          <w:rFonts w:ascii="Arial" w:cs="Arial" w:eastAsia="Arial" w:hAnsi="Arial"/>
          <w:sz w:val="19"/>
          <w:szCs w:val="19"/>
          <w:b w:val="1"/>
          <w:bCs w:val="1"/>
          <w:color w:val="auto"/>
        </w:rPr>
        <w:t xml:space="preserve"> </w:t>
      </w:r>
      <w:r>
        <w:rPr>
          <w:rFonts w:ascii="Arial" w:cs="Arial" w:eastAsia="Arial" w:hAnsi="Arial"/>
          <w:sz w:val="19"/>
          <w:szCs w:val="19"/>
          <w:color w:val="auto"/>
        </w:rPr>
        <w:t>the “beneficial owner” of those shares. Your shares are registered on the Company’s books in the name of the brokerage firm, bank or trust, or its nominee. Shares held in this manner are commonly referred to as being held in “street name.” As the beneficial owner of the shares, you have the right to direct your broker, bank or trustee how to vote your shares by using the vote instruction card sent to you along with this Proxy Statement. You also are invited to attend the Annual Meeting. However, because a beneficial owner is not the Shareholder of record, you may not vote these shares in person at the Annual Meeting, or participate in the Annual Meeting, unless you obtain a legal proxy from the broker, bank or trust who is the Shareholder of record, or holds a legal proxy from the Shareholder of record, giving you the right to vote the shares at the Annual Meeting.</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240"/>
          </w:cols>
          <w:pgMar w:left="320" w:top="1242" w:right="339" w:bottom="1440" w:gutter="0" w:footer="0" w:header="0"/>
        </w:sectPr>
      </w:pPr>
    </w:p>
    <w:bookmarkStart w:id="17" w:name="page18"/>
    <w:bookmarkEnd w:id="17"/>
    <w:p>
      <w:pPr>
        <w:spacing w:after="0"/>
        <w:rPr>
          <w:sz w:val="20"/>
          <w:szCs w:val="20"/>
          <w:color w:val="auto"/>
        </w:rPr>
      </w:pPr>
      <w:r>
        <w:rPr>
          <w:rFonts w:ascii="Arial" w:cs="Arial" w:eastAsia="Arial" w:hAnsi="Arial"/>
          <w:sz w:val="20"/>
          <w:szCs w:val="20"/>
          <w:b w:val="1"/>
          <w:bCs w:val="1"/>
          <w:i w:val="1"/>
          <w:iCs w:val="1"/>
          <w:color w:val="auto"/>
        </w:rPr>
        <w:t>What proposals will be voted on at the Annual Meeting?</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color w:val="auto"/>
        </w:rPr>
        <w:t>Shareholders will vote on four proposals at the Annual Meeting:</w:t>
      </w:r>
    </w:p>
    <w:p>
      <w:pPr>
        <w:spacing w:after="0" w:line="192" w:lineRule="exact"/>
        <w:rPr>
          <w:sz w:val="20"/>
          <w:szCs w:val="20"/>
          <w:color w:val="auto"/>
        </w:rPr>
      </w:pPr>
    </w:p>
    <w:p>
      <w:pPr>
        <w:ind w:left="880" w:hanging="444"/>
        <w:spacing w:after="0"/>
        <w:tabs>
          <w:tab w:leader="none" w:pos="880" w:val="left"/>
        </w:tabs>
        <w:numPr>
          <w:ilvl w:val="0"/>
          <w:numId w:val="13"/>
        </w:numPr>
        <w:rPr>
          <w:rFonts w:ascii="Arial" w:cs="Arial" w:eastAsia="Arial" w:hAnsi="Arial"/>
          <w:sz w:val="20"/>
          <w:szCs w:val="20"/>
          <w:color w:val="auto"/>
        </w:rPr>
      </w:pPr>
      <w:r>
        <w:rPr>
          <w:rFonts w:ascii="Arial" w:cs="Arial" w:eastAsia="Arial" w:hAnsi="Arial"/>
          <w:sz w:val="20"/>
          <w:szCs w:val="20"/>
          <w:color w:val="auto"/>
        </w:rPr>
        <w:t>the election of Directors</w:t>
      </w:r>
    </w:p>
    <w:p>
      <w:pPr>
        <w:spacing w:after="0" w:line="191" w:lineRule="exact"/>
        <w:rPr>
          <w:rFonts w:ascii="Arial" w:cs="Arial" w:eastAsia="Arial" w:hAnsi="Arial"/>
          <w:sz w:val="20"/>
          <w:szCs w:val="20"/>
          <w:color w:val="auto"/>
        </w:rPr>
      </w:pPr>
    </w:p>
    <w:p>
      <w:pPr>
        <w:ind w:left="880" w:hanging="444"/>
        <w:spacing w:after="0"/>
        <w:tabs>
          <w:tab w:leader="none" w:pos="880" w:val="left"/>
        </w:tabs>
        <w:numPr>
          <w:ilvl w:val="0"/>
          <w:numId w:val="13"/>
        </w:numPr>
        <w:rPr>
          <w:rFonts w:ascii="Arial" w:cs="Arial" w:eastAsia="Arial" w:hAnsi="Arial"/>
          <w:sz w:val="19"/>
          <w:szCs w:val="19"/>
          <w:color w:val="auto"/>
        </w:rPr>
      </w:pPr>
      <w:r>
        <w:rPr>
          <w:rFonts w:ascii="Arial" w:cs="Arial" w:eastAsia="Arial" w:hAnsi="Arial"/>
          <w:sz w:val="19"/>
          <w:szCs w:val="19"/>
          <w:color w:val="auto"/>
        </w:rPr>
        <w:t>the ratification of the appointment of the Company’s independent auditors for the fiscal year ending December 31, 2020</w:t>
      </w:r>
    </w:p>
    <w:p>
      <w:pPr>
        <w:spacing w:after="0" w:line="203" w:lineRule="exact"/>
        <w:rPr>
          <w:rFonts w:ascii="Arial" w:cs="Arial" w:eastAsia="Arial" w:hAnsi="Arial"/>
          <w:sz w:val="19"/>
          <w:szCs w:val="19"/>
          <w:color w:val="auto"/>
        </w:rPr>
      </w:pPr>
    </w:p>
    <w:p>
      <w:pPr>
        <w:ind w:left="880" w:right="80" w:hanging="444"/>
        <w:spacing w:after="0" w:line="254" w:lineRule="auto"/>
        <w:tabs>
          <w:tab w:leader="none" w:pos="880" w:val="left"/>
        </w:tabs>
        <w:numPr>
          <w:ilvl w:val="0"/>
          <w:numId w:val="13"/>
        </w:numPr>
        <w:rPr>
          <w:rFonts w:ascii="Arial" w:cs="Arial" w:eastAsia="Arial" w:hAnsi="Arial"/>
          <w:sz w:val="20"/>
          <w:szCs w:val="20"/>
          <w:color w:val="auto"/>
        </w:rPr>
      </w:pPr>
      <w:r>
        <w:rPr>
          <w:rFonts w:ascii="Arial" w:cs="Arial" w:eastAsia="Arial" w:hAnsi="Arial"/>
          <w:sz w:val="20"/>
          <w:szCs w:val="20"/>
          <w:color w:val="auto"/>
        </w:rPr>
        <w:t>an advisory resolution to approve the compensation of the Named Executive Officers as disclosed in this Proxy Statement (the “Say-on-Pay” vote)</w:t>
      </w:r>
    </w:p>
    <w:p>
      <w:pPr>
        <w:spacing w:after="0" w:line="158" w:lineRule="exact"/>
        <w:rPr>
          <w:rFonts w:ascii="Arial" w:cs="Arial" w:eastAsia="Arial" w:hAnsi="Arial"/>
          <w:sz w:val="20"/>
          <w:szCs w:val="20"/>
          <w:color w:val="auto"/>
        </w:rPr>
      </w:pPr>
    </w:p>
    <w:p>
      <w:pPr>
        <w:ind w:left="880" w:hanging="444"/>
        <w:spacing w:after="0"/>
        <w:tabs>
          <w:tab w:leader="none" w:pos="880" w:val="left"/>
        </w:tabs>
        <w:numPr>
          <w:ilvl w:val="0"/>
          <w:numId w:val="13"/>
        </w:numPr>
        <w:rPr>
          <w:rFonts w:ascii="Arial" w:cs="Arial" w:eastAsia="Arial" w:hAnsi="Arial"/>
          <w:sz w:val="19"/>
          <w:szCs w:val="19"/>
          <w:color w:val="auto"/>
        </w:rPr>
      </w:pPr>
      <w:r>
        <w:rPr>
          <w:rFonts w:ascii="Arial" w:cs="Arial" w:eastAsia="Arial" w:hAnsi="Arial"/>
          <w:sz w:val="19"/>
          <w:szCs w:val="19"/>
          <w:color w:val="auto"/>
        </w:rPr>
        <w:t>if properly presented, a Shareholder proposal requesting the Board to adopt a policy for an independent Board Chairman</w:t>
      </w:r>
    </w:p>
    <w:p>
      <w:pPr>
        <w:spacing w:after="0" w:line="203" w:lineRule="exact"/>
        <w:rPr>
          <w:sz w:val="20"/>
          <w:szCs w:val="20"/>
          <w:color w:val="auto"/>
        </w:rPr>
      </w:pPr>
    </w:p>
    <w:p>
      <w:pPr>
        <w:spacing w:after="0" w:line="254" w:lineRule="auto"/>
        <w:rPr>
          <w:sz w:val="20"/>
          <w:szCs w:val="20"/>
          <w:color w:val="auto"/>
        </w:rPr>
      </w:pPr>
      <w:r>
        <w:rPr>
          <w:rFonts w:ascii="Arial" w:cs="Arial" w:eastAsia="Arial" w:hAnsi="Arial"/>
          <w:sz w:val="20"/>
          <w:szCs w:val="20"/>
          <w:color w:val="auto"/>
        </w:rPr>
        <w:t>The Company also will consider any other business that properly comes before the Annual Meeting in accordance with Pennsylvania law and the Company’s By-Laws.</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How does the Board of Directors recommend that I vote?</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color w:val="auto"/>
        </w:rPr>
        <w:t>The Board of Directors recommends that you vote your shares:</w:t>
      </w:r>
    </w:p>
    <w:p>
      <w:pPr>
        <w:spacing w:after="0" w:line="186" w:lineRule="exact"/>
        <w:rPr>
          <w:sz w:val="20"/>
          <w:szCs w:val="20"/>
          <w:color w:val="auto"/>
        </w:rPr>
      </w:pPr>
    </w:p>
    <w:p>
      <w:pPr>
        <w:ind w:left="880" w:hanging="444"/>
        <w:spacing w:after="0"/>
        <w:tabs>
          <w:tab w:leader="none" w:pos="880" w:val="left"/>
        </w:tabs>
        <w:numPr>
          <w:ilvl w:val="0"/>
          <w:numId w:val="1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FOR”</w:t>
      </w:r>
      <w:r>
        <w:rPr>
          <w:rFonts w:ascii="Arial" w:cs="Arial" w:eastAsia="Arial" w:hAnsi="Arial"/>
          <w:sz w:val="20"/>
          <w:szCs w:val="20"/>
          <w:color w:val="auto"/>
        </w:rPr>
        <w:t xml:space="preserve"> each of the nominees for election to the Board</w:t>
      </w:r>
    </w:p>
    <w:p>
      <w:pPr>
        <w:spacing w:after="0" w:line="191" w:lineRule="exact"/>
        <w:rPr>
          <w:rFonts w:ascii="Arial" w:cs="Arial" w:eastAsia="Arial" w:hAnsi="Arial"/>
          <w:sz w:val="20"/>
          <w:szCs w:val="20"/>
          <w:color w:val="auto"/>
        </w:rPr>
      </w:pPr>
    </w:p>
    <w:p>
      <w:pPr>
        <w:ind w:left="880" w:hanging="444"/>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ratification of the appointment of PricewaterhouseCoopers LLP as the Company’s independent auditors for 2020</w:t>
      </w:r>
    </w:p>
    <w:p>
      <w:pPr>
        <w:spacing w:after="0" w:line="214" w:lineRule="exact"/>
        <w:rPr>
          <w:rFonts w:ascii="Arial" w:cs="Arial" w:eastAsia="Arial" w:hAnsi="Arial"/>
          <w:sz w:val="18"/>
          <w:szCs w:val="18"/>
          <w:color w:val="auto"/>
        </w:rPr>
      </w:pPr>
    </w:p>
    <w:p>
      <w:pPr>
        <w:ind w:left="880" w:right="80" w:hanging="444"/>
        <w:spacing w:after="0" w:line="260" w:lineRule="auto"/>
        <w:tabs>
          <w:tab w:leader="none" w:pos="880" w:val="left"/>
        </w:tabs>
        <w:numPr>
          <w:ilvl w:val="0"/>
          <w:numId w:val="14"/>
        </w:numPr>
        <w:rPr>
          <w:rFonts w:ascii="Arial" w:cs="Arial" w:eastAsia="Arial" w:hAnsi="Arial"/>
          <w:sz w:val="20"/>
          <w:szCs w:val="20"/>
          <w:color w:val="auto"/>
        </w:rPr>
      </w:pPr>
      <w:r>
        <w:rPr>
          <w:rFonts w:ascii="Arial" w:cs="Arial" w:eastAsia="Arial" w:hAnsi="Arial"/>
          <w:sz w:val="20"/>
          <w:szCs w:val="20"/>
          <w:b w:val="1"/>
          <w:bCs w:val="1"/>
          <w:color w:val="auto"/>
        </w:rPr>
        <w:t xml:space="preserve">“FOR” </w:t>
      </w:r>
      <w:r>
        <w:rPr>
          <w:rFonts w:ascii="Arial" w:cs="Arial" w:eastAsia="Arial" w:hAnsi="Arial"/>
          <w:sz w:val="20"/>
          <w:szCs w:val="20"/>
          <w:color w:val="auto"/>
        </w:rPr>
        <w:t>the advisory resolution to approve the compensation of the Named Executive Officers as disclosed in this Proxy</w:t>
      </w:r>
      <w:r>
        <w:rPr>
          <w:rFonts w:ascii="Arial" w:cs="Arial" w:eastAsia="Arial" w:hAnsi="Arial"/>
          <w:sz w:val="20"/>
          <w:szCs w:val="20"/>
          <w:b w:val="1"/>
          <w:bCs w:val="1"/>
          <w:color w:val="auto"/>
        </w:rPr>
        <w:t xml:space="preserve"> </w:t>
      </w:r>
      <w:r>
        <w:rPr>
          <w:rFonts w:ascii="Arial" w:cs="Arial" w:eastAsia="Arial" w:hAnsi="Arial"/>
          <w:sz w:val="20"/>
          <w:szCs w:val="20"/>
          <w:color w:val="auto"/>
        </w:rPr>
        <w:t>Statement</w:t>
      </w:r>
    </w:p>
    <w:p>
      <w:pPr>
        <w:spacing w:after="0" w:line="146" w:lineRule="exact"/>
        <w:rPr>
          <w:rFonts w:ascii="Arial" w:cs="Arial" w:eastAsia="Arial" w:hAnsi="Arial"/>
          <w:sz w:val="20"/>
          <w:szCs w:val="20"/>
          <w:color w:val="auto"/>
        </w:rPr>
      </w:pPr>
    </w:p>
    <w:p>
      <w:pPr>
        <w:ind w:left="880" w:hanging="444"/>
        <w:spacing w:after="0"/>
        <w:tabs>
          <w:tab w:leader="none" w:pos="880" w:val="left"/>
        </w:tabs>
        <w:numPr>
          <w:ilvl w:val="0"/>
          <w:numId w:val="14"/>
        </w:numPr>
        <w:rPr>
          <w:rFonts w:ascii="Arial" w:cs="Arial" w:eastAsia="Arial" w:hAnsi="Arial"/>
          <w:sz w:val="20"/>
          <w:szCs w:val="20"/>
          <w:color w:val="auto"/>
        </w:rPr>
      </w:pPr>
      <w:r>
        <w:rPr>
          <w:rFonts w:ascii="Arial" w:cs="Arial" w:eastAsia="Arial" w:hAnsi="Arial"/>
          <w:sz w:val="20"/>
          <w:szCs w:val="20"/>
          <w:b w:val="1"/>
          <w:bCs w:val="1"/>
          <w:color w:val="auto"/>
        </w:rPr>
        <w:t xml:space="preserve">“AGAINST” </w:t>
      </w:r>
      <w:r>
        <w:rPr>
          <w:rFonts w:ascii="Arial" w:cs="Arial" w:eastAsia="Arial" w:hAnsi="Arial"/>
          <w:sz w:val="20"/>
          <w:szCs w:val="20"/>
          <w:color w:val="auto"/>
        </w:rPr>
        <w:t>the Shareholder proposal</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What happens if additional matters are presented at the Annual Meeting?</w:t>
      </w:r>
    </w:p>
    <w:p>
      <w:pPr>
        <w:spacing w:after="0" w:line="192"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Other than the items of business described in this Proxy Statement, we are not aware of any other business to be acted upon at the Annual Meeting. If you grant a Proxy to the Proxy Holders named on the Proxy Card, they will have the discretion to vote your shares in their best judgment with respect to any additional matters properly brought before the Annual Meeting in accordance with Pennsylvania law and the Company’s By-Laws. Also, if for any reason any of our nominees are not available as candidates for Director, the Proxy Holders will vote the Proxies for any other candidate or candidates who may be nominated by the Board.</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How do I vote my shares?</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color w:val="auto"/>
        </w:rPr>
        <w:t>You may vote your shares by Proxy or in person. You may vote by Proxy by:</w:t>
      </w:r>
    </w:p>
    <w:p>
      <w:pPr>
        <w:spacing w:after="0" w:line="192" w:lineRule="exact"/>
        <w:rPr>
          <w:sz w:val="20"/>
          <w:szCs w:val="20"/>
          <w:color w:val="auto"/>
        </w:rPr>
      </w:pPr>
    </w:p>
    <w:p>
      <w:pPr>
        <w:ind w:left="880" w:hanging="444"/>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the Internet</w:t>
      </w:r>
      <w:r>
        <w:rPr>
          <w:rFonts w:ascii="Arial" w:cs="Arial" w:eastAsia="Arial" w:hAnsi="Arial"/>
          <w:sz w:val="18"/>
          <w:szCs w:val="18"/>
          <w:color w:val="auto"/>
        </w:rPr>
        <w:t>, at the web address provided on page 1 of this Proxy Statement or on your Proxy Card or vote instruction card; or</w:t>
      </w:r>
    </w:p>
    <w:p>
      <w:pPr>
        <w:spacing w:after="0" w:line="214" w:lineRule="exact"/>
        <w:rPr>
          <w:rFonts w:ascii="Arial" w:cs="Arial" w:eastAsia="Arial" w:hAnsi="Arial"/>
          <w:sz w:val="18"/>
          <w:szCs w:val="18"/>
          <w:color w:val="auto"/>
        </w:rPr>
      </w:pPr>
    </w:p>
    <w:p>
      <w:pPr>
        <w:ind w:left="880" w:hanging="444"/>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telephone</w:t>
      </w:r>
      <w:r>
        <w:rPr>
          <w:rFonts w:ascii="Arial" w:cs="Arial" w:eastAsia="Arial" w:hAnsi="Arial"/>
          <w:sz w:val="18"/>
          <w:szCs w:val="18"/>
          <w:color w:val="auto"/>
        </w:rPr>
        <w:t>, using the toll-free number listed on page 1 of this Proxy Statement or on your Proxy Card or vote instruction card; or</w:t>
      </w:r>
    </w:p>
    <w:p>
      <w:pPr>
        <w:spacing w:after="0" w:line="214" w:lineRule="exact"/>
        <w:rPr>
          <w:rFonts w:ascii="Arial" w:cs="Arial" w:eastAsia="Arial" w:hAnsi="Arial"/>
          <w:sz w:val="18"/>
          <w:szCs w:val="18"/>
          <w:color w:val="auto"/>
        </w:rPr>
      </w:pPr>
    </w:p>
    <w:p>
      <w:pPr>
        <w:ind w:left="880" w:hanging="444"/>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mail</w:t>
      </w:r>
      <w:r>
        <w:rPr>
          <w:rFonts w:ascii="Arial" w:cs="Arial" w:eastAsia="Arial" w:hAnsi="Arial"/>
          <w:sz w:val="18"/>
          <w:szCs w:val="18"/>
          <w:color w:val="auto"/>
        </w:rPr>
        <w:t>, by marking, signing, dating and mailing your Proxy Card or vote instruction card and returning it in the envelope provided.</w:t>
      </w:r>
    </w:p>
    <w:p>
      <w:pPr>
        <w:spacing w:after="0" w:line="32" w:lineRule="exact"/>
        <w:rPr>
          <w:rFonts w:ascii="Arial" w:cs="Arial" w:eastAsia="Arial" w:hAnsi="Arial"/>
          <w:sz w:val="18"/>
          <w:szCs w:val="18"/>
          <w:color w:val="auto"/>
        </w:rPr>
      </w:pPr>
    </w:p>
    <w:p>
      <w:pPr>
        <w:ind w:left="880" w:right="80"/>
        <w:spacing w:after="0" w:line="239" w:lineRule="auto"/>
        <w:rPr>
          <w:rFonts w:ascii="Arial" w:cs="Arial" w:eastAsia="Arial" w:hAnsi="Arial"/>
          <w:sz w:val="18"/>
          <w:szCs w:val="18"/>
          <w:color w:val="auto"/>
        </w:rPr>
      </w:pPr>
      <w:r>
        <w:rPr>
          <w:rFonts w:ascii="Arial" w:cs="Arial" w:eastAsia="Arial" w:hAnsi="Arial"/>
          <w:sz w:val="20"/>
          <w:szCs w:val="20"/>
          <w:b w:val="1"/>
          <w:bCs w:val="1"/>
          <w:color w:val="auto"/>
        </w:rPr>
        <w:t>If you return your signed Proxy Card or vote instruction card but do not mark the boxes showing how you wish to vote, your shares will be voted FOR Proposals 1 through 3 and AGAINST Proposal 4; or</w:t>
      </w:r>
    </w:p>
    <w:p>
      <w:pPr>
        <w:spacing w:after="0" w:line="170" w:lineRule="exact"/>
        <w:rPr>
          <w:rFonts w:ascii="Arial" w:cs="Arial" w:eastAsia="Arial" w:hAnsi="Arial"/>
          <w:sz w:val="18"/>
          <w:szCs w:val="18"/>
          <w:color w:val="auto"/>
        </w:rPr>
      </w:pPr>
    </w:p>
    <w:p>
      <w:pPr>
        <w:ind w:left="880" w:hanging="444"/>
        <w:spacing w:after="0"/>
        <w:tabs>
          <w:tab w:leader="none" w:pos="880" w:val="left"/>
        </w:tabs>
        <w:numPr>
          <w:ilvl w:val="0"/>
          <w:numId w:val="15"/>
        </w:numPr>
        <w:rPr>
          <w:rFonts w:ascii="Arial" w:cs="Arial" w:eastAsia="Arial" w:hAnsi="Arial"/>
          <w:sz w:val="20"/>
          <w:szCs w:val="20"/>
          <w:color w:val="auto"/>
        </w:rPr>
      </w:pPr>
      <w:r>
        <w:rPr>
          <w:rFonts w:ascii="Arial" w:cs="Arial" w:eastAsia="Arial" w:hAnsi="Arial"/>
          <w:sz w:val="20"/>
          <w:szCs w:val="20"/>
          <w:i w:val="1"/>
          <w:iCs w:val="1"/>
          <w:color w:val="auto"/>
        </w:rPr>
        <w:t>in person</w:t>
      </w:r>
      <w:r>
        <w:rPr>
          <w:rFonts w:ascii="Arial" w:cs="Arial" w:eastAsia="Arial" w:hAnsi="Arial"/>
          <w:sz w:val="20"/>
          <w:szCs w:val="20"/>
          <w:color w:val="auto"/>
        </w:rPr>
        <w:t>, with no prior authorization,</w:t>
      </w:r>
      <w:r>
        <w:rPr>
          <w:rFonts w:ascii="Arial" w:cs="Arial" w:eastAsia="Arial" w:hAnsi="Arial"/>
          <w:sz w:val="20"/>
          <w:szCs w:val="20"/>
          <w:i w:val="1"/>
          <w:iCs w:val="1"/>
          <w:color w:val="auto"/>
        </w:rPr>
        <w:t xml:space="preserve"> </w:t>
      </w:r>
      <w:r>
        <w:rPr>
          <w:rFonts w:ascii="Arial" w:cs="Arial" w:eastAsia="Arial" w:hAnsi="Arial"/>
          <w:sz w:val="20"/>
          <w:szCs w:val="20"/>
          <w:u w:val="single" w:color="auto"/>
          <w:color w:val="auto"/>
        </w:rPr>
        <w:t>if you are a record owner</w:t>
      </w:r>
      <w:r>
        <w:rPr>
          <w:rFonts w:ascii="Arial" w:cs="Arial" w:eastAsia="Arial" w:hAnsi="Arial"/>
          <w:sz w:val="20"/>
          <w:szCs w:val="20"/>
          <w:color w:val="auto"/>
        </w:rPr>
        <w:t>; or</w:t>
      </w:r>
    </w:p>
    <w:p>
      <w:pPr>
        <w:spacing w:after="0" w:line="191" w:lineRule="exact"/>
        <w:rPr>
          <w:rFonts w:ascii="Arial" w:cs="Arial" w:eastAsia="Arial" w:hAnsi="Arial"/>
          <w:sz w:val="20"/>
          <w:szCs w:val="20"/>
          <w:color w:val="auto"/>
        </w:rPr>
      </w:pPr>
    </w:p>
    <w:p>
      <w:pPr>
        <w:ind w:left="880" w:right="80" w:hanging="444"/>
        <w:spacing w:after="0" w:line="254" w:lineRule="auto"/>
        <w:tabs>
          <w:tab w:leader="none" w:pos="880" w:val="left"/>
        </w:tabs>
        <w:numPr>
          <w:ilvl w:val="0"/>
          <w:numId w:val="15"/>
        </w:numPr>
        <w:rPr>
          <w:rFonts w:ascii="Arial" w:cs="Arial" w:eastAsia="Arial" w:hAnsi="Arial"/>
          <w:sz w:val="20"/>
          <w:szCs w:val="20"/>
          <w:color w:val="auto"/>
        </w:rPr>
      </w:pPr>
      <w:r>
        <w:rPr>
          <w:rFonts w:ascii="Arial" w:cs="Arial" w:eastAsia="Arial" w:hAnsi="Arial"/>
          <w:sz w:val="20"/>
          <w:szCs w:val="20"/>
          <w:i w:val="1"/>
          <w:iCs w:val="1"/>
          <w:color w:val="auto"/>
        </w:rPr>
        <w:t>in person</w:t>
      </w:r>
      <w:r>
        <w:rPr>
          <w:rFonts w:ascii="Arial" w:cs="Arial" w:eastAsia="Arial" w:hAnsi="Arial"/>
          <w:sz w:val="20"/>
          <w:szCs w:val="20"/>
          <w:color w:val="auto"/>
        </w:rPr>
        <w:t>, with a legal proxy from the brokerage firm, bank or trust that holds your shares in street name,</w:t>
      </w:r>
      <w:r>
        <w:rPr>
          <w:rFonts w:ascii="Arial" w:cs="Arial" w:eastAsia="Arial" w:hAnsi="Arial"/>
          <w:sz w:val="20"/>
          <w:szCs w:val="20"/>
          <w:i w:val="1"/>
          <w:iCs w:val="1"/>
          <w:color w:val="auto"/>
        </w:rPr>
        <w:t xml:space="preserve"> </w:t>
      </w:r>
      <w:r>
        <w:rPr>
          <w:rFonts w:ascii="Arial" w:cs="Arial" w:eastAsia="Arial" w:hAnsi="Arial"/>
          <w:sz w:val="20"/>
          <w:szCs w:val="20"/>
          <w:u w:val="single" w:color="auto"/>
          <w:color w:val="auto"/>
        </w:rPr>
        <w:t>if you are a beneficial</w:t>
      </w:r>
      <w:r>
        <w:rPr>
          <w:rFonts w:ascii="Arial" w:cs="Arial" w:eastAsia="Arial" w:hAnsi="Arial"/>
          <w:sz w:val="20"/>
          <w:szCs w:val="20"/>
          <w:i w:val="1"/>
          <w:iCs w:val="1"/>
          <w:color w:val="auto"/>
        </w:rPr>
        <w:t xml:space="preserve"> </w:t>
      </w:r>
      <w:r>
        <w:rPr>
          <w:rFonts w:ascii="Arial" w:cs="Arial" w:eastAsia="Arial" w:hAnsi="Arial"/>
          <w:sz w:val="20"/>
          <w:szCs w:val="20"/>
          <w:u w:val="single" w:color="auto"/>
          <w:color w:val="auto"/>
        </w:rPr>
        <w:t>owner</w:t>
      </w:r>
      <w:r>
        <w:rPr>
          <w:rFonts w:ascii="Arial" w:cs="Arial" w:eastAsia="Arial" w:hAnsi="Arial"/>
          <w:sz w:val="20"/>
          <w:szCs w:val="20"/>
          <w:color w:val="auto"/>
        </w:rPr>
        <w:t>.</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1240"/>
          </w:cols>
          <w:pgMar w:left="320" w:top="443" w:right="339" w:bottom="1440" w:gutter="0" w:footer="0" w:header="0"/>
        </w:sectPr>
      </w:pPr>
    </w:p>
    <w:bookmarkStart w:id="18" w:name="page19"/>
    <w:bookmarkEnd w:id="18"/>
    <w:p>
      <w:pPr>
        <w:ind w:right="1840"/>
        <w:spacing w:after="0" w:line="440" w:lineRule="auto"/>
        <w:rPr>
          <w:sz w:val="20"/>
          <w:szCs w:val="20"/>
          <w:color w:val="auto"/>
        </w:rPr>
      </w:pPr>
      <w:r>
        <w:rPr>
          <w:rFonts w:ascii="Arial" w:cs="Arial" w:eastAsia="Arial" w:hAnsi="Arial"/>
          <w:sz w:val="20"/>
          <w:szCs w:val="20"/>
          <w:color w:val="auto"/>
        </w:rPr>
        <w:t xml:space="preserve">The deadline for voting by telephone or electronically through the Internet is 11:59 p.m. Central Time, April 22, 2020. </w:t>
      </w:r>
      <w:r>
        <w:rPr>
          <w:rFonts w:ascii="Arial" w:cs="Arial" w:eastAsia="Arial" w:hAnsi="Arial"/>
          <w:sz w:val="20"/>
          <w:szCs w:val="20"/>
          <w:b w:val="1"/>
          <w:bCs w:val="1"/>
          <w:i w:val="1"/>
          <w:iCs w:val="1"/>
          <w:color w:val="auto"/>
        </w:rPr>
        <w:t>Will my shares be voted if I do not provide my Proxy?</w:t>
      </w:r>
    </w:p>
    <w:p>
      <w:pPr>
        <w:jc w:val="both"/>
        <w:spacing w:after="0" w:line="267" w:lineRule="auto"/>
        <w:rPr>
          <w:sz w:val="20"/>
          <w:szCs w:val="20"/>
          <w:color w:val="auto"/>
        </w:rPr>
      </w:pPr>
      <w:r>
        <w:rPr>
          <w:rFonts w:ascii="Arial" w:cs="Arial" w:eastAsia="Arial" w:hAnsi="Arial"/>
          <w:sz w:val="18"/>
          <w:szCs w:val="18"/>
          <w:color w:val="auto"/>
        </w:rPr>
        <w:t>It depends on whether you are a record owner or beneficial owner. If you are a record owner, your shares will NOT be voted unless you provide a Proxy or vote in person at the Annual Meeting. For beneficial owners who hold shares in street name through brokerage firms, those firms generally have the authority to vote their clients’ unvoted shares in their discretion on certain routine matters. For example, if you are a beneficial owner and you do not provide voting instructions, your brokerage firm may vote your shares with respect to the ratification of the appointment of independent auditors (Proposal 2), as this matter is considered routine under the applicable New York Stock Exchange (“NYSE”) rules. All other matters to be voted on at this year’s Annual Meeting are not considered routine, and your broker cannot vote your shares on those non-routine matters without your instruction (“broker non-votes”).</w:t>
      </w:r>
    </w:p>
    <w:p>
      <w:pPr>
        <w:spacing w:after="0" w:line="1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Beneficial Owners</w:t>
      </w:r>
      <w:r>
        <w:rPr>
          <w:rFonts w:ascii="Arial" w:cs="Arial" w:eastAsia="Arial" w:hAnsi="Arial"/>
          <w:sz w:val="20"/>
          <w:szCs w:val="20"/>
          <w:color w:val="auto"/>
        </w:rPr>
        <w:t>: The Company urges you to instruct your broker, bank or trust on how to vote your shares.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What constitutes a quorum?</w:t>
      </w:r>
    </w:p>
    <w:p>
      <w:pPr>
        <w:spacing w:after="0" w:line="192"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The presence, in person or by Proxy, of Shareholders entitled to cast a majority of votes will be necessary to constitute a quorum for the transaction of business at the Annual Meeting. WITHHOLD votes with respect to Director nominees and ABSTAIN votes will be counted in determining the presence of a quorum as well as shares subject to broker non-votes if the broker votes the shares on a routine matter, such as the ratification of the appointment of the Company’s independent auditors (Proposal 2). Under Pennsylvania law and the Company’s By-Laws, ABSTAIN votes and broker non-votes are not considered to be “votes cast” and, therefore, although they will be counted for purposes of determining a quorum, they will not be given effect either as FOR or WITHHOLD / AGAINST votes.</w:t>
      </w:r>
    </w:p>
    <w:p>
      <w:pPr>
        <w:spacing w:after="0" w:line="146" w:lineRule="exact"/>
        <w:rPr>
          <w:sz w:val="20"/>
          <w:szCs w:val="20"/>
          <w:color w:val="auto"/>
        </w:rPr>
      </w:pPr>
    </w:p>
    <w:p>
      <w:pPr>
        <w:jc w:val="both"/>
        <w:spacing w:after="0" w:line="254" w:lineRule="auto"/>
        <w:rPr>
          <w:sz w:val="20"/>
          <w:szCs w:val="20"/>
          <w:color w:val="auto"/>
        </w:rPr>
      </w:pPr>
      <w:r>
        <w:rPr>
          <w:rFonts w:ascii="Arial" w:cs="Arial" w:eastAsia="Arial" w:hAnsi="Arial"/>
          <w:sz w:val="20"/>
          <w:szCs w:val="20"/>
          <w:b w:val="1"/>
          <w:bCs w:val="1"/>
          <w:i w:val="1"/>
          <w:iCs w:val="1"/>
          <w:color w:val="auto"/>
        </w:rPr>
        <w:t>What vote is needed for the election of Directors, and what is the policy with respect to the resignation of Directors who do not receive a majority of the votes?</w:t>
      </w:r>
    </w:p>
    <w:p>
      <w:pPr>
        <w:spacing w:after="0" w:line="158"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 xml:space="preserve">With regard to Proposal 1, Shareholders may vote FOR or WITHHOLD with respect to the election of Directors. Directors are elected by a plurality of the votes cast, in person or by Proxy, subject to the Company’s By-Law provision described below. The Company’s By-Laws set forth the procedures if a Director nominee does not receive at least a majority of votes cast in an uncontested election of Directors where a quorum is present. In an uncontested election, an incumbent Director nominee who receives the support of less than a majority of the votes cast at an Annual Meeting, although deemed to have been elected to the Board by plurality vote, must promptly tender his or her resignation to the Board. In an uncontested election, if a nominee who is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an incumbent does not receive the vote of at least a majority of the votes cast, the nominee will be deemed to have been elected to the Board by plurality vote and to have immediately resigned.</w:t>
      </w:r>
    </w:p>
    <w:p>
      <w:pPr>
        <w:spacing w:after="0" w:line="174" w:lineRule="exact"/>
        <w:rPr>
          <w:sz w:val="20"/>
          <w:szCs w:val="20"/>
          <w:color w:val="auto"/>
        </w:rPr>
      </w:pPr>
    </w:p>
    <w:p>
      <w:pPr>
        <w:jc w:val="both"/>
        <w:spacing w:after="0"/>
        <w:rPr>
          <w:sz w:val="20"/>
          <w:szCs w:val="20"/>
          <w:color w:val="auto"/>
        </w:rPr>
      </w:pPr>
      <w:r>
        <w:rPr>
          <w:rFonts w:ascii="Arial" w:cs="Arial" w:eastAsia="Arial" w:hAnsi="Arial"/>
          <w:sz w:val="20"/>
          <w:szCs w:val="20"/>
          <w:color w:val="auto"/>
        </w:rPr>
        <w:t>For this purpose, “majority of votes cast” means the number of shares voted FOR a Director’s election exceeds 50% of the total number of votes cast with respect to the Director’s election. “Votes cast” includes only FOR and WITHHOLD votes. Under Pennsylvania law and the Company’s By-Laws, broker non-votes are not considered to be “votes” and, therefore, will not be given effect either as FOR or WITHHOLD votes in the context of Proposal 1.</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1240"/>
          </w:cols>
          <w:pgMar w:left="320" w:top="865" w:right="339" w:bottom="1440" w:gutter="0" w:footer="0" w:header="0"/>
        </w:sectPr>
      </w:pPr>
    </w:p>
    <w:bookmarkStart w:id="19" w:name="page20"/>
    <w:bookmarkEnd w:id="19"/>
    <w:p>
      <w:pPr>
        <w:jc w:val="both"/>
        <w:spacing w:after="0" w:line="266" w:lineRule="auto"/>
        <w:rPr>
          <w:sz w:val="20"/>
          <w:szCs w:val="20"/>
          <w:color w:val="auto"/>
        </w:rPr>
      </w:pPr>
      <w:r>
        <w:rPr>
          <w:rFonts w:ascii="Arial" w:cs="Arial" w:eastAsia="Arial" w:hAnsi="Arial"/>
          <w:sz w:val="18"/>
          <w:szCs w:val="18"/>
          <w:color w:val="auto"/>
        </w:rPr>
        <w:t>The Nominating and Corporate Governance Committee will evaluate the tendered resignation of an incumbent Director who does not receive a majority vote in an uncontested election and make a recommendation to the Board as to whether the resignation should be accepted. The Board will act on the tendered resignation and publicly disclose its decision within 90 days from the date of certification of election results. If the Board does not accept the incumbent’s resignation, such Director will continue to serve until the next Annual Meeting and until his or her successor is duly elected and qualified or until such Director’s earlier death, resignation or removal. If the Board accepts the Director’s resignation, the Board may fill the resulting vacancy or decrease the size of the Board pursuant to the Company’s By-Laws. To be eligible to stand for election, each nominee who agrees to be nominated must agree in writing to be bound by the By-Law resignation provisions in the event the nominee does not receive a majority of the votes cast in an uncontested election.</w:t>
      </w:r>
    </w:p>
    <w:p>
      <w:pPr>
        <w:spacing w:after="0" w:line="37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What vote is needed to approve all other proposals?</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color w:val="auto"/>
        </w:rPr>
        <w:t>Proposals 2, 3 and 4 require a FOR vote of a majority of the votes cast, in person or by Proxy, in order to be approved.</w:t>
      </w:r>
    </w:p>
    <w:p>
      <w:pPr>
        <w:spacing w:after="0" w:line="217"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ABSTAIN votes and broker non-votes will not be considered as votes cast and will have no effect on the outcome of the votes on these proposals.</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Can I change or revoke my vote after I have delivered my Proxy?</w:t>
      </w:r>
    </w:p>
    <w:p>
      <w:pPr>
        <w:spacing w:after="0" w:line="217"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Yes. If you are a record owner, prior to the Annual Meeting you may change your vote by submitting a later-dated Proxy in one of the manners authorized and described in this Proxy Statement (by Proxy Card, via the Internet or by telephone). You also may give a written notice of revocation to the Company’s Corporate Secretary, so long as it is delivered to the Corporate Secretary at the Company’s principal executive offices prior to the beginning of the Annual Meeting, or given to the Corporate Secretary at the Annual Meeting prior to the time your Proxy is voted at the Annual Meeting.You also may revoke any Proxy given pursuant to this solicitation by attending the Annual Meeting and voting in person by ballot. If you are a beneficial owner, please follow the instructions provided by your broker, bank or trust as to how you may change your vote or obtain a legal proxy to vote your shares if you wish to cast your vote in person at the Annual Meeting.</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Who can attend the Annual Meeting?</w:t>
      </w:r>
    </w:p>
    <w:p>
      <w:pPr>
        <w:spacing w:after="0" w:line="217"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Only Company employees and Shareholders as of the March 3, 2020 Record Date may attend the Annual Meeting. Record owners may attend without any prior authorization. If you are a beneficial owner, to be admitted to the Annual Meeting you will need proof of beneficial ownership satisfactory to the Company in the form of a statement from the brokerage firm, bank or trust or a legal proxy from that institution showing you as a beneficial owner of Company shares or as the sole legal proxy of a beneficial owner. All Annual Meeting attendees may be asked to present valid, government-issued photo identification, such as a driver’s license or passport, before entering the Annual Meeting. Attendees will be subject to security inspections and will be required to comply with other security and procedural measures in place at the Annual Meeting. Representatives of the Company will be at the entrance to the Annual Meeting, and these representatives will be authorized on the Company’s behalf to determine whether the admission policies and procedures are being followed and whether you will be granted admission to the Annual Meeting.</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Where can I find voting results of the Annual Meeting?</w:t>
      </w:r>
    </w:p>
    <w:p>
      <w:pPr>
        <w:spacing w:after="0" w:line="192" w:lineRule="exact"/>
        <w:rPr>
          <w:sz w:val="20"/>
          <w:szCs w:val="20"/>
          <w:color w:val="auto"/>
        </w:rPr>
      </w:pPr>
    </w:p>
    <w:p>
      <w:pPr>
        <w:jc w:val="both"/>
        <w:spacing w:after="0" w:line="280" w:lineRule="auto"/>
        <w:rPr>
          <w:sz w:val="20"/>
          <w:szCs w:val="20"/>
          <w:color w:val="auto"/>
        </w:rPr>
      </w:pPr>
      <w:r>
        <w:rPr>
          <w:rFonts w:ascii="Arial" w:cs="Arial" w:eastAsia="Arial" w:hAnsi="Arial"/>
          <w:sz w:val="19"/>
          <w:szCs w:val="19"/>
          <w:color w:val="auto"/>
        </w:rPr>
        <w:t>The Company will announce the preliminary voting results at the Annual Meeting and publish the final results in a Form 8-K or Form 10-Q filed with the Securities and Exchange Commission (“SEC”) within four business days after the date of the Annual Meeting.</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1240"/>
          </w:cols>
          <w:pgMar w:left="320" w:top="443" w:right="339" w:bottom="1440" w:gutter="0" w:footer="0" w:header="0"/>
        </w:sectPr>
      </w:pPr>
    </w:p>
    <w:bookmarkStart w:id="20" w:name="page21"/>
    <w:bookmarkEnd w:id="20"/>
    <w:p>
      <w:pPr>
        <w:spacing w:after="0"/>
        <w:rPr>
          <w:sz w:val="20"/>
          <w:szCs w:val="20"/>
          <w:color w:val="auto"/>
        </w:rPr>
      </w:pPr>
      <w:r>
        <w:rPr>
          <w:rFonts w:ascii="Arial" w:cs="Arial" w:eastAsia="Arial" w:hAnsi="Arial"/>
          <w:sz w:val="20"/>
          <w:szCs w:val="20"/>
          <w:b w:val="1"/>
          <w:bCs w:val="1"/>
          <w:i w:val="1"/>
          <w:iCs w:val="1"/>
          <w:color w:val="auto"/>
        </w:rPr>
        <w:t>Who conducts the Proxy solicitation, and how much will it cost?</w:t>
      </w:r>
    </w:p>
    <w:p>
      <w:pPr>
        <w:spacing w:after="0" w:line="192" w:lineRule="exact"/>
        <w:rPr>
          <w:sz w:val="20"/>
          <w:szCs w:val="20"/>
          <w:color w:val="auto"/>
        </w:rPr>
      </w:pPr>
    </w:p>
    <w:p>
      <w:pPr>
        <w:jc w:val="both"/>
        <w:spacing w:after="0"/>
        <w:rPr>
          <w:sz w:val="20"/>
          <w:szCs w:val="20"/>
          <w:color w:val="auto"/>
        </w:rPr>
      </w:pPr>
      <w:r>
        <w:rPr>
          <w:rFonts w:ascii="Arial" w:cs="Arial" w:eastAsia="Arial" w:hAnsi="Arial"/>
          <w:sz w:val="20"/>
          <w:szCs w:val="20"/>
          <w:color w:val="auto"/>
        </w:rPr>
        <w:t>The Company has engaged D.F. King to assist in the solicitation of Proxies for a fee of $10,000 plus reimbursement for out-of-pocket expenses and certain additional fees for services rendered in connection with such solicitation. Certain Officers and employees of the Company may also solicit Proxies by mail, telephone, internet or facsimile or in person without any extra compensation. The Company bears the cost of soliciting Proxies.</w:t>
      </w:r>
    </w:p>
    <w:p>
      <w:pPr>
        <w:spacing w:after="0" w:line="172" w:lineRule="exact"/>
        <w:rPr>
          <w:sz w:val="20"/>
          <w:szCs w:val="20"/>
          <w:color w:val="auto"/>
        </w:rPr>
      </w:pPr>
    </w:p>
    <w:p>
      <w:pPr>
        <w:jc w:val="both"/>
        <w:spacing w:after="0" w:line="254" w:lineRule="auto"/>
        <w:rPr>
          <w:sz w:val="20"/>
          <w:szCs w:val="20"/>
          <w:color w:val="auto"/>
        </w:rPr>
      </w:pPr>
      <w:r>
        <w:rPr>
          <w:rFonts w:ascii="Arial" w:cs="Arial" w:eastAsia="Arial" w:hAnsi="Arial"/>
          <w:sz w:val="20"/>
          <w:szCs w:val="20"/>
          <w:b w:val="1"/>
          <w:bCs w:val="1"/>
          <w:i w:val="1"/>
          <w:iCs w:val="1"/>
          <w:color w:val="auto"/>
        </w:rPr>
        <w:t>What is the deadline for proposals for consideration or for nominations of individuals to serve as Directors at the 2021 Annual Meeting of Shareholders?</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Proposals to be Considered for Inclusion in the Company’s Proxy Materials:</w:t>
      </w:r>
    </w:p>
    <w:p>
      <w:pPr>
        <w:spacing w:after="0" w:line="22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In order to be considered for inclusion in the Proxy Statement for the Company’s 2021 Annual Meeting of Shareholders, any Shareholder proposal intended to be presented at that meeting, in addition to meeting the shareholder eligibility and other requirements of the SEC rules governing such proposals, must be received in writing, via Certified Mail – Return Receipt Requested, by the Office of the Corporate Secretary, Crown Holdings, Inc., 770 Township Line Road, Yardley, PA 19067 not later than November 16, 2020.</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Director Nominations for Inclusion in the Company’s Proxy Materials (Proxy Access):</w:t>
      </w:r>
    </w:p>
    <w:p>
      <w:pPr>
        <w:spacing w:after="0" w:line="223" w:lineRule="exact"/>
        <w:rPr>
          <w:sz w:val="20"/>
          <w:szCs w:val="20"/>
          <w:color w:val="auto"/>
        </w:rPr>
      </w:pPr>
    </w:p>
    <w:p>
      <w:pPr>
        <w:jc w:val="both"/>
        <w:spacing w:after="0" w:line="284" w:lineRule="auto"/>
        <w:rPr>
          <w:sz w:val="20"/>
          <w:szCs w:val="20"/>
          <w:color w:val="auto"/>
        </w:rPr>
      </w:pPr>
      <w:r>
        <w:rPr>
          <w:rFonts w:ascii="Arial" w:cs="Arial" w:eastAsia="Arial" w:hAnsi="Arial"/>
          <w:sz w:val="18"/>
          <w:szCs w:val="18"/>
          <w:color w:val="auto"/>
        </w:rPr>
        <w:t>Under certain circumstances, Shareholders may submit nominations for Directors for inclusion in the Company’s proxy materials by complying with the proxy access requirements in the Company’s By-Laws, which require nominations to be submitted in writing, via Certified Mail – Return Receipt Requested, and received at the above address not before October 17, 2020 nor after November 16, 2020.</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Business and Director Nominations to Be Brought Before the 2021 Annual Meeting of Shareholders:</w:t>
      </w:r>
    </w:p>
    <w:p>
      <w:pPr>
        <w:spacing w:after="0" w:line="223"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The Company’s By-Laws currently provide that a Shareholder of record at the time that notice is given to the Company and who is entitled to vote at an annual meeting may bring business before the meeting or nominate a person for election to the Board of Directors if the Shareholder gives timely notice of such business or nomination. To be timely, and subject to certain exceptions, notice in writing to the Corporate Secretary must be delivered or mailed, via Certified Mail – Return Receipt Requested, and received at the above address not before October 17, 2020 nor after November 16, 2020. The notice must describe various matters regarding the nominee or proposed business. Any Shareholder desiring a copy of the Company’s By-Laws will be furnished one copy without charge upon written request to the Corporate Secretary.</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How can I access the Proxy materials over the Internet?</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color w:val="auto"/>
        </w:rPr>
        <w:t>The Company has made available copies of the following materials at the Company’s website at:</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29650B"/>
        </w:rPr>
        <w:t>https://www.crowncork.com/investors/proxy-online</w:t>
      </w:r>
    </w:p>
    <w:p>
      <w:pPr>
        <w:spacing w:after="0" w:line="223" w:lineRule="exact"/>
        <w:rPr>
          <w:sz w:val="20"/>
          <w:szCs w:val="20"/>
          <w:color w:val="auto"/>
        </w:rPr>
      </w:pPr>
    </w:p>
    <w:p>
      <w:pPr>
        <w:ind w:left="800" w:hanging="453"/>
        <w:spacing w:after="0"/>
        <w:tabs>
          <w:tab w:leader="none" w:pos="800" w:val="left"/>
        </w:tabs>
        <w:numPr>
          <w:ilvl w:val="0"/>
          <w:numId w:val="16"/>
        </w:numPr>
        <w:rPr>
          <w:rFonts w:ascii="Arial" w:cs="Arial" w:eastAsia="Arial" w:hAnsi="Arial"/>
          <w:sz w:val="20"/>
          <w:szCs w:val="20"/>
          <w:color w:val="auto"/>
        </w:rPr>
      </w:pPr>
      <w:r>
        <w:rPr>
          <w:rFonts w:ascii="Arial" w:cs="Arial" w:eastAsia="Arial" w:hAnsi="Arial"/>
          <w:sz w:val="20"/>
          <w:szCs w:val="20"/>
          <w:color w:val="auto"/>
        </w:rPr>
        <w:t>this Proxy Statement</w:t>
      </w:r>
    </w:p>
    <w:p>
      <w:pPr>
        <w:spacing w:after="0" w:line="9" w:lineRule="exact"/>
        <w:rPr>
          <w:rFonts w:ascii="Arial" w:cs="Arial" w:eastAsia="Arial" w:hAnsi="Arial"/>
          <w:sz w:val="20"/>
          <w:szCs w:val="20"/>
          <w:color w:val="auto"/>
        </w:rPr>
      </w:pPr>
    </w:p>
    <w:p>
      <w:pPr>
        <w:ind w:left="800" w:hanging="453"/>
        <w:spacing w:after="0" w:line="232" w:lineRule="auto"/>
        <w:tabs>
          <w:tab w:leader="none" w:pos="800" w:val="left"/>
        </w:tabs>
        <w:numPr>
          <w:ilvl w:val="0"/>
          <w:numId w:val="16"/>
        </w:numPr>
        <w:rPr>
          <w:rFonts w:ascii="Arial" w:cs="Arial" w:eastAsia="Arial" w:hAnsi="Arial"/>
          <w:sz w:val="20"/>
          <w:szCs w:val="20"/>
          <w:color w:val="auto"/>
        </w:rPr>
      </w:pPr>
      <w:r>
        <w:rPr>
          <w:rFonts w:ascii="Arial" w:cs="Arial" w:eastAsia="Arial" w:hAnsi="Arial"/>
          <w:sz w:val="20"/>
          <w:szCs w:val="20"/>
          <w:color w:val="auto"/>
        </w:rPr>
        <w:t>the Proxy Card relating to the Annual Meeting of Shareholders</w:t>
      </w:r>
    </w:p>
    <w:p>
      <w:pPr>
        <w:ind w:left="800" w:hanging="453"/>
        <w:spacing w:after="0"/>
        <w:tabs>
          <w:tab w:leader="none" w:pos="800" w:val="left"/>
        </w:tabs>
        <w:numPr>
          <w:ilvl w:val="0"/>
          <w:numId w:val="16"/>
        </w:numPr>
        <w:rPr>
          <w:rFonts w:ascii="Arial" w:cs="Arial" w:eastAsia="Arial" w:hAnsi="Arial"/>
          <w:sz w:val="20"/>
          <w:szCs w:val="20"/>
          <w:color w:val="auto"/>
        </w:rPr>
      </w:pPr>
      <w:r>
        <w:rPr>
          <w:rFonts w:ascii="Arial" w:cs="Arial" w:eastAsia="Arial" w:hAnsi="Arial"/>
          <w:sz w:val="20"/>
          <w:szCs w:val="20"/>
          <w:color w:val="auto"/>
        </w:rPr>
        <w:t>the Annual Report to Shareholders</w:t>
      </w:r>
    </w:p>
    <w:p>
      <w:pPr>
        <w:spacing w:after="0" w:line="200" w:lineRule="exact"/>
        <w:rPr>
          <w:sz w:val="20"/>
          <w:szCs w:val="20"/>
          <w:color w:val="auto"/>
        </w:rPr>
      </w:pPr>
    </w:p>
    <w:p>
      <w:pPr>
        <w:spacing w:after="0" w:line="224" w:lineRule="exact"/>
        <w:rPr>
          <w:sz w:val="20"/>
          <w:szCs w:val="20"/>
          <w:color w:val="auto"/>
        </w:rPr>
      </w:pPr>
    </w:p>
    <w:p>
      <w:pPr>
        <w:spacing w:after="0" w:line="254" w:lineRule="auto"/>
        <w:rPr>
          <w:sz w:val="20"/>
          <w:szCs w:val="20"/>
          <w:color w:val="auto"/>
        </w:rPr>
      </w:pPr>
      <w:r>
        <w:rPr>
          <w:rFonts w:ascii="Arial" w:cs="Arial" w:eastAsia="Arial" w:hAnsi="Arial"/>
          <w:sz w:val="20"/>
          <w:szCs w:val="20"/>
          <w:color w:val="auto"/>
        </w:rPr>
        <w:t>Information included on the Company’s website, other than this Proxy Statement, the Proxy Card and the Annual Report to Shareholders, is not part of the Proxy soliciting materials.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ectPr>
          <w:pgSz w:w="11900" w:h="16838" w:orient="portrait"/>
          <w:cols w:equalWidth="0" w:num="1">
            <w:col w:w="11240"/>
          </w:cols>
          <w:pgMar w:left="320" w:top="443" w:right="339" w:bottom="1440" w:gutter="0" w:footer="0" w:header="0"/>
        </w:sectPr>
      </w:pPr>
    </w:p>
    <w:bookmarkStart w:id="21" w:name="page22"/>
    <w:bookmarkEnd w:id="21"/>
    <w:p>
      <w:pPr>
        <w:spacing w:after="0"/>
        <w:rPr>
          <w:sz w:val="20"/>
          <w:szCs w:val="20"/>
          <w:color w:val="auto"/>
        </w:rPr>
      </w:pPr>
      <w:r>
        <w:rPr>
          <w:rFonts w:ascii="Arial" w:cs="Arial" w:eastAsia="Arial" w:hAnsi="Arial"/>
          <w:sz w:val="20"/>
          <w:szCs w:val="20"/>
          <w:b w:val="1"/>
          <w:bCs w:val="1"/>
          <w:i w:val="1"/>
          <w:iCs w:val="1"/>
          <w:color w:val="auto"/>
        </w:rPr>
        <w:t>Whom should I contact to obtain a copy of the Annual Report on Form 10-K?</w:t>
      </w:r>
    </w:p>
    <w:p>
      <w:pPr>
        <w:spacing w:after="0" w:line="192"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 xml:space="preserve">The Company filed its Annual Report on Form 10-K for the fiscal year ended December 31, 2019 with the SEC on February 28, 2020. A copy of the Company’s Annual Report on Form 10-K was included as part of the Annual Report to Shareholders that you received along with the proxy materials. Any Shareholder can obtain a copy of the Annual Report, including the financial statements and schedules thereto and a list describing all the exhibits not contained therein, without charge. Requests for copies of the Annual Report should be sent to: Investor Relations Department, Crown Holdings, Inc., 770 Township Line Road, Yardley, PA 19067 or you may call toll free 888-400-7789. Copies in electronic format of the Company’s Annual Report and filings with the SEC are available at the Company’s website at </w:t>
      </w:r>
      <w:r>
        <w:rPr>
          <w:rFonts w:ascii="Arial" w:cs="Arial" w:eastAsia="Arial" w:hAnsi="Arial"/>
          <w:sz w:val="20"/>
          <w:szCs w:val="20"/>
          <w:b w:val="1"/>
          <w:bCs w:val="1"/>
          <w:u w:val="single" w:color="auto"/>
          <w:color w:val="29650B"/>
        </w:rPr>
        <w:t>www.crowncork.com</w:t>
      </w:r>
      <w:r>
        <w:rPr>
          <w:rFonts w:ascii="Arial" w:cs="Arial" w:eastAsia="Arial" w:hAnsi="Arial"/>
          <w:sz w:val="20"/>
          <w:szCs w:val="20"/>
          <w:color w:val="auto"/>
        </w:rPr>
        <w:t xml:space="preserve"> in the “For Investors” section.</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ectPr>
          <w:pgSz w:w="11900" w:h="16838" w:orient="portrait"/>
          <w:cols w:equalWidth="0" w:num="1">
            <w:col w:w="11240"/>
          </w:cols>
          <w:pgMar w:left="320" w:top="443" w:right="339" w:bottom="1440" w:gutter="0" w:footer="0" w:header="0"/>
        </w:sectPr>
      </w:pPr>
    </w:p>
    <w:bookmarkStart w:id="22" w:name="page23"/>
    <w:bookmarkEnd w:id="22"/>
    <w:p>
      <w:pPr>
        <w:spacing w:after="0"/>
        <w:rPr>
          <w:sz w:val="20"/>
          <w:szCs w:val="20"/>
          <w:color w:val="auto"/>
        </w:rPr>
      </w:pPr>
      <w:r>
        <w:rPr>
          <w:rFonts w:ascii="Arial" w:cs="Arial" w:eastAsia="Arial" w:hAnsi="Arial"/>
          <w:sz w:val="30"/>
          <w:szCs w:val="30"/>
          <w:b w:val="1"/>
          <w:bCs w:val="1"/>
          <w:color w:val="29650B"/>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3750" cy="317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3750" cy="31750"/>
                    </a:xfrm>
                    <a:prstGeom prst="rect">
                      <a:avLst/>
                    </a:prstGeom>
                    <a:noFill/>
                  </pic:spPr>
                </pic:pic>
              </a:graphicData>
            </a:graphic>
          </wp:anchor>
        </w:drawing>
      </w:r>
    </w:p>
    <w:p>
      <w:pPr>
        <w:spacing w:after="0" w:line="250" w:lineRule="exact"/>
        <w:rPr>
          <w:sz w:val="20"/>
          <w:szCs w:val="20"/>
          <w:color w:val="auto"/>
        </w:rPr>
      </w:pPr>
    </w:p>
    <w:p>
      <w:pPr>
        <w:jc w:val="both"/>
        <w:ind w:firstLine="595"/>
        <w:spacing w:after="0" w:line="271" w:lineRule="auto"/>
        <w:rPr>
          <w:sz w:val="20"/>
          <w:szCs w:val="20"/>
          <w:color w:val="auto"/>
        </w:rPr>
      </w:pPr>
      <w:r>
        <w:rPr>
          <w:rFonts w:ascii="Arial" w:cs="Arial" w:eastAsia="Arial" w:hAnsi="Arial"/>
          <w:sz w:val="18"/>
          <w:szCs w:val="18"/>
          <w:color w:val="auto"/>
        </w:rPr>
        <w:t>The Proxy Holders shall vote the shares with respect to the nominees listed below, all of whom are now Directors of the Company, to serve as Directors for the ensuing year or until their successors shall be elected. None of the persons named as a nominee for Director has indicated that he or she will be unable or will decline to serve. In the event that any of the nominees are unable or decline to serve, which the Nominating and Corporate Governance Committee of the Board of Directors does not believe will happen, the Proxy Holders will vote with respect to the remaining nominees and others who may be nominated by the Board of Directors.</w:t>
      </w:r>
    </w:p>
    <w:p>
      <w:pPr>
        <w:spacing w:after="0" w:line="171" w:lineRule="exact"/>
        <w:rPr>
          <w:sz w:val="20"/>
          <w:szCs w:val="20"/>
          <w:color w:val="auto"/>
        </w:rPr>
      </w:pPr>
    </w:p>
    <w:p>
      <w:pPr>
        <w:jc w:val="both"/>
        <w:ind w:firstLine="595"/>
        <w:spacing w:after="0" w:line="280" w:lineRule="auto"/>
        <w:rPr>
          <w:sz w:val="20"/>
          <w:szCs w:val="20"/>
          <w:color w:val="auto"/>
        </w:rPr>
      </w:pPr>
      <w:r>
        <w:rPr>
          <w:rFonts w:ascii="Arial" w:cs="Arial" w:eastAsia="Arial" w:hAnsi="Arial"/>
          <w:sz w:val="19"/>
          <w:szCs w:val="19"/>
          <w:color w:val="auto"/>
        </w:rPr>
        <w:t>Messrs. Hans Löliger and William Little, members of the Board of Directors of the Company since 2001 and 2003, respectively, are retiring as Directors and are not standing for re-election to the Company’s Board of Directors at the Annual Meeting.</w:t>
      </w:r>
    </w:p>
    <w:p>
      <w:pPr>
        <w:spacing w:after="0" w:line="135" w:lineRule="exact"/>
        <w:rPr>
          <w:sz w:val="20"/>
          <w:szCs w:val="20"/>
          <w:color w:val="auto"/>
        </w:rPr>
      </w:pPr>
    </w:p>
    <w:p>
      <w:pPr>
        <w:jc w:val="both"/>
        <w:ind w:firstLine="595"/>
        <w:spacing w:after="0" w:line="238" w:lineRule="auto"/>
        <w:rPr>
          <w:sz w:val="20"/>
          <w:szCs w:val="20"/>
          <w:color w:val="auto"/>
        </w:rPr>
      </w:pPr>
      <w:r>
        <w:rPr>
          <w:rFonts w:ascii="Arial" w:cs="Arial" w:eastAsia="Arial" w:hAnsi="Arial"/>
          <w:sz w:val="20"/>
          <w:szCs w:val="20"/>
          <w:color w:val="auto"/>
        </w:rPr>
        <w:t>The By-Laws of the Company provide for a Board of Directors consisting of between 10 and 18 Directors, as determined by the Board of Directors. The Board of Directors has fixed the number of Directors at 12. It is intended that the Proxies will be voted for the election of the 12 nominees named below as Directors, and no more than 12 will be nominated by the Board. If all 12 director nominees are elected, the Board of Directors will consist of 12 Directors, 11 of whom, representing 92% of the Board, will be “independent” as defined in the NYSE listing standards.</w:t>
      </w:r>
    </w:p>
    <w:p>
      <w:pPr>
        <w:spacing w:after="0" w:line="174" w:lineRule="exact"/>
        <w:rPr>
          <w:sz w:val="20"/>
          <w:szCs w:val="20"/>
          <w:color w:val="auto"/>
        </w:rPr>
      </w:pPr>
    </w:p>
    <w:p>
      <w:pPr>
        <w:jc w:val="both"/>
        <w:ind w:firstLine="595"/>
        <w:spacing w:after="0" w:line="267" w:lineRule="auto"/>
        <w:rPr>
          <w:sz w:val="20"/>
          <w:szCs w:val="20"/>
          <w:color w:val="auto"/>
        </w:rPr>
      </w:pPr>
      <w:r>
        <w:rPr>
          <w:rFonts w:ascii="Arial" w:cs="Arial" w:eastAsia="Arial" w:hAnsi="Arial"/>
          <w:sz w:val="18"/>
          <w:szCs w:val="18"/>
          <w:color w:val="auto"/>
        </w:rPr>
        <w:t>The Board is committed to regular review of the Board’s composition to ensure that the Board continues to have the right mix of skills, background and tenure. This year’s Board nominees include three new directors – Richard Fearon, Stephen Hagge and B. Craig Owens. Five of the Company’s independent Directors have joined the Board in the last four years as a result of a Board refreshment process where Director candidates were identified through Board, Shareholder and third-party search firm input. Our ongoing Board refreshment strategy has further strengthened and diversified the skills and experiences of the Board. The Board believes that the collective combination of backgrounds, skills and experiences of its members has produced a Board that is well-equipped to exercise oversight responsibilities for the Company’s Shareholders and to help guide the Company to achieve its long-term strategic objectives.</w:t>
      </w:r>
    </w:p>
    <w:p>
      <w:pPr>
        <w:spacing w:after="0" w:line="149" w:lineRule="exact"/>
        <w:rPr>
          <w:sz w:val="20"/>
          <w:szCs w:val="20"/>
          <w:color w:val="auto"/>
        </w:rPr>
      </w:pPr>
    </w:p>
    <w:p>
      <w:pPr>
        <w:jc w:val="both"/>
        <w:ind w:firstLine="595"/>
        <w:spacing w:after="0" w:line="309" w:lineRule="auto"/>
        <w:rPr>
          <w:sz w:val="20"/>
          <w:szCs w:val="20"/>
          <w:color w:val="auto"/>
        </w:rPr>
      </w:pPr>
      <w:r>
        <w:rPr>
          <w:rFonts w:ascii="Arial" w:cs="Arial" w:eastAsia="Arial" w:hAnsi="Arial"/>
          <w:sz w:val="18"/>
          <w:szCs w:val="18"/>
          <w:color w:val="auto"/>
        </w:rPr>
        <w:t>Under the Company’s Corporate Governance Guidelines, no Director will commence a term of Board service if the Director is over 75 years old unless the Board determines that an additional term of Board service would be in the best interests of the Company.</w:t>
      </w:r>
    </w:p>
    <w:p>
      <w:pPr>
        <w:spacing w:after="0" w:line="112" w:lineRule="exact"/>
        <w:rPr>
          <w:sz w:val="20"/>
          <w:szCs w:val="20"/>
          <w:color w:val="auto"/>
        </w:rPr>
      </w:pPr>
    </w:p>
    <w:p>
      <w:pPr>
        <w:jc w:val="both"/>
        <w:ind w:firstLine="595"/>
        <w:spacing w:after="0" w:line="243" w:lineRule="auto"/>
        <w:rPr>
          <w:sz w:val="20"/>
          <w:szCs w:val="20"/>
          <w:color w:val="auto"/>
        </w:rPr>
      </w:pPr>
      <w:r>
        <w:rPr>
          <w:rFonts w:ascii="Arial" w:cs="Arial" w:eastAsia="Arial" w:hAnsi="Arial"/>
          <w:sz w:val="20"/>
          <w:szCs w:val="20"/>
          <w:color w:val="auto"/>
        </w:rPr>
        <w:t>The names of the nominees and information concerning them and their associations as of March 3, 2020, as furnished by the nominees, follow. The principal occupations and the directorships stated include the nominees’ occupations and directorships with any U.S. publicly traded companies or registered investment companies during the last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287020</wp:posOffset>
            </wp:positionV>
            <wp:extent cx="7124700" cy="4146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24700" cy="41465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23"/>
          <w:szCs w:val="23"/>
          <w:b w:val="1"/>
          <w:bCs w:val="1"/>
          <w:color w:val="auto"/>
        </w:rPr>
        <w:t>The Board of Directors Recommends that Shareholders Vote FOR Election</w:t>
      </w:r>
    </w:p>
    <w:p>
      <w:pPr>
        <w:spacing w:after="0" w:line="34" w:lineRule="exact"/>
        <w:rPr>
          <w:sz w:val="20"/>
          <w:szCs w:val="20"/>
          <w:color w:val="auto"/>
        </w:rPr>
      </w:pPr>
    </w:p>
    <w:p>
      <w:pPr>
        <w:jc w:val="center"/>
        <w:ind w:right="20"/>
        <w:spacing w:after="0"/>
        <w:rPr>
          <w:sz w:val="20"/>
          <w:szCs w:val="20"/>
          <w:color w:val="auto"/>
        </w:rPr>
      </w:pPr>
      <w:r>
        <w:rPr>
          <w:rFonts w:ascii="Arial" w:cs="Arial" w:eastAsia="Arial" w:hAnsi="Arial"/>
          <w:sz w:val="23"/>
          <w:szCs w:val="23"/>
          <w:b w:val="1"/>
          <w:bCs w:val="1"/>
          <w:color w:val="auto"/>
        </w:rPr>
        <w:t>of Each of the Nominees Named Below.</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w:t>
      </w:r>
    </w:p>
    <w:p>
      <w:pPr>
        <w:sectPr>
          <w:pgSz w:w="11900" w:h="16838" w:orient="portrait"/>
          <w:cols w:equalWidth="0" w:num="1">
            <w:col w:w="11240"/>
          </w:cols>
          <w:pgMar w:left="320" w:top="423" w:right="339" w:bottom="1440" w:gutter="0" w:footer="0" w:header="0"/>
        </w:sectPr>
      </w:pPr>
    </w:p>
    <w:bookmarkStart w:id="23" w:name="page24"/>
    <w:bookmarkEnd w:id="23"/>
    <w:tbl>
      <w:tblPr>
        <w:tblLayout w:type="fixed"/>
        <w:tblInd w:w="10" w:type="dxa"/>
        <w:tblCellMar>
          <w:top w:w="0" w:type="dxa"/>
          <w:left w:w="0" w:type="dxa"/>
          <w:bottom w:w="0" w:type="dxa"/>
          <w:right w:w="0" w:type="dxa"/>
        </w:tblCellMar>
      </w:tblPr>
      <w:tr>
        <w:trPr>
          <w:trHeight w:val="210"/>
        </w:trPr>
        <w:tc>
          <w:tcPr>
            <w:tcW w:w="2000" w:type="dxa"/>
            <w:vAlign w:val="bottom"/>
            <w:tcBorders>
              <w:top w:val="single" w:sz="8" w:color="auto"/>
              <w:left w:val="single" w:sz="8" w:color="auto"/>
            </w:tcBorders>
            <w:shd w:val="clear" w:color="auto" w:fill="29650B"/>
          </w:tcPr>
          <w:p>
            <w:pPr>
              <w:spacing w:after="0"/>
              <w:rPr>
                <w:sz w:val="18"/>
                <w:szCs w:val="18"/>
                <w:color w:val="auto"/>
              </w:rPr>
            </w:pPr>
          </w:p>
        </w:tc>
        <w:tc>
          <w:tcPr>
            <w:tcW w:w="660" w:type="dxa"/>
            <w:vAlign w:val="bottom"/>
            <w:tcBorders>
              <w:top w:val="single" w:sz="8" w:color="auto"/>
            </w:tcBorders>
            <w:shd w:val="clear" w:color="auto" w:fill="29650B"/>
          </w:tcPr>
          <w:p>
            <w:pPr>
              <w:spacing w:after="0"/>
              <w:rPr>
                <w:sz w:val="18"/>
                <w:szCs w:val="18"/>
                <w:color w:val="auto"/>
              </w:rPr>
            </w:pPr>
          </w:p>
        </w:tc>
        <w:tc>
          <w:tcPr>
            <w:tcW w:w="940" w:type="dxa"/>
            <w:vAlign w:val="bottom"/>
            <w:tcBorders>
              <w:top w:val="single" w:sz="8" w:color="auto"/>
            </w:tcBorders>
            <w:shd w:val="clear" w:color="auto" w:fill="29650B"/>
          </w:tcPr>
          <w:p>
            <w:pPr>
              <w:spacing w:after="0"/>
              <w:rPr>
                <w:sz w:val="18"/>
                <w:szCs w:val="18"/>
                <w:color w:val="auto"/>
              </w:rPr>
            </w:pPr>
          </w:p>
        </w:tc>
        <w:tc>
          <w:tcPr>
            <w:tcW w:w="6280" w:type="dxa"/>
            <w:vAlign w:val="bottom"/>
            <w:tcBorders>
              <w:top w:val="single" w:sz="8" w:color="auto"/>
            </w:tcBorders>
            <w:shd w:val="clear" w:color="auto" w:fill="29650B"/>
          </w:tcPr>
          <w:p>
            <w:pPr>
              <w:spacing w:after="0"/>
              <w:rPr>
                <w:sz w:val="18"/>
                <w:szCs w:val="18"/>
                <w:color w:val="auto"/>
              </w:rPr>
            </w:pPr>
          </w:p>
        </w:tc>
        <w:tc>
          <w:tcPr>
            <w:tcW w:w="1380" w:type="dxa"/>
            <w:vAlign w:val="bottom"/>
            <w:tcBorders>
              <w:top w:val="single" w:sz="8" w:color="auto"/>
              <w:right w:val="single" w:sz="8" w:color="auto"/>
            </w:tcBorders>
            <w:shd w:val="clear" w:color="auto" w:fill="29650B"/>
          </w:tcPr>
          <w:p>
            <w:pPr>
              <w:jc w:val="center"/>
              <w:ind w:right="21"/>
              <w:spacing w:after="0" w:line="210" w:lineRule="exact"/>
              <w:rPr>
                <w:sz w:val="20"/>
                <w:szCs w:val="20"/>
                <w:color w:val="auto"/>
              </w:rPr>
            </w:pPr>
            <w:r>
              <w:rPr>
                <w:rFonts w:ascii="Arial" w:cs="Arial" w:eastAsia="Arial" w:hAnsi="Arial"/>
                <w:sz w:val="20"/>
                <w:szCs w:val="20"/>
                <w:b w:val="1"/>
                <w:bCs w:val="1"/>
                <w:color w:val="FFFFFF"/>
                <w:w w:val="87"/>
              </w:rPr>
              <w:t>Year Became</w:t>
            </w:r>
          </w:p>
        </w:tc>
      </w:tr>
      <w:tr>
        <w:trPr>
          <w:trHeight w:val="248"/>
        </w:trPr>
        <w:tc>
          <w:tcPr>
            <w:tcW w:w="2000" w:type="dxa"/>
            <w:vAlign w:val="bottom"/>
            <w:tcBorders>
              <w:left w:val="single" w:sz="8" w:color="auto"/>
            </w:tcBorders>
            <w:shd w:val="clear" w:color="auto" w:fill="29650B"/>
          </w:tcPr>
          <w:p>
            <w:pPr>
              <w:ind w:left="840"/>
              <w:spacing w:after="0"/>
              <w:rPr>
                <w:sz w:val="20"/>
                <w:szCs w:val="20"/>
                <w:color w:val="auto"/>
              </w:rPr>
            </w:pPr>
            <w:r>
              <w:rPr>
                <w:rFonts w:ascii="Arial" w:cs="Arial" w:eastAsia="Arial" w:hAnsi="Arial"/>
                <w:sz w:val="20"/>
                <w:szCs w:val="20"/>
                <w:b w:val="1"/>
                <w:bCs w:val="1"/>
                <w:color w:val="FFFFFF"/>
              </w:rPr>
              <w:t>Name</w:t>
            </w:r>
          </w:p>
        </w:tc>
        <w:tc>
          <w:tcPr>
            <w:tcW w:w="660" w:type="dxa"/>
            <w:vAlign w:val="bottom"/>
            <w:shd w:val="clear" w:color="auto" w:fill="29650B"/>
          </w:tcPr>
          <w:p>
            <w:pPr>
              <w:jc w:val="center"/>
              <w:ind w:left="101"/>
              <w:spacing w:after="0"/>
              <w:rPr>
                <w:sz w:val="20"/>
                <w:szCs w:val="20"/>
                <w:color w:val="auto"/>
              </w:rPr>
            </w:pPr>
            <w:r>
              <w:rPr>
                <w:rFonts w:ascii="Arial" w:cs="Arial" w:eastAsia="Arial" w:hAnsi="Arial"/>
                <w:sz w:val="20"/>
                <w:szCs w:val="20"/>
                <w:b w:val="1"/>
                <w:bCs w:val="1"/>
                <w:color w:val="FFFFFF"/>
                <w:w w:val="89"/>
              </w:rPr>
              <w:t>Age</w:t>
            </w:r>
          </w:p>
        </w:tc>
        <w:tc>
          <w:tcPr>
            <w:tcW w:w="940" w:type="dxa"/>
            <w:vAlign w:val="bottom"/>
            <w:shd w:val="clear" w:color="auto" w:fill="29650B"/>
          </w:tcPr>
          <w:p>
            <w:pPr>
              <w:spacing w:after="0"/>
              <w:rPr>
                <w:sz w:val="21"/>
                <w:szCs w:val="21"/>
                <w:color w:val="auto"/>
              </w:rPr>
            </w:pPr>
          </w:p>
        </w:tc>
        <w:tc>
          <w:tcPr>
            <w:tcW w:w="6280" w:type="dxa"/>
            <w:vAlign w:val="bottom"/>
            <w:shd w:val="clear" w:color="auto" w:fill="29650B"/>
          </w:tcPr>
          <w:p>
            <w:pPr>
              <w:ind w:left="1740"/>
              <w:spacing w:after="0"/>
              <w:rPr>
                <w:sz w:val="20"/>
                <w:szCs w:val="20"/>
                <w:color w:val="auto"/>
              </w:rPr>
            </w:pPr>
            <w:r>
              <w:rPr>
                <w:rFonts w:ascii="Arial" w:cs="Arial" w:eastAsia="Arial" w:hAnsi="Arial"/>
                <w:sz w:val="20"/>
                <w:szCs w:val="20"/>
                <w:b w:val="1"/>
                <w:bCs w:val="1"/>
                <w:color w:val="FFFFFF"/>
              </w:rPr>
              <w:t>Principal Occupation</w:t>
            </w:r>
          </w:p>
        </w:tc>
        <w:tc>
          <w:tcPr>
            <w:tcW w:w="1380" w:type="dxa"/>
            <w:vAlign w:val="bottom"/>
            <w:tcBorders>
              <w:right w:val="single" w:sz="8" w:color="auto"/>
            </w:tcBorders>
            <w:shd w:val="clear" w:color="auto" w:fill="29650B"/>
          </w:tcPr>
          <w:p>
            <w:pPr>
              <w:jc w:val="center"/>
              <w:ind w:right="21"/>
              <w:spacing w:after="0"/>
              <w:rPr>
                <w:sz w:val="20"/>
                <w:szCs w:val="20"/>
                <w:color w:val="auto"/>
              </w:rPr>
            </w:pPr>
            <w:r>
              <w:rPr>
                <w:rFonts w:ascii="Arial" w:cs="Arial" w:eastAsia="Arial" w:hAnsi="Arial"/>
                <w:sz w:val="20"/>
                <w:szCs w:val="20"/>
                <w:b w:val="1"/>
                <w:bCs w:val="1"/>
                <w:color w:val="FFFFFF"/>
                <w:w w:val="91"/>
              </w:rPr>
              <w:t>Director</w:t>
            </w:r>
          </w:p>
        </w:tc>
      </w:tr>
      <w:tr>
        <w:trPr>
          <w:trHeight w:val="403"/>
        </w:trPr>
        <w:tc>
          <w:tcPr>
            <w:tcW w:w="2000" w:type="dxa"/>
            <w:vAlign w:val="bottom"/>
            <w:tcBorders>
              <w:left w:val="single" w:sz="8" w:color="auto"/>
            </w:tcBorders>
          </w:tcPr>
          <w:p>
            <w:pPr>
              <w:ind w:left="100"/>
              <w:spacing w:after="0"/>
              <w:rPr>
                <w:sz w:val="20"/>
                <w:szCs w:val="20"/>
                <w:color w:val="auto"/>
              </w:rPr>
            </w:pPr>
            <w:r>
              <w:rPr>
                <w:rFonts w:ascii="Arial" w:cs="Arial" w:eastAsia="Arial" w:hAnsi="Arial"/>
                <w:sz w:val="20"/>
                <w:szCs w:val="20"/>
                <w:color w:val="auto"/>
              </w:rPr>
              <w:t>John W. Conway</w:t>
            </w:r>
          </w:p>
        </w:tc>
        <w:tc>
          <w:tcPr>
            <w:tcW w:w="660" w:type="dxa"/>
            <w:vAlign w:val="bottom"/>
          </w:tcPr>
          <w:p>
            <w:pPr>
              <w:jc w:val="center"/>
              <w:ind w:left="101"/>
              <w:spacing w:after="0"/>
              <w:rPr>
                <w:sz w:val="20"/>
                <w:szCs w:val="20"/>
                <w:color w:val="auto"/>
              </w:rPr>
            </w:pPr>
            <w:r>
              <w:rPr>
                <w:rFonts w:ascii="Arial" w:cs="Arial" w:eastAsia="Arial" w:hAnsi="Arial"/>
                <w:sz w:val="20"/>
                <w:szCs w:val="20"/>
                <w:color w:val="auto"/>
                <w:w w:val="80"/>
              </w:rPr>
              <w:t>74</w:t>
            </w:r>
          </w:p>
        </w:tc>
        <w:tc>
          <w:tcPr>
            <w:tcW w:w="7220" w:type="dxa"/>
            <w:vAlign w:val="bottom"/>
            <w:gridSpan w:val="2"/>
          </w:tcPr>
          <w:p>
            <w:pPr>
              <w:ind w:left="60"/>
              <w:spacing w:after="0"/>
              <w:rPr>
                <w:sz w:val="20"/>
                <w:szCs w:val="20"/>
                <w:color w:val="auto"/>
              </w:rPr>
            </w:pPr>
            <w:r>
              <w:rPr>
                <w:rFonts w:ascii="Arial" w:cs="Arial" w:eastAsia="Arial" w:hAnsi="Arial"/>
                <w:sz w:val="20"/>
                <w:szCs w:val="20"/>
                <w:color w:val="auto"/>
                <w:w w:val="98"/>
              </w:rPr>
              <w:t>Chairman of the Board and former Chief Executive Officer of the Company; also a</w:t>
            </w:r>
          </w:p>
        </w:tc>
        <w:tc>
          <w:tcPr>
            <w:tcW w:w="1380" w:type="dxa"/>
            <w:vAlign w:val="bottom"/>
            <w:tcBorders>
              <w:right w:val="single" w:sz="8" w:color="auto"/>
            </w:tcBorders>
          </w:tcPr>
          <w:p>
            <w:pPr>
              <w:jc w:val="center"/>
              <w:ind w:right="21"/>
              <w:spacing w:after="0"/>
              <w:rPr>
                <w:sz w:val="20"/>
                <w:szCs w:val="20"/>
                <w:color w:val="auto"/>
              </w:rPr>
            </w:pPr>
            <w:r>
              <w:rPr>
                <w:rFonts w:ascii="Arial" w:cs="Arial" w:eastAsia="Arial" w:hAnsi="Arial"/>
                <w:sz w:val="20"/>
                <w:szCs w:val="20"/>
                <w:color w:val="auto"/>
                <w:w w:val="85"/>
              </w:rPr>
              <w:t>1997</w:t>
            </w:r>
          </w:p>
        </w:tc>
      </w:tr>
      <w:tr>
        <w:trPr>
          <w:trHeight w:val="251"/>
        </w:trPr>
        <w:tc>
          <w:tcPr>
            <w:tcW w:w="2000" w:type="dxa"/>
            <w:vAlign w:val="bottom"/>
            <w:tcBorders>
              <w:left w:val="single" w:sz="8" w:color="auto"/>
            </w:tcBorders>
          </w:tcPr>
          <w:p>
            <w:pPr>
              <w:ind w:left="100"/>
              <w:spacing w:after="0"/>
              <w:rPr>
                <w:sz w:val="20"/>
                <w:szCs w:val="20"/>
                <w:color w:val="auto"/>
              </w:rPr>
            </w:pPr>
            <w:r>
              <w:rPr>
                <w:rFonts w:ascii="Arial" w:cs="Arial" w:eastAsia="Arial" w:hAnsi="Arial"/>
                <w:sz w:val="20"/>
                <w:szCs w:val="20"/>
                <w:color w:val="auto"/>
              </w:rPr>
              <w:t>(a)</w:t>
            </w:r>
          </w:p>
        </w:tc>
        <w:tc>
          <w:tcPr>
            <w:tcW w:w="660" w:type="dxa"/>
            <w:vAlign w:val="bottom"/>
          </w:tcPr>
          <w:p>
            <w:pPr>
              <w:spacing w:after="0"/>
              <w:rPr>
                <w:sz w:val="21"/>
                <w:szCs w:val="21"/>
                <w:color w:val="auto"/>
              </w:rPr>
            </w:pPr>
          </w:p>
        </w:tc>
        <w:tc>
          <w:tcPr>
            <w:tcW w:w="7220" w:type="dxa"/>
            <w:vAlign w:val="bottom"/>
            <w:gridSpan w:val="2"/>
          </w:tcPr>
          <w:p>
            <w:pPr>
              <w:ind w:left="60"/>
              <w:spacing w:after="0"/>
              <w:rPr>
                <w:sz w:val="20"/>
                <w:szCs w:val="20"/>
                <w:color w:val="auto"/>
              </w:rPr>
            </w:pPr>
            <w:r>
              <w:rPr>
                <w:rFonts w:ascii="Arial" w:cs="Arial" w:eastAsia="Arial" w:hAnsi="Arial"/>
                <w:sz w:val="20"/>
                <w:szCs w:val="20"/>
                <w:color w:val="auto"/>
              </w:rPr>
              <w:t>Director of PPL Corporation</w:t>
            </w:r>
          </w:p>
        </w:tc>
        <w:tc>
          <w:tcPr>
            <w:tcW w:w="1380" w:type="dxa"/>
            <w:vAlign w:val="bottom"/>
            <w:tcBorders>
              <w:right w:val="single" w:sz="8" w:color="auto"/>
            </w:tcBorders>
          </w:tcPr>
          <w:p>
            <w:pPr>
              <w:spacing w:after="0"/>
              <w:rPr>
                <w:sz w:val="21"/>
                <w:szCs w:val="21"/>
                <w:color w:val="auto"/>
              </w:rPr>
            </w:pPr>
          </w:p>
        </w:tc>
      </w:tr>
      <w:tr>
        <w:trPr>
          <w:trHeight w:val="190"/>
        </w:trPr>
        <w:tc>
          <w:tcPr>
            <w:tcW w:w="2000" w:type="dxa"/>
            <w:vAlign w:val="bottom"/>
            <w:tcBorders>
              <w:left w:val="single" w:sz="8" w:color="auto"/>
            </w:tcBorders>
          </w:tcPr>
          <w:p>
            <w:pPr>
              <w:spacing w:after="0"/>
              <w:rPr>
                <w:sz w:val="16"/>
                <w:szCs w:val="16"/>
                <w:color w:val="auto"/>
              </w:rPr>
            </w:pPr>
          </w:p>
        </w:tc>
        <w:tc>
          <w:tcPr>
            <w:tcW w:w="660" w:type="dxa"/>
            <w:vAlign w:val="bottom"/>
          </w:tcPr>
          <w:p>
            <w:pPr>
              <w:spacing w:after="0"/>
              <w:rPr>
                <w:sz w:val="16"/>
                <w:szCs w:val="16"/>
                <w:color w:val="auto"/>
              </w:rPr>
            </w:pPr>
          </w:p>
        </w:tc>
        <w:tc>
          <w:tcPr>
            <w:tcW w:w="7220" w:type="dxa"/>
            <w:vAlign w:val="bottom"/>
            <w:gridSpan w:val="2"/>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r>
      <w:tr>
        <w:trPr>
          <w:trHeight w:val="303"/>
        </w:trPr>
        <w:tc>
          <w:tcPr>
            <w:tcW w:w="2000" w:type="dxa"/>
            <w:vAlign w:val="bottom"/>
            <w:tcBorders>
              <w:left w:val="single" w:sz="8" w:color="auto"/>
            </w:tcBorders>
            <w:shd w:val="clear" w:color="auto" w:fill="D9D9D9"/>
          </w:tcPr>
          <w:p>
            <w:pPr>
              <w:ind w:left="100"/>
              <w:spacing w:after="0"/>
              <w:rPr>
                <w:sz w:val="20"/>
                <w:szCs w:val="20"/>
                <w:color w:val="auto"/>
              </w:rPr>
            </w:pPr>
            <w:r>
              <w:rPr>
                <w:rFonts w:ascii="Arial" w:cs="Arial" w:eastAsia="Arial" w:hAnsi="Arial"/>
                <w:sz w:val="20"/>
                <w:szCs w:val="20"/>
                <w:color w:val="auto"/>
              </w:rPr>
              <w:t>Timothy J. Donahue</w:t>
            </w:r>
          </w:p>
        </w:tc>
        <w:tc>
          <w:tcPr>
            <w:tcW w:w="660" w:type="dxa"/>
            <w:vAlign w:val="bottom"/>
            <w:shd w:val="clear" w:color="auto" w:fill="D9D9D9"/>
          </w:tcPr>
          <w:p>
            <w:pPr>
              <w:jc w:val="center"/>
              <w:ind w:left="101"/>
              <w:spacing w:after="0"/>
              <w:rPr>
                <w:sz w:val="20"/>
                <w:szCs w:val="20"/>
                <w:color w:val="auto"/>
              </w:rPr>
            </w:pPr>
            <w:r>
              <w:rPr>
                <w:rFonts w:ascii="Arial" w:cs="Arial" w:eastAsia="Arial" w:hAnsi="Arial"/>
                <w:sz w:val="20"/>
                <w:szCs w:val="20"/>
                <w:color w:val="auto"/>
                <w:w w:val="80"/>
              </w:rPr>
              <w:t>57</w:t>
            </w:r>
          </w:p>
        </w:tc>
        <w:tc>
          <w:tcPr>
            <w:tcW w:w="7220" w:type="dxa"/>
            <w:vAlign w:val="bottom"/>
            <w:gridSpan w:val="2"/>
            <w:shd w:val="clear" w:color="auto" w:fill="D9D9D9"/>
          </w:tcPr>
          <w:p>
            <w:pPr>
              <w:ind w:left="60"/>
              <w:spacing w:after="0"/>
              <w:rPr>
                <w:sz w:val="20"/>
                <w:szCs w:val="20"/>
                <w:color w:val="auto"/>
              </w:rPr>
            </w:pPr>
            <w:r>
              <w:rPr>
                <w:rFonts w:ascii="Arial" w:cs="Arial" w:eastAsia="Arial" w:hAnsi="Arial"/>
                <w:sz w:val="20"/>
                <w:szCs w:val="20"/>
                <w:color w:val="auto"/>
              </w:rPr>
              <w:t>President and Chief Executive Officer of the Company</w:t>
            </w:r>
          </w:p>
        </w:tc>
        <w:tc>
          <w:tcPr>
            <w:tcW w:w="1380" w:type="dxa"/>
            <w:vAlign w:val="bottom"/>
            <w:tcBorders>
              <w:right w:val="single" w:sz="8" w:color="auto"/>
            </w:tcBorders>
            <w:shd w:val="clear" w:color="auto" w:fill="D9D9D9"/>
          </w:tcPr>
          <w:p>
            <w:pPr>
              <w:jc w:val="center"/>
              <w:ind w:right="21"/>
              <w:spacing w:after="0"/>
              <w:rPr>
                <w:sz w:val="20"/>
                <w:szCs w:val="20"/>
                <w:color w:val="auto"/>
              </w:rPr>
            </w:pPr>
            <w:r>
              <w:rPr>
                <w:rFonts w:ascii="Arial" w:cs="Arial" w:eastAsia="Arial" w:hAnsi="Arial"/>
                <w:sz w:val="20"/>
                <w:szCs w:val="20"/>
                <w:color w:val="auto"/>
                <w:w w:val="85"/>
              </w:rPr>
              <w:t>2015</w:t>
            </w:r>
          </w:p>
        </w:tc>
      </w:tr>
      <w:tr>
        <w:trPr>
          <w:trHeight w:val="242"/>
        </w:trPr>
        <w:tc>
          <w:tcPr>
            <w:tcW w:w="2000" w:type="dxa"/>
            <w:vAlign w:val="bottom"/>
            <w:tcBorders>
              <w:left w:val="single" w:sz="8" w:color="auto"/>
            </w:tcBorders>
            <w:shd w:val="clear" w:color="auto" w:fill="D9D9D9"/>
          </w:tcPr>
          <w:p>
            <w:pPr>
              <w:ind w:left="100"/>
              <w:spacing w:after="0"/>
              <w:rPr>
                <w:sz w:val="20"/>
                <w:szCs w:val="20"/>
                <w:color w:val="auto"/>
              </w:rPr>
            </w:pPr>
            <w:r>
              <w:rPr>
                <w:rFonts w:ascii="Arial" w:cs="Arial" w:eastAsia="Arial" w:hAnsi="Arial"/>
                <w:sz w:val="20"/>
                <w:szCs w:val="20"/>
                <w:color w:val="auto"/>
              </w:rPr>
              <w:t>(a)</w:t>
            </w:r>
          </w:p>
        </w:tc>
        <w:tc>
          <w:tcPr>
            <w:tcW w:w="660" w:type="dxa"/>
            <w:vAlign w:val="bottom"/>
            <w:shd w:val="clear" w:color="auto" w:fill="D9D9D9"/>
          </w:tcPr>
          <w:p>
            <w:pPr>
              <w:spacing w:after="0"/>
              <w:rPr>
                <w:sz w:val="21"/>
                <w:szCs w:val="21"/>
                <w:color w:val="auto"/>
              </w:rPr>
            </w:pPr>
          </w:p>
        </w:tc>
        <w:tc>
          <w:tcPr>
            <w:tcW w:w="940" w:type="dxa"/>
            <w:vAlign w:val="bottom"/>
            <w:shd w:val="clear" w:color="auto" w:fill="D9D9D9"/>
          </w:tcPr>
          <w:p>
            <w:pPr>
              <w:spacing w:after="0"/>
              <w:rPr>
                <w:sz w:val="21"/>
                <w:szCs w:val="21"/>
                <w:color w:val="auto"/>
              </w:rPr>
            </w:pPr>
          </w:p>
        </w:tc>
        <w:tc>
          <w:tcPr>
            <w:tcW w:w="6280" w:type="dxa"/>
            <w:vAlign w:val="bottom"/>
            <w:shd w:val="clear" w:color="auto" w:fill="D9D9D9"/>
          </w:tcPr>
          <w:p>
            <w:pPr>
              <w:spacing w:after="0"/>
              <w:rPr>
                <w:sz w:val="21"/>
                <w:szCs w:val="21"/>
                <w:color w:val="auto"/>
              </w:rPr>
            </w:pPr>
          </w:p>
        </w:tc>
        <w:tc>
          <w:tcPr>
            <w:tcW w:w="1380" w:type="dxa"/>
            <w:vAlign w:val="bottom"/>
            <w:tcBorders>
              <w:right w:val="single" w:sz="8" w:color="auto"/>
            </w:tcBorders>
            <w:shd w:val="clear" w:color="auto" w:fill="D9D9D9"/>
          </w:tcPr>
          <w:p>
            <w:pPr>
              <w:spacing w:after="0"/>
              <w:rPr>
                <w:sz w:val="21"/>
                <w:szCs w:val="21"/>
                <w:color w:val="auto"/>
              </w:rPr>
            </w:pPr>
          </w:p>
        </w:tc>
      </w:tr>
      <w:tr>
        <w:trPr>
          <w:trHeight w:val="303"/>
        </w:trPr>
        <w:tc>
          <w:tcPr>
            <w:tcW w:w="2000" w:type="dxa"/>
            <w:vAlign w:val="bottom"/>
            <w:tcBorders>
              <w:left w:val="single" w:sz="8" w:color="auto"/>
            </w:tcBorders>
          </w:tcPr>
          <w:p>
            <w:pPr>
              <w:ind w:left="100"/>
              <w:spacing w:after="0"/>
              <w:rPr>
                <w:sz w:val="20"/>
                <w:szCs w:val="20"/>
                <w:color w:val="auto"/>
              </w:rPr>
            </w:pPr>
            <w:r>
              <w:rPr>
                <w:rFonts w:ascii="Arial" w:cs="Arial" w:eastAsia="Arial" w:hAnsi="Arial"/>
                <w:sz w:val="20"/>
                <w:szCs w:val="20"/>
                <w:color w:val="auto"/>
              </w:rPr>
              <w:t>Richard H. Fearon</w:t>
            </w:r>
          </w:p>
        </w:tc>
        <w:tc>
          <w:tcPr>
            <w:tcW w:w="660" w:type="dxa"/>
            <w:vAlign w:val="bottom"/>
          </w:tcPr>
          <w:p>
            <w:pPr>
              <w:jc w:val="center"/>
              <w:ind w:left="101"/>
              <w:spacing w:after="0"/>
              <w:rPr>
                <w:sz w:val="20"/>
                <w:szCs w:val="20"/>
                <w:color w:val="auto"/>
              </w:rPr>
            </w:pPr>
            <w:r>
              <w:rPr>
                <w:rFonts w:ascii="Arial" w:cs="Arial" w:eastAsia="Arial" w:hAnsi="Arial"/>
                <w:sz w:val="20"/>
                <w:szCs w:val="20"/>
                <w:color w:val="auto"/>
                <w:w w:val="80"/>
              </w:rPr>
              <w:t>63</w:t>
            </w:r>
          </w:p>
        </w:tc>
        <w:tc>
          <w:tcPr>
            <w:tcW w:w="7220" w:type="dxa"/>
            <w:vAlign w:val="bottom"/>
            <w:gridSpan w:val="2"/>
          </w:tcPr>
          <w:p>
            <w:pPr>
              <w:ind w:left="60"/>
              <w:spacing w:after="0"/>
              <w:rPr>
                <w:sz w:val="20"/>
                <w:szCs w:val="20"/>
                <w:color w:val="auto"/>
              </w:rPr>
            </w:pPr>
            <w:r>
              <w:rPr>
                <w:rFonts w:ascii="Arial" w:cs="Arial" w:eastAsia="Arial" w:hAnsi="Arial"/>
                <w:sz w:val="20"/>
                <w:szCs w:val="20"/>
                <w:color w:val="auto"/>
              </w:rPr>
              <w:t>Vice Chairman and Chief Financial and Planning Officer and Director of Eaton</w:t>
            </w:r>
          </w:p>
        </w:tc>
        <w:tc>
          <w:tcPr>
            <w:tcW w:w="1380" w:type="dxa"/>
            <w:vAlign w:val="bottom"/>
            <w:tcBorders>
              <w:right w:val="single" w:sz="8" w:color="auto"/>
            </w:tcBorders>
          </w:tcPr>
          <w:p>
            <w:pPr>
              <w:jc w:val="center"/>
              <w:ind w:right="21"/>
              <w:spacing w:after="0"/>
              <w:rPr>
                <w:sz w:val="20"/>
                <w:szCs w:val="20"/>
                <w:color w:val="auto"/>
              </w:rPr>
            </w:pPr>
            <w:r>
              <w:rPr>
                <w:rFonts w:ascii="Arial" w:cs="Arial" w:eastAsia="Arial" w:hAnsi="Arial"/>
                <w:sz w:val="20"/>
                <w:szCs w:val="20"/>
                <w:color w:val="auto"/>
                <w:w w:val="85"/>
              </w:rPr>
              <w:t>2019</w:t>
            </w:r>
          </w:p>
        </w:tc>
      </w:tr>
      <w:tr>
        <w:trPr>
          <w:trHeight w:val="251"/>
        </w:trPr>
        <w:tc>
          <w:tcPr>
            <w:tcW w:w="2000" w:type="dxa"/>
            <w:vAlign w:val="bottom"/>
            <w:tcBorders>
              <w:left w:val="single" w:sz="8" w:color="auto"/>
            </w:tcBorders>
          </w:tcPr>
          <w:p>
            <w:pPr>
              <w:spacing w:after="0"/>
              <w:rPr>
                <w:sz w:val="21"/>
                <w:szCs w:val="21"/>
                <w:color w:val="auto"/>
              </w:rPr>
            </w:pPr>
          </w:p>
        </w:tc>
        <w:tc>
          <w:tcPr>
            <w:tcW w:w="660" w:type="dxa"/>
            <w:vAlign w:val="bottom"/>
          </w:tcPr>
          <w:p>
            <w:pPr>
              <w:spacing w:after="0"/>
              <w:rPr>
                <w:sz w:val="21"/>
                <w:szCs w:val="21"/>
                <w:color w:val="auto"/>
              </w:rPr>
            </w:pPr>
          </w:p>
        </w:tc>
        <w:tc>
          <w:tcPr>
            <w:tcW w:w="7220" w:type="dxa"/>
            <w:vAlign w:val="bottom"/>
            <w:gridSpan w:val="2"/>
          </w:tcPr>
          <w:p>
            <w:pPr>
              <w:ind w:left="60"/>
              <w:spacing w:after="0"/>
              <w:rPr>
                <w:sz w:val="20"/>
                <w:szCs w:val="20"/>
                <w:color w:val="auto"/>
              </w:rPr>
            </w:pPr>
            <w:r>
              <w:rPr>
                <w:rFonts w:ascii="Arial" w:cs="Arial" w:eastAsia="Arial" w:hAnsi="Arial"/>
                <w:sz w:val="20"/>
                <w:szCs w:val="20"/>
                <w:color w:val="auto"/>
              </w:rPr>
              <w:t>Corporation; also a Director of PolyOne Corporation</w:t>
            </w:r>
          </w:p>
        </w:tc>
        <w:tc>
          <w:tcPr>
            <w:tcW w:w="1380" w:type="dxa"/>
            <w:vAlign w:val="bottom"/>
            <w:tcBorders>
              <w:right w:val="single" w:sz="8" w:color="auto"/>
            </w:tcBorders>
          </w:tcPr>
          <w:p>
            <w:pPr>
              <w:spacing w:after="0"/>
              <w:rPr>
                <w:sz w:val="21"/>
                <w:szCs w:val="21"/>
                <w:color w:val="auto"/>
              </w:rPr>
            </w:pPr>
          </w:p>
        </w:tc>
      </w:tr>
      <w:tr>
        <w:trPr>
          <w:trHeight w:val="41"/>
        </w:trPr>
        <w:tc>
          <w:tcPr>
            <w:tcW w:w="2000" w:type="dxa"/>
            <w:vAlign w:val="bottom"/>
            <w:tcBorders>
              <w:left w:val="single" w:sz="8" w:color="auto"/>
            </w:tcBorders>
          </w:tcPr>
          <w:p>
            <w:pPr>
              <w:spacing w:after="0"/>
              <w:rPr>
                <w:sz w:val="3"/>
                <w:szCs w:val="3"/>
                <w:color w:val="auto"/>
              </w:rPr>
            </w:pPr>
          </w:p>
        </w:tc>
        <w:tc>
          <w:tcPr>
            <w:tcW w:w="660" w:type="dxa"/>
            <w:vAlign w:val="bottom"/>
          </w:tcPr>
          <w:p>
            <w:pPr>
              <w:spacing w:after="0"/>
              <w:rPr>
                <w:sz w:val="3"/>
                <w:szCs w:val="3"/>
                <w:color w:val="auto"/>
              </w:rPr>
            </w:pPr>
          </w:p>
        </w:tc>
        <w:tc>
          <w:tcPr>
            <w:tcW w:w="7220" w:type="dxa"/>
            <w:vAlign w:val="bottom"/>
            <w:gridSpan w:val="2"/>
          </w:tcPr>
          <w:p>
            <w:pPr>
              <w:spacing w:after="0"/>
              <w:rPr>
                <w:sz w:val="3"/>
                <w:szCs w:val="3"/>
                <w:color w:val="auto"/>
              </w:rPr>
            </w:pPr>
          </w:p>
        </w:tc>
        <w:tc>
          <w:tcPr>
            <w:tcW w:w="1380" w:type="dxa"/>
            <w:vAlign w:val="bottom"/>
            <w:tcBorders>
              <w:right w:val="single" w:sz="8" w:color="auto"/>
            </w:tcBorders>
          </w:tcPr>
          <w:p>
            <w:pPr>
              <w:spacing w:after="0"/>
              <w:rPr>
                <w:sz w:val="3"/>
                <w:szCs w:val="3"/>
                <w:color w:val="auto"/>
              </w:rPr>
            </w:pPr>
          </w:p>
        </w:tc>
      </w:tr>
      <w:tr>
        <w:trPr>
          <w:trHeight w:val="303"/>
        </w:trPr>
        <w:tc>
          <w:tcPr>
            <w:tcW w:w="2000" w:type="dxa"/>
            <w:vAlign w:val="bottom"/>
            <w:tcBorders>
              <w:left w:val="single" w:sz="8" w:color="auto"/>
            </w:tcBorders>
            <w:shd w:val="clear" w:color="auto" w:fill="D9D9D9"/>
          </w:tcPr>
          <w:p>
            <w:pPr>
              <w:ind w:left="100"/>
              <w:spacing w:after="0"/>
              <w:rPr>
                <w:sz w:val="20"/>
                <w:szCs w:val="20"/>
                <w:color w:val="auto"/>
              </w:rPr>
            </w:pPr>
            <w:r>
              <w:rPr>
                <w:rFonts w:ascii="Arial" w:cs="Arial" w:eastAsia="Arial" w:hAnsi="Arial"/>
                <w:sz w:val="20"/>
                <w:szCs w:val="20"/>
                <w:color w:val="auto"/>
              </w:rPr>
              <w:t>Andrea J. Funk</w:t>
            </w:r>
          </w:p>
        </w:tc>
        <w:tc>
          <w:tcPr>
            <w:tcW w:w="660" w:type="dxa"/>
            <w:vAlign w:val="bottom"/>
            <w:shd w:val="clear" w:color="auto" w:fill="D9D9D9"/>
          </w:tcPr>
          <w:p>
            <w:pPr>
              <w:jc w:val="center"/>
              <w:ind w:left="101"/>
              <w:spacing w:after="0"/>
              <w:rPr>
                <w:sz w:val="20"/>
                <w:szCs w:val="20"/>
                <w:color w:val="auto"/>
              </w:rPr>
            </w:pPr>
            <w:r>
              <w:rPr>
                <w:rFonts w:ascii="Arial" w:cs="Arial" w:eastAsia="Arial" w:hAnsi="Arial"/>
                <w:sz w:val="20"/>
                <w:szCs w:val="20"/>
                <w:color w:val="auto"/>
                <w:w w:val="80"/>
              </w:rPr>
              <w:t>50</w:t>
            </w:r>
          </w:p>
        </w:tc>
        <w:tc>
          <w:tcPr>
            <w:tcW w:w="7220" w:type="dxa"/>
            <w:vAlign w:val="bottom"/>
            <w:gridSpan w:val="2"/>
            <w:shd w:val="clear" w:color="auto" w:fill="D9D9D9"/>
          </w:tcPr>
          <w:p>
            <w:pPr>
              <w:ind w:left="60"/>
              <w:spacing w:after="0"/>
              <w:rPr>
                <w:sz w:val="20"/>
                <w:szCs w:val="20"/>
                <w:color w:val="auto"/>
              </w:rPr>
            </w:pPr>
            <w:r>
              <w:rPr>
                <w:rFonts w:ascii="Arial" w:cs="Arial" w:eastAsia="Arial" w:hAnsi="Arial"/>
                <w:sz w:val="20"/>
                <w:szCs w:val="20"/>
                <w:color w:val="auto"/>
                <w:w w:val="95"/>
              </w:rPr>
              <w:t>VP Finance, Americas of EnerSys; former Chief Executive Officer of Cambridge-Lee</w:t>
            </w:r>
          </w:p>
        </w:tc>
        <w:tc>
          <w:tcPr>
            <w:tcW w:w="1380" w:type="dxa"/>
            <w:vAlign w:val="bottom"/>
            <w:tcBorders>
              <w:right w:val="single" w:sz="8" w:color="auto"/>
            </w:tcBorders>
            <w:shd w:val="clear" w:color="auto" w:fill="D9D9D9"/>
          </w:tcPr>
          <w:p>
            <w:pPr>
              <w:jc w:val="center"/>
              <w:ind w:right="21"/>
              <w:spacing w:after="0"/>
              <w:rPr>
                <w:sz w:val="20"/>
                <w:szCs w:val="20"/>
                <w:color w:val="auto"/>
              </w:rPr>
            </w:pPr>
            <w:r>
              <w:rPr>
                <w:rFonts w:ascii="Arial" w:cs="Arial" w:eastAsia="Arial" w:hAnsi="Arial"/>
                <w:sz w:val="20"/>
                <w:szCs w:val="20"/>
                <w:color w:val="auto"/>
                <w:w w:val="85"/>
              </w:rPr>
              <w:t>2017</w:t>
            </w:r>
          </w:p>
        </w:tc>
      </w:tr>
      <w:tr>
        <w:trPr>
          <w:trHeight w:val="272"/>
        </w:trPr>
        <w:tc>
          <w:tcPr>
            <w:tcW w:w="2000" w:type="dxa"/>
            <w:vAlign w:val="bottom"/>
            <w:tcBorders>
              <w:left w:val="single" w:sz="8" w:color="auto"/>
              <w:bottom w:val="single" w:sz="8" w:color="D9D9D9"/>
            </w:tcBorders>
            <w:shd w:val="clear" w:color="auto" w:fill="D9D9D9"/>
          </w:tcPr>
          <w:p>
            <w:pPr>
              <w:ind w:left="100"/>
              <w:spacing w:after="0"/>
              <w:rPr>
                <w:sz w:val="20"/>
                <w:szCs w:val="20"/>
                <w:color w:val="auto"/>
              </w:rPr>
            </w:pPr>
            <w:r>
              <w:rPr>
                <w:rFonts w:ascii="Arial" w:cs="Arial" w:eastAsia="Arial" w:hAnsi="Arial"/>
                <w:sz w:val="20"/>
                <w:szCs w:val="20"/>
                <w:color w:val="auto"/>
              </w:rPr>
              <w:t>(b) (c)</w:t>
            </w:r>
          </w:p>
        </w:tc>
        <w:tc>
          <w:tcPr>
            <w:tcW w:w="660" w:type="dxa"/>
            <w:vAlign w:val="bottom"/>
            <w:tcBorders>
              <w:bottom w:val="single" w:sz="8" w:color="D9D9D9"/>
            </w:tcBorders>
            <w:shd w:val="clear" w:color="auto" w:fill="D9D9D9"/>
          </w:tcPr>
          <w:p>
            <w:pPr>
              <w:spacing w:after="0"/>
              <w:rPr>
                <w:sz w:val="23"/>
                <w:szCs w:val="23"/>
                <w:color w:val="auto"/>
              </w:rPr>
            </w:pPr>
          </w:p>
        </w:tc>
        <w:tc>
          <w:tcPr>
            <w:tcW w:w="7220" w:type="dxa"/>
            <w:vAlign w:val="bottom"/>
            <w:tcBorders>
              <w:bottom w:val="single" w:sz="8" w:color="D9D9D9"/>
            </w:tcBorders>
            <w:gridSpan w:val="2"/>
            <w:shd w:val="clear" w:color="auto" w:fill="D9D9D9"/>
          </w:tcPr>
          <w:p>
            <w:pPr>
              <w:ind w:left="60"/>
              <w:spacing w:after="0"/>
              <w:rPr>
                <w:sz w:val="20"/>
                <w:szCs w:val="20"/>
                <w:color w:val="auto"/>
              </w:rPr>
            </w:pPr>
            <w:r>
              <w:rPr>
                <w:rFonts w:ascii="Arial" w:cs="Arial" w:eastAsia="Arial" w:hAnsi="Arial"/>
                <w:sz w:val="20"/>
                <w:szCs w:val="20"/>
                <w:color w:val="auto"/>
              </w:rPr>
              <w:t>Industries; former Director of Destination Maternity Corporation</w:t>
            </w:r>
          </w:p>
        </w:tc>
        <w:tc>
          <w:tcPr>
            <w:tcW w:w="1380" w:type="dxa"/>
            <w:vAlign w:val="bottom"/>
            <w:tcBorders>
              <w:bottom w:val="single" w:sz="8" w:color="D9D9D9"/>
              <w:right w:val="single" w:sz="8" w:color="auto"/>
            </w:tcBorders>
            <w:shd w:val="clear" w:color="auto" w:fill="D9D9D9"/>
          </w:tcPr>
          <w:p>
            <w:pPr>
              <w:spacing w:after="0"/>
              <w:rPr>
                <w:sz w:val="23"/>
                <w:szCs w:val="23"/>
                <w:color w:val="auto"/>
              </w:rPr>
            </w:pPr>
          </w:p>
        </w:tc>
      </w:tr>
      <w:tr>
        <w:trPr>
          <w:trHeight w:val="303"/>
        </w:trPr>
        <w:tc>
          <w:tcPr>
            <w:tcW w:w="2000" w:type="dxa"/>
            <w:vAlign w:val="bottom"/>
            <w:tcBorders>
              <w:left w:val="single" w:sz="8" w:color="auto"/>
            </w:tcBorders>
          </w:tcPr>
          <w:p>
            <w:pPr>
              <w:ind w:left="100"/>
              <w:spacing w:after="0"/>
              <w:rPr>
                <w:sz w:val="20"/>
                <w:szCs w:val="20"/>
                <w:color w:val="auto"/>
              </w:rPr>
            </w:pPr>
            <w:r>
              <w:rPr>
                <w:rFonts w:ascii="Arial" w:cs="Arial" w:eastAsia="Arial" w:hAnsi="Arial"/>
                <w:sz w:val="20"/>
                <w:szCs w:val="20"/>
                <w:color w:val="auto"/>
              </w:rPr>
              <w:t>Stephen J. Hagge</w:t>
            </w:r>
          </w:p>
        </w:tc>
        <w:tc>
          <w:tcPr>
            <w:tcW w:w="660" w:type="dxa"/>
            <w:vAlign w:val="bottom"/>
          </w:tcPr>
          <w:p>
            <w:pPr>
              <w:jc w:val="center"/>
              <w:ind w:left="101"/>
              <w:spacing w:after="0"/>
              <w:rPr>
                <w:sz w:val="20"/>
                <w:szCs w:val="20"/>
                <w:color w:val="auto"/>
              </w:rPr>
            </w:pPr>
            <w:r>
              <w:rPr>
                <w:rFonts w:ascii="Arial" w:cs="Arial" w:eastAsia="Arial" w:hAnsi="Arial"/>
                <w:sz w:val="20"/>
                <w:szCs w:val="20"/>
                <w:color w:val="auto"/>
                <w:w w:val="80"/>
              </w:rPr>
              <w:t>68</w:t>
            </w:r>
          </w:p>
        </w:tc>
        <w:tc>
          <w:tcPr>
            <w:tcW w:w="7220" w:type="dxa"/>
            <w:vAlign w:val="bottom"/>
            <w:gridSpan w:val="2"/>
          </w:tcPr>
          <w:p>
            <w:pPr>
              <w:ind w:left="60"/>
              <w:spacing w:after="0"/>
              <w:rPr>
                <w:sz w:val="20"/>
                <w:szCs w:val="20"/>
                <w:color w:val="auto"/>
              </w:rPr>
            </w:pPr>
            <w:r>
              <w:rPr>
                <w:rFonts w:ascii="Arial" w:cs="Arial" w:eastAsia="Arial" w:hAnsi="Arial"/>
                <w:sz w:val="20"/>
                <w:szCs w:val="20"/>
                <w:color w:val="auto"/>
                <w:w w:val="94"/>
              </w:rPr>
              <w:t>Former President, Chief Executive Officer and Director of AptarGroup; also a Director</w:t>
            </w:r>
          </w:p>
        </w:tc>
        <w:tc>
          <w:tcPr>
            <w:tcW w:w="1380" w:type="dxa"/>
            <w:vAlign w:val="bottom"/>
            <w:tcBorders>
              <w:right w:val="single" w:sz="8" w:color="auto"/>
            </w:tcBorders>
          </w:tcPr>
          <w:p>
            <w:pPr>
              <w:jc w:val="center"/>
              <w:ind w:right="21"/>
              <w:spacing w:after="0"/>
              <w:rPr>
                <w:sz w:val="20"/>
                <w:szCs w:val="20"/>
                <w:color w:val="auto"/>
              </w:rPr>
            </w:pPr>
            <w:r>
              <w:rPr>
                <w:rFonts w:ascii="Arial" w:cs="Arial" w:eastAsia="Arial" w:hAnsi="Arial"/>
                <w:sz w:val="20"/>
                <w:szCs w:val="20"/>
                <w:color w:val="auto"/>
                <w:w w:val="85"/>
              </w:rPr>
              <w:t>2019</w:t>
            </w:r>
          </w:p>
        </w:tc>
      </w:tr>
      <w:tr>
        <w:trPr>
          <w:trHeight w:val="251"/>
        </w:trPr>
        <w:tc>
          <w:tcPr>
            <w:tcW w:w="2000" w:type="dxa"/>
            <w:vAlign w:val="bottom"/>
            <w:tcBorders>
              <w:left w:val="single" w:sz="8" w:color="auto"/>
            </w:tcBorders>
          </w:tcPr>
          <w:p>
            <w:pPr>
              <w:ind w:left="100"/>
              <w:spacing w:after="0"/>
              <w:rPr>
                <w:sz w:val="20"/>
                <w:szCs w:val="20"/>
                <w:color w:val="auto"/>
              </w:rPr>
            </w:pPr>
            <w:r>
              <w:rPr>
                <w:rFonts w:ascii="Arial" w:cs="Arial" w:eastAsia="Arial" w:hAnsi="Arial"/>
                <w:sz w:val="20"/>
                <w:szCs w:val="20"/>
                <w:color w:val="auto"/>
              </w:rPr>
              <w:t>(c)</w:t>
            </w:r>
          </w:p>
        </w:tc>
        <w:tc>
          <w:tcPr>
            <w:tcW w:w="660" w:type="dxa"/>
            <w:vAlign w:val="bottom"/>
          </w:tcPr>
          <w:p>
            <w:pPr>
              <w:spacing w:after="0"/>
              <w:rPr>
                <w:sz w:val="21"/>
                <w:szCs w:val="21"/>
                <w:color w:val="auto"/>
              </w:rPr>
            </w:pPr>
          </w:p>
        </w:tc>
        <w:tc>
          <w:tcPr>
            <w:tcW w:w="7220" w:type="dxa"/>
            <w:vAlign w:val="bottom"/>
            <w:gridSpan w:val="2"/>
          </w:tcPr>
          <w:p>
            <w:pPr>
              <w:ind w:left="60"/>
              <w:spacing w:after="0"/>
              <w:rPr>
                <w:sz w:val="20"/>
                <w:szCs w:val="20"/>
                <w:color w:val="auto"/>
              </w:rPr>
            </w:pPr>
            <w:r>
              <w:rPr>
                <w:rFonts w:ascii="Arial" w:cs="Arial" w:eastAsia="Arial" w:hAnsi="Arial"/>
                <w:sz w:val="20"/>
                <w:szCs w:val="20"/>
                <w:color w:val="auto"/>
              </w:rPr>
              <w:t>of CF Industries Holdings</w:t>
            </w:r>
          </w:p>
        </w:tc>
        <w:tc>
          <w:tcPr>
            <w:tcW w:w="1380" w:type="dxa"/>
            <w:vAlign w:val="bottom"/>
            <w:tcBorders>
              <w:right w:val="single" w:sz="8" w:color="auto"/>
            </w:tcBorders>
          </w:tcPr>
          <w:p>
            <w:pPr>
              <w:spacing w:after="0"/>
              <w:rPr>
                <w:sz w:val="21"/>
                <w:szCs w:val="21"/>
                <w:color w:val="auto"/>
              </w:rPr>
            </w:pPr>
          </w:p>
        </w:tc>
      </w:tr>
      <w:tr>
        <w:trPr>
          <w:trHeight w:val="91"/>
        </w:trPr>
        <w:tc>
          <w:tcPr>
            <w:tcW w:w="2000" w:type="dxa"/>
            <w:vAlign w:val="bottom"/>
            <w:tcBorders>
              <w:left w:val="single" w:sz="8" w:color="auto"/>
            </w:tcBorders>
          </w:tcPr>
          <w:p>
            <w:pPr>
              <w:spacing w:after="0"/>
              <w:rPr>
                <w:sz w:val="7"/>
                <w:szCs w:val="7"/>
                <w:color w:val="auto"/>
              </w:rPr>
            </w:pPr>
          </w:p>
        </w:tc>
        <w:tc>
          <w:tcPr>
            <w:tcW w:w="660" w:type="dxa"/>
            <w:vAlign w:val="bottom"/>
          </w:tcPr>
          <w:p>
            <w:pPr>
              <w:spacing w:after="0"/>
              <w:rPr>
                <w:sz w:val="7"/>
                <w:szCs w:val="7"/>
                <w:color w:val="auto"/>
              </w:rPr>
            </w:pPr>
          </w:p>
        </w:tc>
        <w:tc>
          <w:tcPr>
            <w:tcW w:w="7220" w:type="dxa"/>
            <w:vAlign w:val="bottom"/>
            <w:gridSpan w:val="2"/>
          </w:tcPr>
          <w:p>
            <w:pPr>
              <w:spacing w:after="0"/>
              <w:rPr>
                <w:sz w:val="7"/>
                <w:szCs w:val="7"/>
                <w:color w:val="auto"/>
              </w:rPr>
            </w:pPr>
          </w:p>
        </w:tc>
        <w:tc>
          <w:tcPr>
            <w:tcW w:w="1380" w:type="dxa"/>
            <w:vAlign w:val="bottom"/>
            <w:tcBorders>
              <w:right w:val="single" w:sz="8" w:color="auto"/>
            </w:tcBorders>
          </w:tcPr>
          <w:p>
            <w:pPr>
              <w:spacing w:after="0"/>
              <w:rPr>
                <w:sz w:val="7"/>
                <w:szCs w:val="7"/>
                <w:color w:val="auto"/>
              </w:rPr>
            </w:pPr>
          </w:p>
        </w:tc>
      </w:tr>
      <w:tr>
        <w:trPr>
          <w:trHeight w:val="303"/>
        </w:trPr>
        <w:tc>
          <w:tcPr>
            <w:tcW w:w="2000" w:type="dxa"/>
            <w:vAlign w:val="bottom"/>
            <w:tcBorders>
              <w:left w:val="single" w:sz="8" w:color="auto"/>
            </w:tcBorders>
            <w:shd w:val="clear" w:color="auto" w:fill="D9D9D9"/>
          </w:tcPr>
          <w:p>
            <w:pPr>
              <w:ind w:left="100"/>
              <w:spacing w:after="0"/>
              <w:rPr>
                <w:sz w:val="20"/>
                <w:szCs w:val="20"/>
                <w:color w:val="auto"/>
              </w:rPr>
            </w:pPr>
            <w:r>
              <w:rPr>
                <w:rFonts w:ascii="Arial" w:cs="Arial" w:eastAsia="Arial" w:hAnsi="Arial"/>
                <w:sz w:val="20"/>
                <w:szCs w:val="20"/>
                <w:color w:val="auto"/>
              </w:rPr>
              <w:t>Rose Lee</w:t>
            </w:r>
          </w:p>
        </w:tc>
        <w:tc>
          <w:tcPr>
            <w:tcW w:w="660" w:type="dxa"/>
            <w:vAlign w:val="bottom"/>
            <w:shd w:val="clear" w:color="auto" w:fill="D9D9D9"/>
          </w:tcPr>
          <w:p>
            <w:pPr>
              <w:jc w:val="center"/>
              <w:ind w:left="101"/>
              <w:spacing w:after="0"/>
              <w:rPr>
                <w:sz w:val="20"/>
                <w:szCs w:val="20"/>
                <w:color w:val="auto"/>
              </w:rPr>
            </w:pPr>
            <w:r>
              <w:rPr>
                <w:rFonts w:ascii="Arial" w:cs="Arial" w:eastAsia="Arial" w:hAnsi="Arial"/>
                <w:sz w:val="20"/>
                <w:szCs w:val="20"/>
                <w:color w:val="auto"/>
                <w:w w:val="80"/>
              </w:rPr>
              <w:t>54</w:t>
            </w:r>
          </w:p>
        </w:tc>
        <w:tc>
          <w:tcPr>
            <w:tcW w:w="7220" w:type="dxa"/>
            <w:vAlign w:val="bottom"/>
            <w:gridSpan w:val="2"/>
            <w:shd w:val="clear" w:color="auto" w:fill="D9D9D9"/>
          </w:tcPr>
          <w:p>
            <w:pPr>
              <w:ind w:left="60"/>
              <w:spacing w:after="0"/>
              <w:rPr>
                <w:sz w:val="20"/>
                <w:szCs w:val="20"/>
                <w:color w:val="auto"/>
              </w:rPr>
            </w:pPr>
            <w:r>
              <w:rPr>
                <w:rFonts w:ascii="Arial" w:cs="Arial" w:eastAsia="Arial" w:hAnsi="Arial"/>
                <w:sz w:val="20"/>
                <w:szCs w:val="20"/>
                <w:color w:val="auto"/>
              </w:rPr>
              <w:t>President of DuPont Safety &amp; Construction</w:t>
            </w:r>
          </w:p>
        </w:tc>
        <w:tc>
          <w:tcPr>
            <w:tcW w:w="1380" w:type="dxa"/>
            <w:vAlign w:val="bottom"/>
            <w:tcBorders>
              <w:right w:val="single" w:sz="8" w:color="auto"/>
            </w:tcBorders>
            <w:shd w:val="clear" w:color="auto" w:fill="D9D9D9"/>
          </w:tcPr>
          <w:p>
            <w:pPr>
              <w:jc w:val="center"/>
              <w:ind w:right="21"/>
              <w:spacing w:after="0"/>
              <w:rPr>
                <w:sz w:val="20"/>
                <w:szCs w:val="20"/>
                <w:color w:val="auto"/>
              </w:rPr>
            </w:pPr>
            <w:r>
              <w:rPr>
                <w:rFonts w:ascii="Arial" w:cs="Arial" w:eastAsia="Arial" w:hAnsi="Arial"/>
                <w:sz w:val="20"/>
                <w:szCs w:val="20"/>
                <w:color w:val="auto"/>
                <w:w w:val="85"/>
              </w:rPr>
              <w:t>2016</w:t>
            </w:r>
          </w:p>
        </w:tc>
      </w:tr>
      <w:tr>
        <w:trPr>
          <w:trHeight w:val="242"/>
        </w:trPr>
        <w:tc>
          <w:tcPr>
            <w:tcW w:w="2000" w:type="dxa"/>
            <w:vAlign w:val="bottom"/>
            <w:tcBorders>
              <w:left w:val="single" w:sz="8" w:color="auto"/>
            </w:tcBorders>
            <w:shd w:val="clear" w:color="auto" w:fill="D9D9D9"/>
          </w:tcPr>
          <w:p>
            <w:pPr>
              <w:ind w:left="100"/>
              <w:spacing w:after="0"/>
              <w:rPr>
                <w:sz w:val="20"/>
                <w:szCs w:val="20"/>
                <w:color w:val="auto"/>
              </w:rPr>
            </w:pPr>
            <w:r>
              <w:rPr>
                <w:rFonts w:ascii="Arial" w:cs="Arial" w:eastAsia="Arial" w:hAnsi="Arial"/>
                <w:sz w:val="20"/>
                <w:szCs w:val="20"/>
                <w:color w:val="auto"/>
              </w:rPr>
              <w:t>(b) (d)</w:t>
            </w:r>
          </w:p>
        </w:tc>
        <w:tc>
          <w:tcPr>
            <w:tcW w:w="660" w:type="dxa"/>
            <w:vAlign w:val="bottom"/>
            <w:shd w:val="clear" w:color="auto" w:fill="D9D9D9"/>
          </w:tcPr>
          <w:p>
            <w:pPr>
              <w:spacing w:after="0"/>
              <w:rPr>
                <w:sz w:val="21"/>
                <w:szCs w:val="21"/>
                <w:color w:val="auto"/>
              </w:rPr>
            </w:pPr>
          </w:p>
        </w:tc>
        <w:tc>
          <w:tcPr>
            <w:tcW w:w="940" w:type="dxa"/>
            <w:vAlign w:val="bottom"/>
            <w:shd w:val="clear" w:color="auto" w:fill="D9D9D9"/>
          </w:tcPr>
          <w:p>
            <w:pPr>
              <w:spacing w:after="0"/>
              <w:rPr>
                <w:sz w:val="21"/>
                <w:szCs w:val="21"/>
                <w:color w:val="auto"/>
              </w:rPr>
            </w:pPr>
          </w:p>
        </w:tc>
        <w:tc>
          <w:tcPr>
            <w:tcW w:w="6280" w:type="dxa"/>
            <w:vAlign w:val="bottom"/>
            <w:shd w:val="clear" w:color="auto" w:fill="D9D9D9"/>
          </w:tcPr>
          <w:p>
            <w:pPr>
              <w:spacing w:after="0"/>
              <w:rPr>
                <w:sz w:val="21"/>
                <w:szCs w:val="21"/>
                <w:color w:val="auto"/>
              </w:rPr>
            </w:pPr>
          </w:p>
        </w:tc>
        <w:tc>
          <w:tcPr>
            <w:tcW w:w="1380" w:type="dxa"/>
            <w:vAlign w:val="bottom"/>
            <w:tcBorders>
              <w:right w:val="single" w:sz="8" w:color="auto"/>
            </w:tcBorders>
            <w:shd w:val="clear" w:color="auto" w:fill="D9D9D9"/>
          </w:tcPr>
          <w:p>
            <w:pPr>
              <w:spacing w:after="0"/>
              <w:rPr>
                <w:sz w:val="21"/>
                <w:szCs w:val="21"/>
                <w:color w:val="auto"/>
              </w:rPr>
            </w:pPr>
          </w:p>
        </w:tc>
      </w:tr>
      <w:tr>
        <w:trPr>
          <w:trHeight w:val="303"/>
        </w:trPr>
        <w:tc>
          <w:tcPr>
            <w:tcW w:w="2000" w:type="dxa"/>
            <w:vAlign w:val="bottom"/>
            <w:tcBorders>
              <w:left w:val="single" w:sz="8" w:color="auto"/>
            </w:tcBorders>
          </w:tcPr>
          <w:p>
            <w:pPr>
              <w:ind w:left="100"/>
              <w:spacing w:after="0"/>
              <w:rPr>
                <w:sz w:val="20"/>
                <w:szCs w:val="20"/>
                <w:color w:val="auto"/>
              </w:rPr>
            </w:pPr>
            <w:r>
              <w:rPr>
                <w:rFonts w:ascii="Arial" w:cs="Arial" w:eastAsia="Arial" w:hAnsi="Arial"/>
                <w:sz w:val="20"/>
                <w:szCs w:val="20"/>
                <w:color w:val="auto"/>
              </w:rPr>
              <w:t>James H. Miller</w:t>
            </w:r>
          </w:p>
        </w:tc>
        <w:tc>
          <w:tcPr>
            <w:tcW w:w="660" w:type="dxa"/>
            <w:vAlign w:val="bottom"/>
          </w:tcPr>
          <w:p>
            <w:pPr>
              <w:jc w:val="center"/>
              <w:ind w:left="101"/>
              <w:spacing w:after="0"/>
              <w:rPr>
                <w:sz w:val="20"/>
                <w:szCs w:val="20"/>
                <w:color w:val="auto"/>
              </w:rPr>
            </w:pPr>
            <w:r>
              <w:rPr>
                <w:rFonts w:ascii="Arial" w:cs="Arial" w:eastAsia="Arial" w:hAnsi="Arial"/>
                <w:sz w:val="20"/>
                <w:szCs w:val="20"/>
                <w:color w:val="auto"/>
                <w:w w:val="80"/>
              </w:rPr>
              <w:t>71</w:t>
            </w:r>
          </w:p>
        </w:tc>
        <w:tc>
          <w:tcPr>
            <w:tcW w:w="7220" w:type="dxa"/>
            <w:vAlign w:val="bottom"/>
            <w:gridSpan w:val="2"/>
          </w:tcPr>
          <w:p>
            <w:pPr>
              <w:ind w:left="60"/>
              <w:spacing w:after="0"/>
              <w:rPr>
                <w:sz w:val="20"/>
                <w:szCs w:val="20"/>
                <w:color w:val="auto"/>
              </w:rPr>
            </w:pPr>
            <w:r>
              <w:rPr>
                <w:rFonts w:ascii="Arial" w:cs="Arial" w:eastAsia="Arial" w:hAnsi="Arial"/>
                <w:sz w:val="20"/>
                <w:szCs w:val="20"/>
                <w:color w:val="auto"/>
                <w:w w:val="96"/>
              </w:rPr>
              <w:t>Former Chairman and Chief Executive Officer of PPL Corporation; also a Director of</w:t>
            </w:r>
          </w:p>
        </w:tc>
        <w:tc>
          <w:tcPr>
            <w:tcW w:w="1380" w:type="dxa"/>
            <w:vAlign w:val="bottom"/>
            <w:tcBorders>
              <w:right w:val="single" w:sz="8" w:color="auto"/>
            </w:tcBorders>
          </w:tcPr>
          <w:p>
            <w:pPr>
              <w:jc w:val="center"/>
              <w:ind w:right="21"/>
              <w:spacing w:after="0"/>
              <w:rPr>
                <w:sz w:val="20"/>
                <w:szCs w:val="20"/>
                <w:color w:val="auto"/>
              </w:rPr>
            </w:pPr>
            <w:r>
              <w:rPr>
                <w:rFonts w:ascii="Arial" w:cs="Arial" w:eastAsia="Arial" w:hAnsi="Arial"/>
                <w:sz w:val="20"/>
                <w:szCs w:val="20"/>
                <w:color w:val="auto"/>
                <w:w w:val="85"/>
              </w:rPr>
              <w:t>2010</w:t>
            </w:r>
          </w:p>
        </w:tc>
      </w:tr>
      <w:tr>
        <w:trPr>
          <w:trHeight w:val="223"/>
        </w:trPr>
        <w:tc>
          <w:tcPr>
            <w:tcW w:w="2000" w:type="dxa"/>
            <w:vAlign w:val="bottom"/>
            <w:tcBorders>
              <w:left w:val="single" w:sz="8" w:color="auto"/>
            </w:tcBorders>
          </w:tcPr>
          <w:p>
            <w:pPr>
              <w:ind w:left="100"/>
              <w:spacing w:after="0" w:line="223" w:lineRule="exact"/>
              <w:rPr>
                <w:sz w:val="20"/>
                <w:szCs w:val="20"/>
                <w:color w:val="auto"/>
              </w:rPr>
            </w:pPr>
            <w:r>
              <w:rPr>
                <w:rFonts w:ascii="Arial" w:cs="Arial" w:eastAsia="Arial" w:hAnsi="Arial"/>
                <w:sz w:val="20"/>
                <w:szCs w:val="20"/>
                <w:color w:val="auto"/>
              </w:rPr>
              <w:t>(a) (c) (d)</w:t>
            </w:r>
          </w:p>
        </w:tc>
        <w:tc>
          <w:tcPr>
            <w:tcW w:w="660" w:type="dxa"/>
            <w:vAlign w:val="bottom"/>
          </w:tcPr>
          <w:p>
            <w:pPr>
              <w:spacing w:after="0"/>
              <w:rPr>
                <w:sz w:val="19"/>
                <w:szCs w:val="19"/>
                <w:color w:val="auto"/>
              </w:rPr>
            </w:pPr>
          </w:p>
        </w:tc>
        <w:tc>
          <w:tcPr>
            <w:tcW w:w="7220" w:type="dxa"/>
            <w:vAlign w:val="bottom"/>
            <w:gridSpan w:val="2"/>
          </w:tcPr>
          <w:p>
            <w:pPr>
              <w:ind w:left="60"/>
              <w:spacing w:after="0" w:line="223" w:lineRule="exact"/>
              <w:rPr>
                <w:sz w:val="20"/>
                <w:szCs w:val="20"/>
                <w:color w:val="auto"/>
              </w:rPr>
            </w:pPr>
            <w:r>
              <w:rPr>
                <w:rFonts w:ascii="Arial" w:cs="Arial" w:eastAsia="Arial" w:hAnsi="Arial"/>
                <w:sz w:val="20"/>
                <w:szCs w:val="20"/>
                <w:color w:val="auto"/>
                <w:w w:val="94"/>
              </w:rPr>
              <w:t>AES Corporation and McDermott International; former Director of Rayonier Advanced</w:t>
            </w:r>
          </w:p>
        </w:tc>
        <w:tc>
          <w:tcPr>
            <w:tcW w:w="1380" w:type="dxa"/>
            <w:vAlign w:val="bottom"/>
            <w:tcBorders>
              <w:right w:val="single" w:sz="8" w:color="auto"/>
            </w:tcBorders>
          </w:tcPr>
          <w:p>
            <w:pPr>
              <w:spacing w:after="0"/>
              <w:rPr>
                <w:sz w:val="19"/>
                <w:szCs w:val="19"/>
                <w:color w:val="auto"/>
              </w:rPr>
            </w:pPr>
          </w:p>
        </w:tc>
      </w:tr>
      <w:tr>
        <w:trPr>
          <w:trHeight w:val="251"/>
        </w:trPr>
        <w:tc>
          <w:tcPr>
            <w:tcW w:w="2000" w:type="dxa"/>
            <w:vAlign w:val="bottom"/>
            <w:tcBorders>
              <w:left w:val="single" w:sz="8" w:color="auto"/>
            </w:tcBorders>
          </w:tcPr>
          <w:p>
            <w:pPr>
              <w:spacing w:after="0"/>
              <w:rPr>
                <w:sz w:val="21"/>
                <w:szCs w:val="21"/>
                <w:color w:val="auto"/>
              </w:rPr>
            </w:pPr>
          </w:p>
        </w:tc>
        <w:tc>
          <w:tcPr>
            <w:tcW w:w="660" w:type="dxa"/>
            <w:vAlign w:val="bottom"/>
          </w:tcPr>
          <w:p>
            <w:pPr>
              <w:spacing w:after="0"/>
              <w:rPr>
                <w:sz w:val="21"/>
                <w:szCs w:val="21"/>
                <w:color w:val="auto"/>
              </w:rPr>
            </w:pPr>
          </w:p>
        </w:tc>
        <w:tc>
          <w:tcPr>
            <w:tcW w:w="940" w:type="dxa"/>
            <w:vAlign w:val="bottom"/>
          </w:tcPr>
          <w:p>
            <w:pPr>
              <w:ind w:left="60"/>
              <w:spacing w:after="0"/>
              <w:rPr>
                <w:sz w:val="20"/>
                <w:szCs w:val="20"/>
                <w:color w:val="auto"/>
              </w:rPr>
            </w:pPr>
            <w:r>
              <w:rPr>
                <w:rFonts w:ascii="Arial" w:cs="Arial" w:eastAsia="Arial" w:hAnsi="Arial"/>
                <w:sz w:val="20"/>
                <w:szCs w:val="20"/>
                <w:color w:val="auto"/>
              </w:rPr>
              <w:t>Materials</w:t>
            </w:r>
          </w:p>
        </w:tc>
        <w:tc>
          <w:tcPr>
            <w:tcW w:w="6280" w:type="dxa"/>
            <w:vAlign w:val="bottom"/>
          </w:tcPr>
          <w:p>
            <w:pPr>
              <w:spacing w:after="0"/>
              <w:rPr>
                <w:sz w:val="21"/>
                <w:szCs w:val="21"/>
                <w:color w:val="auto"/>
              </w:rPr>
            </w:pPr>
          </w:p>
        </w:tc>
        <w:tc>
          <w:tcPr>
            <w:tcW w:w="1380" w:type="dxa"/>
            <w:vAlign w:val="bottom"/>
            <w:tcBorders>
              <w:right w:val="single" w:sz="8" w:color="auto"/>
            </w:tcBorders>
          </w:tcPr>
          <w:p>
            <w:pPr>
              <w:spacing w:after="0"/>
              <w:rPr>
                <w:sz w:val="21"/>
                <w:szCs w:val="21"/>
                <w:color w:val="auto"/>
              </w:rPr>
            </w:pPr>
          </w:p>
        </w:tc>
      </w:tr>
      <w:tr>
        <w:trPr>
          <w:trHeight w:val="41"/>
        </w:trPr>
        <w:tc>
          <w:tcPr>
            <w:tcW w:w="2000" w:type="dxa"/>
            <w:vAlign w:val="bottom"/>
            <w:tcBorders>
              <w:left w:val="single" w:sz="8" w:color="auto"/>
            </w:tcBorders>
          </w:tcPr>
          <w:p>
            <w:pPr>
              <w:spacing w:after="0"/>
              <w:rPr>
                <w:sz w:val="3"/>
                <w:szCs w:val="3"/>
                <w:color w:val="auto"/>
              </w:rPr>
            </w:pPr>
          </w:p>
        </w:tc>
        <w:tc>
          <w:tcPr>
            <w:tcW w:w="660" w:type="dxa"/>
            <w:vAlign w:val="bottom"/>
          </w:tcPr>
          <w:p>
            <w:pPr>
              <w:spacing w:after="0"/>
              <w:rPr>
                <w:sz w:val="3"/>
                <w:szCs w:val="3"/>
                <w:color w:val="auto"/>
              </w:rPr>
            </w:pPr>
          </w:p>
        </w:tc>
        <w:tc>
          <w:tcPr>
            <w:tcW w:w="7220" w:type="dxa"/>
            <w:vAlign w:val="bottom"/>
            <w:gridSpan w:val="2"/>
          </w:tcPr>
          <w:p>
            <w:pPr>
              <w:spacing w:after="0"/>
              <w:rPr>
                <w:sz w:val="3"/>
                <w:szCs w:val="3"/>
                <w:color w:val="auto"/>
              </w:rPr>
            </w:pPr>
          </w:p>
        </w:tc>
        <w:tc>
          <w:tcPr>
            <w:tcW w:w="1380" w:type="dxa"/>
            <w:vAlign w:val="bottom"/>
            <w:tcBorders>
              <w:right w:val="single" w:sz="8" w:color="auto"/>
            </w:tcBorders>
          </w:tcPr>
          <w:p>
            <w:pPr>
              <w:spacing w:after="0"/>
              <w:rPr>
                <w:sz w:val="3"/>
                <w:szCs w:val="3"/>
                <w:color w:val="auto"/>
              </w:rPr>
            </w:pPr>
          </w:p>
        </w:tc>
      </w:tr>
      <w:tr>
        <w:trPr>
          <w:trHeight w:val="303"/>
        </w:trPr>
        <w:tc>
          <w:tcPr>
            <w:tcW w:w="2000" w:type="dxa"/>
            <w:vAlign w:val="bottom"/>
            <w:tcBorders>
              <w:left w:val="single" w:sz="8" w:color="auto"/>
            </w:tcBorders>
            <w:shd w:val="clear" w:color="auto" w:fill="D9D9D9"/>
          </w:tcPr>
          <w:p>
            <w:pPr>
              <w:ind w:left="100"/>
              <w:spacing w:after="0"/>
              <w:rPr>
                <w:sz w:val="20"/>
                <w:szCs w:val="20"/>
                <w:color w:val="auto"/>
              </w:rPr>
            </w:pPr>
            <w:r>
              <w:rPr>
                <w:rFonts w:ascii="Arial" w:cs="Arial" w:eastAsia="Arial" w:hAnsi="Arial"/>
                <w:sz w:val="20"/>
                <w:szCs w:val="20"/>
                <w:color w:val="auto"/>
              </w:rPr>
              <w:t>Josef M. Müller</w:t>
            </w:r>
          </w:p>
        </w:tc>
        <w:tc>
          <w:tcPr>
            <w:tcW w:w="660" w:type="dxa"/>
            <w:vAlign w:val="bottom"/>
            <w:shd w:val="clear" w:color="auto" w:fill="D9D9D9"/>
          </w:tcPr>
          <w:p>
            <w:pPr>
              <w:jc w:val="center"/>
              <w:ind w:left="101"/>
              <w:spacing w:after="0"/>
              <w:rPr>
                <w:sz w:val="20"/>
                <w:szCs w:val="20"/>
                <w:color w:val="auto"/>
              </w:rPr>
            </w:pPr>
            <w:r>
              <w:rPr>
                <w:rFonts w:ascii="Arial" w:cs="Arial" w:eastAsia="Arial" w:hAnsi="Arial"/>
                <w:sz w:val="20"/>
                <w:szCs w:val="20"/>
                <w:color w:val="auto"/>
                <w:w w:val="80"/>
              </w:rPr>
              <w:t>72</w:t>
            </w:r>
          </w:p>
        </w:tc>
        <w:tc>
          <w:tcPr>
            <w:tcW w:w="7220" w:type="dxa"/>
            <w:vAlign w:val="bottom"/>
            <w:gridSpan w:val="2"/>
            <w:shd w:val="clear" w:color="auto" w:fill="D9D9D9"/>
          </w:tcPr>
          <w:p>
            <w:pPr>
              <w:ind w:left="60"/>
              <w:spacing w:after="0"/>
              <w:rPr>
                <w:sz w:val="20"/>
                <w:szCs w:val="20"/>
                <w:color w:val="auto"/>
              </w:rPr>
            </w:pPr>
            <w:r>
              <w:rPr>
                <w:rFonts w:ascii="Arial" w:cs="Arial" w:eastAsia="Arial" w:hAnsi="Arial"/>
                <w:sz w:val="20"/>
                <w:szCs w:val="20"/>
                <w:color w:val="auto"/>
                <w:w w:val="96"/>
              </w:rPr>
              <w:t>Former Chairman and Chief Executive Officer of Nestlé in the Greater China Region</w:t>
            </w:r>
          </w:p>
        </w:tc>
        <w:tc>
          <w:tcPr>
            <w:tcW w:w="1380" w:type="dxa"/>
            <w:vAlign w:val="bottom"/>
            <w:tcBorders>
              <w:right w:val="single" w:sz="8" w:color="auto"/>
            </w:tcBorders>
            <w:shd w:val="clear" w:color="auto" w:fill="D9D9D9"/>
          </w:tcPr>
          <w:p>
            <w:pPr>
              <w:jc w:val="center"/>
              <w:ind w:right="21"/>
              <w:spacing w:after="0"/>
              <w:rPr>
                <w:sz w:val="20"/>
                <w:szCs w:val="20"/>
                <w:color w:val="auto"/>
              </w:rPr>
            </w:pPr>
            <w:r>
              <w:rPr>
                <w:rFonts w:ascii="Arial" w:cs="Arial" w:eastAsia="Arial" w:hAnsi="Arial"/>
                <w:sz w:val="20"/>
                <w:szCs w:val="20"/>
                <w:color w:val="auto"/>
                <w:w w:val="85"/>
              </w:rPr>
              <w:t>2011</w:t>
            </w:r>
          </w:p>
        </w:tc>
      </w:tr>
      <w:tr>
        <w:trPr>
          <w:trHeight w:val="242"/>
        </w:trPr>
        <w:tc>
          <w:tcPr>
            <w:tcW w:w="2000" w:type="dxa"/>
            <w:vAlign w:val="bottom"/>
            <w:tcBorders>
              <w:left w:val="single" w:sz="8" w:color="auto"/>
            </w:tcBorders>
            <w:shd w:val="clear" w:color="auto" w:fill="D9D9D9"/>
          </w:tcPr>
          <w:p>
            <w:pPr>
              <w:ind w:left="100"/>
              <w:spacing w:after="0"/>
              <w:rPr>
                <w:sz w:val="20"/>
                <w:szCs w:val="20"/>
                <w:color w:val="auto"/>
              </w:rPr>
            </w:pPr>
            <w:r>
              <w:rPr>
                <w:rFonts w:ascii="Arial" w:cs="Arial" w:eastAsia="Arial" w:hAnsi="Arial"/>
                <w:sz w:val="20"/>
                <w:szCs w:val="20"/>
                <w:color w:val="auto"/>
              </w:rPr>
              <w:t>(b) (c)</w:t>
            </w:r>
          </w:p>
        </w:tc>
        <w:tc>
          <w:tcPr>
            <w:tcW w:w="660" w:type="dxa"/>
            <w:vAlign w:val="bottom"/>
            <w:shd w:val="clear" w:color="auto" w:fill="D9D9D9"/>
          </w:tcPr>
          <w:p>
            <w:pPr>
              <w:spacing w:after="0"/>
              <w:rPr>
                <w:sz w:val="21"/>
                <w:szCs w:val="21"/>
                <w:color w:val="auto"/>
              </w:rPr>
            </w:pPr>
          </w:p>
        </w:tc>
        <w:tc>
          <w:tcPr>
            <w:tcW w:w="940" w:type="dxa"/>
            <w:vAlign w:val="bottom"/>
            <w:shd w:val="clear" w:color="auto" w:fill="D9D9D9"/>
          </w:tcPr>
          <w:p>
            <w:pPr>
              <w:spacing w:after="0"/>
              <w:rPr>
                <w:sz w:val="21"/>
                <w:szCs w:val="21"/>
                <w:color w:val="auto"/>
              </w:rPr>
            </w:pPr>
          </w:p>
        </w:tc>
        <w:tc>
          <w:tcPr>
            <w:tcW w:w="6280" w:type="dxa"/>
            <w:vAlign w:val="bottom"/>
            <w:shd w:val="clear" w:color="auto" w:fill="D9D9D9"/>
          </w:tcPr>
          <w:p>
            <w:pPr>
              <w:spacing w:after="0"/>
              <w:rPr>
                <w:sz w:val="21"/>
                <w:szCs w:val="21"/>
                <w:color w:val="auto"/>
              </w:rPr>
            </w:pPr>
          </w:p>
        </w:tc>
        <w:tc>
          <w:tcPr>
            <w:tcW w:w="1380" w:type="dxa"/>
            <w:vAlign w:val="bottom"/>
            <w:tcBorders>
              <w:right w:val="single" w:sz="8" w:color="auto"/>
            </w:tcBorders>
            <w:shd w:val="clear" w:color="auto" w:fill="D9D9D9"/>
          </w:tcPr>
          <w:p>
            <w:pPr>
              <w:spacing w:after="0"/>
              <w:rPr>
                <w:sz w:val="21"/>
                <w:szCs w:val="21"/>
                <w:color w:val="auto"/>
              </w:rPr>
            </w:pPr>
          </w:p>
        </w:tc>
      </w:tr>
      <w:tr>
        <w:trPr>
          <w:trHeight w:val="303"/>
        </w:trPr>
        <w:tc>
          <w:tcPr>
            <w:tcW w:w="2000" w:type="dxa"/>
            <w:vAlign w:val="bottom"/>
            <w:tcBorders>
              <w:left w:val="single" w:sz="8" w:color="auto"/>
            </w:tcBorders>
          </w:tcPr>
          <w:p>
            <w:pPr>
              <w:ind w:left="100"/>
              <w:spacing w:after="0"/>
              <w:rPr>
                <w:sz w:val="20"/>
                <w:szCs w:val="20"/>
                <w:color w:val="auto"/>
              </w:rPr>
            </w:pPr>
            <w:r>
              <w:rPr>
                <w:rFonts w:ascii="Arial" w:cs="Arial" w:eastAsia="Arial" w:hAnsi="Arial"/>
                <w:sz w:val="20"/>
                <w:szCs w:val="20"/>
                <w:color w:val="auto"/>
              </w:rPr>
              <w:t>B. Craig Owens</w:t>
            </w:r>
          </w:p>
        </w:tc>
        <w:tc>
          <w:tcPr>
            <w:tcW w:w="660" w:type="dxa"/>
            <w:vAlign w:val="bottom"/>
          </w:tcPr>
          <w:p>
            <w:pPr>
              <w:jc w:val="center"/>
              <w:ind w:left="101"/>
              <w:spacing w:after="0"/>
              <w:rPr>
                <w:sz w:val="20"/>
                <w:szCs w:val="20"/>
                <w:color w:val="auto"/>
              </w:rPr>
            </w:pPr>
            <w:r>
              <w:rPr>
                <w:rFonts w:ascii="Arial" w:cs="Arial" w:eastAsia="Arial" w:hAnsi="Arial"/>
                <w:sz w:val="20"/>
                <w:szCs w:val="20"/>
                <w:color w:val="auto"/>
                <w:w w:val="80"/>
              </w:rPr>
              <w:t>65</w:t>
            </w:r>
          </w:p>
        </w:tc>
        <w:tc>
          <w:tcPr>
            <w:tcW w:w="7220" w:type="dxa"/>
            <w:vAlign w:val="bottom"/>
            <w:gridSpan w:val="2"/>
          </w:tcPr>
          <w:p>
            <w:pPr>
              <w:ind w:left="60"/>
              <w:spacing w:after="0"/>
              <w:rPr>
                <w:sz w:val="20"/>
                <w:szCs w:val="20"/>
                <w:color w:val="auto"/>
              </w:rPr>
            </w:pPr>
            <w:r>
              <w:rPr>
                <w:rFonts w:ascii="Arial" w:cs="Arial" w:eastAsia="Arial" w:hAnsi="Arial"/>
                <w:sz w:val="20"/>
                <w:szCs w:val="20"/>
                <w:color w:val="auto"/>
                <w:w w:val="99"/>
              </w:rPr>
              <w:t>Former Chief Financial Officer and Chief Administrative Officer of Campbell Soup</w:t>
            </w:r>
          </w:p>
        </w:tc>
        <w:tc>
          <w:tcPr>
            <w:tcW w:w="1380" w:type="dxa"/>
            <w:vAlign w:val="bottom"/>
            <w:tcBorders>
              <w:right w:val="single" w:sz="8" w:color="auto"/>
            </w:tcBorders>
          </w:tcPr>
          <w:p>
            <w:pPr>
              <w:jc w:val="center"/>
              <w:ind w:right="21"/>
              <w:spacing w:after="0"/>
              <w:rPr>
                <w:sz w:val="20"/>
                <w:szCs w:val="20"/>
                <w:color w:val="auto"/>
              </w:rPr>
            </w:pPr>
            <w:r>
              <w:rPr>
                <w:rFonts w:ascii="Arial" w:cs="Arial" w:eastAsia="Arial" w:hAnsi="Arial"/>
                <w:sz w:val="20"/>
                <w:szCs w:val="20"/>
                <w:color w:val="auto"/>
                <w:w w:val="85"/>
              </w:rPr>
              <w:t>2019</w:t>
            </w:r>
          </w:p>
        </w:tc>
      </w:tr>
      <w:tr>
        <w:trPr>
          <w:trHeight w:val="223"/>
        </w:trPr>
        <w:tc>
          <w:tcPr>
            <w:tcW w:w="2000" w:type="dxa"/>
            <w:vAlign w:val="bottom"/>
            <w:tcBorders>
              <w:left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7220" w:type="dxa"/>
            <w:vAlign w:val="bottom"/>
            <w:gridSpan w:val="2"/>
          </w:tcPr>
          <w:p>
            <w:pPr>
              <w:ind w:left="60"/>
              <w:spacing w:after="0" w:line="223" w:lineRule="exact"/>
              <w:rPr>
                <w:sz w:val="20"/>
                <w:szCs w:val="20"/>
                <w:color w:val="auto"/>
              </w:rPr>
            </w:pPr>
            <w:r>
              <w:rPr>
                <w:rFonts w:ascii="Arial" w:cs="Arial" w:eastAsia="Arial" w:hAnsi="Arial"/>
                <w:sz w:val="20"/>
                <w:szCs w:val="20"/>
                <w:color w:val="auto"/>
                <w:w w:val="98"/>
              </w:rPr>
              <w:t>Company; also a Director of AptarGroup, Dean Foods and J.C. Penney Company;</w:t>
            </w:r>
          </w:p>
        </w:tc>
        <w:tc>
          <w:tcPr>
            <w:tcW w:w="1380" w:type="dxa"/>
            <w:vAlign w:val="bottom"/>
            <w:tcBorders>
              <w:right w:val="single" w:sz="8" w:color="auto"/>
            </w:tcBorders>
          </w:tcPr>
          <w:p>
            <w:pPr>
              <w:spacing w:after="0"/>
              <w:rPr>
                <w:sz w:val="19"/>
                <w:szCs w:val="19"/>
                <w:color w:val="auto"/>
              </w:rPr>
            </w:pPr>
          </w:p>
        </w:tc>
      </w:tr>
      <w:tr>
        <w:trPr>
          <w:trHeight w:val="251"/>
        </w:trPr>
        <w:tc>
          <w:tcPr>
            <w:tcW w:w="2000" w:type="dxa"/>
            <w:vAlign w:val="bottom"/>
            <w:tcBorders>
              <w:left w:val="single" w:sz="8" w:color="auto"/>
            </w:tcBorders>
          </w:tcPr>
          <w:p>
            <w:pPr>
              <w:spacing w:after="0"/>
              <w:rPr>
                <w:sz w:val="21"/>
                <w:szCs w:val="21"/>
                <w:color w:val="auto"/>
              </w:rPr>
            </w:pPr>
          </w:p>
        </w:tc>
        <w:tc>
          <w:tcPr>
            <w:tcW w:w="660" w:type="dxa"/>
            <w:vAlign w:val="bottom"/>
          </w:tcPr>
          <w:p>
            <w:pPr>
              <w:spacing w:after="0"/>
              <w:rPr>
                <w:sz w:val="21"/>
                <w:szCs w:val="21"/>
                <w:color w:val="auto"/>
              </w:rPr>
            </w:pPr>
          </w:p>
        </w:tc>
        <w:tc>
          <w:tcPr>
            <w:tcW w:w="7220" w:type="dxa"/>
            <w:vAlign w:val="bottom"/>
            <w:gridSpan w:val="2"/>
          </w:tcPr>
          <w:p>
            <w:pPr>
              <w:ind w:left="60"/>
              <w:spacing w:after="0"/>
              <w:rPr>
                <w:sz w:val="20"/>
                <w:szCs w:val="20"/>
                <w:color w:val="auto"/>
              </w:rPr>
            </w:pPr>
            <w:r>
              <w:rPr>
                <w:rFonts w:ascii="Arial" w:cs="Arial" w:eastAsia="Arial" w:hAnsi="Arial"/>
                <w:sz w:val="20"/>
                <w:szCs w:val="20"/>
                <w:color w:val="auto"/>
              </w:rPr>
              <w:t>former director of Pall Corporation</w:t>
            </w:r>
          </w:p>
        </w:tc>
        <w:tc>
          <w:tcPr>
            <w:tcW w:w="1380" w:type="dxa"/>
            <w:vAlign w:val="bottom"/>
            <w:tcBorders>
              <w:right w:val="single" w:sz="8" w:color="auto"/>
            </w:tcBorders>
          </w:tcPr>
          <w:p>
            <w:pPr>
              <w:spacing w:after="0"/>
              <w:rPr>
                <w:sz w:val="21"/>
                <w:szCs w:val="21"/>
                <w:color w:val="auto"/>
              </w:rPr>
            </w:pPr>
          </w:p>
        </w:tc>
      </w:tr>
      <w:tr>
        <w:trPr>
          <w:trHeight w:val="41"/>
        </w:trPr>
        <w:tc>
          <w:tcPr>
            <w:tcW w:w="2000" w:type="dxa"/>
            <w:vAlign w:val="bottom"/>
            <w:tcBorders>
              <w:left w:val="single" w:sz="8" w:color="auto"/>
            </w:tcBorders>
          </w:tcPr>
          <w:p>
            <w:pPr>
              <w:spacing w:after="0"/>
              <w:rPr>
                <w:sz w:val="3"/>
                <w:szCs w:val="3"/>
                <w:color w:val="auto"/>
              </w:rPr>
            </w:pPr>
          </w:p>
        </w:tc>
        <w:tc>
          <w:tcPr>
            <w:tcW w:w="660" w:type="dxa"/>
            <w:vAlign w:val="bottom"/>
          </w:tcPr>
          <w:p>
            <w:pPr>
              <w:spacing w:after="0"/>
              <w:rPr>
                <w:sz w:val="3"/>
                <w:szCs w:val="3"/>
                <w:color w:val="auto"/>
              </w:rPr>
            </w:pPr>
          </w:p>
        </w:tc>
        <w:tc>
          <w:tcPr>
            <w:tcW w:w="7220" w:type="dxa"/>
            <w:vAlign w:val="bottom"/>
            <w:gridSpan w:val="2"/>
          </w:tcPr>
          <w:p>
            <w:pPr>
              <w:spacing w:after="0"/>
              <w:rPr>
                <w:sz w:val="3"/>
                <w:szCs w:val="3"/>
                <w:color w:val="auto"/>
              </w:rPr>
            </w:pPr>
          </w:p>
        </w:tc>
        <w:tc>
          <w:tcPr>
            <w:tcW w:w="1380" w:type="dxa"/>
            <w:vAlign w:val="bottom"/>
            <w:tcBorders>
              <w:right w:val="single" w:sz="8" w:color="auto"/>
            </w:tcBorders>
          </w:tcPr>
          <w:p>
            <w:pPr>
              <w:spacing w:after="0"/>
              <w:rPr>
                <w:sz w:val="3"/>
                <w:szCs w:val="3"/>
                <w:color w:val="auto"/>
              </w:rPr>
            </w:pPr>
          </w:p>
        </w:tc>
      </w:tr>
      <w:tr>
        <w:trPr>
          <w:trHeight w:val="303"/>
        </w:trPr>
        <w:tc>
          <w:tcPr>
            <w:tcW w:w="2000" w:type="dxa"/>
            <w:vAlign w:val="bottom"/>
            <w:tcBorders>
              <w:left w:val="single" w:sz="8" w:color="auto"/>
            </w:tcBorders>
            <w:shd w:val="clear" w:color="auto" w:fill="D9D9D9"/>
          </w:tcPr>
          <w:p>
            <w:pPr>
              <w:ind w:left="100"/>
              <w:spacing w:after="0"/>
              <w:rPr>
                <w:sz w:val="20"/>
                <w:szCs w:val="20"/>
                <w:color w:val="auto"/>
              </w:rPr>
            </w:pPr>
            <w:r>
              <w:rPr>
                <w:rFonts w:ascii="Arial" w:cs="Arial" w:eastAsia="Arial" w:hAnsi="Arial"/>
                <w:sz w:val="20"/>
                <w:szCs w:val="20"/>
                <w:color w:val="auto"/>
              </w:rPr>
              <w:t>Caesar F. Sweitzer</w:t>
            </w:r>
          </w:p>
        </w:tc>
        <w:tc>
          <w:tcPr>
            <w:tcW w:w="660" w:type="dxa"/>
            <w:vAlign w:val="bottom"/>
            <w:shd w:val="clear" w:color="auto" w:fill="D9D9D9"/>
          </w:tcPr>
          <w:p>
            <w:pPr>
              <w:jc w:val="center"/>
              <w:ind w:left="101"/>
              <w:spacing w:after="0"/>
              <w:rPr>
                <w:sz w:val="20"/>
                <w:szCs w:val="20"/>
                <w:color w:val="auto"/>
              </w:rPr>
            </w:pPr>
            <w:r>
              <w:rPr>
                <w:rFonts w:ascii="Arial" w:cs="Arial" w:eastAsia="Arial" w:hAnsi="Arial"/>
                <w:sz w:val="20"/>
                <w:szCs w:val="20"/>
                <w:color w:val="auto"/>
                <w:w w:val="80"/>
              </w:rPr>
              <w:t>69</w:t>
            </w:r>
          </w:p>
        </w:tc>
        <w:tc>
          <w:tcPr>
            <w:tcW w:w="7220" w:type="dxa"/>
            <w:vAlign w:val="bottom"/>
            <w:gridSpan w:val="2"/>
            <w:shd w:val="clear" w:color="auto" w:fill="D9D9D9"/>
          </w:tcPr>
          <w:p>
            <w:pPr>
              <w:ind w:left="60"/>
              <w:spacing w:after="0"/>
              <w:rPr>
                <w:sz w:val="20"/>
                <w:szCs w:val="20"/>
                <w:color w:val="auto"/>
              </w:rPr>
            </w:pPr>
            <w:r>
              <w:rPr>
                <w:rFonts w:ascii="Arial" w:cs="Arial" w:eastAsia="Arial" w:hAnsi="Arial"/>
                <w:sz w:val="20"/>
                <w:szCs w:val="20"/>
                <w:color w:val="auto"/>
              </w:rPr>
              <w:t>Former Senior Advisor and Managing Director of Citigroup Global Markets</w:t>
            </w:r>
          </w:p>
        </w:tc>
        <w:tc>
          <w:tcPr>
            <w:tcW w:w="1380" w:type="dxa"/>
            <w:vAlign w:val="bottom"/>
            <w:tcBorders>
              <w:right w:val="single" w:sz="8" w:color="auto"/>
            </w:tcBorders>
            <w:shd w:val="clear" w:color="auto" w:fill="D9D9D9"/>
          </w:tcPr>
          <w:p>
            <w:pPr>
              <w:jc w:val="center"/>
              <w:ind w:right="21"/>
              <w:spacing w:after="0"/>
              <w:rPr>
                <w:sz w:val="20"/>
                <w:szCs w:val="20"/>
                <w:color w:val="auto"/>
              </w:rPr>
            </w:pPr>
            <w:r>
              <w:rPr>
                <w:rFonts w:ascii="Arial" w:cs="Arial" w:eastAsia="Arial" w:hAnsi="Arial"/>
                <w:sz w:val="20"/>
                <w:szCs w:val="20"/>
                <w:color w:val="auto"/>
                <w:w w:val="85"/>
              </w:rPr>
              <w:t>2014</w:t>
            </w:r>
          </w:p>
        </w:tc>
      </w:tr>
      <w:tr>
        <w:trPr>
          <w:trHeight w:val="242"/>
        </w:trPr>
        <w:tc>
          <w:tcPr>
            <w:tcW w:w="2000" w:type="dxa"/>
            <w:vAlign w:val="bottom"/>
            <w:tcBorders>
              <w:left w:val="single" w:sz="8" w:color="auto"/>
            </w:tcBorders>
            <w:shd w:val="clear" w:color="auto" w:fill="D9D9D9"/>
          </w:tcPr>
          <w:p>
            <w:pPr>
              <w:ind w:left="100"/>
              <w:spacing w:after="0"/>
              <w:rPr>
                <w:sz w:val="20"/>
                <w:szCs w:val="20"/>
                <w:color w:val="auto"/>
              </w:rPr>
            </w:pPr>
            <w:r>
              <w:rPr>
                <w:rFonts w:ascii="Arial" w:cs="Arial" w:eastAsia="Arial" w:hAnsi="Arial"/>
                <w:sz w:val="20"/>
                <w:szCs w:val="20"/>
                <w:color w:val="auto"/>
              </w:rPr>
              <w:t>(a) (b) (d)</w:t>
            </w:r>
          </w:p>
        </w:tc>
        <w:tc>
          <w:tcPr>
            <w:tcW w:w="660" w:type="dxa"/>
            <w:vAlign w:val="bottom"/>
            <w:shd w:val="clear" w:color="auto" w:fill="D9D9D9"/>
          </w:tcPr>
          <w:p>
            <w:pPr>
              <w:spacing w:after="0"/>
              <w:rPr>
                <w:sz w:val="21"/>
                <w:szCs w:val="21"/>
                <w:color w:val="auto"/>
              </w:rPr>
            </w:pPr>
          </w:p>
        </w:tc>
        <w:tc>
          <w:tcPr>
            <w:tcW w:w="940" w:type="dxa"/>
            <w:vAlign w:val="bottom"/>
            <w:shd w:val="clear" w:color="auto" w:fill="D9D9D9"/>
          </w:tcPr>
          <w:p>
            <w:pPr>
              <w:spacing w:after="0"/>
              <w:rPr>
                <w:sz w:val="21"/>
                <w:szCs w:val="21"/>
                <w:color w:val="auto"/>
              </w:rPr>
            </w:pPr>
          </w:p>
        </w:tc>
        <w:tc>
          <w:tcPr>
            <w:tcW w:w="6280" w:type="dxa"/>
            <w:vAlign w:val="bottom"/>
            <w:shd w:val="clear" w:color="auto" w:fill="D9D9D9"/>
          </w:tcPr>
          <w:p>
            <w:pPr>
              <w:spacing w:after="0"/>
              <w:rPr>
                <w:sz w:val="21"/>
                <w:szCs w:val="21"/>
                <w:color w:val="auto"/>
              </w:rPr>
            </w:pPr>
          </w:p>
        </w:tc>
        <w:tc>
          <w:tcPr>
            <w:tcW w:w="1380" w:type="dxa"/>
            <w:vAlign w:val="bottom"/>
            <w:tcBorders>
              <w:right w:val="single" w:sz="8" w:color="auto"/>
            </w:tcBorders>
            <w:shd w:val="clear" w:color="auto" w:fill="D9D9D9"/>
          </w:tcPr>
          <w:p>
            <w:pPr>
              <w:spacing w:after="0"/>
              <w:rPr>
                <w:sz w:val="21"/>
                <w:szCs w:val="21"/>
                <w:color w:val="auto"/>
              </w:rPr>
            </w:pPr>
          </w:p>
        </w:tc>
      </w:tr>
      <w:tr>
        <w:trPr>
          <w:trHeight w:val="303"/>
        </w:trPr>
        <w:tc>
          <w:tcPr>
            <w:tcW w:w="2000" w:type="dxa"/>
            <w:vAlign w:val="bottom"/>
            <w:tcBorders>
              <w:left w:val="single" w:sz="8" w:color="auto"/>
            </w:tcBorders>
          </w:tcPr>
          <w:p>
            <w:pPr>
              <w:ind w:left="100"/>
              <w:spacing w:after="0"/>
              <w:rPr>
                <w:sz w:val="20"/>
                <w:szCs w:val="20"/>
                <w:color w:val="auto"/>
              </w:rPr>
            </w:pPr>
            <w:r>
              <w:rPr>
                <w:rFonts w:ascii="Arial" w:cs="Arial" w:eastAsia="Arial" w:hAnsi="Arial"/>
                <w:sz w:val="20"/>
                <w:szCs w:val="20"/>
                <w:color w:val="auto"/>
              </w:rPr>
              <w:t>Jim L. Turner</w:t>
            </w:r>
          </w:p>
        </w:tc>
        <w:tc>
          <w:tcPr>
            <w:tcW w:w="660" w:type="dxa"/>
            <w:vAlign w:val="bottom"/>
          </w:tcPr>
          <w:p>
            <w:pPr>
              <w:jc w:val="center"/>
              <w:ind w:left="101"/>
              <w:spacing w:after="0"/>
              <w:rPr>
                <w:sz w:val="20"/>
                <w:szCs w:val="20"/>
                <w:color w:val="auto"/>
              </w:rPr>
            </w:pPr>
            <w:r>
              <w:rPr>
                <w:rFonts w:ascii="Arial" w:cs="Arial" w:eastAsia="Arial" w:hAnsi="Arial"/>
                <w:sz w:val="20"/>
                <w:szCs w:val="20"/>
                <w:color w:val="auto"/>
                <w:w w:val="80"/>
              </w:rPr>
              <w:t>74</w:t>
            </w:r>
          </w:p>
        </w:tc>
        <w:tc>
          <w:tcPr>
            <w:tcW w:w="7220" w:type="dxa"/>
            <w:vAlign w:val="bottom"/>
            <w:gridSpan w:val="2"/>
          </w:tcPr>
          <w:p>
            <w:pPr>
              <w:ind w:left="60"/>
              <w:spacing w:after="0"/>
              <w:rPr>
                <w:sz w:val="20"/>
                <w:szCs w:val="20"/>
                <w:color w:val="auto"/>
              </w:rPr>
            </w:pPr>
            <w:r>
              <w:rPr>
                <w:rFonts w:ascii="Arial" w:cs="Arial" w:eastAsia="Arial" w:hAnsi="Arial"/>
                <w:sz w:val="20"/>
                <w:szCs w:val="20"/>
                <w:color w:val="auto"/>
              </w:rPr>
              <w:t>Chief Executive Officer of JLT Beverages; former Chairman, President and Chief</w:t>
            </w:r>
          </w:p>
        </w:tc>
        <w:tc>
          <w:tcPr>
            <w:tcW w:w="1380" w:type="dxa"/>
            <w:vAlign w:val="bottom"/>
            <w:tcBorders>
              <w:right w:val="single" w:sz="8" w:color="auto"/>
            </w:tcBorders>
          </w:tcPr>
          <w:p>
            <w:pPr>
              <w:jc w:val="center"/>
              <w:ind w:right="21"/>
              <w:spacing w:after="0"/>
              <w:rPr>
                <w:sz w:val="20"/>
                <w:szCs w:val="20"/>
                <w:color w:val="auto"/>
              </w:rPr>
            </w:pPr>
            <w:r>
              <w:rPr>
                <w:rFonts w:ascii="Arial" w:cs="Arial" w:eastAsia="Arial" w:hAnsi="Arial"/>
                <w:sz w:val="20"/>
                <w:szCs w:val="20"/>
                <w:color w:val="auto"/>
                <w:w w:val="85"/>
              </w:rPr>
              <w:t>2005</w:t>
            </w:r>
          </w:p>
        </w:tc>
      </w:tr>
      <w:tr>
        <w:trPr>
          <w:trHeight w:val="223"/>
        </w:trPr>
        <w:tc>
          <w:tcPr>
            <w:tcW w:w="2000" w:type="dxa"/>
            <w:vAlign w:val="bottom"/>
            <w:tcBorders>
              <w:left w:val="single" w:sz="8" w:color="auto"/>
            </w:tcBorders>
          </w:tcPr>
          <w:p>
            <w:pPr>
              <w:ind w:left="100"/>
              <w:spacing w:after="0" w:line="223" w:lineRule="exact"/>
              <w:rPr>
                <w:sz w:val="20"/>
                <w:szCs w:val="20"/>
                <w:color w:val="auto"/>
              </w:rPr>
            </w:pPr>
            <w:r>
              <w:rPr>
                <w:rFonts w:ascii="Arial" w:cs="Arial" w:eastAsia="Arial" w:hAnsi="Arial"/>
                <w:sz w:val="20"/>
                <w:szCs w:val="20"/>
                <w:color w:val="auto"/>
              </w:rPr>
              <w:t>(a) (c) (d)</w:t>
            </w:r>
          </w:p>
        </w:tc>
        <w:tc>
          <w:tcPr>
            <w:tcW w:w="660" w:type="dxa"/>
            <w:vAlign w:val="bottom"/>
          </w:tcPr>
          <w:p>
            <w:pPr>
              <w:spacing w:after="0"/>
              <w:rPr>
                <w:sz w:val="19"/>
                <w:szCs w:val="19"/>
                <w:color w:val="auto"/>
              </w:rPr>
            </w:pPr>
          </w:p>
        </w:tc>
        <w:tc>
          <w:tcPr>
            <w:tcW w:w="7220" w:type="dxa"/>
            <w:vAlign w:val="bottom"/>
            <w:gridSpan w:val="2"/>
          </w:tcPr>
          <w:p>
            <w:pPr>
              <w:ind w:left="60"/>
              <w:spacing w:after="0" w:line="223" w:lineRule="exact"/>
              <w:rPr>
                <w:sz w:val="20"/>
                <w:szCs w:val="20"/>
                <w:color w:val="auto"/>
              </w:rPr>
            </w:pPr>
            <w:r>
              <w:rPr>
                <w:rFonts w:ascii="Arial" w:cs="Arial" w:eastAsia="Arial" w:hAnsi="Arial"/>
                <w:sz w:val="20"/>
                <w:szCs w:val="20"/>
                <w:color w:val="auto"/>
                <w:w w:val="92"/>
              </w:rPr>
              <w:t>Executive Officer of Dr Pepper/Seven Up Bottling Group; also Chairman of Dean Foods</w:t>
            </w:r>
          </w:p>
        </w:tc>
        <w:tc>
          <w:tcPr>
            <w:tcW w:w="1380" w:type="dxa"/>
            <w:vAlign w:val="bottom"/>
            <w:tcBorders>
              <w:right w:val="single" w:sz="8" w:color="auto"/>
            </w:tcBorders>
          </w:tcPr>
          <w:p>
            <w:pPr>
              <w:spacing w:after="0"/>
              <w:rPr>
                <w:sz w:val="19"/>
                <w:szCs w:val="19"/>
                <w:color w:val="auto"/>
              </w:rPr>
            </w:pPr>
          </w:p>
        </w:tc>
      </w:tr>
      <w:tr>
        <w:trPr>
          <w:trHeight w:val="251"/>
        </w:trPr>
        <w:tc>
          <w:tcPr>
            <w:tcW w:w="2000" w:type="dxa"/>
            <w:vAlign w:val="bottom"/>
            <w:tcBorders>
              <w:left w:val="single" w:sz="8" w:color="auto"/>
            </w:tcBorders>
          </w:tcPr>
          <w:p>
            <w:pPr>
              <w:spacing w:after="0"/>
              <w:rPr>
                <w:sz w:val="21"/>
                <w:szCs w:val="21"/>
                <w:color w:val="auto"/>
              </w:rPr>
            </w:pPr>
          </w:p>
        </w:tc>
        <w:tc>
          <w:tcPr>
            <w:tcW w:w="660" w:type="dxa"/>
            <w:vAlign w:val="bottom"/>
          </w:tcPr>
          <w:p>
            <w:pPr>
              <w:spacing w:after="0"/>
              <w:rPr>
                <w:sz w:val="21"/>
                <w:szCs w:val="21"/>
                <w:color w:val="auto"/>
              </w:rPr>
            </w:pPr>
          </w:p>
        </w:tc>
        <w:tc>
          <w:tcPr>
            <w:tcW w:w="7220" w:type="dxa"/>
            <w:vAlign w:val="bottom"/>
            <w:gridSpan w:val="2"/>
          </w:tcPr>
          <w:p>
            <w:pPr>
              <w:ind w:left="60"/>
              <w:spacing w:after="0"/>
              <w:rPr>
                <w:sz w:val="20"/>
                <w:szCs w:val="20"/>
                <w:color w:val="auto"/>
              </w:rPr>
            </w:pPr>
            <w:r>
              <w:rPr>
                <w:rFonts w:ascii="Arial" w:cs="Arial" w:eastAsia="Arial" w:hAnsi="Arial"/>
                <w:sz w:val="20"/>
                <w:szCs w:val="20"/>
                <w:color w:val="auto"/>
              </w:rPr>
              <w:t>and a Director of Comstock Resources</w:t>
            </w:r>
          </w:p>
        </w:tc>
        <w:tc>
          <w:tcPr>
            <w:tcW w:w="1380" w:type="dxa"/>
            <w:vAlign w:val="bottom"/>
            <w:tcBorders>
              <w:right w:val="single" w:sz="8" w:color="auto"/>
            </w:tcBorders>
          </w:tcPr>
          <w:p>
            <w:pPr>
              <w:spacing w:after="0"/>
              <w:rPr>
                <w:sz w:val="21"/>
                <w:szCs w:val="21"/>
                <w:color w:val="auto"/>
              </w:rPr>
            </w:pPr>
          </w:p>
        </w:tc>
      </w:tr>
      <w:tr>
        <w:trPr>
          <w:trHeight w:val="41"/>
        </w:trPr>
        <w:tc>
          <w:tcPr>
            <w:tcW w:w="2000" w:type="dxa"/>
            <w:vAlign w:val="bottom"/>
            <w:tcBorders>
              <w:left w:val="single" w:sz="8" w:color="auto"/>
            </w:tcBorders>
          </w:tcPr>
          <w:p>
            <w:pPr>
              <w:spacing w:after="0"/>
              <w:rPr>
                <w:sz w:val="3"/>
                <w:szCs w:val="3"/>
                <w:color w:val="auto"/>
              </w:rPr>
            </w:pPr>
          </w:p>
        </w:tc>
        <w:tc>
          <w:tcPr>
            <w:tcW w:w="660" w:type="dxa"/>
            <w:vAlign w:val="bottom"/>
          </w:tcPr>
          <w:p>
            <w:pPr>
              <w:spacing w:after="0"/>
              <w:rPr>
                <w:sz w:val="3"/>
                <w:szCs w:val="3"/>
                <w:color w:val="auto"/>
              </w:rPr>
            </w:pPr>
          </w:p>
        </w:tc>
        <w:tc>
          <w:tcPr>
            <w:tcW w:w="7220" w:type="dxa"/>
            <w:vAlign w:val="bottom"/>
            <w:gridSpan w:val="2"/>
          </w:tcPr>
          <w:p>
            <w:pPr>
              <w:spacing w:after="0"/>
              <w:rPr>
                <w:sz w:val="3"/>
                <w:szCs w:val="3"/>
                <w:color w:val="auto"/>
              </w:rPr>
            </w:pPr>
          </w:p>
        </w:tc>
        <w:tc>
          <w:tcPr>
            <w:tcW w:w="1380" w:type="dxa"/>
            <w:vAlign w:val="bottom"/>
            <w:tcBorders>
              <w:right w:val="single" w:sz="8" w:color="auto"/>
            </w:tcBorders>
          </w:tcPr>
          <w:p>
            <w:pPr>
              <w:spacing w:after="0"/>
              <w:rPr>
                <w:sz w:val="3"/>
                <w:szCs w:val="3"/>
                <w:color w:val="auto"/>
              </w:rPr>
            </w:pPr>
          </w:p>
        </w:tc>
      </w:tr>
      <w:tr>
        <w:trPr>
          <w:trHeight w:val="303"/>
        </w:trPr>
        <w:tc>
          <w:tcPr>
            <w:tcW w:w="2000" w:type="dxa"/>
            <w:vAlign w:val="bottom"/>
            <w:tcBorders>
              <w:left w:val="single" w:sz="8" w:color="auto"/>
            </w:tcBorders>
            <w:shd w:val="clear" w:color="auto" w:fill="D9D9D9"/>
          </w:tcPr>
          <w:p>
            <w:pPr>
              <w:ind w:left="100"/>
              <w:spacing w:after="0"/>
              <w:rPr>
                <w:sz w:val="20"/>
                <w:szCs w:val="20"/>
                <w:color w:val="auto"/>
              </w:rPr>
            </w:pPr>
            <w:r>
              <w:rPr>
                <w:rFonts w:ascii="Arial" w:cs="Arial" w:eastAsia="Arial" w:hAnsi="Arial"/>
                <w:sz w:val="20"/>
                <w:szCs w:val="20"/>
                <w:color w:val="auto"/>
              </w:rPr>
              <w:t>William S. Urkiel</w:t>
            </w:r>
          </w:p>
        </w:tc>
        <w:tc>
          <w:tcPr>
            <w:tcW w:w="660" w:type="dxa"/>
            <w:vAlign w:val="bottom"/>
            <w:shd w:val="clear" w:color="auto" w:fill="D9D9D9"/>
          </w:tcPr>
          <w:p>
            <w:pPr>
              <w:jc w:val="center"/>
              <w:ind w:left="101"/>
              <w:spacing w:after="0"/>
              <w:rPr>
                <w:sz w:val="20"/>
                <w:szCs w:val="20"/>
                <w:color w:val="auto"/>
              </w:rPr>
            </w:pPr>
            <w:r>
              <w:rPr>
                <w:rFonts w:ascii="Arial" w:cs="Arial" w:eastAsia="Arial" w:hAnsi="Arial"/>
                <w:sz w:val="20"/>
                <w:szCs w:val="20"/>
                <w:color w:val="auto"/>
                <w:w w:val="80"/>
              </w:rPr>
              <w:t>74</w:t>
            </w:r>
          </w:p>
        </w:tc>
        <w:tc>
          <w:tcPr>
            <w:tcW w:w="7220" w:type="dxa"/>
            <w:vAlign w:val="bottom"/>
            <w:gridSpan w:val="2"/>
            <w:shd w:val="clear" w:color="auto" w:fill="D9D9D9"/>
          </w:tcPr>
          <w:p>
            <w:pPr>
              <w:ind w:left="60"/>
              <w:spacing w:after="0"/>
              <w:rPr>
                <w:sz w:val="20"/>
                <w:szCs w:val="20"/>
                <w:color w:val="auto"/>
              </w:rPr>
            </w:pPr>
            <w:r>
              <w:rPr>
                <w:rFonts w:ascii="Arial" w:cs="Arial" w:eastAsia="Arial" w:hAnsi="Arial"/>
                <w:sz w:val="20"/>
                <w:szCs w:val="20"/>
                <w:color w:val="auto"/>
                <w:w w:val="97"/>
              </w:rPr>
              <w:t>Former Senior Vice President and Chief Financial Officer of IKON Office Solutions;</w:t>
            </w:r>
          </w:p>
        </w:tc>
        <w:tc>
          <w:tcPr>
            <w:tcW w:w="1380" w:type="dxa"/>
            <w:vAlign w:val="bottom"/>
            <w:tcBorders>
              <w:right w:val="single" w:sz="8" w:color="auto"/>
            </w:tcBorders>
            <w:shd w:val="clear" w:color="auto" w:fill="D9D9D9"/>
          </w:tcPr>
          <w:p>
            <w:pPr>
              <w:jc w:val="center"/>
              <w:ind w:right="21"/>
              <w:spacing w:after="0"/>
              <w:rPr>
                <w:sz w:val="20"/>
                <w:szCs w:val="20"/>
                <w:color w:val="auto"/>
              </w:rPr>
            </w:pPr>
            <w:r>
              <w:rPr>
                <w:rFonts w:ascii="Arial" w:cs="Arial" w:eastAsia="Arial" w:hAnsi="Arial"/>
                <w:sz w:val="20"/>
                <w:szCs w:val="20"/>
                <w:color w:val="auto"/>
                <w:w w:val="85"/>
              </w:rPr>
              <w:t>2004</w:t>
            </w:r>
          </w:p>
        </w:tc>
      </w:tr>
      <w:tr>
        <w:trPr>
          <w:trHeight w:val="309"/>
        </w:trPr>
        <w:tc>
          <w:tcPr>
            <w:tcW w:w="2000" w:type="dxa"/>
            <w:vAlign w:val="bottom"/>
            <w:tcBorders>
              <w:left w:val="single" w:sz="8" w:color="auto"/>
              <w:bottom w:val="single" w:sz="8" w:color="D9D9D9"/>
            </w:tcBorders>
            <w:shd w:val="clear" w:color="auto" w:fill="D9D9D9"/>
          </w:tcPr>
          <w:p>
            <w:pPr>
              <w:ind w:left="100"/>
              <w:spacing w:after="0"/>
              <w:rPr>
                <w:sz w:val="20"/>
                <w:szCs w:val="20"/>
                <w:color w:val="auto"/>
              </w:rPr>
            </w:pPr>
            <w:r>
              <w:rPr>
                <w:rFonts w:ascii="Arial" w:cs="Arial" w:eastAsia="Arial" w:hAnsi="Arial"/>
                <w:sz w:val="20"/>
                <w:szCs w:val="20"/>
                <w:color w:val="auto"/>
              </w:rPr>
              <w:t>(b) (d)</w:t>
            </w:r>
          </w:p>
        </w:tc>
        <w:tc>
          <w:tcPr>
            <w:tcW w:w="660" w:type="dxa"/>
            <w:vAlign w:val="bottom"/>
            <w:tcBorders>
              <w:bottom w:val="single" w:sz="8" w:color="D9D9D9"/>
            </w:tcBorders>
            <w:shd w:val="clear" w:color="auto" w:fill="D9D9D9"/>
          </w:tcPr>
          <w:p>
            <w:pPr>
              <w:spacing w:after="0"/>
              <w:rPr>
                <w:sz w:val="24"/>
                <w:szCs w:val="24"/>
                <w:color w:val="auto"/>
              </w:rPr>
            </w:pPr>
          </w:p>
        </w:tc>
        <w:tc>
          <w:tcPr>
            <w:tcW w:w="7220" w:type="dxa"/>
            <w:vAlign w:val="bottom"/>
            <w:tcBorders>
              <w:bottom w:val="single" w:sz="8" w:color="D9D9D9"/>
            </w:tcBorders>
            <w:gridSpan w:val="2"/>
            <w:shd w:val="clear" w:color="auto" w:fill="D9D9D9"/>
          </w:tcPr>
          <w:p>
            <w:pPr>
              <w:ind w:left="60"/>
              <w:spacing w:after="0"/>
              <w:rPr>
                <w:sz w:val="20"/>
                <w:szCs w:val="20"/>
                <w:color w:val="auto"/>
              </w:rPr>
            </w:pPr>
            <w:r>
              <w:rPr>
                <w:rFonts w:ascii="Arial" w:cs="Arial" w:eastAsia="Arial" w:hAnsi="Arial"/>
                <w:sz w:val="20"/>
                <w:szCs w:val="20"/>
                <w:color w:val="auto"/>
              </w:rPr>
              <w:t>former Director of Roadrunner Transportation Systems</w:t>
            </w:r>
          </w:p>
        </w:tc>
        <w:tc>
          <w:tcPr>
            <w:tcW w:w="1380" w:type="dxa"/>
            <w:vAlign w:val="bottom"/>
            <w:tcBorders>
              <w:bottom w:val="single" w:sz="8" w:color="D9D9D9"/>
              <w:right w:val="single" w:sz="8" w:color="auto"/>
            </w:tcBorders>
            <w:shd w:val="clear" w:color="auto" w:fill="D9D9D9"/>
          </w:tcPr>
          <w:p>
            <w:pPr>
              <w:spacing w:after="0"/>
              <w:rPr>
                <w:sz w:val="24"/>
                <w:szCs w:val="24"/>
                <w:color w:val="auto"/>
              </w:rPr>
            </w:pPr>
          </w:p>
        </w:tc>
      </w:tr>
      <w:tr>
        <w:trPr>
          <w:trHeight w:val="346"/>
        </w:trPr>
        <w:tc>
          <w:tcPr>
            <w:tcW w:w="3600" w:type="dxa"/>
            <w:vAlign w:val="bottom"/>
            <w:tcBorders>
              <w:top w:val="single" w:sz="8" w:color="auto"/>
              <w:left w:val="single" w:sz="8" w:color="auto"/>
            </w:tcBorders>
            <w:gridSpan w:val="3"/>
          </w:tcPr>
          <w:p>
            <w:pPr>
              <w:ind w:left="100"/>
              <w:spacing w:after="0"/>
              <w:rPr>
                <w:sz w:val="20"/>
                <w:szCs w:val="20"/>
                <w:color w:val="auto"/>
              </w:rPr>
            </w:pPr>
            <w:r>
              <w:rPr>
                <w:rFonts w:ascii="Arial" w:cs="Arial" w:eastAsia="Arial" w:hAnsi="Arial"/>
                <w:sz w:val="19"/>
                <w:szCs w:val="19"/>
                <w:color w:val="auto"/>
              </w:rPr>
              <w:t>(a) Member of the Executive Committee</w:t>
            </w:r>
          </w:p>
        </w:tc>
        <w:tc>
          <w:tcPr>
            <w:tcW w:w="6280" w:type="dxa"/>
            <w:vAlign w:val="bottom"/>
            <w:tcBorders>
              <w:top w:val="single" w:sz="8" w:color="auto"/>
            </w:tcBorders>
          </w:tcPr>
          <w:p>
            <w:pPr>
              <w:ind w:left="120"/>
              <w:spacing w:after="0"/>
              <w:rPr>
                <w:sz w:val="20"/>
                <w:szCs w:val="20"/>
                <w:color w:val="auto"/>
              </w:rPr>
            </w:pPr>
            <w:r>
              <w:rPr>
                <w:rFonts w:ascii="Arial" w:cs="Arial" w:eastAsia="Arial" w:hAnsi="Arial"/>
                <w:sz w:val="19"/>
                <w:szCs w:val="19"/>
                <w:color w:val="auto"/>
              </w:rPr>
              <w:t>(c) Member of the Compensation Committee</w:t>
            </w:r>
          </w:p>
        </w:tc>
        <w:tc>
          <w:tcPr>
            <w:tcW w:w="1380" w:type="dxa"/>
            <w:vAlign w:val="bottom"/>
            <w:tcBorders>
              <w:top w:val="single" w:sz="8" w:color="auto"/>
              <w:right w:val="single" w:sz="8" w:color="auto"/>
            </w:tcBorders>
          </w:tcPr>
          <w:p>
            <w:pPr>
              <w:spacing w:after="0"/>
              <w:rPr>
                <w:sz w:val="24"/>
                <w:szCs w:val="24"/>
                <w:color w:val="auto"/>
              </w:rPr>
            </w:pPr>
          </w:p>
        </w:tc>
      </w:tr>
      <w:tr>
        <w:trPr>
          <w:trHeight w:val="298"/>
        </w:trPr>
        <w:tc>
          <w:tcPr>
            <w:tcW w:w="3600" w:type="dxa"/>
            <w:vAlign w:val="bottom"/>
            <w:tcBorders>
              <w:left w:val="single" w:sz="8" w:color="auto"/>
            </w:tcBorders>
            <w:gridSpan w:val="3"/>
          </w:tcPr>
          <w:p>
            <w:pPr>
              <w:ind w:left="100"/>
              <w:spacing w:after="0"/>
              <w:rPr>
                <w:sz w:val="20"/>
                <w:szCs w:val="20"/>
                <w:color w:val="auto"/>
              </w:rPr>
            </w:pPr>
            <w:r>
              <w:rPr>
                <w:rFonts w:ascii="Arial" w:cs="Arial" w:eastAsia="Arial" w:hAnsi="Arial"/>
                <w:sz w:val="19"/>
                <w:szCs w:val="19"/>
                <w:color w:val="auto"/>
              </w:rPr>
              <w:t>(b) Member of the Audit Committee</w:t>
            </w:r>
          </w:p>
        </w:tc>
        <w:tc>
          <w:tcPr>
            <w:tcW w:w="6280" w:type="dxa"/>
            <w:vAlign w:val="bottom"/>
          </w:tcPr>
          <w:p>
            <w:pPr>
              <w:ind w:left="120"/>
              <w:spacing w:after="0"/>
              <w:rPr>
                <w:sz w:val="20"/>
                <w:szCs w:val="20"/>
                <w:color w:val="auto"/>
              </w:rPr>
            </w:pPr>
            <w:r>
              <w:rPr>
                <w:rFonts w:ascii="Arial" w:cs="Arial" w:eastAsia="Arial" w:hAnsi="Arial"/>
                <w:sz w:val="19"/>
                <w:szCs w:val="19"/>
                <w:color w:val="auto"/>
              </w:rPr>
              <w:t>(d) Member of the Nominating and Corporate Governance Committee</w:t>
            </w:r>
          </w:p>
        </w:tc>
        <w:tc>
          <w:tcPr>
            <w:tcW w:w="1380" w:type="dxa"/>
            <w:vAlign w:val="bottom"/>
            <w:tcBorders>
              <w:right w:val="single" w:sz="8" w:color="auto"/>
            </w:tcBorders>
          </w:tcPr>
          <w:p>
            <w:pPr>
              <w:spacing w:after="0"/>
              <w:rPr>
                <w:sz w:val="24"/>
                <w:szCs w:val="24"/>
                <w:color w:val="auto"/>
              </w:rPr>
            </w:pPr>
          </w:p>
        </w:tc>
      </w:tr>
      <w:tr>
        <w:trPr>
          <w:trHeight w:val="93"/>
        </w:trPr>
        <w:tc>
          <w:tcPr>
            <w:tcW w:w="2000" w:type="dxa"/>
            <w:vAlign w:val="bottom"/>
            <w:tcBorders>
              <w:left w:val="single" w:sz="8" w:color="auto"/>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6280" w:type="dxa"/>
            <w:vAlign w:val="bottom"/>
            <w:tcBorders>
              <w:bottom w:val="single" w:sz="8" w:color="auto"/>
            </w:tcBorders>
          </w:tcPr>
          <w:p>
            <w:pPr>
              <w:spacing w:after="0"/>
              <w:rPr>
                <w:sz w:val="8"/>
                <w:szCs w:val="8"/>
                <w:color w:val="auto"/>
              </w:rPr>
            </w:pPr>
          </w:p>
        </w:tc>
        <w:tc>
          <w:tcPr>
            <w:tcW w:w="1380" w:type="dxa"/>
            <w:vAlign w:val="bottom"/>
            <w:tcBorders>
              <w:bottom w:val="single" w:sz="8" w:color="auto"/>
              <w:right w:val="single" w:sz="8" w:color="auto"/>
            </w:tcBorders>
          </w:tcPr>
          <w:p>
            <w:pPr>
              <w:spacing w:after="0"/>
              <w:rPr>
                <w:sz w:val="8"/>
                <w:szCs w:val="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w:t>
      </w:r>
    </w:p>
    <w:p>
      <w:pPr>
        <w:sectPr>
          <w:pgSz w:w="11900" w:h="16838" w:orient="portrait"/>
          <w:cols w:equalWidth="0" w:num="1">
            <w:col w:w="11240"/>
          </w:cols>
          <w:pgMar w:left="320" w:top="442" w:right="339" w:bottom="1440" w:gutter="0" w:footer="0" w:header="0"/>
        </w:sectPr>
      </w:pPr>
    </w:p>
    <w:bookmarkStart w:id="24" w:name="page25"/>
    <w:bookmarkEnd w:id="24"/>
    <w:p>
      <w:pPr>
        <w:jc w:val="both"/>
        <w:ind w:firstLine="595"/>
        <w:spacing w:after="0" w:line="263" w:lineRule="auto"/>
        <w:rPr>
          <w:sz w:val="20"/>
          <w:szCs w:val="20"/>
          <w:color w:val="auto"/>
        </w:rPr>
      </w:pPr>
      <w:r>
        <w:rPr>
          <w:rFonts w:ascii="Arial" w:cs="Arial" w:eastAsia="Arial" w:hAnsi="Arial"/>
          <w:sz w:val="18"/>
          <w:szCs w:val="18"/>
          <w:color w:val="auto"/>
        </w:rPr>
        <w:t>The Nominating and Corporate Governance Committee is responsible for leading the search for individuals qualified to become members of the Board of Directors and recommending candidates to the Board as Director nominees. The Board desires a diverse membership, including with respect to race, gender, nationality and ethnicity as well as professional background and geographic and industry experience. The Nominating and Corporate Governance Committee assesses each potential nominee’s overall mix of experiences, qualifications, perspectives, talents, education and skills as well as each potential nominee’s ability to contribute to the Board and to enhance the Board’s decision-making process. Independence is a key factor when considering the Director nominees, as are critical thinking skills, practical wisdom and mature judgment in the decision-making process. For a description of the identifying and evaluating procedures of the Nominating and Corporate Governance Committee, see “Corporate Governance – Nominating and Corporate Governance Committee.” The Board believes that each of the nominees listed above has the sound character, integrity, judgment and record of achievement necessary to be a member of the Board and is independent of the influence of any particular Shareholder or group of Shareholders whose interests may diverge from the interests of the Company’s Shareholders as a whole. In addition, each of the nominees has exhibited the ability to operate cohesively with the other members of the Board and to challenge and question management in a constructive way.</w:t>
      </w:r>
    </w:p>
    <w:p>
      <w:pPr>
        <w:spacing w:after="0" w:line="156" w:lineRule="exact"/>
        <w:rPr>
          <w:sz w:val="20"/>
          <w:szCs w:val="20"/>
          <w:color w:val="auto"/>
        </w:rPr>
      </w:pPr>
    </w:p>
    <w:p>
      <w:pPr>
        <w:jc w:val="both"/>
        <w:ind w:firstLine="595"/>
        <w:spacing w:after="0" w:line="254" w:lineRule="auto"/>
        <w:rPr>
          <w:sz w:val="20"/>
          <w:szCs w:val="20"/>
          <w:color w:val="auto"/>
        </w:rPr>
      </w:pPr>
      <w:r>
        <w:rPr>
          <w:rFonts w:ascii="Arial" w:cs="Arial" w:eastAsia="Arial" w:hAnsi="Arial"/>
          <w:sz w:val="19"/>
          <w:szCs w:val="19"/>
          <w:color w:val="auto"/>
        </w:rPr>
        <w:t>The Board believes, moreover, that each nominee brings a strong and unique background and skill set to the Board, giving the Board as a whole competence and experience in diverse areas. These areas include organizational leadership; public company board service; manufacturing; finance; management in the packaging, food and beverage sectors and other relevant industries; and international business and markets. The Board believes that the following specific experiences, qualifications and skills, together with the aforementioned attributes, qualify each of the nominees listed above to serve as a Director.</w:t>
      </w:r>
    </w:p>
    <w:p>
      <w:pPr>
        <w:spacing w:after="0" w:line="153" w:lineRule="exact"/>
        <w:rPr>
          <w:sz w:val="20"/>
          <w:szCs w:val="20"/>
          <w:color w:val="auto"/>
        </w:rPr>
      </w:pPr>
    </w:p>
    <w:p>
      <w:pPr>
        <w:jc w:val="both"/>
        <w:ind w:firstLine="595"/>
        <w:spacing w:after="0" w:line="278" w:lineRule="auto"/>
        <w:rPr>
          <w:sz w:val="20"/>
          <w:szCs w:val="20"/>
          <w:color w:val="auto"/>
        </w:rPr>
      </w:pPr>
      <w:r>
        <w:rPr>
          <w:rFonts w:ascii="Arial" w:cs="Arial" w:eastAsia="Arial" w:hAnsi="Arial"/>
          <w:sz w:val="18"/>
          <w:szCs w:val="18"/>
          <w:b w:val="1"/>
          <w:bCs w:val="1"/>
          <w:color w:val="auto"/>
        </w:rPr>
        <w:t>John Conway</w:t>
      </w:r>
      <w:r>
        <w:rPr>
          <w:rFonts w:ascii="Arial" w:cs="Arial" w:eastAsia="Arial" w:hAnsi="Arial"/>
          <w:sz w:val="18"/>
          <w:szCs w:val="18"/>
          <w:color w:val="auto"/>
        </w:rPr>
        <w:t>. Mr. Conway, the Company’s independent non-executive Chairman of the Board, served as the CEO of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for over 15 years until his retirement at year-end 2015, as a member of the Board since 1997 and in other positions, both domestic and international, with the Company and its predecessors for over 40 years. He gives the Board seasoned leadership and an in-depth knowledge of the Company, especially its international business. Mr. Conway also serves as Lead Director of another NYSE-listed company.</w:t>
      </w:r>
    </w:p>
    <w:p>
      <w:pPr>
        <w:spacing w:after="0" w:line="132" w:lineRule="exact"/>
        <w:rPr>
          <w:sz w:val="20"/>
          <w:szCs w:val="20"/>
          <w:color w:val="auto"/>
        </w:rPr>
      </w:pPr>
    </w:p>
    <w:p>
      <w:pPr>
        <w:jc w:val="both"/>
        <w:ind w:firstLine="595"/>
        <w:spacing w:after="0" w:line="287" w:lineRule="auto"/>
        <w:rPr>
          <w:sz w:val="20"/>
          <w:szCs w:val="20"/>
          <w:color w:val="auto"/>
        </w:rPr>
      </w:pPr>
      <w:r>
        <w:rPr>
          <w:rFonts w:ascii="Arial" w:cs="Arial" w:eastAsia="Arial" w:hAnsi="Arial"/>
          <w:sz w:val="18"/>
          <w:szCs w:val="18"/>
          <w:b w:val="1"/>
          <w:bCs w:val="1"/>
          <w:color w:val="auto"/>
        </w:rPr>
        <w:t>Timothy Donahue</w:t>
      </w:r>
      <w:r>
        <w:rPr>
          <w:rFonts w:ascii="Arial" w:cs="Arial" w:eastAsia="Arial" w:hAnsi="Arial"/>
          <w:sz w:val="18"/>
          <w:szCs w:val="18"/>
          <w:color w:val="auto"/>
        </w:rPr>
        <w:t>. Mr. Donahue assumed the position of CEO of the Company in 2016. He has served as a member of the Board</w:t>
      </w:r>
      <w:r>
        <w:rPr>
          <w:rFonts w:ascii="Arial" w:cs="Arial" w:eastAsia="Arial" w:hAnsi="Arial"/>
          <w:sz w:val="18"/>
          <w:szCs w:val="18"/>
          <w:b w:val="1"/>
          <w:bCs w:val="1"/>
          <w:color w:val="auto"/>
        </w:rPr>
        <w:t xml:space="preserve"> </w:t>
      </w:r>
      <w:r>
        <w:rPr>
          <w:rFonts w:ascii="Arial" w:cs="Arial" w:eastAsia="Arial" w:hAnsi="Arial"/>
          <w:sz w:val="18"/>
          <w:szCs w:val="18"/>
          <w:color w:val="auto"/>
        </w:rPr>
        <w:t>since 2015 and in other executive positions with the Company for over 29 years. He brings to the Board intimate understanding of the operations and finances of the Company from his prior experience as the Company’s Chief Operating Officer and Chief Financial Officer.</w:t>
      </w:r>
    </w:p>
    <w:p>
      <w:pPr>
        <w:spacing w:after="0" w:line="113" w:lineRule="exact"/>
        <w:rPr>
          <w:sz w:val="20"/>
          <w:szCs w:val="20"/>
          <w:color w:val="auto"/>
        </w:rPr>
      </w:pPr>
    </w:p>
    <w:p>
      <w:pPr>
        <w:jc w:val="both"/>
        <w:ind w:firstLine="595"/>
        <w:spacing w:after="0" w:line="242" w:lineRule="auto"/>
        <w:rPr>
          <w:sz w:val="20"/>
          <w:szCs w:val="20"/>
          <w:color w:val="auto"/>
        </w:rPr>
      </w:pPr>
      <w:r>
        <w:rPr>
          <w:rFonts w:ascii="Arial" w:cs="Arial" w:eastAsia="Arial" w:hAnsi="Arial"/>
          <w:sz w:val="20"/>
          <w:szCs w:val="20"/>
          <w:b w:val="1"/>
          <w:bCs w:val="1"/>
          <w:color w:val="auto"/>
        </w:rPr>
        <w:t>Richard Fearon</w:t>
      </w:r>
      <w:r>
        <w:rPr>
          <w:rFonts w:ascii="Arial" w:cs="Arial" w:eastAsia="Arial" w:hAnsi="Arial"/>
          <w:sz w:val="20"/>
          <w:szCs w:val="20"/>
          <w:color w:val="auto"/>
        </w:rPr>
        <w:t>. Mr. Fearon’s experience as a CFO of an NYSE-listed global, diversified manufacturing company brings to the</w:t>
      </w:r>
      <w:r>
        <w:rPr>
          <w:rFonts w:ascii="Arial" w:cs="Arial" w:eastAsia="Arial" w:hAnsi="Arial"/>
          <w:sz w:val="20"/>
          <w:szCs w:val="20"/>
          <w:b w:val="1"/>
          <w:bCs w:val="1"/>
          <w:color w:val="auto"/>
        </w:rPr>
        <w:t xml:space="preserve"> </w:t>
      </w:r>
      <w:r>
        <w:rPr>
          <w:rFonts w:ascii="Arial" w:cs="Arial" w:eastAsia="Arial" w:hAnsi="Arial"/>
          <w:sz w:val="20"/>
          <w:szCs w:val="20"/>
          <w:color w:val="auto"/>
        </w:rPr>
        <w:t>Board comprehensive knowledge of financial accounting and extensive experience in financial reporting, corporate finance and capital markets, corporate development, risk management and investor relations. In addition, his service as a Lead Director of an NYSE-listed global provider of specialized polymers also provides significant governance experience.</w:t>
      </w:r>
    </w:p>
    <w:p>
      <w:pPr>
        <w:spacing w:after="0" w:line="139" w:lineRule="exact"/>
        <w:rPr>
          <w:sz w:val="20"/>
          <w:szCs w:val="20"/>
          <w:color w:val="auto"/>
        </w:rPr>
      </w:pPr>
    </w:p>
    <w:p>
      <w:pPr>
        <w:jc w:val="both"/>
        <w:ind w:firstLine="595"/>
        <w:spacing w:after="0" w:line="278" w:lineRule="auto"/>
        <w:rPr>
          <w:sz w:val="20"/>
          <w:szCs w:val="20"/>
          <w:color w:val="auto"/>
        </w:rPr>
      </w:pPr>
      <w:r>
        <w:rPr>
          <w:rFonts w:ascii="Arial" w:cs="Arial" w:eastAsia="Arial" w:hAnsi="Arial"/>
          <w:sz w:val="18"/>
          <w:szCs w:val="18"/>
          <w:b w:val="1"/>
          <w:bCs w:val="1"/>
          <w:color w:val="auto"/>
        </w:rPr>
        <w:t>Andrea Funk</w:t>
      </w:r>
      <w:r>
        <w:rPr>
          <w:rFonts w:ascii="Arial" w:cs="Arial" w:eastAsia="Arial" w:hAnsi="Arial"/>
          <w:sz w:val="18"/>
          <w:szCs w:val="18"/>
          <w:color w:val="auto"/>
        </w:rPr>
        <w:t>. Ms. Funk’s experience as VP Finance of the American division of an NYSE-listed international manufacturing</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and as former CEO and CFO of an international manufacturing and distribution business brings to the Board significant expertise in the areas of finance, operations and strategy. This, along with Ms. Funk’s prior experience in public accounting, enhance her contributions to the Audit Committee and qualifies her as an “audit committee financial expert” within the meaning of SEC regulations.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w:t>
      </w:r>
    </w:p>
    <w:p>
      <w:pPr>
        <w:sectPr>
          <w:pgSz w:w="11900" w:h="16838" w:orient="portrait"/>
          <w:cols w:equalWidth="0" w:num="1">
            <w:col w:w="11240"/>
          </w:cols>
          <w:pgMar w:left="320" w:top="443" w:right="339" w:bottom="1440" w:gutter="0" w:footer="0" w:header="0"/>
        </w:sectPr>
      </w:pPr>
    </w:p>
    <w:bookmarkStart w:id="25" w:name="page26"/>
    <w:bookmarkEnd w:id="25"/>
    <w:p>
      <w:pPr>
        <w:jc w:val="both"/>
        <w:ind w:firstLine="595"/>
        <w:spacing w:after="0" w:line="266" w:lineRule="auto"/>
        <w:rPr>
          <w:sz w:val="20"/>
          <w:szCs w:val="20"/>
          <w:color w:val="auto"/>
        </w:rPr>
      </w:pPr>
      <w:r>
        <w:rPr>
          <w:rFonts w:ascii="Arial" w:cs="Arial" w:eastAsia="Arial" w:hAnsi="Arial"/>
          <w:sz w:val="19"/>
          <w:szCs w:val="19"/>
          <w:b w:val="1"/>
          <w:bCs w:val="1"/>
          <w:color w:val="auto"/>
        </w:rPr>
        <w:t>Stephen Hagge</w:t>
      </w:r>
      <w:r>
        <w:rPr>
          <w:rFonts w:ascii="Arial" w:cs="Arial" w:eastAsia="Arial" w:hAnsi="Arial"/>
          <w:sz w:val="19"/>
          <w:szCs w:val="19"/>
          <w:color w:val="auto"/>
        </w:rPr>
        <w:t>. Mr. Hagge brings to the Board substantial leadership and management experience in public company governance,</w:t>
      </w:r>
      <w:r>
        <w:rPr>
          <w:rFonts w:ascii="Arial" w:cs="Arial" w:eastAsia="Arial" w:hAnsi="Arial"/>
          <w:sz w:val="19"/>
          <w:szCs w:val="19"/>
          <w:b w:val="1"/>
          <w:bCs w:val="1"/>
          <w:color w:val="auto"/>
        </w:rPr>
        <w:t xml:space="preserve"> </w:t>
      </w:r>
      <w:r>
        <w:rPr>
          <w:rFonts w:ascii="Arial" w:cs="Arial" w:eastAsia="Arial" w:hAnsi="Arial"/>
          <w:sz w:val="19"/>
          <w:szCs w:val="19"/>
          <w:color w:val="auto"/>
        </w:rPr>
        <w:t>operations, international business, strategic initiatives and risk management from his role as former CEO, CFO and COO of an NYSE-listed global packaging manufacturer. Mr. Hagge also serves as a director of another NYSE-listed company.</w:t>
      </w:r>
    </w:p>
    <w:p>
      <w:pPr>
        <w:spacing w:after="0" w:line="167" w:lineRule="exact"/>
        <w:rPr>
          <w:sz w:val="20"/>
          <w:szCs w:val="20"/>
          <w:color w:val="auto"/>
        </w:rPr>
      </w:pPr>
    </w:p>
    <w:p>
      <w:pPr>
        <w:jc w:val="both"/>
        <w:ind w:firstLine="595"/>
        <w:spacing w:after="0" w:line="287" w:lineRule="auto"/>
        <w:rPr>
          <w:sz w:val="20"/>
          <w:szCs w:val="20"/>
          <w:color w:val="auto"/>
        </w:rPr>
      </w:pPr>
      <w:r>
        <w:rPr>
          <w:rFonts w:ascii="Arial" w:cs="Arial" w:eastAsia="Arial" w:hAnsi="Arial"/>
          <w:sz w:val="18"/>
          <w:szCs w:val="18"/>
          <w:b w:val="1"/>
          <w:bCs w:val="1"/>
          <w:color w:val="auto"/>
        </w:rPr>
        <w:t>Rose Lee</w:t>
      </w:r>
      <w:r>
        <w:rPr>
          <w:rFonts w:ascii="Arial" w:cs="Arial" w:eastAsia="Arial" w:hAnsi="Arial"/>
          <w:sz w:val="18"/>
          <w:szCs w:val="18"/>
          <w:color w:val="auto"/>
        </w:rPr>
        <w:t>. Ms. Lee brings senior management experience to the Board from her role as president of a global business segment of an</w:t>
      </w:r>
      <w:r>
        <w:rPr>
          <w:rFonts w:ascii="Arial" w:cs="Arial" w:eastAsia="Arial" w:hAnsi="Arial"/>
          <w:sz w:val="18"/>
          <w:szCs w:val="18"/>
          <w:b w:val="1"/>
          <w:bCs w:val="1"/>
          <w:color w:val="auto"/>
        </w:rPr>
        <w:t xml:space="preserve"> </w:t>
      </w:r>
      <w:r>
        <w:rPr>
          <w:rFonts w:ascii="Arial" w:cs="Arial" w:eastAsia="Arial" w:hAnsi="Arial"/>
          <w:sz w:val="18"/>
          <w:szCs w:val="18"/>
          <w:color w:val="auto"/>
        </w:rPr>
        <w:t>NYSE-listed international manufacturing company. She also brings a deep knowledge of operations, engineering and technology matters that enhances her contribution to the Nominating and Corporate Governance Committee’s oversight of the Company’s sustainability efforts.</w:t>
      </w:r>
    </w:p>
    <w:p>
      <w:pPr>
        <w:spacing w:after="0" w:line="150" w:lineRule="exact"/>
        <w:rPr>
          <w:sz w:val="20"/>
          <w:szCs w:val="20"/>
          <w:color w:val="auto"/>
        </w:rPr>
      </w:pPr>
    </w:p>
    <w:p>
      <w:pPr>
        <w:jc w:val="both"/>
        <w:ind w:firstLine="595"/>
        <w:spacing w:after="0" w:line="255" w:lineRule="auto"/>
        <w:rPr>
          <w:sz w:val="20"/>
          <w:szCs w:val="20"/>
          <w:color w:val="auto"/>
        </w:rPr>
      </w:pPr>
      <w:r>
        <w:rPr>
          <w:rFonts w:ascii="Arial" w:cs="Arial" w:eastAsia="Arial" w:hAnsi="Arial"/>
          <w:sz w:val="19"/>
          <w:szCs w:val="19"/>
          <w:b w:val="1"/>
          <w:bCs w:val="1"/>
          <w:color w:val="auto"/>
        </w:rPr>
        <w:t>James Miller</w:t>
      </w:r>
      <w:r>
        <w:rPr>
          <w:rFonts w:ascii="Arial" w:cs="Arial" w:eastAsia="Arial" w:hAnsi="Arial"/>
          <w:sz w:val="19"/>
          <w:szCs w:val="19"/>
          <w:color w:val="auto"/>
        </w:rPr>
        <w:t>. Mr. Miller, the Company’s Independent Lead Director, brings to the Board substantial leadership and management</w:t>
      </w:r>
      <w:r>
        <w:rPr>
          <w:rFonts w:ascii="Arial" w:cs="Arial" w:eastAsia="Arial" w:hAnsi="Arial"/>
          <w:sz w:val="19"/>
          <w:szCs w:val="19"/>
          <w:b w:val="1"/>
          <w:bCs w:val="1"/>
          <w:color w:val="auto"/>
        </w:rPr>
        <w:t xml:space="preserve"> </w:t>
      </w:r>
      <w:r>
        <w:rPr>
          <w:rFonts w:ascii="Arial" w:cs="Arial" w:eastAsia="Arial" w:hAnsi="Arial"/>
          <w:sz w:val="19"/>
          <w:szCs w:val="19"/>
          <w:color w:val="auto"/>
        </w:rPr>
        <w:t>experience, both domestic and international, from his role as former chairman and CEO of an NYSE-listed international energy and utility holding company. Mr. Miller also brings to the Board significant safety and environmental and governmental relations and regulatory agency experience by virtue of his responsibilities at this highly regulated utility company. Mr. Miller chairs the Nominating and Corporate Governance Committee and also serves as director of two other NYSE-listed companies.</w:t>
      </w:r>
    </w:p>
    <w:p>
      <w:pPr>
        <w:spacing w:after="0" w:line="142" w:lineRule="exact"/>
        <w:rPr>
          <w:sz w:val="20"/>
          <w:szCs w:val="20"/>
          <w:color w:val="auto"/>
        </w:rPr>
      </w:pPr>
    </w:p>
    <w:p>
      <w:pPr>
        <w:jc w:val="both"/>
        <w:ind w:firstLine="595"/>
        <w:spacing w:after="0" w:line="246" w:lineRule="auto"/>
        <w:rPr>
          <w:sz w:val="20"/>
          <w:szCs w:val="20"/>
          <w:color w:val="auto"/>
        </w:rPr>
      </w:pPr>
      <w:r>
        <w:rPr>
          <w:rFonts w:ascii="Arial" w:cs="Arial" w:eastAsia="Arial" w:hAnsi="Arial"/>
          <w:sz w:val="20"/>
          <w:szCs w:val="20"/>
          <w:b w:val="1"/>
          <w:bCs w:val="1"/>
          <w:color w:val="auto"/>
        </w:rPr>
        <w:t>Josef Müller</w:t>
      </w:r>
      <w:r>
        <w:rPr>
          <w:rFonts w:ascii="Arial" w:cs="Arial" w:eastAsia="Arial" w:hAnsi="Arial"/>
          <w:sz w:val="20"/>
          <w:szCs w:val="20"/>
          <w:color w:val="auto"/>
        </w:rPr>
        <w:t>. Mr. Müller, a European national, has over 35 years of senior management experience at a global food and beverage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including as the CEO of that company’s greater China region. Mr. Müller brings to the Board significant emerging market business development and management experience.</w:t>
      </w:r>
    </w:p>
    <w:p>
      <w:pPr>
        <w:spacing w:after="0" w:line="136" w:lineRule="exact"/>
        <w:rPr>
          <w:sz w:val="20"/>
          <w:szCs w:val="20"/>
          <w:color w:val="auto"/>
        </w:rPr>
      </w:pPr>
    </w:p>
    <w:p>
      <w:pPr>
        <w:jc w:val="both"/>
        <w:ind w:firstLine="595"/>
        <w:spacing w:after="0" w:line="273" w:lineRule="auto"/>
        <w:rPr>
          <w:sz w:val="20"/>
          <w:szCs w:val="20"/>
          <w:color w:val="auto"/>
        </w:rPr>
      </w:pPr>
      <w:r>
        <w:rPr>
          <w:rFonts w:ascii="Arial" w:cs="Arial" w:eastAsia="Arial" w:hAnsi="Arial"/>
          <w:sz w:val="18"/>
          <w:szCs w:val="18"/>
          <w:b w:val="1"/>
          <w:bCs w:val="1"/>
          <w:color w:val="auto"/>
        </w:rPr>
        <w:t>B. Craig Owens</w:t>
      </w:r>
      <w:r>
        <w:rPr>
          <w:rFonts w:ascii="Arial" w:cs="Arial" w:eastAsia="Arial" w:hAnsi="Arial"/>
          <w:sz w:val="18"/>
          <w:szCs w:val="18"/>
          <w:color w:val="auto"/>
        </w:rPr>
        <w:t>. Mr. Owens’ extensive experience in the consumer food and beverage industries, including his former service as the</w:t>
      </w:r>
      <w:r>
        <w:rPr>
          <w:rFonts w:ascii="Arial" w:cs="Arial" w:eastAsia="Arial" w:hAnsi="Arial"/>
          <w:sz w:val="18"/>
          <w:szCs w:val="18"/>
          <w:b w:val="1"/>
          <w:bCs w:val="1"/>
          <w:color w:val="auto"/>
        </w:rPr>
        <w:t xml:space="preserve"> </w:t>
      </w:r>
      <w:r>
        <w:rPr>
          <w:rFonts w:ascii="Arial" w:cs="Arial" w:eastAsia="Arial" w:hAnsi="Arial"/>
          <w:sz w:val="18"/>
          <w:szCs w:val="18"/>
          <w:color w:val="auto"/>
        </w:rPr>
        <w:t>CFO of a leading NYSE-listed international consumer food company, brings to the Board significant financial expertise, including all aspects of financial reporting, accounting, corporate finance and capital markets, as well as significant experience in strategic planning, business integration and operations, and in managing supply chain organizations. He also has considerable knowledge of the retail industry having served as CFO of a leading international grocery retailer. Mr. Owens also serves as a director of three other NYSE-listed companies.</w:t>
      </w:r>
    </w:p>
    <w:p>
      <w:pPr>
        <w:spacing w:after="0" w:line="125" w:lineRule="exact"/>
        <w:rPr>
          <w:sz w:val="20"/>
          <w:szCs w:val="20"/>
          <w:color w:val="auto"/>
        </w:rPr>
      </w:pPr>
    </w:p>
    <w:p>
      <w:pPr>
        <w:jc w:val="both"/>
        <w:ind w:firstLine="595"/>
        <w:spacing w:after="0" w:line="242" w:lineRule="auto"/>
        <w:rPr>
          <w:sz w:val="20"/>
          <w:szCs w:val="20"/>
          <w:color w:val="auto"/>
        </w:rPr>
      </w:pPr>
      <w:r>
        <w:rPr>
          <w:rFonts w:ascii="Arial" w:cs="Arial" w:eastAsia="Arial" w:hAnsi="Arial"/>
          <w:sz w:val="20"/>
          <w:szCs w:val="20"/>
          <w:b w:val="1"/>
          <w:bCs w:val="1"/>
          <w:color w:val="auto"/>
        </w:rPr>
        <w:t>Caesar Sweitzer</w:t>
      </w:r>
      <w:r>
        <w:rPr>
          <w:rFonts w:ascii="Arial" w:cs="Arial" w:eastAsia="Arial" w:hAnsi="Arial"/>
          <w:sz w:val="20"/>
          <w:szCs w:val="20"/>
          <w:color w:val="auto"/>
        </w:rPr>
        <w:t>. Mr. Sweitzer spent over 35 years in finance, primarily as an investment banker focusing on industrial companies.</w:t>
      </w:r>
      <w:r>
        <w:rPr>
          <w:rFonts w:ascii="Arial" w:cs="Arial" w:eastAsia="Arial" w:hAnsi="Arial"/>
          <w:sz w:val="20"/>
          <w:szCs w:val="20"/>
          <w:b w:val="1"/>
          <w:bCs w:val="1"/>
          <w:color w:val="auto"/>
        </w:rPr>
        <w:t xml:space="preserve"> </w:t>
      </w:r>
      <w:r>
        <w:rPr>
          <w:rFonts w:ascii="Arial" w:cs="Arial" w:eastAsia="Arial" w:hAnsi="Arial"/>
          <w:sz w:val="20"/>
          <w:szCs w:val="20"/>
          <w:color w:val="auto"/>
        </w:rPr>
        <w:t>Mr. Sweitzer brings to the Board significant knowledge of the global packaging industry as well as finance and investment matters, such as acquisitions, dispositions and corporate finance. Mr. Sweitzer’s experience qualifies him as an “audit committee financial expert” within the meaning of SEC regulations, and he chairs the Audit Committee.</w:t>
      </w:r>
    </w:p>
    <w:p>
      <w:pPr>
        <w:spacing w:after="0" w:line="151" w:lineRule="exact"/>
        <w:rPr>
          <w:sz w:val="20"/>
          <w:szCs w:val="20"/>
          <w:color w:val="auto"/>
        </w:rPr>
      </w:pPr>
    </w:p>
    <w:p>
      <w:pPr>
        <w:jc w:val="both"/>
        <w:ind w:firstLine="595"/>
        <w:spacing w:after="0" w:line="259" w:lineRule="auto"/>
        <w:rPr>
          <w:sz w:val="20"/>
          <w:szCs w:val="20"/>
          <w:color w:val="auto"/>
        </w:rPr>
      </w:pPr>
      <w:r>
        <w:rPr>
          <w:rFonts w:ascii="Arial" w:cs="Arial" w:eastAsia="Arial" w:hAnsi="Arial"/>
          <w:sz w:val="19"/>
          <w:szCs w:val="19"/>
          <w:b w:val="1"/>
          <w:bCs w:val="1"/>
          <w:color w:val="auto"/>
        </w:rPr>
        <w:t>Jim Turner</w:t>
      </w:r>
      <w:r>
        <w:rPr>
          <w:rFonts w:ascii="Arial" w:cs="Arial" w:eastAsia="Arial" w:hAnsi="Arial"/>
          <w:sz w:val="19"/>
          <w:szCs w:val="19"/>
          <w:color w:val="auto"/>
        </w:rPr>
        <w:t>. Mr. Turner’s extensive experience in the soft drink industry, and in particular his experience as owner and CEO of the</w:t>
      </w:r>
      <w:r>
        <w:rPr>
          <w:rFonts w:ascii="Arial" w:cs="Arial" w:eastAsia="Arial" w:hAnsi="Arial"/>
          <w:sz w:val="19"/>
          <w:szCs w:val="19"/>
          <w:b w:val="1"/>
          <w:bCs w:val="1"/>
          <w:color w:val="auto"/>
        </w:rPr>
        <w:t xml:space="preserve"> </w:t>
      </w:r>
      <w:r>
        <w:rPr>
          <w:rFonts w:ascii="Arial" w:cs="Arial" w:eastAsia="Arial" w:hAnsi="Arial"/>
          <w:sz w:val="19"/>
          <w:szCs w:val="19"/>
          <w:color w:val="auto"/>
        </w:rPr>
        <w:t>largest independent soft drink bottler in the U.S., gives the Board deep insight into the industry of many of the Company’s significant customers. Mr. Turner has valuable experience in business development, finance and mergers and acquisitions. Mr. Turner chairs the Compensation Committee and also chairs the board of a publicly-traded food and beverage company.</w:t>
      </w:r>
    </w:p>
    <w:p>
      <w:pPr>
        <w:spacing w:after="0" w:line="124" w:lineRule="exact"/>
        <w:rPr>
          <w:sz w:val="20"/>
          <w:szCs w:val="20"/>
          <w:color w:val="auto"/>
        </w:rPr>
      </w:pPr>
    </w:p>
    <w:p>
      <w:pPr>
        <w:jc w:val="both"/>
        <w:ind w:firstLine="595"/>
        <w:spacing w:after="0" w:line="242" w:lineRule="auto"/>
        <w:rPr>
          <w:sz w:val="20"/>
          <w:szCs w:val="20"/>
          <w:color w:val="auto"/>
        </w:rPr>
      </w:pPr>
      <w:r>
        <w:rPr>
          <w:rFonts w:ascii="Arial" w:cs="Arial" w:eastAsia="Arial" w:hAnsi="Arial"/>
          <w:sz w:val="20"/>
          <w:szCs w:val="20"/>
          <w:b w:val="1"/>
          <w:bCs w:val="1"/>
          <w:color w:val="auto"/>
        </w:rPr>
        <w:t>William Urkiel</w:t>
      </w:r>
      <w:r>
        <w:rPr>
          <w:rFonts w:ascii="Arial" w:cs="Arial" w:eastAsia="Arial" w:hAnsi="Arial"/>
          <w:sz w:val="20"/>
          <w:szCs w:val="20"/>
          <w:color w:val="auto"/>
        </w:rPr>
        <w:t>. Mr. Urkiel’s experience as CFO of a NYSE-listed provider of innovative document management systems and</w:t>
      </w:r>
      <w:r>
        <w:rPr>
          <w:rFonts w:ascii="Arial" w:cs="Arial" w:eastAsia="Arial" w:hAnsi="Arial"/>
          <w:sz w:val="20"/>
          <w:szCs w:val="20"/>
          <w:b w:val="1"/>
          <w:bCs w:val="1"/>
          <w:color w:val="auto"/>
        </w:rPr>
        <w:t xml:space="preserve"> </w:t>
      </w:r>
      <w:r>
        <w:rPr>
          <w:rFonts w:ascii="Arial" w:cs="Arial" w:eastAsia="Arial" w:hAnsi="Arial"/>
          <w:sz w:val="20"/>
          <w:szCs w:val="20"/>
          <w:color w:val="auto"/>
        </w:rPr>
        <w:t>services brings to the Board both leadership skills and comprehensive knowledge of accounting, finance and capital markets and corporate governance matters. Mr. Urkiel’s accounting and finance experience qualify him as an “audit committee financial expert” within the meaning of SEC regulations, and he serves on the Audit Committee.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22</w:t>
      </w:r>
    </w:p>
    <w:p>
      <w:pPr>
        <w:sectPr>
          <w:pgSz w:w="11900" w:h="16838" w:orient="portrait"/>
          <w:cols w:equalWidth="0" w:num="1">
            <w:col w:w="11240"/>
          </w:cols>
          <w:pgMar w:left="320" w:top="437" w:right="339" w:bottom="1440" w:gutter="0" w:footer="0" w:header="0"/>
        </w:sectPr>
      </w:pPr>
    </w:p>
    <w:bookmarkStart w:id="26" w:name="page27"/>
    <w:bookmarkEnd w:id="26"/>
    <w:p>
      <w:pPr>
        <w:spacing w:after="0"/>
        <w:rPr>
          <w:sz w:val="20"/>
          <w:szCs w:val="20"/>
          <w:color w:val="auto"/>
        </w:rPr>
      </w:pPr>
      <w:r>
        <w:rPr>
          <w:rFonts w:ascii="Arial" w:cs="Arial" w:eastAsia="Arial" w:hAnsi="Arial"/>
          <w:sz w:val="30"/>
          <w:szCs w:val="30"/>
          <w:b w:val="1"/>
          <w:bCs w:val="1"/>
          <w:color w:val="29650B"/>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3750" cy="317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3750" cy="31750"/>
                    </a:xfrm>
                    <a:prstGeom prst="rect">
                      <a:avLst/>
                    </a:prstGeom>
                    <a:noFill/>
                  </pic:spPr>
                </pic:pic>
              </a:graphicData>
            </a:graphic>
          </wp:anchor>
        </w:drawing>
      </w:r>
    </w:p>
    <w:p>
      <w:pPr>
        <w:spacing w:after="0" w:line="250" w:lineRule="exact"/>
        <w:rPr>
          <w:sz w:val="20"/>
          <w:szCs w:val="20"/>
          <w:color w:val="auto"/>
        </w:rPr>
      </w:pPr>
    </w:p>
    <w:p>
      <w:pPr>
        <w:jc w:val="both"/>
        <w:ind w:firstLine="595"/>
        <w:spacing w:after="0" w:line="284" w:lineRule="auto"/>
        <w:rPr>
          <w:sz w:val="20"/>
          <w:szCs w:val="20"/>
          <w:color w:val="auto"/>
        </w:rPr>
      </w:pPr>
      <w:r>
        <w:rPr>
          <w:rFonts w:ascii="Arial" w:cs="Arial" w:eastAsia="Arial" w:hAnsi="Arial"/>
          <w:sz w:val="18"/>
          <w:szCs w:val="18"/>
          <w:color w:val="auto"/>
        </w:rPr>
        <w:t>The following table lists 2019 Director compensation for all independent Directors who received compensation as Directors in 2019. Compensation for Mr. Donahue, the Company’s Chief Executive Officer, is reported in the Summary Compensation Table included in the Executive Compensation section below. Mr. Donahue does not earn additional compensation for his service as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112395</wp:posOffset>
            </wp:positionV>
            <wp:extent cx="7143750" cy="36226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3750" cy="3622675"/>
                    </a:xfrm>
                    <a:prstGeom prst="rect">
                      <a:avLst/>
                    </a:prstGeom>
                    <a:noFill/>
                  </pic:spPr>
                </pic:pic>
              </a:graphicData>
            </a:graphic>
          </wp:anchor>
        </w:drawing>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20" w:type="dxa"/>
            <w:vAlign w:val="bottom"/>
            <w:tcBorders>
              <w:top w:val="single" w:sz="8" w:color="auto"/>
            </w:tcBorders>
            <w:shd w:val="clear" w:color="auto" w:fill="29650B"/>
          </w:tcPr>
          <w:p>
            <w:pPr>
              <w:spacing w:after="0"/>
              <w:rPr>
                <w:sz w:val="18"/>
                <w:szCs w:val="18"/>
                <w:color w:val="auto"/>
              </w:rPr>
            </w:pPr>
          </w:p>
        </w:tc>
        <w:tc>
          <w:tcPr>
            <w:tcW w:w="2760" w:type="dxa"/>
            <w:vAlign w:val="bottom"/>
            <w:tcBorders>
              <w:top w:val="single" w:sz="8" w:color="auto"/>
            </w:tcBorders>
            <w:shd w:val="clear" w:color="auto" w:fill="29650B"/>
          </w:tcPr>
          <w:p>
            <w:pPr>
              <w:jc w:val="right"/>
              <w:ind w:right="461"/>
              <w:spacing w:after="0" w:line="210" w:lineRule="exact"/>
              <w:rPr>
                <w:sz w:val="20"/>
                <w:szCs w:val="20"/>
                <w:color w:val="auto"/>
              </w:rPr>
            </w:pPr>
            <w:r>
              <w:rPr>
                <w:rFonts w:ascii="Arial" w:cs="Arial" w:eastAsia="Arial" w:hAnsi="Arial"/>
                <w:sz w:val="20"/>
                <w:szCs w:val="20"/>
                <w:b w:val="1"/>
                <w:bCs w:val="1"/>
                <w:color w:val="FFFFFF"/>
              </w:rPr>
              <w:t>Fees Earned or</w:t>
            </w:r>
          </w:p>
        </w:tc>
        <w:tc>
          <w:tcPr>
            <w:tcW w:w="2800" w:type="dxa"/>
            <w:vAlign w:val="bottom"/>
            <w:tcBorders>
              <w:top w:val="single" w:sz="8" w:color="auto"/>
            </w:tcBorders>
            <w:shd w:val="clear" w:color="auto" w:fill="29650B"/>
          </w:tcPr>
          <w:p>
            <w:pPr>
              <w:spacing w:after="0"/>
              <w:rPr>
                <w:sz w:val="18"/>
                <w:szCs w:val="18"/>
                <w:color w:val="auto"/>
              </w:rPr>
            </w:pPr>
          </w:p>
        </w:tc>
        <w:tc>
          <w:tcPr>
            <w:tcW w:w="2160" w:type="dxa"/>
            <w:vAlign w:val="bottom"/>
            <w:tcBorders>
              <w:top w:val="single" w:sz="8" w:color="auto"/>
            </w:tcBorders>
            <w:shd w:val="clear" w:color="auto" w:fill="29650B"/>
          </w:tcPr>
          <w:p>
            <w:pPr>
              <w:spacing w:after="0"/>
              <w:rPr>
                <w:sz w:val="18"/>
                <w:szCs w:val="18"/>
                <w:color w:val="auto"/>
              </w:rPr>
            </w:pPr>
          </w:p>
        </w:tc>
      </w:tr>
      <w:tr>
        <w:trPr>
          <w:trHeight w:val="248"/>
        </w:trPr>
        <w:tc>
          <w:tcPr>
            <w:tcW w:w="3520" w:type="dxa"/>
            <w:vAlign w:val="bottom"/>
            <w:tcBorders>
              <w:bottom w:val="single" w:sz="8" w:color="auto"/>
            </w:tcBorders>
            <w:shd w:val="clear" w:color="auto" w:fill="29650B"/>
          </w:tcPr>
          <w:p>
            <w:pPr>
              <w:jc w:val="center"/>
              <w:ind w:left="221"/>
              <w:spacing w:after="0"/>
              <w:rPr>
                <w:sz w:val="20"/>
                <w:szCs w:val="20"/>
                <w:color w:val="auto"/>
              </w:rPr>
            </w:pPr>
            <w:r>
              <w:rPr>
                <w:rFonts w:ascii="Arial" w:cs="Arial" w:eastAsia="Arial" w:hAnsi="Arial"/>
                <w:sz w:val="20"/>
                <w:szCs w:val="20"/>
                <w:b w:val="1"/>
                <w:bCs w:val="1"/>
                <w:color w:val="FFFFFF"/>
                <w:w w:val="88"/>
              </w:rPr>
              <w:t>Name</w:t>
            </w:r>
          </w:p>
        </w:tc>
        <w:tc>
          <w:tcPr>
            <w:tcW w:w="2760" w:type="dxa"/>
            <w:vAlign w:val="bottom"/>
            <w:tcBorders>
              <w:bottom w:val="single" w:sz="8" w:color="auto"/>
            </w:tcBorders>
            <w:shd w:val="clear" w:color="auto" w:fill="29650B"/>
          </w:tcPr>
          <w:p>
            <w:pPr>
              <w:jc w:val="right"/>
              <w:ind w:right="421"/>
              <w:spacing w:after="0"/>
              <w:rPr>
                <w:sz w:val="20"/>
                <w:szCs w:val="20"/>
                <w:color w:val="auto"/>
              </w:rPr>
            </w:pPr>
            <w:r>
              <w:rPr>
                <w:rFonts w:ascii="Arial" w:cs="Arial" w:eastAsia="Arial" w:hAnsi="Arial"/>
                <w:sz w:val="20"/>
                <w:szCs w:val="20"/>
                <w:b w:val="1"/>
                <w:bCs w:val="1"/>
                <w:color w:val="FFFFFF"/>
              </w:rPr>
              <w:t>Paid in Cash (1)</w:t>
            </w:r>
          </w:p>
        </w:tc>
        <w:tc>
          <w:tcPr>
            <w:tcW w:w="2800" w:type="dxa"/>
            <w:vAlign w:val="bottom"/>
            <w:tcBorders>
              <w:bottom w:val="single" w:sz="8" w:color="auto"/>
            </w:tcBorders>
            <w:shd w:val="clear" w:color="auto" w:fill="29650B"/>
          </w:tcPr>
          <w:p>
            <w:pPr>
              <w:jc w:val="right"/>
              <w:ind w:right="721"/>
              <w:spacing w:after="0"/>
              <w:rPr>
                <w:sz w:val="20"/>
                <w:szCs w:val="20"/>
                <w:color w:val="auto"/>
              </w:rPr>
            </w:pPr>
            <w:r>
              <w:rPr>
                <w:rFonts w:ascii="Arial" w:cs="Arial" w:eastAsia="Arial" w:hAnsi="Arial"/>
                <w:sz w:val="20"/>
                <w:szCs w:val="20"/>
                <w:b w:val="1"/>
                <w:bCs w:val="1"/>
                <w:color w:val="FFFFFF"/>
              </w:rPr>
              <w:t>Stock Awards (2)</w:t>
            </w:r>
          </w:p>
        </w:tc>
        <w:tc>
          <w:tcPr>
            <w:tcW w:w="2160" w:type="dxa"/>
            <w:vAlign w:val="bottom"/>
            <w:tcBorders>
              <w:bottom w:val="single" w:sz="8" w:color="auto"/>
            </w:tcBorders>
            <w:shd w:val="clear" w:color="auto" w:fill="29650B"/>
          </w:tcPr>
          <w:p>
            <w:pPr>
              <w:jc w:val="right"/>
              <w:ind w:right="921"/>
              <w:spacing w:after="0"/>
              <w:rPr>
                <w:sz w:val="20"/>
                <w:szCs w:val="20"/>
                <w:color w:val="auto"/>
              </w:rPr>
            </w:pPr>
            <w:r>
              <w:rPr>
                <w:rFonts w:ascii="Arial" w:cs="Arial" w:eastAsia="Arial" w:hAnsi="Arial"/>
                <w:sz w:val="20"/>
                <w:szCs w:val="20"/>
                <w:b w:val="1"/>
                <w:bCs w:val="1"/>
                <w:color w:val="FFFFFF"/>
              </w:rPr>
              <w:t>Total</w:t>
            </w:r>
          </w:p>
        </w:tc>
      </w:tr>
      <w:tr>
        <w:trPr>
          <w:trHeight w:val="216"/>
        </w:trPr>
        <w:tc>
          <w:tcPr>
            <w:tcW w:w="3520" w:type="dxa"/>
            <w:vAlign w:val="bottom"/>
            <w:tcBorders>
              <w:bottom w:val="single" w:sz="8" w:color="auto"/>
            </w:tcBorders>
          </w:tcPr>
          <w:p>
            <w:pPr>
              <w:jc w:val="center"/>
              <w:ind w:left="221"/>
              <w:spacing w:after="0" w:line="216" w:lineRule="exact"/>
              <w:rPr>
                <w:sz w:val="20"/>
                <w:szCs w:val="20"/>
                <w:color w:val="auto"/>
              </w:rPr>
            </w:pPr>
            <w:r>
              <w:rPr>
                <w:rFonts w:ascii="Arial" w:cs="Arial" w:eastAsia="Arial" w:hAnsi="Arial"/>
                <w:sz w:val="20"/>
                <w:szCs w:val="20"/>
                <w:color w:val="auto"/>
                <w:w w:val="89"/>
              </w:rPr>
              <w:t>John Conway</w:t>
            </w:r>
          </w:p>
        </w:tc>
        <w:tc>
          <w:tcPr>
            <w:tcW w:w="2760" w:type="dxa"/>
            <w:vAlign w:val="bottom"/>
            <w:tcBorders>
              <w:bottom w:val="single" w:sz="8" w:color="auto"/>
            </w:tcBorders>
          </w:tcPr>
          <w:p>
            <w:pPr>
              <w:jc w:val="right"/>
              <w:ind w:right="521"/>
              <w:spacing w:after="0" w:line="216" w:lineRule="exact"/>
              <w:rPr>
                <w:sz w:val="20"/>
                <w:szCs w:val="20"/>
                <w:color w:val="auto"/>
              </w:rPr>
            </w:pPr>
            <w:r>
              <w:rPr>
                <w:rFonts w:ascii="Arial" w:cs="Arial" w:eastAsia="Arial" w:hAnsi="Arial"/>
                <w:sz w:val="20"/>
                <w:szCs w:val="20"/>
                <w:color w:val="auto"/>
              </w:rPr>
              <w:t>$180,000</w:t>
            </w:r>
          </w:p>
        </w:tc>
        <w:tc>
          <w:tcPr>
            <w:tcW w:w="2800" w:type="dxa"/>
            <w:vAlign w:val="bottom"/>
            <w:tcBorders>
              <w:bottom w:val="single" w:sz="8" w:color="auto"/>
            </w:tcBorders>
          </w:tcPr>
          <w:p>
            <w:pPr>
              <w:jc w:val="right"/>
              <w:ind w:right="621"/>
              <w:spacing w:after="0" w:line="216" w:lineRule="exact"/>
              <w:rPr>
                <w:sz w:val="20"/>
                <w:szCs w:val="20"/>
                <w:color w:val="auto"/>
              </w:rPr>
            </w:pPr>
            <w:r>
              <w:rPr>
                <w:rFonts w:ascii="Arial" w:cs="Arial" w:eastAsia="Arial" w:hAnsi="Arial"/>
                <w:sz w:val="20"/>
                <w:szCs w:val="20"/>
                <w:color w:val="auto"/>
              </w:rPr>
              <w:t>$135,000</w:t>
            </w:r>
          </w:p>
        </w:tc>
        <w:tc>
          <w:tcPr>
            <w:tcW w:w="2160" w:type="dxa"/>
            <w:vAlign w:val="bottom"/>
            <w:tcBorders>
              <w:bottom w:val="single" w:sz="8" w:color="auto"/>
            </w:tcBorders>
          </w:tcPr>
          <w:p>
            <w:pPr>
              <w:jc w:val="right"/>
              <w:ind w:right="481"/>
              <w:spacing w:after="0" w:line="216" w:lineRule="exact"/>
              <w:rPr>
                <w:sz w:val="20"/>
                <w:szCs w:val="20"/>
                <w:color w:val="auto"/>
              </w:rPr>
            </w:pPr>
            <w:r>
              <w:rPr>
                <w:rFonts w:ascii="Arial" w:cs="Arial" w:eastAsia="Arial" w:hAnsi="Arial"/>
                <w:sz w:val="20"/>
                <w:szCs w:val="20"/>
                <w:color w:val="auto"/>
              </w:rPr>
              <w:t>$315,000</w:t>
            </w:r>
          </w:p>
        </w:tc>
      </w:tr>
      <w:tr>
        <w:trPr>
          <w:trHeight w:val="216"/>
        </w:trPr>
        <w:tc>
          <w:tcPr>
            <w:tcW w:w="3520" w:type="dxa"/>
            <w:vAlign w:val="bottom"/>
            <w:tcBorders>
              <w:bottom w:val="single" w:sz="8" w:color="auto"/>
            </w:tcBorders>
            <w:shd w:val="clear" w:color="auto" w:fill="D9D9D9"/>
          </w:tcPr>
          <w:p>
            <w:pPr>
              <w:jc w:val="center"/>
              <w:ind w:left="221"/>
              <w:spacing w:after="0" w:line="216" w:lineRule="exact"/>
              <w:rPr>
                <w:sz w:val="20"/>
                <w:szCs w:val="20"/>
                <w:color w:val="auto"/>
              </w:rPr>
            </w:pPr>
            <w:r>
              <w:rPr>
                <w:rFonts w:ascii="Arial" w:cs="Arial" w:eastAsia="Arial" w:hAnsi="Arial"/>
                <w:sz w:val="20"/>
                <w:szCs w:val="20"/>
                <w:color w:val="auto"/>
                <w:w w:val="94"/>
              </w:rPr>
              <w:t>Arnold Donald (3)</w:t>
            </w:r>
          </w:p>
        </w:tc>
        <w:tc>
          <w:tcPr>
            <w:tcW w:w="2760" w:type="dxa"/>
            <w:vAlign w:val="bottom"/>
            <w:tcBorders>
              <w:bottom w:val="single" w:sz="8" w:color="auto"/>
            </w:tcBorders>
            <w:shd w:val="clear" w:color="auto" w:fill="D9D9D9"/>
          </w:tcPr>
          <w:p>
            <w:pPr>
              <w:jc w:val="right"/>
              <w:ind w:right="521"/>
              <w:spacing w:after="0" w:line="216" w:lineRule="exact"/>
              <w:rPr>
                <w:sz w:val="20"/>
                <w:szCs w:val="20"/>
                <w:color w:val="auto"/>
              </w:rPr>
            </w:pPr>
            <w:r>
              <w:rPr>
                <w:rFonts w:ascii="Arial" w:cs="Arial" w:eastAsia="Arial" w:hAnsi="Arial"/>
                <w:sz w:val="20"/>
                <w:szCs w:val="20"/>
                <w:color w:val="auto"/>
              </w:rPr>
              <w:t>51,750</w:t>
            </w:r>
          </w:p>
        </w:tc>
        <w:tc>
          <w:tcPr>
            <w:tcW w:w="2800" w:type="dxa"/>
            <w:vAlign w:val="bottom"/>
            <w:tcBorders>
              <w:bottom w:val="single" w:sz="8" w:color="auto"/>
            </w:tcBorders>
            <w:shd w:val="clear" w:color="auto" w:fill="D9D9D9"/>
          </w:tcPr>
          <w:p>
            <w:pPr>
              <w:jc w:val="right"/>
              <w:ind w:right="621"/>
              <w:spacing w:after="0" w:line="216" w:lineRule="exact"/>
              <w:rPr>
                <w:sz w:val="20"/>
                <w:szCs w:val="20"/>
                <w:color w:val="auto"/>
              </w:rPr>
            </w:pPr>
            <w:r>
              <w:rPr>
                <w:rFonts w:ascii="Arial" w:cs="Arial" w:eastAsia="Arial" w:hAnsi="Arial"/>
                <w:sz w:val="20"/>
                <w:szCs w:val="20"/>
                <w:color w:val="auto"/>
              </w:rPr>
              <w:t>67,500</w:t>
            </w:r>
          </w:p>
        </w:tc>
        <w:tc>
          <w:tcPr>
            <w:tcW w:w="2160" w:type="dxa"/>
            <w:vAlign w:val="bottom"/>
            <w:tcBorders>
              <w:bottom w:val="single" w:sz="8" w:color="auto"/>
            </w:tcBorders>
            <w:shd w:val="clear" w:color="auto" w:fill="D9D9D9"/>
          </w:tcPr>
          <w:p>
            <w:pPr>
              <w:jc w:val="right"/>
              <w:ind w:right="481"/>
              <w:spacing w:after="0" w:line="216" w:lineRule="exact"/>
              <w:rPr>
                <w:sz w:val="20"/>
                <w:szCs w:val="20"/>
                <w:color w:val="auto"/>
              </w:rPr>
            </w:pPr>
            <w:r>
              <w:rPr>
                <w:rFonts w:ascii="Arial" w:cs="Arial" w:eastAsia="Arial" w:hAnsi="Arial"/>
                <w:sz w:val="20"/>
                <w:szCs w:val="20"/>
                <w:color w:val="auto"/>
              </w:rPr>
              <w:t>119,250</w:t>
            </w:r>
          </w:p>
        </w:tc>
      </w:tr>
      <w:tr>
        <w:trPr>
          <w:trHeight w:val="216"/>
        </w:trPr>
        <w:tc>
          <w:tcPr>
            <w:tcW w:w="3520" w:type="dxa"/>
            <w:vAlign w:val="bottom"/>
            <w:tcBorders>
              <w:bottom w:val="single" w:sz="8" w:color="auto"/>
            </w:tcBorders>
          </w:tcPr>
          <w:p>
            <w:pPr>
              <w:jc w:val="center"/>
              <w:ind w:left="221"/>
              <w:spacing w:after="0" w:line="216" w:lineRule="exact"/>
              <w:rPr>
                <w:sz w:val="20"/>
                <w:szCs w:val="20"/>
                <w:color w:val="auto"/>
              </w:rPr>
            </w:pPr>
            <w:r>
              <w:rPr>
                <w:rFonts w:ascii="Arial" w:cs="Arial" w:eastAsia="Arial" w:hAnsi="Arial"/>
                <w:sz w:val="20"/>
                <w:szCs w:val="20"/>
                <w:color w:val="auto"/>
                <w:w w:val="90"/>
              </w:rPr>
              <w:t>Andrea Funk</w:t>
            </w:r>
          </w:p>
        </w:tc>
        <w:tc>
          <w:tcPr>
            <w:tcW w:w="2760" w:type="dxa"/>
            <w:vAlign w:val="bottom"/>
            <w:tcBorders>
              <w:bottom w:val="single" w:sz="8" w:color="auto"/>
            </w:tcBorders>
          </w:tcPr>
          <w:p>
            <w:pPr>
              <w:jc w:val="right"/>
              <w:ind w:right="521"/>
              <w:spacing w:after="0" w:line="216" w:lineRule="exact"/>
              <w:rPr>
                <w:sz w:val="20"/>
                <w:szCs w:val="20"/>
                <w:color w:val="auto"/>
              </w:rPr>
            </w:pPr>
            <w:r>
              <w:rPr>
                <w:rFonts w:ascii="Arial" w:cs="Arial" w:eastAsia="Arial" w:hAnsi="Arial"/>
                <w:sz w:val="20"/>
                <w:szCs w:val="20"/>
                <w:color w:val="auto"/>
              </w:rPr>
              <w:t>115,250</w:t>
            </w:r>
          </w:p>
        </w:tc>
        <w:tc>
          <w:tcPr>
            <w:tcW w:w="2800" w:type="dxa"/>
            <w:vAlign w:val="bottom"/>
            <w:tcBorders>
              <w:bottom w:val="single" w:sz="8" w:color="auto"/>
            </w:tcBorders>
          </w:tcPr>
          <w:p>
            <w:pPr>
              <w:jc w:val="right"/>
              <w:ind w:right="621"/>
              <w:spacing w:after="0" w:line="216" w:lineRule="exact"/>
              <w:rPr>
                <w:sz w:val="20"/>
                <w:szCs w:val="20"/>
                <w:color w:val="auto"/>
              </w:rPr>
            </w:pPr>
            <w:r>
              <w:rPr>
                <w:rFonts w:ascii="Arial" w:cs="Arial" w:eastAsia="Arial" w:hAnsi="Arial"/>
                <w:sz w:val="20"/>
                <w:szCs w:val="20"/>
                <w:color w:val="auto"/>
              </w:rPr>
              <w:t>135,000</w:t>
            </w:r>
          </w:p>
        </w:tc>
        <w:tc>
          <w:tcPr>
            <w:tcW w:w="2160" w:type="dxa"/>
            <w:vAlign w:val="bottom"/>
            <w:tcBorders>
              <w:bottom w:val="single" w:sz="8" w:color="auto"/>
            </w:tcBorders>
          </w:tcPr>
          <w:p>
            <w:pPr>
              <w:jc w:val="right"/>
              <w:ind w:right="481"/>
              <w:spacing w:after="0" w:line="216" w:lineRule="exact"/>
              <w:rPr>
                <w:sz w:val="20"/>
                <w:szCs w:val="20"/>
                <w:color w:val="auto"/>
              </w:rPr>
            </w:pPr>
            <w:r>
              <w:rPr>
                <w:rFonts w:ascii="Arial" w:cs="Arial" w:eastAsia="Arial" w:hAnsi="Arial"/>
                <w:sz w:val="20"/>
                <w:szCs w:val="20"/>
                <w:color w:val="auto"/>
              </w:rPr>
              <w:t>250,250</w:t>
            </w:r>
          </w:p>
        </w:tc>
      </w:tr>
      <w:tr>
        <w:trPr>
          <w:trHeight w:val="216"/>
        </w:trPr>
        <w:tc>
          <w:tcPr>
            <w:tcW w:w="3520" w:type="dxa"/>
            <w:vAlign w:val="bottom"/>
            <w:tcBorders>
              <w:bottom w:val="single" w:sz="8" w:color="auto"/>
            </w:tcBorders>
            <w:shd w:val="clear" w:color="auto" w:fill="D9D9D9"/>
          </w:tcPr>
          <w:p>
            <w:pPr>
              <w:jc w:val="center"/>
              <w:ind w:left="221"/>
              <w:spacing w:after="0" w:line="216" w:lineRule="exact"/>
              <w:rPr>
                <w:sz w:val="20"/>
                <w:szCs w:val="20"/>
                <w:color w:val="auto"/>
              </w:rPr>
            </w:pPr>
            <w:r>
              <w:rPr>
                <w:rFonts w:ascii="Arial" w:cs="Arial" w:eastAsia="Arial" w:hAnsi="Arial"/>
                <w:sz w:val="20"/>
                <w:szCs w:val="20"/>
                <w:color w:val="auto"/>
                <w:w w:val="88"/>
              </w:rPr>
              <w:t>Rose Lee</w:t>
            </w:r>
          </w:p>
        </w:tc>
        <w:tc>
          <w:tcPr>
            <w:tcW w:w="2760" w:type="dxa"/>
            <w:vAlign w:val="bottom"/>
            <w:tcBorders>
              <w:bottom w:val="single" w:sz="8" w:color="auto"/>
            </w:tcBorders>
            <w:shd w:val="clear" w:color="auto" w:fill="D9D9D9"/>
          </w:tcPr>
          <w:p>
            <w:pPr>
              <w:jc w:val="right"/>
              <w:ind w:right="521"/>
              <w:spacing w:after="0" w:line="216" w:lineRule="exact"/>
              <w:rPr>
                <w:sz w:val="20"/>
                <w:szCs w:val="20"/>
                <w:color w:val="auto"/>
              </w:rPr>
            </w:pPr>
            <w:r>
              <w:rPr>
                <w:rFonts w:ascii="Arial" w:cs="Arial" w:eastAsia="Arial" w:hAnsi="Arial"/>
                <w:sz w:val="20"/>
                <w:szCs w:val="20"/>
                <w:color w:val="auto"/>
              </w:rPr>
              <w:t>115,250</w:t>
            </w:r>
          </w:p>
        </w:tc>
        <w:tc>
          <w:tcPr>
            <w:tcW w:w="2800" w:type="dxa"/>
            <w:vAlign w:val="bottom"/>
            <w:tcBorders>
              <w:bottom w:val="single" w:sz="8" w:color="auto"/>
            </w:tcBorders>
            <w:shd w:val="clear" w:color="auto" w:fill="D9D9D9"/>
          </w:tcPr>
          <w:p>
            <w:pPr>
              <w:jc w:val="right"/>
              <w:ind w:right="621"/>
              <w:spacing w:after="0" w:line="216" w:lineRule="exact"/>
              <w:rPr>
                <w:sz w:val="20"/>
                <w:szCs w:val="20"/>
                <w:color w:val="auto"/>
              </w:rPr>
            </w:pPr>
            <w:r>
              <w:rPr>
                <w:rFonts w:ascii="Arial" w:cs="Arial" w:eastAsia="Arial" w:hAnsi="Arial"/>
                <w:sz w:val="20"/>
                <w:szCs w:val="20"/>
                <w:color w:val="auto"/>
              </w:rPr>
              <w:t>135,000</w:t>
            </w:r>
          </w:p>
        </w:tc>
        <w:tc>
          <w:tcPr>
            <w:tcW w:w="2160" w:type="dxa"/>
            <w:vAlign w:val="bottom"/>
            <w:tcBorders>
              <w:bottom w:val="single" w:sz="8" w:color="auto"/>
            </w:tcBorders>
            <w:shd w:val="clear" w:color="auto" w:fill="D9D9D9"/>
          </w:tcPr>
          <w:p>
            <w:pPr>
              <w:jc w:val="right"/>
              <w:ind w:right="481"/>
              <w:spacing w:after="0" w:line="216" w:lineRule="exact"/>
              <w:rPr>
                <w:sz w:val="20"/>
                <w:szCs w:val="20"/>
                <w:color w:val="auto"/>
              </w:rPr>
            </w:pPr>
            <w:r>
              <w:rPr>
                <w:rFonts w:ascii="Arial" w:cs="Arial" w:eastAsia="Arial" w:hAnsi="Arial"/>
                <w:sz w:val="20"/>
                <w:szCs w:val="20"/>
                <w:color w:val="auto"/>
              </w:rPr>
              <w:t>250,250</w:t>
            </w:r>
          </w:p>
        </w:tc>
      </w:tr>
      <w:tr>
        <w:trPr>
          <w:trHeight w:val="216"/>
        </w:trPr>
        <w:tc>
          <w:tcPr>
            <w:tcW w:w="3520" w:type="dxa"/>
            <w:vAlign w:val="bottom"/>
            <w:tcBorders>
              <w:bottom w:val="single" w:sz="8" w:color="auto"/>
            </w:tcBorders>
          </w:tcPr>
          <w:p>
            <w:pPr>
              <w:jc w:val="center"/>
              <w:ind w:left="221"/>
              <w:spacing w:after="0" w:line="216" w:lineRule="exact"/>
              <w:rPr>
                <w:sz w:val="20"/>
                <w:szCs w:val="20"/>
                <w:color w:val="auto"/>
              </w:rPr>
            </w:pPr>
            <w:r>
              <w:rPr>
                <w:rFonts w:ascii="Arial" w:cs="Arial" w:eastAsia="Arial" w:hAnsi="Arial"/>
                <w:sz w:val="20"/>
                <w:szCs w:val="20"/>
                <w:color w:val="auto"/>
                <w:w w:val="98"/>
              </w:rPr>
              <w:t>William Little (4)</w:t>
            </w:r>
          </w:p>
        </w:tc>
        <w:tc>
          <w:tcPr>
            <w:tcW w:w="2760" w:type="dxa"/>
            <w:vAlign w:val="bottom"/>
            <w:tcBorders>
              <w:bottom w:val="single" w:sz="8" w:color="auto"/>
            </w:tcBorders>
          </w:tcPr>
          <w:p>
            <w:pPr>
              <w:jc w:val="right"/>
              <w:ind w:right="521"/>
              <w:spacing w:after="0" w:line="216" w:lineRule="exact"/>
              <w:rPr>
                <w:sz w:val="20"/>
                <w:szCs w:val="20"/>
                <w:color w:val="auto"/>
              </w:rPr>
            </w:pPr>
            <w:r>
              <w:rPr>
                <w:rFonts w:ascii="Arial" w:cs="Arial" w:eastAsia="Arial" w:hAnsi="Arial"/>
                <w:sz w:val="20"/>
                <w:szCs w:val="20"/>
                <w:color w:val="auto"/>
              </w:rPr>
              <w:t>137,250</w:t>
            </w:r>
          </w:p>
        </w:tc>
        <w:tc>
          <w:tcPr>
            <w:tcW w:w="2800" w:type="dxa"/>
            <w:vAlign w:val="bottom"/>
            <w:tcBorders>
              <w:bottom w:val="single" w:sz="8" w:color="auto"/>
            </w:tcBorders>
          </w:tcPr>
          <w:p>
            <w:pPr>
              <w:jc w:val="right"/>
              <w:ind w:right="621"/>
              <w:spacing w:after="0" w:line="216" w:lineRule="exact"/>
              <w:rPr>
                <w:sz w:val="20"/>
                <w:szCs w:val="20"/>
                <w:color w:val="auto"/>
              </w:rPr>
            </w:pPr>
            <w:r>
              <w:rPr>
                <w:rFonts w:ascii="Arial" w:cs="Arial" w:eastAsia="Arial" w:hAnsi="Arial"/>
                <w:sz w:val="20"/>
                <w:szCs w:val="20"/>
                <w:color w:val="auto"/>
              </w:rPr>
              <w:t>135,000</w:t>
            </w:r>
          </w:p>
        </w:tc>
        <w:tc>
          <w:tcPr>
            <w:tcW w:w="2160" w:type="dxa"/>
            <w:vAlign w:val="bottom"/>
            <w:tcBorders>
              <w:bottom w:val="single" w:sz="8" w:color="auto"/>
            </w:tcBorders>
          </w:tcPr>
          <w:p>
            <w:pPr>
              <w:jc w:val="right"/>
              <w:ind w:right="481"/>
              <w:spacing w:after="0" w:line="216" w:lineRule="exact"/>
              <w:rPr>
                <w:sz w:val="20"/>
                <w:szCs w:val="20"/>
                <w:color w:val="auto"/>
              </w:rPr>
            </w:pPr>
            <w:r>
              <w:rPr>
                <w:rFonts w:ascii="Arial" w:cs="Arial" w:eastAsia="Arial" w:hAnsi="Arial"/>
                <w:sz w:val="20"/>
                <w:szCs w:val="20"/>
                <w:color w:val="auto"/>
              </w:rPr>
              <w:t>272,250</w:t>
            </w:r>
          </w:p>
        </w:tc>
      </w:tr>
      <w:tr>
        <w:trPr>
          <w:trHeight w:val="216"/>
        </w:trPr>
        <w:tc>
          <w:tcPr>
            <w:tcW w:w="3520" w:type="dxa"/>
            <w:vAlign w:val="bottom"/>
            <w:tcBorders>
              <w:bottom w:val="single" w:sz="8" w:color="auto"/>
            </w:tcBorders>
            <w:shd w:val="clear" w:color="auto" w:fill="D9D9D9"/>
          </w:tcPr>
          <w:p>
            <w:pPr>
              <w:jc w:val="center"/>
              <w:ind w:left="221"/>
              <w:spacing w:after="0" w:line="216" w:lineRule="exact"/>
              <w:rPr>
                <w:sz w:val="20"/>
                <w:szCs w:val="20"/>
                <w:color w:val="auto"/>
              </w:rPr>
            </w:pPr>
            <w:r>
              <w:rPr>
                <w:rFonts w:ascii="Arial" w:cs="Arial" w:eastAsia="Arial" w:hAnsi="Arial"/>
                <w:sz w:val="20"/>
                <w:szCs w:val="20"/>
                <w:color w:val="auto"/>
                <w:w w:val="92"/>
              </w:rPr>
              <w:t>Hans Löliger (4)</w:t>
            </w:r>
          </w:p>
        </w:tc>
        <w:tc>
          <w:tcPr>
            <w:tcW w:w="2760" w:type="dxa"/>
            <w:vAlign w:val="bottom"/>
            <w:tcBorders>
              <w:bottom w:val="single" w:sz="8" w:color="auto"/>
            </w:tcBorders>
            <w:shd w:val="clear" w:color="auto" w:fill="D9D9D9"/>
          </w:tcPr>
          <w:p>
            <w:pPr>
              <w:jc w:val="right"/>
              <w:ind w:right="521"/>
              <w:spacing w:after="0" w:line="216" w:lineRule="exact"/>
              <w:rPr>
                <w:sz w:val="20"/>
                <w:szCs w:val="20"/>
                <w:color w:val="auto"/>
              </w:rPr>
            </w:pPr>
            <w:r>
              <w:rPr>
                <w:rFonts w:ascii="Arial" w:cs="Arial" w:eastAsia="Arial" w:hAnsi="Arial"/>
                <w:sz w:val="20"/>
                <w:szCs w:val="20"/>
                <w:color w:val="auto"/>
              </w:rPr>
              <w:t>118,500</w:t>
            </w:r>
          </w:p>
        </w:tc>
        <w:tc>
          <w:tcPr>
            <w:tcW w:w="2800" w:type="dxa"/>
            <w:vAlign w:val="bottom"/>
            <w:tcBorders>
              <w:bottom w:val="single" w:sz="8" w:color="auto"/>
            </w:tcBorders>
            <w:shd w:val="clear" w:color="auto" w:fill="D9D9D9"/>
          </w:tcPr>
          <w:p>
            <w:pPr>
              <w:jc w:val="right"/>
              <w:ind w:right="621"/>
              <w:spacing w:after="0" w:line="216" w:lineRule="exact"/>
              <w:rPr>
                <w:sz w:val="20"/>
                <w:szCs w:val="20"/>
                <w:color w:val="auto"/>
              </w:rPr>
            </w:pPr>
            <w:r>
              <w:rPr>
                <w:rFonts w:ascii="Arial" w:cs="Arial" w:eastAsia="Arial" w:hAnsi="Arial"/>
                <w:sz w:val="20"/>
                <w:szCs w:val="20"/>
                <w:color w:val="auto"/>
              </w:rPr>
              <w:t>135,000</w:t>
            </w:r>
          </w:p>
        </w:tc>
        <w:tc>
          <w:tcPr>
            <w:tcW w:w="2160" w:type="dxa"/>
            <w:vAlign w:val="bottom"/>
            <w:tcBorders>
              <w:bottom w:val="single" w:sz="8" w:color="auto"/>
            </w:tcBorders>
            <w:shd w:val="clear" w:color="auto" w:fill="D9D9D9"/>
          </w:tcPr>
          <w:p>
            <w:pPr>
              <w:jc w:val="right"/>
              <w:ind w:right="481"/>
              <w:spacing w:after="0" w:line="216" w:lineRule="exact"/>
              <w:rPr>
                <w:sz w:val="20"/>
                <w:szCs w:val="20"/>
                <w:color w:val="auto"/>
              </w:rPr>
            </w:pPr>
            <w:r>
              <w:rPr>
                <w:rFonts w:ascii="Arial" w:cs="Arial" w:eastAsia="Arial" w:hAnsi="Arial"/>
                <w:sz w:val="20"/>
                <w:szCs w:val="20"/>
                <w:color w:val="auto"/>
              </w:rPr>
              <w:t>253,500</w:t>
            </w:r>
          </w:p>
        </w:tc>
      </w:tr>
      <w:tr>
        <w:trPr>
          <w:trHeight w:val="216"/>
        </w:trPr>
        <w:tc>
          <w:tcPr>
            <w:tcW w:w="3520" w:type="dxa"/>
            <w:vAlign w:val="bottom"/>
            <w:tcBorders>
              <w:bottom w:val="single" w:sz="8" w:color="auto"/>
            </w:tcBorders>
          </w:tcPr>
          <w:p>
            <w:pPr>
              <w:jc w:val="center"/>
              <w:ind w:left="221"/>
              <w:spacing w:after="0" w:line="216" w:lineRule="exact"/>
              <w:rPr>
                <w:sz w:val="20"/>
                <w:szCs w:val="20"/>
                <w:color w:val="auto"/>
              </w:rPr>
            </w:pPr>
            <w:r>
              <w:rPr>
                <w:rFonts w:ascii="Arial" w:cs="Arial" w:eastAsia="Arial" w:hAnsi="Arial"/>
                <w:sz w:val="20"/>
                <w:szCs w:val="20"/>
                <w:color w:val="auto"/>
                <w:w w:val="92"/>
              </w:rPr>
              <w:t>James Miller</w:t>
            </w:r>
          </w:p>
        </w:tc>
        <w:tc>
          <w:tcPr>
            <w:tcW w:w="2760" w:type="dxa"/>
            <w:vAlign w:val="bottom"/>
            <w:tcBorders>
              <w:bottom w:val="single" w:sz="8" w:color="auto"/>
            </w:tcBorders>
          </w:tcPr>
          <w:p>
            <w:pPr>
              <w:jc w:val="right"/>
              <w:ind w:right="521"/>
              <w:spacing w:after="0" w:line="216" w:lineRule="exact"/>
              <w:rPr>
                <w:sz w:val="20"/>
                <w:szCs w:val="20"/>
                <w:color w:val="auto"/>
              </w:rPr>
            </w:pPr>
            <w:r>
              <w:rPr>
                <w:rFonts w:ascii="Arial" w:cs="Arial" w:eastAsia="Arial" w:hAnsi="Arial"/>
                <w:sz w:val="20"/>
                <w:szCs w:val="20"/>
                <w:color w:val="auto"/>
              </w:rPr>
              <w:t>121,750</w:t>
            </w:r>
          </w:p>
        </w:tc>
        <w:tc>
          <w:tcPr>
            <w:tcW w:w="2800" w:type="dxa"/>
            <w:vAlign w:val="bottom"/>
            <w:tcBorders>
              <w:bottom w:val="single" w:sz="8" w:color="auto"/>
            </w:tcBorders>
          </w:tcPr>
          <w:p>
            <w:pPr>
              <w:jc w:val="right"/>
              <w:ind w:right="621"/>
              <w:spacing w:after="0" w:line="216" w:lineRule="exact"/>
              <w:rPr>
                <w:sz w:val="20"/>
                <w:szCs w:val="20"/>
                <w:color w:val="auto"/>
              </w:rPr>
            </w:pPr>
            <w:r>
              <w:rPr>
                <w:rFonts w:ascii="Arial" w:cs="Arial" w:eastAsia="Arial" w:hAnsi="Arial"/>
                <w:sz w:val="20"/>
                <w:szCs w:val="20"/>
                <w:color w:val="auto"/>
              </w:rPr>
              <w:t>135,000</w:t>
            </w:r>
          </w:p>
        </w:tc>
        <w:tc>
          <w:tcPr>
            <w:tcW w:w="2160" w:type="dxa"/>
            <w:vAlign w:val="bottom"/>
            <w:tcBorders>
              <w:bottom w:val="single" w:sz="8" w:color="auto"/>
            </w:tcBorders>
          </w:tcPr>
          <w:p>
            <w:pPr>
              <w:jc w:val="right"/>
              <w:ind w:right="481"/>
              <w:spacing w:after="0" w:line="216" w:lineRule="exact"/>
              <w:rPr>
                <w:sz w:val="20"/>
                <w:szCs w:val="20"/>
                <w:color w:val="auto"/>
              </w:rPr>
            </w:pPr>
            <w:r>
              <w:rPr>
                <w:rFonts w:ascii="Arial" w:cs="Arial" w:eastAsia="Arial" w:hAnsi="Arial"/>
                <w:sz w:val="20"/>
                <w:szCs w:val="20"/>
                <w:color w:val="auto"/>
              </w:rPr>
              <w:t>256,750</w:t>
            </w:r>
          </w:p>
        </w:tc>
      </w:tr>
      <w:tr>
        <w:trPr>
          <w:trHeight w:val="216"/>
        </w:trPr>
        <w:tc>
          <w:tcPr>
            <w:tcW w:w="3520" w:type="dxa"/>
            <w:vAlign w:val="bottom"/>
            <w:tcBorders>
              <w:bottom w:val="single" w:sz="8" w:color="auto"/>
            </w:tcBorders>
            <w:shd w:val="clear" w:color="auto" w:fill="D9D9D9"/>
          </w:tcPr>
          <w:p>
            <w:pPr>
              <w:jc w:val="center"/>
              <w:ind w:left="221"/>
              <w:spacing w:after="0" w:line="216" w:lineRule="exact"/>
              <w:rPr>
                <w:sz w:val="20"/>
                <w:szCs w:val="20"/>
                <w:color w:val="auto"/>
              </w:rPr>
            </w:pPr>
            <w:r>
              <w:rPr>
                <w:rFonts w:ascii="Arial" w:cs="Arial" w:eastAsia="Arial" w:hAnsi="Arial"/>
                <w:sz w:val="20"/>
                <w:szCs w:val="20"/>
                <w:color w:val="auto"/>
                <w:w w:val="92"/>
              </w:rPr>
              <w:t>Josef Müller</w:t>
            </w:r>
          </w:p>
        </w:tc>
        <w:tc>
          <w:tcPr>
            <w:tcW w:w="2760" w:type="dxa"/>
            <w:vAlign w:val="bottom"/>
            <w:tcBorders>
              <w:bottom w:val="single" w:sz="8" w:color="auto"/>
            </w:tcBorders>
            <w:shd w:val="clear" w:color="auto" w:fill="D9D9D9"/>
          </w:tcPr>
          <w:p>
            <w:pPr>
              <w:jc w:val="right"/>
              <w:ind w:right="521"/>
              <w:spacing w:after="0" w:line="216" w:lineRule="exact"/>
              <w:rPr>
                <w:sz w:val="20"/>
                <w:szCs w:val="20"/>
                <w:color w:val="auto"/>
              </w:rPr>
            </w:pPr>
            <w:r>
              <w:rPr>
                <w:rFonts w:ascii="Arial" w:cs="Arial" w:eastAsia="Arial" w:hAnsi="Arial"/>
                <w:sz w:val="20"/>
                <w:szCs w:val="20"/>
                <w:color w:val="auto"/>
              </w:rPr>
              <w:t>117,000</w:t>
            </w:r>
          </w:p>
        </w:tc>
        <w:tc>
          <w:tcPr>
            <w:tcW w:w="2800" w:type="dxa"/>
            <w:vAlign w:val="bottom"/>
            <w:tcBorders>
              <w:bottom w:val="single" w:sz="8" w:color="auto"/>
            </w:tcBorders>
            <w:shd w:val="clear" w:color="auto" w:fill="D9D9D9"/>
          </w:tcPr>
          <w:p>
            <w:pPr>
              <w:jc w:val="right"/>
              <w:ind w:right="621"/>
              <w:spacing w:after="0" w:line="216" w:lineRule="exact"/>
              <w:rPr>
                <w:sz w:val="20"/>
                <w:szCs w:val="20"/>
                <w:color w:val="auto"/>
              </w:rPr>
            </w:pPr>
            <w:r>
              <w:rPr>
                <w:rFonts w:ascii="Arial" w:cs="Arial" w:eastAsia="Arial" w:hAnsi="Arial"/>
                <w:sz w:val="20"/>
                <w:szCs w:val="20"/>
                <w:color w:val="auto"/>
              </w:rPr>
              <w:t>135,000</w:t>
            </w:r>
          </w:p>
        </w:tc>
        <w:tc>
          <w:tcPr>
            <w:tcW w:w="2160" w:type="dxa"/>
            <w:vAlign w:val="bottom"/>
            <w:tcBorders>
              <w:bottom w:val="single" w:sz="8" w:color="auto"/>
            </w:tcBorders>
            <w:shd w:val="clear" w:color="auto" w:fill="D9D9D9"/>
          </w:tcPr>
          <w:p>
            <w:pPr>
              <w:jc w:val="right"/>
              <w:ind w:right="481"/>
              <w:spacing w:after="0" w:line="216" w:lineRule="exact"/>
              <w:rPr>
                <w:sz w:val="20"/>
                <w:szCs w:val="20"/>
                <w:color w:val="auto"/>
              </w:rPr>
            </w:pPr>
            <w:r>
              <w:rPr>
                <w:rFonts w:ascii="Arial" w:cs="Arial" w:eastAsia="Arial" w:hAnsi="Arial"/>
                <w:sz w:val="20"/>
                <w:szCs w:val="20"/>
                <w:color w:val="auto"/>
              </w:rPr>
              <w:t>252,000</w:t>
            </w:r>
          </w:p>
        </w:tc>
      </w:tr>
      <w:tr>
        <w:trPr>
          <w:trHeight w:val="216"/>
        </w:trPr>
        <w:tc>
          <w:tcPr>
            <w:tcW w:w="3520" w:type="dxa"/>
            <w:vAlign w:val="bottom"/>
            <w:tcBorders>
              <w:bottom w:val="single" w:sz="8" w:color="auto"/>
            </w:tcBorders>
          </w:tcPr>
          <w:p>
            <w:pPr>
              <w:jc w:val="center"/>
              <w:ind w:left="221"/>
              <w:spacing w:after="0" w:line="216" w:lineRule="exact"/>
              <w:rPr>
                <w:sz w:val="20"/>
                <w:szCs w:val="20"/>
                <w:color w:val="auto"/>
              </w:rPr>
            </w:pPr>
            <w:r>
              <w:rPr>
                <w:rFonts w:ascii="Arial" w:cs="Arial" w:eastAsia="Arial" w:hAnsi="Arial"/>
                <w:sz w:val="20"/>
                <w:szCs w:val="20"/>
                <w:color w:val="auto"/>
                <w:w w:val="87"/>
              </w:rPr>
              <w:t>Caesar Sweitzer</w:t>
            </w:r>
          </w:p>
        </w:tc>
        <w:tc>
          <w:tcPr>
            <w:tcW w:w="2760" w:type="dxa"/>
            <w:vAlign w:val="bottom"/>
            <w:tcBorders>
              <w:bottom w:val="single" w:sz="8" w:color="auto"/>
            </w:tcBorders>
          </w:tcPr>
          <w:p>
            <w:pPr>
              <w:jc w:val="right"/>
              <w:ind w:right="521"/>
              <w:spacing w:after="0" w:line="216" w:lineRule="exact"/>
              <w:rPr>
                <w:sz w:val="20"/>
                <w:szCs w:val="20"/>
                <w:color w:val="auto"/>
              </w:rPr>
            </w:pPr>
            <w:r>
              <w:rPr>
                <w:rFonts w:ascii="Arial" w:cs="Arial" w:eastAsia="Arial" w:hAnsi="Arial"/>
                <w:sz w:val="20"/>
                <w:szCs w:val="20"/>
                <w:color w:val="auto"/>
              </w:rPr>
              <w:t>130,250</w:t>
            </w:r>
          </w:p>
        </w:tc>
        <w:tc>
          <w:tcPr>
            <w:tcW w:w="2800" w:type="dxa"/>
            <w:vAlign w:val="bottom"/>
            <w:tcBorders>
              <w:bottom w:val="single" w:sz="8" w:color="auto"/>
            </w:tcBorders>
          </w:tcPr>
          <w:p>
            <w:pPr>
              <w:jc w:val="right"/>
              <w:ind w:right="621"/>
              <w:spacing w:after="0" w:line="216" w:lineRule="exact"/>
              <w:rPr>
                <w:sz w:val="20"/>
                <w:szCs w:val="20"/>
                <w:color w:val="auto"/>
              </w:rPr>
            </w:pPr>
            <w:r>
              <w:rPr>
                <w:rFonts w:ascii="Arial" w:cs="Arial" w:eastAsia="Arial" w:hAnsi="Arial"/>
                <w:sz w:val="20"/>
                <w:szCs w:val="20"/>
                <w:color w:val="auto"/>
              </w:rPr>
              <w:t>135,000</w:t>
            </w:r>
          </w:p>
        </w:tc>
        <w:tc>
          <w:tcPr>
            <w:tcW w:w="2160" w:type="dxa"/>
            <w:vAlign w:val="bottom"/>
            <w:tcBorders>
              <w:bottom w:val="single" w:sz="8" w:color="auto"/>
            </w:tcBorders>
          </w:tcPr>
          <w:p>
            <w:pPr>
              <w:jc w:val="right"/>
              <w:ind w:right="481"/>
              <w:spacing w:after="0" w:line="216" w:lineRule="exact"/>
              <w:rPr>
                <w:sz w:val="20"/>
                <w:szCs w:val="20"/>
                <w:color w:val="auto"/>
              </w:rPr>
            </w:pPr>
            <w:r>
              <w:rPr>
                <w:rFonts w:ascii="Arial" w:cs="Arial" w:eastAsia="Arial" w:hAnsi="Arial"/>
                <w:sz w:val="20"/>
                <w:szCs w:val="20"/>
                <w:color w:val="auto"/>
              </w:rPr>
              <w:t>265,250</w:t>
            </w:r>
          </w:p>
        </w:tc>
      </w:tr>
      <w:tr>
        <w:trPr>
          <w:trHeight w:val="216"/>
        </w:trPr>
        <w:tc>
          <w:tcPr>
            <w:tcW w:w="3520" w:type="dxa"/>
            <w:vAlign w:val="bottom"/>
            <w:tcBorders>
              <w:bottom w:val="single" w:sz="8" w:color="auto"/>
            </w:tcBorders>
            <w:shd w:val="clear" w:color="auto" w:fill="D9D9D9"/>
          </w:tcPr>
          <w:p>
            <w:pPr>
              <w:jc w:val="center"/>
              <w:ind w:left="221"/>
              <w:spacing w:after="0" w:line="216" w:lineRule="exact"/>
              <w:rPr>
                <w:sz w:val="20"/>
                <w:szCs w:val="20"/>
                <w:color w:val="auto"/>
              </w:rPr>
            </w:pPr>
            <w:r>
              <w:rPr>
                <w:rFonts w:ascii="Arial" w:cs="Arial" w:eastAsia="Arial" w:hAnsi="Arial"/>
                <w:sz w:val="20"/>
                <w:szCs w:val="20"/>
                <w:color w:val="auto"/>
                <w:w w:val="92"/>
              </w:rPr>
              <w:t>Jim Turner</w:t>
            </w:r>
          </w:p>
        </w:tc>
        <w:tc>
          <w:tcPr>
            <w:tcW w:w="2760" w:type="dxa"/>
            <w:vAlign w:val="bottom"/>
            <w:tcBorders>
              <w:bottom w:val="single" w:sz="8" w:color="auto"/>
            </w:tcBorders>
            <w:shd w:val="clear" w:color="auto" w:fill="D9D9D9"/>
          </w:tcPr>
          <w:p>
            <w:pPr>
              <w:jc w:val="right"/>
              <w:ind w:right="521"/>
              <w:spacing w:after="0" w:line="216" w:lineRule="exact"/>
              <w:rPr>
                <w:sz w:val="20"/>
                <w:szCs w:val="20"/>
                <w:color w:val="auto"/>
              </w:rPr>
            </w:pPr>
            <w:r>
              <w:rPr>
                <w:rFonts w:ascii="Arial" w:cs="Arial" w:eastAsia="Arial" w:hAnsi="Arial"/>
                <w:sz w:val="20"/>
                <w:szCs w:val="20"/>
                <w:color w:val="auto"/>
              </w:rPr>
              <w:t>117,250</w:t>
            </w:r>
          </w:p>
        </w:tc>
        <w:tc>
          <w:tcPr>
            <w:tcW w:w="2800" w:type="dxa"/>
            <w:vAlign w:val="bottom"/>
            <w:tcBorders>
              <w:bottom w:val="single" w:sz="8" w:color="auto"/>
            </w:tcBorders>
            <w:shd w:val="clear" w:color="auto" w:fill="D9D9D9"/>
          </w:tcPr>
          <w:p>
            <w:pPr>
              <w:jc w:val="right"/>
              <w:ind w:right="621"/>
              <w:spacing w:after="0" w:line="216" w:lineRule="exact"/>
              <w:rPr>
                <w:sz w:val="20"/>
                <w:szCs w:val="20"/>
                <w:color w:val="auto"/>
              </w:rPr>
            </w:pPr>
            <w:r>
              <w:rPr>
                <w:rFonts w:ascii="Arial" w:cs="Arial" w:eastAsia="Arial" w:hAnsi="Arial"/>
                <w:sz w:val="20"/>
                <w:szCs w:val="20"/>
                <w:color w:val="auto"/>
              </w:rPr>
              <w:t>135,000</w:t>
            </w:r>
          </w:p>
        </w:tc>
        <w:tc>
          <w:tcPr>
            <w:tcW w:w="2160" w:type="dxa"/>
            <w:vAlign w:val="bottom"/>
            <w:tcBorders>
              <w:bottom w:val="single" w:sz="8" w:color="auto"/>
            </w:tcBorders>
            <w:shd w:val="clear" w:color="auto" w:fill="D9D9D9"/>
          </w:tcPr>
          <w:p>
            <w:pPr>
              <w:jc w:val="right"/>
              <w:ind w:right="481"/>
              <w:spacing w:after="0" w:line="216" w:lineRule="exact"/>
              <w:rPr>
                <w:sz w:val="20"/>
                <w:szCs w:val="20"/>
                <w:color w:val="auto"/>
              </w:rPr>
            </w:pPr>
            <w:r>
              <w:rPr>
                <w:rFonts w:ascii="Arial" w:cs="Arial" w:eastAsia="Arial" w:hAnsi="Arial"/>
                <w:sz w:val="20"/>
                <w:szCs w:val="20"/>
                <w:color w:val="auto"/>
              </w:rPr>
              <w:t>252,250</w:t>
            </w:r>
          </w:p>
        </w:tc>
      </w:tr>
      <w:tr>
        <w:trPr>
          <w:trHeight w:val="225"/>
        </w:trPr>
        <w:tc>
          <w:tcPr>
            <w:tcW w:w="3520" w:type="dxa"/>
            <w:vAlign w:val="bottom"/>
          </w:tcPr>
          <w:p>
            <w:pPr>
              <w:jc w:val="center"/>
              <w:ind w:left="221"/>
              <w:spacing w:after="0" w:line="225" w:lineRule="exact"/>
              <w:rPr>
                <w:sz w:val="20"/>
                <w:szCs w:val="20"/>
                <w:color w:val="auto"/>
              </w:rPr>
            </w:pPr>
            <w:r>
              <w:rPr>
                <w:rFonts w:ascii="Arial" w:cs="Arial" w:eastAsia="Arial" w:hAnsi="Arial"/>
                <w:sz w:val="20"/>
                <w:szCs w:val="20"/>
                <w:color w:val="auto"/>
                <w:w w:val="99"/>
              </w:rPr>
              <w:t>William Urkiel</w:t>
            </w:r>
          </w:p>
        </w:tc>
        <w:tc>
          <w:tcPr>
            <w:tcW w:w="2760" w:type="dxa"/>
            <w:vAlign w:val="bottom"/>
          </w:tcPr>
          <w:p>
            <w:pPr>
              <w:jc w:val="right"/>
              <w:ind w:right="521"/>
              <w:spacing w:after="0" w:line="225" w:lineRule="exact"/>
              <w:rPr>
                <w:sz w:val="20"/>
                <w:szCs w:val="20"/>
                <w:color w:val="auto"/>
              </w:rPr>
            </w:pPr>
            <w:r>
              <w:rPr>
                <w:rFonts w:ascii="Arial" w:cs="Arial" w:eastAsia="Arial" w:hAnsi="Arial"/>
                <w:sz w:val="20"/>
                <w:szCs w:val="20"/>
                <w:color w:val="auto"/>
              </w:rPr>
              <w:t>117,000</w:t>
            </w:r>
          </w:p>
        </w:tc>
        <w:tc>
          <w:tcPr>
            <w:tcW w:w="2800" w:type="dxa"/>
            <w:vAlign w:val="bottom"/>
          </w:tcPr>
          <w:p>
            <w:pPr>
              <w:jc w:val="right"/>
              <w:ind w:right="621"/>
              <w:spacing w:after="0" w:line="225" w:lineRule="exact"/>
              <w:rPr>
                <w:sz w:val="20"/>
                <w:szCs w:val="20"/>
                <w:color w:val="auto"/>
              </w:rPr>
            </w:pPr>
            <w:r>
              <w:rPr>
                <w:rFonts w:ascii="Arial" w:cs="Arial" w:eastAsia="Arial" w:hAnsi="Arial"/>
                <w:sz w:val="20"/>
                <w:szCs w:val="20"/>
                <w:color w:val="auto"/>
              </w:rPr>
              <w:t>135,000</w:t>
            </w:r>
          </w:p>
        </w:tc>
        <w:tc>
          <w:tcPr>
            <w:tcW w:w="2160" w:type="dxa"/>
            <w:vAlign w:val="bottom"/>
          </w:tcPr>
          <w:p>
            <w:pPr>
              <w:jc w:val="right"/>
              <w:ind w:right="481"/>
              <w:spacing w:after="0" w:line="225" w:lineRule="exact"/>
              <w:rPr>
                <w:sz w:val="20"/>
                <w:szCs w:val="20"/>
                <w:color w:val="auto"/>
              </w:rPr>
            </w:pPr>
            <w:r>
              <w:rPr>
                <w:rFonts w:ascii="Arial" w:cs="Arial" w:eastAsia="Arial" w:hAnsi="Arial"/>
                <w:sz w:val="20"/>
                <w:szCs w:val="20"/>
                <w:color w:val="auto"/>
              </w:rPr>
              <w:t>252,000</w:t>
            </w:r>
          </w:p>
        </w:tc>
      </w:tr>
    </w:tbl>
    <w:p>
      <w:pPr>
        <w:jc w:val="both"/>
        <w:ind w:left="600" w:right="200" w:hanging="499"/>
        <w:spacing w:after="0" w:line="254" w:lineRule="auto"/>
        <w:tabs>
          <w:tab w:leader="none" w:pos="580" w:val="left"/>
        </w:tabs>
        <w:rPr>
          <w:sz w:val="20"/>
          <w:szCs w:val="20"/>
          <w:color w:val="auto"/>
        </w:rPr>
      </w:pPr>
      <w:r>
        <w:rPr>
          <w:rFonts w:ascii="Arial" w:cs="Arial" w:eastAsia="Arial" w:hAnsi="Arial"/>
          <w:sz w:val="17"/>
          <w:szCs w:val="17"/>
          <w:color w:val="auto"/>
        </w:rPr>
        <w:t>(1)</w:t>
      </w:r>
      <w:r>
        <w:rPr>
          <w:sz w:val="20"/>
          <w:szCs w:val="20"/>
          <w:color w:val="auto"/>
        </w:rPr>
        <w:tab/>
      </w:r>
      <w:r>
        <w:rPr>
          <w:rFonts w:ascii="Arial" w:cs="Arial" w:eastAsia="Arial" w:hAnsi="Arial"/>
          <w:sz w:val="19"/>
          <w:szCs w:val="19"/>
          <w:color w:val="auto"/>
        </w:rPr>
        <w:t>Each Director may defer receipt of all, or any part, of his or her cash compensation until termination of service as a Director. At the election of the Director, deferred cash compensation amounts are paid in either a lump sum or installments over a period not to exceed 10 years after departure from the Board and are credited with interest at the prime rate until distributed.</w:t>
      </w:r>
    </w:p>
    <w:p>
      <w:pPr>
        <w:spacing w:after="0" w:line="59" w:lineRule="exact"/>
        <w:rPr>
          <w:sz w:val="20"/>
          <w:szCs w:val="20"/>
          <w:color w:val="auto"/>
        </w:rPr>
      </w:pPr>
    </w:p>
    <w:p>
      <w:pPr>
        <w:jc w:val="both"/>
        <w:ind w:left="600" w:right="220" w:hanging="499"/>
        <w:spacing w:after="0" w:line="257" w:lineRule="auto"/>
        <w:tabs>
          <w:tab w:leader="none" w:pos="580" w:val="left"/>
        </w:tabs>
        <w:rPr>
          <w:sz w:val="20"/>
          <w:szCs w:val="20"/>
          <w:color w:val="auto"/>
        </w:rPr>
      </w:pPr>
      <w:r>
        <w:rPr>
          <w:rFonts w:ascii="Arial" w:cs="Arial" w:eastAsia="Arial" w:hAnsi="Arial"/>
          <w:sz w:val="17"/>
          <w:szCs w:val="17"/>
          <w:color w:val="auto"/>
        </w:rPr>
        <w:t>(2)</w:t>
      </w:r>
      <w:r>
        <w:rPr>
          <w:sz w:val="20"/>
          <w:szCs w:val="20"/>
          <w:color w:val="auto"/>
        </w:rPr>
        <w:tab/>
      </w:r>
      <w:r>
        <w:rPr>
          <w:rFonts w:ascii="Arial" w:cs="Arial" w:eastAsia="Arial" w:hAnsi="Arial"/>
          <w:sz w:val="19"/>
          <w:szCs w:val="19"/>
          <w:color w:val="auto"/>
        </w:rPr>
        <w:t>The annual grant of Company Common Stock for 2019 consisted of $135,000 of Company Common Stock under the Stock Compensation Plan for Non-Employee Directors and was paid on a quarterly basis. The number of shares paid each quarter is determined based on the average of the closing market price of the Company’s Common Stock on each of the second through sixth business days following the date on which the Company publicly released its quarterly results.</w:t>
      </w:r>
    </w:p>
    <w:p>
      <w:pPr>
        <w:spacing w:after="0" w:line="56" w:lineRule="exact"/>
        <w:rPr>
          <w:sz w:val="20"/>
          <w:szCs w:val="20"/>
          <w:color w:val="auto"/>
        </w:rPr>
      </w:pPr>
    </w:p>
    <w:p>
      <w:pPr>
        <w:ind w:left="100"/>
        <w:spacing w:after="0"/>
        <w:tabs>
          <w:tab w:leader="none" w:pos="58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20"/>
          <w:szCs w:val="20"/>
          <w:color w:val="auto"/>
        </w:rPr>
        <w:t>Mr. Donald ended his service as a Director of the Company and did not stand for re-election in April 2019.</w:t>
      </w:r>
    </w:p>
    <w:p>
      <w:pPr>
        <w:spacing w:after="0" w:line="93" w:lineRule="exact"/>
        <w:rPr>
          <w:sz w:val="20"/>
          <w:szCs w:val="20"/>
          <w:color w:val="auto"/>
        </w:rPr>
      </w:pPr>
    </w:p>
    <w:p>
      <w:pPr>
        <w:jc w:val="both"/>
        <w:ind w:left="600" w:right="200" w:hanging="499"/>
        <w:spacing w:after="0" w:line="254" w:lineRule="auto"/>
        <w:tabs>
          <w:tab w:leader="none" w:pos="58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20"/>
          <w:szCs w:val="20"/>
          <w:color w:val="auto"/>
        </w:rPr>
        <w:t>Messrs. Little and Löliger are retiring as Directors and are not standing for re-election to the Board at the Company’s 2020 Annual Meeting of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23</w:t>
      </w:r>
    </w:p>
    <w:p>
      <w:pPr>
        <w:sectPr>
          <w:pgSz w:w="11900" w:h="16838" w:orient="portrait"/>
          <w:cols w:equalWidth="0" w:num="1">
            <w:col w:w="11240"/>
          </w:cols>
          <w:pgMar w:left="320" w:top="423" w:right="339" w:bottom="1440" w:gutter="0" w:footer="0" w:header="0"/>
        </w:sectPr>
      </w:pPr>
    </w:p>
    <w:bookmarkStart w:id="27" w:name="page28"/>
    <w:bookmarkEnd w:id="27"/>
    <w:p>
      <w:pPr>
        <w:jc w:val="both"/>
        <w:ind w:firstLine="595"/>
        <w:spacing w:after="0" w:line="257" w:lineRule="auto"/>
        <w:rPr>
          <w:sz w:val="20"/>
          <w:szCs w:val="20"/>
          <w:color w:val="auto"/>
        </w:rPr>
      </w:pPr>
      <w:r>
        <w:rPr>
          <w:rFonts w:ascii="Arial" w:cs="Arial" w:eastAsia="Arial" w:hAnsi="Arial"/>
          <w:sz w:val="19"/>
          <w:szCs w:val="19"/>
          <w:color w:val="auto"/>
        </w:rPr>
        <w:t>The Board periodically receives benchmarking data regarding director compensation from Pay Governance LLC, an executive compensation consulting firm, and uses the 50th percentile of its peer group’s target total cash compensation and target total direct compensation as a market check in determining compensation. For 2020, Directors who are not employees of the Company will receive annual cash base fees, grants of Company Common Stock and cash committee fees in the amounts set forth as follows.</w:t>
      </w:r>
    </w:p>
    <w:p>
      <w:pPr>
        <w:spacing w:after="0" w:line="242" w:lineRule="exact"/>
        <w:rPr>
          <w:sz w:val="20"/>
          <w:szCs w:val="20"/>
          <w:color w:val="auto"/>
        </w:rPr>
      </w:pPr>
    </w:p>
    <w:tbl>
      <w:tblPr>
        <w:tblLayout w:type="fixed"/>
        <w:tblInd w:w="10" w:type="dxa"/>
        <w:tblCellMar>
          <w:top w:w="0" w:type="dxa"/>
          <w:left w:w="0" w:type="dxa"/>
          <w:bottom w:w="0" w:type="dxa"/>
          <w:right w:w="0" w:type="dxa"/>
        </w:tblCellMar>
      </w:tblPr>
      <w:tr>
        <w:trPr>
          <w:trHeight w:val="318"/>
        </w:trPr>
        <w:tc>
          <w:tcPr>
            <w:tcW w:w="9700" w:type="dxa"/>
            <w:vAlign w:val="bottom"/>
            <w:tcBorders>
              <w:top w:val="single" w:sz="8" w:color="auto"/>
              <w:left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Cash Base Fee</w:t>
            </w:r>
          </w:p>
        </w:tc>
        <w:tc>
          <w:tcPr>
            <w:tcW w:w="1560" w:type="dxa"/>
            <w:vAlign w:val="bottom"/>
            <w:tcBorders>
              <w:top w:val="single" w:sz="8" w:color="auto"/>
              <w:right w:val="single" w:sz="8" w:color="auto"/>
            </w:tcBorders>
          </w:tcPr>
          <w:p>
            <w:pPr>
              <w:jc w:val="right"/>
              <w:ind w:right="121"/>
              <w:spacing w:after="0"/>
              <w:rPr>
                <w:sz w:val="20"/>
                <w:szCs w:val="20"/>
                <w:color w:val="auto"/>
              </w:rPr>
            </w:pPr>
            <w:r>
              <w:rPr>
                <w:rFonts w:ascii="Arial" w:cs="Arial" w:eastAsia="Arial" w:hAnsi="Arial"/>
                <w:sz w:val="20"/>
                <w:szCs w:val="20"/>
                <w:color w:val="auto"/>
              </w:rPr>
              <w:t>$100,000</w:t>
            </w:r>
          </w:p>
        </w:tc>
        <w:tc>
          <w:tcPr>
            <w:tcW w:w="0" w:type="dxa"/>
            <w:vAlign w:val="bottom"/>
          </w:tcPr>
          <w:p>
            <w:pPr>
              <w:spacing w:after="0"/>
              <w:rPr>
                <w:sz w:val="1"/>
                <w:szCs w:val="1"/>
                <w:color w:val="auto"/>
              </w:rPr>
            </w:pPr>
          </w:p>
        </w:tc>
      </w:tr>
      <w:tr>
        <w:trPr>
          <w:trHeight w:val="78"/>
        </w:trPr>
        <w:tc>
          <w:tcPr>
            <w:tcW w:w="9700" w:type="dxa"/>
            <w:vAlign w:val="bottom"/>
            <w:tcBorders>
              <w:left w:val="single" w:sz="8" w:color="auto"/>
              <w:bottom w:val="single" w:sz="8" w:color="auto"/>
              <w:right w:val="single" w:sz="8" w:color="auto"/>
            </w:tcBorders>
          </w:tcPr>
          <w:p>
            <w:pPr>
              <w:spacing w:after="0"/>
              <w:rPr>
                <w:sz w:val="6"/>
                <w:szCs w:val="6"/>
                <w:color w:val="auto"/>
              </w:rPr>
            </w:pPr>
          </w:p>
        </w:tc>
        <w:tc>
          <w:tcPr>
            <w:tcW w:w="15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9700" w:type="dxa"/>
            <w:vAlign w:val="bottom"/>
            <w:tcBorders>
              <w:left w:val="single" w:sz="8" w:color="auto"/>
              <w:right w:val="single" w:sz="8" w:color="auto"/>
            </w:tcBorders>
            <w:shd w:val="clear" w:color="auto" w:fill="D9D9D9"/>
          </w:tcPr>
          <w:p>
            <w:pPr>
              <w:ind w:left="100"/>
              <w:spacing w:after="0"/>
              <w:rPr>
                <w:sz w:val="20"/>
                <w:szCs w:val="20"/>
                <w:color w:val="auto"/>
              </w:rPr>
            </w:pPr>
            <w:r>
              <w:rPr>
                <w:rFonts w:ascii="Arial" w:cs="Arial" w:eastAsia="Arial" w:hAnsi="Arial"/>
                <w:sz w:val="20"/>
                <w:szCs w:val="20"/>
                <w:color w:val="auto"/>
              </w:rPr>
              <w:t>Equity Grant</w:t>
            </w:r>
          </w:p>
        </w:tc>
        <w:tc>
          <w:tcPr>
            <w:tcW w:w="1560" w:type="dxa"/>
            <w:vAlign w:val="bottom"/>
            <w:tcBorders>
              <w:right w:val="single" w:sz="8" w:color="auto"/>
            </w:tcBorders>
            <w:shd w:val="clear" w:color="auto" w:fill="D9D9D9"/>
          </w:tcPr>
          <w:p>
            <w:pPr>
              <w:jc w:val="right"/>
              <w:ind w:right="121"/>
              <w:spacing w:after="0"/>
              <w:rPr>
                <w:sz w:val="20"/>
                <w:szCs w:val="20"/>
                <w:color w:val="auto"/>
              </w:rPr>
            </w:pPr>
            <w:r>
              <w:rPr>
                <w:rFonts w:ascii="Arial" w:cs="Arial" w:eastAsia="Arial" w:hAnsi="Arial"/>
                <w:sz w:val="20"/>
                <w:szCs w:val="20"/>
                <w:color w:val="auto"/>
              </w:rPr>
              <w:t>145,000</w:t>
            </w:r>
          </w:p>
        </w:tc>
        <w:tc>
          <w:tcPr>
            <w:tcW w:w="0" w:type="dxa"/>
            <w:vAlign w:val="bottom"/>
          </w:tcPr>
          <w:p>
            <w:pPr>
              <w:spacing w:after="0"/>
              <w:rPr>
                <w:sz w:val="1"/>
                <w:szCs w:val="1"/>
                <w:color w:val="auto"/>
              </w:rPr>
            </w:pPr>
          </w:p>
        </w:tc>
      </w:tr>
      <w:tr>
        <w:trPr>
          <w:trHeight w:val="78"/>
        </w:trPr>
        <w:tc>
          <w:tcPr>
            <w:tcW w:w="9700" w:type="dxa"/>
            <w:vAlign w:val="bottom"/>
            <w:tcBorders>
              <w:left w:val="single" w:sz="8" w:color="auto"/>
              <w:bottom w:val="single" w:sz="8" w:color="auto"/>
              <w:right w:val="single" w:sz="8" w:color="auto"/>
            </w:tcBorders>
            <w:shd w:val="clear" w:color="auto" w:fill="D9D9D9"/>
          </w:tcPr>
          <w:p>
            <w:pPr>
              <w:spacing w:after="0"/>
              <w:rPr>
                <w:sz w:val="6"/>
                <w:szCs w:val="6"/>
                <w:color w:val="auto"/>
              </w:rPr>
            </w:pPr>
          </w:p>
        </w:tc>
        <w:tc>
          <w:tcPr>
            <w:tcW w:w="1560" w:type="dxa"/>
            <w:vAlign w:val="bottom"/>
            <w:tcBorders>
              <w:bottom w:val="single" w:sz="8" w:color="auto"/>
              <w:right w:val="single" w:sz="8" w:color="auto"/>
            </w:tcBorders>
            <w:shd w:val="clear" w:color="auto" w:fill="D9D9D9"/>
          </w:tcPr>
          <w:p>
            <w:pPr>
              <w:spacing w:after="0"/>
              <w:rPr>
                <w:sz w:val="6"/>
                <w:szCs w:val="6"/>
                <w:color w:val="auto"/>
              </w:rPr>
            </w:pPr>
          </w:p>
        </w:tc>
        <w:tc>
          <w:tcPr>
            <w:tcW w:w="0" w:type="dxa"/>
            <w:vAlign w:val="bottom"/>
          </w:tcPr>
          <w:p>
            <w:pPr>
              <w:spacing w:after="0"/>
              <w:rPr>
                <w:sz w:val="1"/>
                <w:szCs w:val="1"/>
                <w:color w:val="auto"/>
              </w:rPr>
            </w:pPr>
          </w:p>
        </w:tc>
      </w:tr>
      <w:tr>
        <w:trPr>
          <w:trHeight w:val="323"/>
        </w:trPr>
        <w:tc>
          <w:tcPr>
            <w:tcW w:w="97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Supplemental Cash Committee Fees:</w:t>
            </w:r>
          </w:p>
        </w:tc>
        <w:tc>
          <w:tcPr>
            <w:tcW w:w="1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970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20"/>
                <w:szCs w:val="20"/>
                <w:color w:val="auto"/>
              </w:rPr>
              <w:t>· Audit Committee - Chair</w:t>
            </w:r>
          </w:p>
        </w:tc>
        <w:tc>
          <w:tcPr>
            <w:tcW w:w="1560" w:type="dxa"/>
            <w:vAlign w:val="bottom"/>
            <w:tcBorders>
              <w:right w:val="single" w:sz="8" w:color="auto"/>
            </w:tcBorders>
          </w:tcPr>
          <w:p>
            <w:pPr>
              <w:jc w:val="right"/>
              <w:ind w:right="221"/>
              <w:spacing w:after="0"/>
              <w:rPr>
                <w:sz w:val="20"/>
                <w:szCs w:val="20"/>
                <w:color w:val="auto"/>
              </w:rPr>
            </w:pPr>
            <w:r>
              <w:rPr>
                <w:rFonts w:ascii="Arial" w:cs="Arial" w:eastAsia="Arial" w:hAnsi="Arial"/>
                <w:sz w:val="20"/>
                <w:szCs w:val="20"/>
                <w:color w:val="auto"/>
              </w:rPr>
              <w:t>25,000</w:t>
            </w:r>
          </w:p>
        </w:tc>
        <w:tc>
          <w:tcPr>
            <w:tcW w:w="0" w:type="dxa"/>
            <w:vAlign w:val="bottom"/>
          </w:tcPr>
          <w:p>
            <w:pPr>
              <w:spacing w:after="0"/>
              <w:rPr>
                <w:sz w:val="1"/>
                <w:szCs w:val="1"/>
                <w:color w:val="auto"/>
              </w:rPr>
            </w:pPr>
          </w:p>
        </w:tc>
      </w:tr>
      <w:tr>
        <w:trPr>
          <w:trHeight w:val="223"/>
        </w:trPr>
        <w:tc>
          <w:tcPr>
            <w:tcW w:w="9700" w:type="dxa"/>
            <w:vAlign w:val="bottom"/>
            <w:tcBorders>
              <w:left w:val="single" w:sz="8" w:color="auto"/>
              <w:right w:val="single" w:sz="8" w:color="auto"/>
            </w:tcBorders>
          </w:tcPr>
          <w:p>
            <w:pPr>
              <w:ind w:left="240"/>
              <w:spacing w:after="0" w:line="223" w:lineRule="exact"/>
              <w:rPr>
                <w:sz w:val="20"/>
                <w:szCs w:val="20"/>
                <w:color w:val="auto"/>
              </w:rPr>
            </w:pPr>
            <w:r>
              <w:rPr>
                <w:rFonts w:ascii="Arial" w:cs="Arial" w:eastAsia="Arial" w:hAnsi="Arial"/>
                <w:sz w:val="20"/>
                <w:szCs w:val="20"/>
                <w:color w:val="auto"/>
              </w:rPr>
              <w:t>· Audit Committee - Other Members</w:t>
            </w:r>
          </w:p>
        </w:tc>
        <w:tc>
          <w:tcPr>
            <w:tcW w:w="1560" w:type="dxa"/>
            <w:vAlign w:val="bottom"/>
            <w:tcBorders>
              <w:right w:val="single" w:sz="8" w:color="auto"/>
            </w:tcBorders>
          </w:tcPr>
          <w:p>
            <w:pPr>
              <w:jc w:val="right"/>
              <w:ind w:right="221"/>
              <w:spacing w:after="0" w:line="223" w:lineRule="exact"/>
              <w:rPr>
                <w:sz w:val="20"/>
                <w:szCs w:val="20"/>
                <w:color w:val="auto"/>
              </w:rPr>
            </w:pPr>
            <w:r>
              <w:rPr>
                <w:rFonts w:ascii="Arial" w:cs="Arial" w:eastAsia="Arial" w:hAnsi="Arial"/>
                <w:sz w:val="20"/>
                <w:szCs w:val="20"/>
                <w:color w:val="auto"/>
              </w:rPr>
              <w:t>15,000</w:t>
            </w:r>
          </w:p>
        </w:tc>
        <w:tc>
          <w:tcPr>
            <w:tcW w:w="0" w:type="dxa"/>
            <w:vAlign w:val="bottom"/>
          </w:tcPr>
          <w:p>
            <w:pPr>
              <w:spacing w:after="0"/>
              <w:rPr>
                <w:sz w:val="1"/>
                <w:szCs w:val="1"/>
                <w:color w:val="auto"/>
              </w:rPr>
            </w:pPr>
          </w:p>
        </w:tc>
      </w:tr>
      <w:tr>
        <w:trPr>
          <w:trHeight w:val="223"/>
        </w:trPr>
        <w:tc>
          <w:tcPr>
            <w:tcW w:w="9700" w:type="dxa"/>
            <w:vAlign w:val="bottom"/>
            <w:tcBorders>
              <w:left w:val="single" w:sz="8" w:color="auto"/>
              <w:right w:val="single" w:sz="8" w:color="auto"/>
            </w:tcBorders>
          </w:tcPr>
          <w:p>
            <w:pPr>
              <w:ind w:left="240"/>
              <w:spacing w:after="0" w:line="223" w:lineRule="exact"/>
              <w:rPr>
                <w:sz w:val="20"/>
                <w:szCs w:val="20"/>
                <w:color w:val="auto"/>
              </w:rPr>
            </w:pPr>
            <w:r>
              <w:rPr>
                <w:rFonts w:ascii="Arial" w:cs="Arial" w:eastAsia="Arial" w:hAnsi="Arial"/>
                <w:sz w:val="20"/>
                <w:szCs w:val="20"/>
                <w:color w:val="auto"/>
              </w:rPr>
              <w:t>· Compensation Committee and Nominating and Corporate Governance Committee -</w:t>
            </w:r>
          </w:p>
        </w:tc>
        <w:tc>
          <w:tcPr>
            <w:tcW w:w="15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700" w:type="dxa"/>
            <w:vAlign w:val="bottom"/>
            <w:tcBorders>
              <w:left w:val="single" w:sz="8" w:color="auto"/>
              <w:right w:val="single" w:sz="8" w:color="auto"/>
            </w:tcBorders>
          </w:tcPr>
          <w:p>
            <w:pPr>
              <w:ind w:left="400"/>
              <w:spacing w:after="0" w:line="223" w:lineRule="exact"/>
              <w:rPr>
                <w:sz w:val="20"/>
                <w:szCs w:val="20"/>
                <w:color w:val="auto"/>
              </w:rPr>
            </w:pPr>
            <w:r>
              <w:rPr>
                <w:rFonts w:ascii="Arial" w:cs="Arial" w:eastAsia="Arial" w:hAnsi="Arial"/>
                <w:sz w:val="20"/>
                <w:szCs w:val="20"/>
                <w:color w:val="auto"/>
              </w:rPr>
              <w:t>Chair</w:t>
            </w:r>
          </w:p>
        </w:tc>
        <w:tc>
          <w:tcPr>
            <w:tcW w:w="1560" w:type="dxa"/>
            <w:vAlign w:val="bottom"/>
            <w:tcBorders>
              <w:right w:val="single" w:sz="8" w:color="auto"/>
            </w:tcBorders>
          </w:tcPr>
          <w:p>
            <w:pPr>
              <w:jc w:val="right"/>
              <w:ind w:right="221"/>
              <w:spacing w:after="0" w:line="223" w:lineRule="exact"/>
              <w:rPr>
                <w:sz w:val="20"/>
                <w:szCs w:val="20"/>
                <w:color w:val="auto"/>
              </w:rPr>
            </w:pPr>
            <w:r>
              <w:rPr>
                <w:rFonts w:ascii="Arial" w:cs="Arial" w:eastAsia="Arial" w:hAnsi="Arial"/>
                <w:sz w:val="20"/>
                <w:szCs w:val="20"/>
                <w:color w:val="auto"/>
              </w:rPr>
              <w:t>20,000</w:t>
            </w:r>
          </w:p>
        </w:tc>
        <w:tc>
          <w:tcPr>
            <w:tcW w:w="0" w:type="dxa"/>
            <w:vAlign w:val="bottom"/>
          </w:tcPr>
          <w:p>
            <w:pPr>
              <w:spacing w:after="0"/>
              <w:rPr>
                <w:sz w:val="1"/>
                <w:szCs w:val="1"/>
                <w:color w:val="auto"/>
              </w:rPr>
            </w:pPr>
          </w:p>
        </w:tc>
      </w:tr>
      <w:tr>
        <w:trPr>
          <w:trHeight w:val="223"/>
        </w:trPr>
        <w:tc>
          <w:tcPr>
            <w:tcW w:w="9700" w:type="dxa"/>
            <w:vAlign w:val="bottom"/>
            <w:tcBorders>
              <w:left w:val="single" w:sz="8" w:color="auto"/>
              <w:right w:val="single" w:sz="8" w:color="auto"/>
            </w:tcBorders>
          </w:tcPr>
          <w:p>
            <w:pPr>
              <w:ind w:left="240"/>
              <w:spacing w:after="0" w:line="223" w:lineRule="exact"/>
              <w:rPr>
                <w:sz w:val="20"/>
                <w:szCs w:val="20"/>
                <w:color w:val="auto"/>
              </w:rPr>
            </w:pPr>
            <w:r>
              <w:rPr>
                <w:rFonts w:ascii="Arial" w:cs="Arial" w:eastAsia="Arial" w:hAnsi="Arial"/>
                <w:sz w:val="20"/>
                <w:szCs w:val="20"/>
                <w:color w:val="auto"/>
              </w:rPr>
              <w:t>· Compensation Committee and Nominating and Corporate Governance Committee -</w:t>
            </w:r>
          </w:p>
        </w:tc>
        <w:tc>
          <w:tcPr>
            <w:tcW w:w="1560" w:type="dxa"/>
            <w:vAlign w:val="bottom"/>
            <w:tcBorders>
              <w:right w:val="single" w:sz="8" w:color="auto"/>
            </w:tcBorders>
            <w:vMerge w:val="restart"/>
          </w:tcPr>
          <w:p>
            <w:pPr>
              <w:jc w:val="right"/>
              <w:ind w:right="221"/>
              <w:spacing w:after="0"/>
              <w:rPr>
                <w:sz w:val="20"/>
                <w:szCs w:val="20"/>
                <w:color w:val="auto"/>
              </w:rPr>
            </w:pPr>
            <w:r>
              <w:rPr>
                <w:rFonts w:ascii="Arial" w:cs="Arial" w:eastAsia="Arial" w:hAnsi="Arial"/>
                <w:sz w:val="20"/>
                <w:szCs w:val="20"/>
                <w:color w:val="auto"/>
              </w:rPr>
              <w:t>10,000</w:t>
            </w:r>
          </w:p>
        </w:tc>
        <w:tc>
          <w:tcPr>
            <w:tcW w:w="0" w:type="dxa"/>
            <w:vAlign w:val="bottom"/>
          </w:tcPr>
          <w:p>
            <w:pPr>
              <w:spacing w:after="0"/>
              <w:rPr>
                <w:sz w:val="1"/>
                <w:szCs w:val="1"/>
                <w:color w:val="auto"/>
              </w:rPr>
            </w:pPr>
          </w:p>
        </w:tc>
      </w:tr>
      <w:tr>
        <w:trPr>
          <w:trHeight w:val="260"/>
        </w:trPr>
        <w:tc>
          <w:tcPr>
            <w:tcW w:w="9700" w:type="dxa"/>
            <w:vAlign w:val="bottom"/>
            <w:tcBorders>
              <w:left w:val="single" w:sz="8" w:color="auto"/>
              <w:bottom w:val="single" w:sz="8" w:color="auto"/>
              <w:right w:val="single" w:sz="8" w:color="auto"/>
            </w:tcBorders>
          </w:tcPr>
          <w:p>
            <w:pPr>
              <w:ind w:left="400"/>
              <w:spacing w:after="0"/>
              <w:rPr>
                <w:sz w:val="20"/>
                <w:szCs w:val="20"/>
                <w:color w:val="auto"/>
              </w:rPr>
            </w:pPr>
            <w:r>
              <w:rPr>
                <w:rFonts w:ascii="Arial" w:cs="Arial" w:eastAsia="Arial" w:hAnsi="Arial"/>
                <w:sz w:val="20"/>
                <w:szCs w:val="20"/>
                <w:color w:val="auto"/>
              </w:rPr>
              <w:t>Other Members</w:t>
            </w:r>
          </w:p>
        </w:tc>
        <w:tc>
          <w:tcPr>
            <w:tcW w:w="1560" w:type="dxa"/>
            <w:vAlign w:val="bottom"/>
            <w:tcBorders>
              <w:bottom w:val="single" w:sz="8" w:color="auto"/>
              <w:right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06"/>
        </w:trPr>
        <w:tc>
          <w:tcPr>
            <w:tcW w:w="9700" w:type="dxa"/>
            <w:vAlign w:val="bottom"/>
            <w:tcBorders>
              <w:left w:val="single" w:sz="8" w:color="auto"/>
              <w:right w:val="single" w:sz="8" w:color="auto"/>
            </w:tcBorders>
            <w:shd w:val="clear" w:color="auto" w:fill="D9D9D9"/>
          </w:tcPr>
          <w:p>
            <w:pPr>
              <w:ind w:left="100"/>
              <w:spacing w:after="0"/>
              <w:rPr>
                <w:sz w:val="20"/>
                <w:szCs w:val="20"/>
                <w:color w:val="auto"/>
              </w:rPr>
            </w:pPr>
            <w:r>
              <w:rPr>
                <w:rFonts w:ascii="Arial" w:cs="Arial" w:eastAsia="Arial" w:hAnsi="Arial"/>
                <w:sz w:val="20"/>
                <w:szCs w:val="20"/>
                <w:color w:val="auto"/>
              </w:rPr>
              <w:t>Non-Executive Board Chairman Fee</w:t>
            </w:r>
          </w:p>
        </w:tc>
        <w:tc>
          <w:tcPr>
            <w:tcW w:w="1560" w:type="dxa"/>
            <w:vAlign w:val="bottom"/>
            <w:tcBorders>
              <w:right w:val="single" w:sz="8" w:color="auto"/>
            </w:tcBorders>
            <w:shd w:val="clear" w:color="auto" w:fill="D9D9D9"/>
          </w:tcPr>
          <w:p>
            <w:pPr>
              <w:jc w:val="right"/>
              <w:ind w:right="201"/>
              <w:spacing w:after="0"/>
              <w:rPr>
                <w:sz w:val="20"/>
                <w:szCs w:val="20"/>
                <w:color w:val="auto"/>
              </w:rPr>
            </w:pPr>
            <w:r>
              <w:rPr>
                <w:rFonts w:ascii="Arial" w:cs="Arial" w:eastAsia="Arial" w:hAnsi="Arial"/>
                <w:sz w:val="20"/>
                <w:szCs w:val="20"/>
                <w:color w:val="auto"/>
              </w:rPr>
              <w:t>80,000</w:t>
            </w:r>
          </w:p>
        </w:tc>
        <w:tc>
          <w:tcPr>
            <w:tcW w:w="0" w:type="dxa"/>
            <w:vAlign w:val="bottom"/>
          </w:tcPr>
          <w:p>
            <w:pPr>
              <w:spacing w:after="0"/>
              <w:rPr>
                <w:sz w:val="1"/>
                <w:szCs w:val="1"/>
                <w:color w:val="auto"/>
              </w:rPr>
            </w:pPr>
          </w:p>
        </w:tc>
      </w:tr>
      <w:tr>
        <w:trPr>
          <w:trHeight w:val="78"/>
        </w:trPr>
        <w:tc>
          <w:tcPr>
            <w:tcW w:w="9700" w:type="dxa"/>
            <w:vAlign w:val="bottom"/>
            <w:tcBorders>
              <w:left w:val="single" w:sz="8" w:color="auto"/>
              <w:bottom w:val="single" w:sz="8" w:color="auto"/>
              <w:right w:val="single" w:sz="8" w:color="auto"/>
            </w:tcBorders>
            <w:shd w:val="clear" w:color="auto" w:fill="D9D9D9"/>
          </w:tcPr>
          <w:p>
            <w:pPr>
              <w:spacing w:after="0"/>
              <w:rPr>
                <w:sz w:val="6"/>
                <w:szCs w:val="6"/>
                <w:color w:val="auto"/>
              </w:rPr>
            </w:pPr>
          </w:p>
        </w:tc>
        <w:tc>
          <w:tcPr>
            <w:tcW w:w="1560" w:type="dxa"/>
            <w:vAlign w:val="bottom"/>
            <w:tcBorders>
              <w:bottom w:val="single" w:sz="8" w:color="auto"/>
              <w:right w:val="single" w:sz="8" w:color="auto"/>
            </w:tcBorders>
            <w:shd w:val="clear" w:color="auto" w:fill="D9D9D9"/>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97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Independent Lead Director Fee</w:t>
            </w:r>
          </w:p>
        </w:tc>
        <w:tc>
          <w:tcPr>
            <w:tcW w:w="1560" w:type="dxa"/>
            <w:vAlign w:val="bottom"/>
            <w:tcBorders>
              <w:right w:val="single" w:sz="8" w:color="auto"/>
            </w:tcBorders>
          </w:tcPr>
          <w:p>
            <w:pPr>
              <w:jc w:val="right"/>
              <w:ind w:right="201"/>
              <w:spacing w:after="0"/>
              <w:rPr>
                <w:sz w:val="20"/>
                <w:szCs w:val="20"/>
                <w:color w:val="auto"/>
              </w:rPr>
            </w:pPr>
            <w:r>
              <w:rPr>
                <w:rFonts w:ascii="Arial" w:cs="Arial" w:eastAsia="Arial" w:hAnsi="Arial"/>
                <w:sz w:val="20"/>
                <w:szCs w:val="20"/>
                <w:color w:val="auto"/>
              </w:rPr>
              <w:t>25,000</w:t>
            </w:r>
          </w:p>
        </w:tc>
        <w:tc>
          <w:tcPr>
            <w:tcW w:w="0" w:type="dxa"/>
            <w:vAlign w:val="bottom"/>
          </w:tcPr>
          <w:p>
            <w:pPr>
              <w:spacing w:after="0"/>
              <w:rPr>
                <w:sz w:val="1"/>
                <w:szCs w:val="1"/>
                <w:color w:val="auto"/>
              </w:rPr>
            </w:pPr>
          </w:p>
        </w:tc>
      </w:tr>
      <w:tr>
        <w:trPr>
          <w:trHeight w:val="78"/>
        </w:trPr>
        <w:tc>
          <w:tcPr>
            <w:tcW w:w="9700" w:type="dxa"/>
            <w:vAlign w:val="bottom"/>
            <w:tcBorders>
              <w:left w:val="single" w:sz="8" w:color="auto"/>
              <w:bottom w:val="single" w:sz="8" w:color="auto"/>
              <w:right w:val="single" w:sz="8" w:color="auto"/>
            </w:tcBorders>
          </w:tcPr>
          <w:p>
            <w:pPr>
              <w:spacing w:after="0"/>
              <w:rPr>
                <w:sz w:val="6"/>
                <w:szCs w:val="6"/>
                <w:color w:val="auto"/>
              </w:rPr>
            </w:pPr>
          </w:p>
        </w:tc>
        <w:tc>
          <w:tcPr>
            <w:tcW w:w="15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303" w:lineRule="exact"/>
        <w:rPr>
          <w:sz w:val="20"/>
          <w:szCs w:val="20"/>
          <w:color w:val="auto"/>
        </w:rPr>
      </w:pPr>
    </w:p>
    <w:p>
      <w:pPr>
        <w:jc w:val="both"/>
        <w:ind w:firstLine="595"/>
        <w:spacing w:after="0" w:line="243" w:lineRule="auto"/>
        <w:rPr>
          <w:sz w:val="20"/>
          <w:szCs w:val="20"/>
          <w:color w:val="auto"/>
        </w:rPr>
      </w:pPr>
      <w:r>
        <w:rPr>
          <w:rFonts w:ascii="Arial" w:cs="Arial" w:eastAsia="Arial" w:hAnsi="Arial"/>
          <w:sz w:val="20"/>
          <w:szCs w:val="20"/>
          <w:color w:val="auto"/>
        </w:rPr>
        <w:t>Directors do not receive any additional fees for their service on the Executive Committee. There are no Board or committee meeting attendance fees. Directors are reimbursed by the Company for travel and related expenses they incur in connection with their service on the Board and its committees.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24</w:t>
      </w:r>
    </w:p>
    <w:p>
      <w:pPr>
        <w:sectPr>
          <w:pgSz w:w="11900" w:h="16838" w:orient="portrait"/>
          <w:cols w:equalWidth="0" w:num="1">
            <w:col w:w="11240"/>
          </w:cols>
          <w:pgMar w:left="320" w:top="802" w:right="339" w:bottom="1440" w:gutter="0" w:footer="0" w:header="0"/>
        </w:sectPr>
      </w:pPr>
    </w:p>
    <w:bookmarkStart w:id="28" w:name="page29"/>
    <w:bookmarkEnd w:id="28"/>
    <w:p>
      <w:pPr>
        <w:ind w:right="1440"/>
        <w:spacing w:after="0" w:line="262" w:lineRule="auto"/>
        <w:rPr>
          <w:sz w:val="20"/>
          <w:szCs w:val="20"/>
          <w:color w:val="auto"/>
        </w:rPr>
      </w:pPr>
      <w:r>
        <w:rPr>
          <w:rFonts w:ascii="Arial" w:cs="Arial" w:eastAsia="Arial" w:hAnsi="Arial"/>
          <w:sz w:val="30"/>
          <w:szCs w:val="30"/>
          <w:b w:val="1"/>
          <w:bCs w:val="1"/>
          <w:color w:val="29650B"/>
        </w:rPr>
        <w:t>COMMON STOCK OWNERSHIP OF CERTAIN BENEFICIAL OWNERS, DIRECTORS AND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143750" cy="317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3750" cy="31750"/>
                    </a:xfrm>
                    <a:prstGeom prst="rect">
                      <a:avLst/>
                    </a:prstGeom>
                    <a:noFill/>
                  </pic:spPr>
                </pic:pic>
              </a:graphicData>
            </a:graphic>
          </wp:anchor>
        </w:drawing>
      </w:r>
    </w:p>
    <w:p>
      <w:pPr>
        <w:spacing w:after="0" w:line="177" w:lineRule="exact"/>
        <w:rPr>
          <w:sz w:val="20"/>
          <w:szCs w:val="20"/>
          <w:color w:val="auto"/>
        </w:rPr>
      </w:pPr>
    </w:p>
    <w:p>
      <w:pPr>
        <w:ind w:firstLine="595"/>
        <w:spacing w:after="0" w:line="309" w:lineRule="auto"/>
        <w:rPr>
          <w:sz w:val="20"/>
          <w:szCs w:val="20"/>
          <w:color w:val="auto"/>
        </w:rPr>
      </w:pPr>
      <w:r>
        <w:rPr>
          <w:rFonts w:ascii="Arial" w:cs="Arial" w:eastAsia="Arial" w:hAnsi="Arial"/>
          <w:sz w:val="18"/>
          <w:szCs w:val="18"/>
          <w:color w:val="auto"/>
        </w:rPr>
        <w:t>The following table shows, as of March 3, 2020, the number of shares of Company Common Stock beneficially owned by each person or group that is known to the Company to be the beneficial owner of more than 5% of the Company’s outstanding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143750" cy="5008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3750" cy="5008880"/>
                    </a:xfrm>
                    <a:prstGeom prst="rect">
                      <a:avLst/>
                    </a:prstGeom>
                    <a:noFill/>
                  </pic:spPr>
                </pic:pic>
              </a:graphicData>
            </a:graphic>
          </wp:anchor>
        </w:drawing>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322"/>
        </w:trPr>
        <w:tc>
          <w:tcPr>
            <w:tcW w:w="3460" w:type="dxa"/>
            <w:vAlign w:val="bottom"/>
            <w:shd w:val="clear" w:color="auto" w:fill="29650B"/>
          </w:tcPr>
          <w:p>
            <w:pPr>
              <w:spacing w:after="0"/>
              <w:rPr>
                <w:sz w:val="24"/>
                <w:szCs w:val="24"/>
                <w:color w:val="auto"/>
              </w:rPr>
            </w:pPr>
          </w:p>
        </w:tc>
        <w:tc>
          <w:tcPr>
            <w:tcW w:w="4820" w:type="dxa"/>
            <w:vAlign w:val="bottom"/>
            <w:shd w:val="clear" w:color="auto" w:fill="29650B"/>
          </w:tcPr>
          <w:p>
            <w:pPr>
              <w:jc w:val="center"/>
              <w:ind w:left="209"/>
              <w:spacing w:after="0"/>
              <w:rPr>
                <w:sz w:val="20"/>
                <w:szCs w:val="20"/>
                <w:color w:val="auto"/>
              </w:rPr>
            </w:pPr>
            <w:r>
              <w:rPr>
                <w:rFonts w:ascii="Arial" w:cs="Arial" w:eastAsia="Arial" w:hAnsi="Arial"/>
                <w:sz w:val="18"/>
                <w:szCs w:val="18"/>
                <w:b w:val="1"/>
                <w:bCs w:val="1"/>
                <w:color w:val="FFFFFF"/>
                <w:w w:val="91"/>
              </w:rPr>
              <w:t>Amount of Common Stock of the Company</w:t>
            </w:r>
          </w:p>
        </w:tc>
        <w:tc>
          <w:tcPr>
            <w:tcW w:w="2960" w:type="dxa"/>
            <w:vAlign w:val="bottom"/>
            <w:shd w:val="clear" w:color="auto" w:fill="29650B"/>
          </w:tcPr>
          <w:p>
            <w:pPr>
              <w:jc w:val="center"/>
              <w:spacing w:after="0"/>
              <w:rPr>
                <w:sz w:val="20"/>
                <w:szCs w:val="20"/>
                <w:color w:val="auto"/>
              </w:rPr>
            </w:pPr>
            <w:r>
              <w:rPr>
                <w:rFonts w:ascii="Arial" w:cs="Arial" w:eastAsia="Arial" w:hAnsi="Arial"/>
                <w:sz w:val="18"/>
                <w:szCs w:val="18"/>
                <w:b w:val="1"/>
                <w:bCs w:val="1"/>
                <w:color w:val="FFFFFF"/>
                <w:w w:val="87"/>
              </w:rPr>
              <w:t>Percentage of</w:t>
            </w:r>
          </w:p>
        </w:tc>
        <w:tc>
          <w:tcPr>
            <w:tcW w:w="0" w:type="dxa"/>
            <w:vAlign w:val="bottom"/>
          </w:tcPr>
          <w:p>
            <w:pPr>
              <w:spacing w:after="0"/>
              <w:rPr>
                <w:sz w:val="1"/>
                <w:szCs w:val="1"/>
                <w:color w:val="auto"/>
              </w:rPr>
            </w:pPr>
          </w:p>
        </w:tc>
      </w:tr>
      <w:tr>
        <w:trPr>
          <w:trHeight w:val="265"/>
        </w:trPr>
        <w:tc>
          <w:tcPr>
            <w:tcW w:w="3460" w:type="dxa"/>
            <w:vAlign w:val="bottom"/>
            <w:shd w:val="clear" w:color="auto" w:fill="29650B"/>
          </w:tcPr>
          <w:p>
            <w:pPr>
              <w:ind w:left="1120"/>
              <w:spacing w:after="0"/>
              <w:rPr>
                <w:sz w:val="20"/>
                <w:szCs w:val="20"/>
                <w:color w:val="auto"/>
              </w:rPr>
            </w:pPr>
            <w:r>
              <w:rPr>
                <w:rFonts w:ascii="Arial" w:cs="Arial" w:eastAsia="Arial" w:hAnsi="Arial"/>
                <w:sz w:val="18"/>
                <w:szCs w:val="18"/>
                <w:b w:val="1"/>
                <w:bCs w:val="1"/>
                <w:color w:val="FFFFFF"/>
              </w:rPr>
              <w:t>Name and Address</w:t>
            </w:r>
          </w:p>
        </w:tc>
        <w:tc>
          <w:tcPr>
            <w:tcW w:w="4820" w:type="dxa"/>
            <w:vAlign w:val="bottom"/>
            <w:shd w:val="clear" w:color="auto" w:fill="29650B"/>
          </w:tcPr>
          <w:p>
            <w:pPr>
              <w:jc w:val="center"/>
              <w:ind w:left="209"/>
              <w:spacing w:after="0"/>
              <w:rPr>
                <w:sz w:val="20"/>
                <w:szCs w:val="20"/>
                <w:color w:val="auto"/>
              </w:rPr>
            </w:pPr>
            <w:r>
              <w:rPr>
                <w:rFonts w:ascii="Arial" w:cs="Arial" w:eastAsia="Arial" w:hAnsi="Arial"/>
                <w:sz w:val="18"/>
                <w:szCs w:val="18"/>
                <w:b w:val="1"/>
                <w:bCs w:val="1"/>
                <w:color w:val="FFFFFF"/>
                <w:w w:val="92"/>
              </w:rPr>
              <w:t>Owned Beneficially, Directly or Indirectly</w:t>
            </w:r>
          </w:p>
        </w:tc>
        <w:tc>
          <w:tcPr>
            <w:tcW w:w="2960" w:type="dxa"/>
            <w:vAlign w:val="bottom"/>
            <w:shd w:val="clear" w:color="auto" w:fill="29650B"/>
          </w:tcPr>
          <w:p>
            <w:pPr>
              <w:jc w:val="center"/>
              <w:spacing w:after="0"/>
              <w:rPr>
                <w:sz w:val="20"/>
                <w:szCs w:val="20"/>
                <w:color w:val="auto"/>
              </w:rPr>
            </w:pPr>
            <w:r>
              <w:rPr>
                <w:rFonts w:ascii="Arial" w:cs="Arial" w:eastAsia="Arial" w:hAnsi="Arial"/>
                <w:sz w:val="18"/>
                <w:szCs w:val="18"/>
                <w:b w:val="1"/>
                <w:bCs w:val="1"/>
                <w:color w:val="FFFFFF"/>
                <w:w w:val="90"/>
              </w:rPr>
              <w:t>Outstanding Shares (1)</w:t>
            </w:r>
          </w:p>
        </w:tc>
        <w:tc>
          <w:tcPr>
            <w:tcW w:w="0" w:type="dxa"/>
            <w:vAlign w:val="bottom"/>
          </w:tcPr>
          <w:p>
            <w:pPr>
              <w:spacing w:after="0"/>
              <w:rPr>
                <w:sz w:val="1"/>
                <w:szCs w:val="1"/>
                <w:color w:val="auto"/>
              </w:rPr>
            </w:pPr>
          </w:p>
        </w:tc>
      </w:tr>
      <w:tr>
        <w:trPr>
          <w:trHeight w:val="157"/>
        </w:trPr>
        <w:tc>
          <w:tcPr>
            <w:tcW w:w="3460" w:type="dxa"/>
            <w:vAlign w:val="bottom"/>
            <w:tcBorders>
              <w:bottom w:val="single" w:sz="8" w:color="auto"/>
            </w:tcBorders>
            <w:shd w:val="clear" w:color="auto" w:fill="29650B"/>
          </w:tcPr>
          <w:p>
            <w:pPr>
              <w:spacing w:after="0"/>
              <w:rPr>
                <w:sz w:val="13"/>
                <w:szCs w:val="13"/>
                <w:color w:val="auto"/>
              </w:rPr>
            </w:pPr>
          </w:p>
        </w:tc>
        <w:tc>
          <w:tcPr>
            <w:tcW w:w="4820" w:type="dxa"/>
            <w:vAlign w:val="bottom"/>
            <w:tcBorders>
              <w:bottom w:val="single" w:sz="8" w:color="auto"/>
            </w:tcBorders>
            <w:shd w:val="clear" w:color="auto" w:fill="29650B"/>
          </w:tcPr>
          <w:p>
            <w:pPr>
              <w:spacing w:after="0"/>
              <w:rPr>
                <w:sz w:val="13"/>
                <w:szCs w:val="13"/>
                <w:color w:val="auto"/>
              </w:rPr>
            </w:pPr>
          </w:p>
        </w:tc>
        <w:tc>
          <w:tcPr>
            <w:tcW w:w="2960" w:type="dxa"/>
            <w:vAlign w:val="bottom"/>
            <w:tcBorders>
              <w:bottom w:val="single" w:sz="8" w:color="auto"/>
            </w:tcBorders>
            <w:shd w:val="clear" w:color="auto" w:fill="29650B"/>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3460" w:type="dxa"/>
            <w:vAlign w:val="bottom"/>
          </w:tcPr>
          <w:p>
            <w:pPr>
              <w:ind w:left="100"/>
              <w:spacing w:after="0"/>
              <w:rPr>
                <w:sz w:val="20"/>
                <w:szCs w:val="20"/>
                <w:color w:val="auto"/>
              </w:rPr>
            </w:pPr>
            <w:r>
              <w:rPr>
                <w:rFonts w:ascii="Arial" w:cs="Arial" w:eastAsia="Arial" w:hAnsi="Arial"/>
                <w:sz w:val="18"/>
                <w:szCs w:val="18"/>
                <w:color w:val="auto"/>
              </w:rPr>
              <w:t>The Vanguard Group (2)</w:t>
            </w:r>
          </w:p>
        </w:tc>
        <w:tc>
          <w:tcPr>
            <w:tcW w:w="48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60" w:type="dxa"/>
            <w:vAlign w:val="bottom"/>
          </w:tcPr>
          <w:p>
            <w:pPr>
              <w:ind w:left="380"/>
              <w:spacing w:after="0"/>
              <w:rPr>
                <w:sz w:val="20"/>
                <w:szCs w:val="20"/>
                <w:color w:val="auto"/>
              </w:rPr>
            </w:pPr>
            <w:r>
              <w:rPr>
                <w:rFonts w:ascii="Arial" w:cs="Arial" w:eastAsia="Arial" w:hAnsi="Arial"/>
                <w:sz w:val="18"/>
                <w:szCs w:val="18"/>
                <w:color w:val="auto"/>
              </w:rPr>
              <w:t>100 Vanguard Blvd.</w:t>
            </w:r>
          </w:p>
        </w:tc>
        <w:tc>
          <w:tcPr>
            <w:tcW w:w="4820" w:type="dxa"/>
            <w:vAlign w:val="bottom"/>
          </w:tcPr>
          <w:p>
            <w:pPr>
              <w:jc w:val="center"/>
              <w:ind w:left="189"/>
              <w:spacing w:after="0"/>
              <w:rPr>
                <w:sz w:val="20"/>
                <w:szCs w:val="20"/>
                <w:color w:val="auto"/>
              </w:rPr>
            </w:pPr>
            <w:r>
              <w:rPr>
                <w:rFonts w:ascii="Arial" w:cs="Arial" w:eastAsia="Arial" w:hAnsi="Arial"/>
                <w:sz w:val="18"/>
                <w:szCs w:val="18"/>
                <w:color w:val="auto"/>
                <w:w w:val="90"/>
              </w:rPr>
              <w:t>12,729,031</w:t>
            </w:r>
          </w:p>
        </w:tc>
        <w:tc>
          <w:tcPr>
            <w:tcW w:w="2960" w:type="dxa"/>
            <w:vAlign w:val="bottom"/>
          </w:tcPr>
          <w:p>
            <w:pPr>
              <w:jc w:val="center"/>
              <w:spacing w:after="0"/>
              <w:rPr>
                <w:sz w:val="20"/>
                <w:szCs w:val="20"/>
                <w:color w:val="auto"/>
              </w:rPr>
            </w:pPr>
            <w:r>
              <w:rPr>
                <w:rFonts w:ascii="Arial" w:cs="Arial" w:eastAsia="Arial" w:hAnsi="Arial"/>
                <w:sz w:val="18"/>
                <w:szCs w:val="18"/>
                <w:color w:val="auto"/>
                <w:w w:val="92"/>
              </w:rPr>
              <w:t>9.4%</w:t>
            </w:r>
          </w:p>
        </w:tc>
        <w:tc>
          <w:tcPr>
            <w:tcW w:w="0" w:type="dxa"/>
            <w:vAlign w:val="bottom"/>
          </w:tcPr>
          <w:p>
            <w:pPr>
              <w:spacing w:after="0"/>
              <w:rPr>
                <w:sz w:val="1"/>
                <w:szCs w:val="1"/>
                <w:color w:val="auto"/>
              </w:rPr>
            </w:pPr>
          </w:p>
        </w:tc>
      </w:tr>
      <w:tr>
        <w:trPr>
          <w:trHeight w:val="232"/>
        </w:trPr>
        <w:tc>
          <w:tcPr>
            <w:tcW w:w="3460" w:type="dxa"/>
            <w:vAlign w:val="bottom"/>
          </w:tcPr>
          <w:p>
            <w:pPr>
              <w:ind w:left="380"/>
              <w:spacing w:after="0"/>
              <w:rPr>
                <w:sz w:val="20"/>
                <w:szCs w:val="20"/>
                <w:color w:val="auto"/>
              </w:rPr>
            </w:pPr>
            <w:r>
              <w:rPr>
                <w:rFonts w:ascii="Arial" w:cs="Arial" w:eastAsia="Arial" w:hAnsi="Arial"/>
                <w:sz w:val="18"/>
                <w:szCs w:val="18"/>
                <w:color w:val="auto"/>
              </w:rPr>
              <w:t>Malvern, PA 19355</w:t>
            </w:r>
          </w:p>
        </w:tc>
        <w:tc>
          <w:tcPr>
            <w:tcW w:w="48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8"/>
        </w:trPr>
        <w:tc>
          <w:tcPr>
            <w:tcW w:w="3460" w:type="dxa"/>
            <w:vAlign w:val="bottom"/>
            <w:tcBorders>
              <w:bottom w:val="single" w:sz="8" w:color="auto"/>
            </w:tcBorders>
          </w:tcPr>
          <w:p>
            <w:pPr>
              <w:spacing w:after="0"/>
              <w:rPr>
                <w:sz w:val="6"/>
                <w:szCs w:val="6"/>
                <w:color w:val="auto"/>
              </w:rPr>
            </w:pPr>
          </w:p>
        </w:tc>
        <w:tc>
          <w:tcPr>
            <w:tcW w:w="4820" w:type="dxa"/>
            <w:vAlign w:val="bottom"/>
            <w:tcBorders>
              <w:bottom w:val="single" w:sz="8" w:color="auto"/>
            </w:tcBorders>
          </w:tcPr>
          <w:p>
            <w:pPr>
              <w:spacing w:after="0"/>
              <w:rPr>
                <w:sz w:val="6"/>
                <w:szCs w:val="6"/>
                <w:color w:val="auto"/>
              </w:rPr>
            </w:pPr>
          </w:p>
        </w:tc>
        <w:tc>
          <w:tcPr>
            <w:tcW w:w="29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3460" w:type="dxa"/>
            <w:vAlign w:val="bottom"/>
            <w:shd w:val="clear" w:color="auto" w:fill="D9D9D9"/>
          </w:tcPr>
          <w:p>
            <w:pPr>
              <w:ind w:left="100"/>
              <w:spacing w:after="0"/>
              <w:rPr>
                <w:sz w:val="20"/>
                <w:szCs w:val="20"/>
                <w:color w:val="auto"/>
              </w:rPr>
            </w:pPr>
            <w:r>
              <w:rPr>
                <w:rFonts w:ascii="Arial" w:cs="Arial" w:eastAsia="Arial" w:hAnsi="Arial"/>
                <w:sz w:val="18"/>
                <w:szCs w:val="18"/>
                <w:color w:val="auto"/>
              </w:rPr>
              <w:t>FMR LLC (3)</w:t>
            </w:r>
          </w:p>
        </w:tc>
        <w:tc>
          <w:tcPr>
            <w:tcW w:w="4820" w:type="dxa"/>
            <w:vAlign w:val="bottom"/>
            <w:shd w:val="clear" w:color="auto" w:fill="D9D9D9"/>
          </w:tcPr>
          <w:p>
            <w:pPr>
              <w:spacing w:after="0"/>
              <w:rPr>
                <w:sz w:val="20"/>
                <w:szCs w:val="20"/>
                <w:color w:val="auto"/>
              </w:rPr>
            </w:pPr>
          </w:p>
        </w:tc>
        <w:tc>
          <w:tcPr>
            <w:tcW w:w="2960" w:type="dxa"/>
            <w:vAlign w:val="bottom"/>
            <w:shd w:val="clear" w:color="auto" w:fill="D9D9D9"/>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60" w:type="dxa"/>
            <w:vAlign w:val="bottom"/>
            <w:shd w:val="clear" w:color="auto" w:fill="D9D9D9"/>
          </w:tcPr>
          <w:p>
            <w:pPr>
              <w:ind w:left="460"/>
              <w:spacing w:after="0"/>
              <w:rPr>
                <w:sz w:val="20"/>
                <w:szCs w:val="20"/>
                <w:color w:val="auto"/>
              </w:rPr>
            </w:pPr>
            <w:r>
              <w:rPr>
                <w:rFonts w:ascii="Arial" w:cs="Arial" w:eastAsia="Arial" w:hAnsi="Arial"/>
                <w:sz w:val="18"/>
                <w:szCs w:val="18"/>
                <w:color w:val="auto"/>
              </w:rPr>
              <w:t>245 Summer Street</w:t>
            </w:r>
          </w:p>
        </w:tc>
        <w:tc>
          <w:tcPr>
            <w:tcW w:w="4820" w:type="dxa"/>
            <w:vAlign w:val="bottom"/>
            <w:shd w:val="clear" w:color="auto" w:fill="D9D9D9"/>
          </w:tcPr>
          <w:p>
            <w:pPr>
              <w:jc w:val="center"/>
              <w:ind w:left="209"/>
              <w:spacing w:after="0"/>
              <w:rPr>
                <w:sz w:val="20"/>
                <w:szCs w:val="20"/>
                <w:color w:val="auto"/>
              </w:rPr>
            </w:pPr>
            <w:r>
              <w:rPr>
                <w:rFonts w:ascii="Arial" w:cs="Arial" w:eastAsia="Arial" w:hAnsi="Arial"/>
                <w:sz w:val="18"/>
                <w:szCs w:val="18"/>
                <w:color w:val="auto"/>
                <w:w w:val="89"/>
              </w:rPr>
              <w:t>7,111,147</w:t>
            </w:r>
          </w:p>
        </w:tc>
        <w:tc>
          <w:tcPr>
            <w:tcW w:w="2960" w:type="dxa"/>
            <w:vAlign w:val="bottom"/>
            <w:shd w:val="clear" w:color="auto" w:fill="D9D9D9"/>
          </w:tcPr>
          <w:p>
            <w:pPr>
              <w:jc w:val="center"/>
              <w:spacing w:after="0"/>
              <w:rPr>
                <w:sz w:val="20"/>
                <w:szCs w:val="20"/>
                <w:color w:val="auto"/>
              </w:rPr>
            </w:pPr>
            <w:r>
              <w:rPr>
                <w:rFonts w:ascii="Arial" w:cs="Arial" w:eastAsia="Arial" w:hAnsi="Arial"/>
                <w:sz w:val="18"/>
                <w:szCs w:val="18"/>
                <w:color w:val="auto"/>
                <w:w w:val="92"/>
              </w:rPr>
              <w:t>5.2%</w:t>
            </w:r>
          </w:p>
        </w:tc>
        <w:tc>
          <w:tcPr>
            <w:tcW w:w="0" w:type="dxa"/>
            <w:vAlign w:val="bottom"/>
          </w:tcPr>
          <w:p>
            <w:pPr>
              <w:spacing w:after="0"/>
              <w:rPr>
                <w:sz w:val="1"/>
                <w:szCs w:val="1"/>
                <w:color w:val="auto"/>
              </w:rPr>
            </w:pPr>
          </w:p>
        </w:tc>
      </w:tr>
      <w:tr>
        <w:trPr>
          <w:trHeight w:val="232"/>
        </w:trPr>
        <w:tc>
          <w:tcPr>
            <w:tcW w:w="3460" w:type="dxa"/>
            <w:vAlign w:val="bottom"/>
            <w:shd w:val="clear" w:color="auto" w:fill="D9D9D9"/>
          </w:tcPr>
          <w:p>
            <w:pPr>
              <w:ind w:left="460"/>
              <w:spacing w:after="0"/>
              <w:rPr>
                <w:sz w:val="20"/>
                <w:szCs w:val="20"/>
                <w:color w:val="auto"/>
              </w:rPr>
            </w:pPr>
            <w:r>
              <w:rPr>
                <w:rFonts w:ascii="Arial" w:cs="Arial" w:eastAsia="Arial" w:hAnsi="Arial"/>
                <w:sz w:val="18"/>
                <w:szCs w:val="18"/>
                <w:color w:val="auto"/>
              </w:rPr>
              <w:t>Boston, MA 02210</w:t>
            </w:r>
          </w:p>
        </w:tc>
        <w:tc>
          <w:tcPr>
            <w:tcW w:w="4820" w:type="dxa"/>
            <w:vAlign w:val="bottom"/>
            <w:shd w:val="clear" w:color="auto" w:fill="D9D9D9"/>
          </w:tcPr>
          <w:p>
            <w:pPr>
              <w:spacing w:after="0"/>
              <w:rPr>
                <w:sz w:val="20"/>
                <w:szCs w:val="20"/>
                <w:color w:val="auto"/>
              </w:rPr>
            </w:pPr>
          </w:p>
        </w:tc>
        <w:tc>
          <w:tcPr>
            <w:tcW w:w="2960" w:type="dxa"/>
            <w:vAlign w:val="bottom"/>
            <w:shd w:val="clear" w:color="auto" w:fill="D9D9D9"/>
          </w:tcPr>
          <w:p>
            <w:pPr>
              <w:spacing w:after="0"/>
              <w:rPr>
                <w:sz w:val="20"/>
                <w:szCs w:val="20"/>
                <w:color w:val="auto"/>
              </w:rPr>
            </w:pPr>
          </w:p>
        </w:tc>
        <w:tc>
          <w:tcPr>
            <w:tcW w:w="0" w:type="dxa"/>
            <w:vAlign w:val="bottom"/>
          </w:tcPr>
          <w:p>
            <w:pPr>
              <w:spacing w:after="0"/>
              <w:rPr>
                <w:sz w:val="1"/>
                <w:szCs w:val="1"/>
                <w:color w:val="auto"/>
              </w:rPr>
            </w:pPr>
          </w:p>
        </w:tc>
      </w:tr>
      <w:tr>
        <w:trPr>
          <w:trHeight w:val="78"/>
        </w:trPr>
        <w:tc>
          <w:tcPr>
            <w:tcW w:w="3460" w:type="dxa"/>
            <w:vAlign w:val="bottom"/>
            <w:tcBorders>
              <w:bottom w:val="single" w:sz="8" w:color="auto"/>
            </w:tcBorders>
            <w:shd w:val="clear" w:color="auto" w:fill="D9D9D9"/>
          </w:tcPr>
          <w:p>
            <w:pPr>
              <w:spacing w:after="0"/>
              <w:rPr>
                <w:sz w:val="6"/>
                <w:szCs w:val="6"/>
                <w:color w:val="auto"/>
              </w:rPr>
            </w:pPr>
          </w:p>
        </w:tc>
        <w:tc>
          <w:tcPr>
            <w:tcW w:w="4820" w:type="dxa"/>
            <w:vAlign w:val="bottom"/>
            <w:tcBorders>
              <w:bottom w:val="single" w:sz="8" w:color="auto"/>
            </w:tcBorders>
            <w:shd w:val="clear" w:color="auto" w:fill="D9D9D9"/>
          </w:tcPr>
          <w:p>
            <w:pPr>
              <w:spacing w:after="0"/>
              <w:rPr>
                <w:sz w:val="6"/>
                <w:szCs w:val="6"/>
                <w:color w:val="auto"/>
              </w:rPr>
            </w:pPr>
          </w:p>
        </w:tc>
        <w:tc>
          <w:tcPr>
            <w:tcW w:w="2960" w:type="dxa"/>
            <w:vAlign w:val="bottom"/>
            <w:tcBorders>
              <w:bottom w:val="single" w:sz="8" w:color="auto"/>
            </w:tcBorders>
            <w:shd w:val="clear" w:color="auto" w:fill="D9D9D9"/>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3460" w:type="dxa"/>
            <w:vAlign w:val="bottom"/>
          </w:tcPr>
          <w:p>
            <w:pPr>
              <w:ind w:left="100"/>
              <w:spacing w:after="0"/>
              <w:rPr>
                <w:sz w:val="20"/>
                <w:szCs w:val="20"/>
                <w:color w:val="auto"/>
              </w:rPr>
            </w:pPr>
            <w:r>
              <w:rPr>
                <w:rFonts w:ascii="Arial" w:cs="Arial" w:eastAsia="Arial" w:hAnsi="Arial"/>
                <w:sz w:val="18"/>
                <w:szCs w:val="18"/>
                <w:color w:val="auto"/>
              </w:rPr>
              <w:t>BlackRock, Inc. (4)</w:t>
            </w:r>
          </w:p>
        </w:tc>
        <w:tc>
          <w:tcPr>
            <w:tcW w:w="4820" w:type="dxa"/>
            <w:vAlign w:val="bottom"/>
          </w:tcPr>
          <w:p>
            <w:pPr>
              <w:spacing w:after="0"/>
              <w:rPr>
                <w:sz w:val="21"/>
                <w:szCs w:val="21"/>
                <w:color w:val="auto"/>
              </w:rPr>
            </w:pPr>
          </w:p>
        </w:tc>
        <w:tc>
          <w:tcPr>
            <w:tcW w:w="2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3460" w:type="dxa"/>
            <w:vAlign w:val="bottom"/>
          </w:tcPr>
          <w:p>
            <w:pPr>
              <w:ind w:left="380"/>
              <w:spacing w:after="0" w:line="255" w:lineRule="exact"/>
              <w:rPr>
                <w:sz w:val="20"/>
                <w:szCs w:val="20"/>
                <w:color w:val="auto"/>
              </w:rPr>
            </w:pPr>
            <w:r>
              <w:rPr>
                <w:rFonts w:ascii="Arial" w:cs="Arial" w:eastAsia="Arial" w:hAnsi="Arial"/>
                <w:sz w:val="18"/>
                <w:szCs w:val="18"/>
                <w:color w:val="auto"/>
              </w:rPr>
              <w:t>55 East 52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Street</w:t>
            </w:r>
          </w:p>
        </w:tc>
        <w:tc>
          <w:tcPr>
            <w:tcW w:w="4820" w:type="dxa"/>
            <w:vAlign w:val="bottom"/>
          </w:tcPr>
          <w:p>
            <w:pPr>
              <w:jc w:val="center"/>
              <w:ind w:left="209"/>
              <w:spacing w:after="0"/>
              <w:rPr>
                <w:sz w:val="20"/>
                <w:szCs w:val="20"/>
                <w:color w:val="auto"/>
              </w:rPr>
            </w:pPr>
            <w:r>
              <w:rPr>
                <w:rFonts w:ascii="Arial" w:cs="Arial" w:eastAsia="Arial" w:hAnsi="Arial"/>
                <w:sz w:val="18"/>
                <w:szCs w:val="18"/>
                <w:color w:val="auto"/>
                <w:w w:val="89"/>
              </w:rPr>
              <w:t>7,066,728</w:t>
            </w:r>
          </w:p>
        </w:tc>
        <w:tc>
          <w:tcPr>
            <w:tcW w:w="2960" w:type="dxa"/>
            <w:vAlign w:val="bottom"/>
          </w:tcPr>
          <w:p>
            <w:pPr>
              <w:jc w:val="center"/>
              <w:spacing w:after="0"/>
              <w:rPr>
                <w:sz w:val="20"/>
                <w:szCs w:val="20"/>
                <w:color w:val="auto"/>
              </w:rPr>
            </w:pPr>
            <w:r>
              <w:rPr>
                <w:rFonts w:ascii="Arial" w:cs="Arial" w:eastAsia="Arial" w:hAnsi="Arial"/>
                <w:sz w:val="18"/>
                <w:szCs w:val="18"/>
                <w:color w:val="auto"/>
                <w:w w:val="92"/>
              </w:rPr>
              <w:t>5.2%</w:t>
            </w:r>
          </w:p>
        </w:tc>
        <w:tc>
          <w:tcPr>
            <w:tcW w:w="0" w:type="dxa"/>
            <w:vAlign w:val="bottom"/>
          </w:tcPr>
          <w:p>
            <w:pPr>
              <w:spacing w:after="0"/>
              <w:rPr>
                <w:sz w:val="1"/>
                <w:szCs w:val="1"/>
                <w:color w:val="auto"/>
              </w:rPr>
            </w:pPr>
          </w:p>
        </w:tc>
      </w:tr>
      <w:tr>
        <w:trPr>
          <w:trHeight w:val="232"/>
        </w:trPr>
        <w:tc>
          <w:tcPr>
            <w:tcW w:w="3460" w:type="dxa"/>
            <w:vAlign w:val="bottom"/>
          </w:tcPr>
          <w:p>
            <w:pPr>
              <w:ind w:left="380"/>
              <w:spacing w:after="0"/>
              <w:rPr>
                <w:sz w:val="20"/>
                <w:szCs w:val="20"/>
                <w:color w:val="auto"/>
              </w:rPr>
            </w:pPr>
            <w:r>
              <w:rPr>
                <w:rFonts w:ascii="Arial" w:cs="Arial" w:eastAsia="Arial" w:hAnsi="Arial"/>
                <w:sz w:val="18"/>
                <w:szCs w:val="18"/>
                <w:color w:val="auto"/>
              </w:rPr>
              <w:t>New York, NY 10055</w:t>
            </w:r>
          </w:p>
        </w:tc>
        <w:tc>
          <w:tcPr>
            <w:tcW w:w="48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3460" w:type="dxa"/>
            <w:vAlign w:val="bottom"/>
            <w:tcBorders>
              <w:bottom w:val="single" w:sz="8" w:color="auto"/>
            </w:tcBorders>
          </w:tcPr>
          <w:p>
            <w:pPr>
              <w:spacing w:after="0"/>
              <w:rPr>
                <w:sz w:val="8"/>
                <w:szCs w:val="8"/>
                <w:color w:val="auto"/>
              </w:rPr>
            </w:pPr>
          </w:p>
        </w:tc>
        <w:tc>
          <w:tcPr>
            <w:tcW w:w="4820" w:type="dxa"/>
            <w:vAlign w:val="bottom"/>
            <w:tcBorders>
              <w:bottom w:val="single" w:sz="8" w:color="auto"/>
            </w:tcBorders>
          </w:tcPr>
          <w:p>
            <w:pPr>
              <w:spacing w:after="0"/>
              <w:rPr>
                <w:sz w:val="8"/>
                <w:szCs w:val="8"/>
                <w:color w:val="auto"/>
              </w:rPr>
            </w:pPr>
          </w:p>
        </w:tc>
        <w:tc>
          <w:tcPr>
            <w:tcW w:w="29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6"/>
        </w:trPr>
        <w:tc>
          <w:tcPr>
            <w:tcW w:w="3460" w:type="dxa"/>
            <w:vAlign w:val="bottom"/>
          </w:tcPr>
          <w:p>
            <w:pPr>
              <w:ind w:left="100"/>
              <w:spacing w:after="0"/>
              <w:rPr>
                <w:sz w:val="20"/>
                <w:szCs w:val="20"/>
                <w:color w:val="auto"/>
              </w:rPr>
            </w:pPr>
            <w:r>
              <w:rPr>
                <w:rFonts w:ascii="Arial" w:cs="Arial" w:eastAsia="Arial" w:hAnsi="Arial"/>
                <w:sz w:val="18"/>
                <w:szCs w:val="18"/>
                <w:color w:val="auto"/>
              </w:rPr>
              <w:t>Janus Henderson Group plc (5)</w:t>
            </w:r>
          </w:p>
        </w:tc>
        <w:tc>
          <w:tcPr>
            <w:tcW w:w="48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3460" w:type="dxa"/>
            <w:vAlign w:val="bottom"/>
          </w:tcPr>
          <w:p>
            <w:pPr>
              <w:ind w:left="380"/>
              <w:spacing w:after="0"/>
              <w:rPr>
                <w:sz w:val="20"/>
                <w:szCs w:val="20"/>
                <w:color w:val="auto"/>
              </w:rPr>
            </w:pPr>
            <w:r>
              <w:rPr>
                <w:rFonts w:ascii="Arial" w:cs="Arial" w:eastAsia="Arial" w:hAnsi="Arial"/>
                <w:sz w:val="18"/>
                <w:szCs w:val="18"/>
                <w:color w:val="auto"/>
              </w:rPr>
              <w:t>201 Bishopsgate, London</w:t>
            </w:r>
          </w:p>
        </w:tc>
        <w:tc>
          <w:tcPr>
            <w:tcW w:w="4820" w:type="dxa"/>
            <w:vAlign w:val="bottom"/>
            <w:vMerge w:val="restart"/>
          </w:tcPr>
          <w:p>
            <w:pPr>
              <w:jc w:val="center"/>
              <w:ind w:left="209"/>
              <w:spacing w:after="0"/>
              <w:rPr>
                <w:sz w:val="20"/>
                <w:szCs w:val="20"/>
                <w:color w:val="auto"/>
              </w:rPr>
            </w:pPr>
            <w:r>
              <w:rPr>
                <w:rFonts w:ascii="Arial" w:cs="Arial" w:eastAsia="Arial" w:hAnsi="Arial"/>
                <w:sz w:val="18"/>
                <w:szCs w:val="18"/>
                <w:color w:val="auto"/>
                <w:w w:val="89"/>
              </w:rPr>
              <w:t>6,899,079</w:t>
            </w:r>
          </w:p>
        </w:tc>
        <w:tc>
          <w:tcPr>
            <w:tcW w:w="2960" w:type="dxa"/>
            <w:vAlign w:val="bottom"/>
            <w:vMerge w:val="restart"/>
          </w:tcPr>
          <w:p>
            <w:pPr>
              <w:jc w:val="center"/>
              <w:spacing w:after="0"/>
              <w:rPr>
                <w:sz w:val="20"/>
                <w:szCs w:val="20"/>
                <w:color w:val="auto"/>
              </w:rPr>
            </w:pPr>
            <w:r>
              <w:rPr>
                <w:rFonts w:ascii="Arial" w:cs="Arial" w:eastAsia="Arial" w:hAnsi="Arial"/>
                <w:sz w:val="18"/>
                <w:szCs w:val="18"/>
                <w:color w:val="auto"/>
                <w:w w:val="92"/>
              </w:rPr>
              <w:t>5.1%</w:t>
            </w:r>
          </w:p>
        </w:tc>
        <w:tc>
          <w:tcPr>
            <w:tcW w:w="0" w:type="dxa"/>
            <w:vAlign w:val="bottom"/>
          </w:tcPr>
          <w:p>
            <w:pPr>
              <w:spacing w:after="0"/>
              <w:rPr>
                <w:sz w:val="1"/>
                <w:szCs w:val="1"/>
                <w:color w:val="auto"/>
              </w:rPr>
            </w:pPr>
          </w:p>
        </w:tc>
      </w:tr>
      <w:tr>
        <w:trPr>
          <w:trHeight w:val="227"/>
        </w:trPr>
        <w:tc>
          <w:tcPr>
            <w:tcW w:w="3460" w:type="dxa"/>
            <w:vAlign w:val="bottom"/>
          </w:tcPr>
          <w:p>
            <w:pPr>
              <w:ind w:left="380"/>
              <w:spacing w:after="0"/>
              <w:rPr>
                <w:sz w:val="20"/>
                <w:szCs w:val="20"/>
                <w:color w:val="auto"/>
              </w:rPr>
            </w:pPr>
            <w:r>
              <w:rPr>
                <w:rFonts w:ascii="Arial" w:cs="Arial" w:eastAsia="Arial" w:hAnsi="Arial"/>
                <w:sz w:val="18"/>
                <w:szCs w:val="18"/>
                <w:color w:val="auto"/>
              </w:rPr>
              <w:t>EC2M 3AE</w:t>
            </w:r>
          </w:p>
        </w:tc>
        <w:tc>
          <w:tcPr>
            <w:tcW w:w="4820" w:type="dxa"/>
            <w:vAlign w:val="bottom"/>
            <w:vMerge w:val="continue"/>
          </w:tcPr>
          <w:p>
            <w:pPr>
              <w:spacing w:after="0"/>
              <w:rPr>
                <w:sz w:val="19"/>
                <w:szCs w:val="19"/>
                <w:color w:val="auto"/>
              </w:rPr>
            </w:pPr>
          </w:p>
        </w:tc>
        <w:tc>
          <w:tcPr>
            <w:tcW w:w="2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ind w:left="380"/>
        <w:spacing w:after="0"/>
        <w:rPr>
          <w:sz w:val="20"/>
          <w:szCs w:val="20"/>
          <w:color w:val="auto"/>
        </w:rPr>
      </w:pPr>
      <w:r>
        <w:rPr>
          <w:rFonts w:ascii="Arial" w:cs="Arial" w:eastAsia="Arial" w:hAnsi="Arial"/>
          <w:sz w:val="18"/>
          <w:szCs w:val="18"/>
          <w:color w:val="auto"/>
        </w:rPr>
        <w:t>United Kingdom</w:t>
      </w:r>
    </w:p>
    <w:p>
      <w:pPr>
        <w:spacing w:after="0" w:line="372" w:lineRule="exact"/>
        <w:rPr>
          <w:sz w:val="20"/>
          <w:szCs w:val="20"/>
          <w:color w:val="auto"/>
        </w:rPr>
      </w:pPr>
    </w:p>
    <w:p>
      <w:pPr>
        <w:ind w:left="520" w:hanging="419"/>
        <w:spacing w:after="0"/>
        <w:tabs>
          <w:tab w:leader="none" w:pos="520" w:val="left"/>
        </w:tabs>
        <w:numPr>
          <w:ilvl w:val="0"/>
          <w:numId w:val="17"/>
        </w:numPr>
        <w:rPr>
          <w:rFonts w:ascii="Arial" w:cs="Arial" w:eastAsia="Arial" w:hAnsi="Arial"/>
          <w:sz w:val="20"/>
          <w:szCs w:val="20"/>
          <w:color w:val="auto"/>
        </w:rPr>
      </w:pPr>
      <w:r>
        <w:rPr>
          <w:rFonts w:ascii="Arial" w:cs="Arial" w:eastAsia="Arial" w:hAnsi="Arial"/>
          <w:sz w:val="18"/>
          <w:szCs w:val="18"/>
          <w:color w:val="auto"/>
        </w:rPr>
        <w:t>Percentages are derived based upon 135,696,867 shares of Common Stock outstanding as of March 3, 2020.</w:t>
      </w:r>
    </w:p>
    <w:p>
      <w:pPr>
        <w:spacing w:after="0" w:line="92" w:lineRule="exact"/>
        <w:rPr>
          <w:rFonts w:ascii="Arial" w:cs="Arial" w:eastAsia="Arial" w:hAnsi="Arial"/>
          <w:sz w:val="20"/>
          <w:szCs w:val="20"/>
          <w:color w:val="auto"/>
        </w:rPr>
      </w:pPr>
    </w:p>
    <w:p>
      <w:pPr>
        <w:ind w:left="520" w:right="260" w:hanging="419"/>
        <w:spacing w:after="0" w:line="245" w:lineRule="auto"/>
        <w:tabs>
          <w:tab w:leader="none" w:pos="520" w:val="left"/>
        </w:tabs>
        <w:numPr>
          <w:ilvl w:val="0"/>
          <w:numId w:val="17"/>
        </w:numPr>
        <w:rPr>
          <w:rFonts w:ascii="Arial" w:cs="Arial" w:eastAsia="Arial" w:hAnsi="Arial"/>
          <w:sz w:val="20"/>
          <w:szCs w:val="20"/>
          <w:color w:val="auto"/>
        </w:rPr>
      </w:pPr>
      <w:r>
        <w:rPr>
          <w:rFonts w:ascii="Arial" w:cs="Arial" w:eastAsia="Arial" w:hAnsi="Arial"/>
          <w:sz w:val="18"/>
          <w:szCs w:val="18"/>
          <w:color w:val="auto"/>
        </w:rPr>
        <w:t>The Vanguard Group, an investment advisor, reported that it may be deemed to be the beneficial owner of 12,729,031 shares of the Company’s Common Stock. The Vanguard Group reported that it had sole dispositive power with respect to 12,609,000 shares, including 99,555 shares for which it had sole voting power and 33,589 shares for which it had shared voting power, and shared dispositive power with respect to 120,031 shares.</w:t>
      </w:r>
    </w:p>
    <w:p>
      <w:pPr>
        <w:spacing w:after="0" w:line="73" w:lineRule="exact"/>
        <w:rPr>
          <w:rFonts w:ascii="Arial" w:cs="Arial" w:eastAsia="Arial" w:hAnsi="Arial"/>
          <w:sz w:val="20"/>
          <w:szCs w:val="20"/>
          <w:color w:val="auto"/>
        </w:rPr>
      </w:pPr>
    </w:p>
    <w:p>
      <w:pPr>
        <w:ind w:left="520" w:right="180" w:hanging="419"/>
        <w:spacing w:after="0" w:line="245" w:lineRule="auto"/>
        <w:tabs>
          <w:tab w:leader="none" w:pos="520" w:val="left"/>
        </w:tabs>
        <w:numPr>
          <w:ilvl w:val="0"/>
          <w:numId w:val="17"/>
        </w:numPr>
        <w:rPr>
          <w:rFonts w:ascii="Arial" w:cs="Arial" w:eastAsia="Arial" w:hAnsi="Arial"/>
          <w:sz w:val="20"/>
          <w:szCs w:val="20"/>
          <w:color w:val="auto"/>
        </w:rPr>
      </w:pPr>
      <w:r>
        <w:rPr>
          <w:rFonts w:ascii="Arial" w:cs="Arial" w:eastAsia="Arial" w:hAnsi="Arial"/>
          <w:sz w:val="18"/>
          <w:szCs w:val="18"/>
          <w:color w:val="auto"/>
        </w:rPr>
        <w:t>FMR LLC, a parent holding company, reported that it may be deemed to be the beneficial owner of 7,111,147 shares of the Company’s Common Stock. FMR LLC reported that it had sole dispositive power with respect to 7,111,147 shares, including 1,103,936 shares for which it had sole voting power.</w:t>
      </w:r>
    </w:p>
    <w:p>
      <w:pPr>
        <w:spacing w:after="0" w:line="74" w:lineRule="exact"/>
        <w:rPr>
          <w:rFonts w:ascii="Arial" w:cs="Arial" w:eastAsia="Arial" w:hAnsi="Arial"/>
          <w:sz w:val="20"/>
          <w:szCs w:val="20"/>
          <w:color w:val="auto"/>
        </w:rPr>
      </w:pPr>
    </w:p>
    <w:p>
      <w:pPr>
        <w:jc w:val="both"/>
        <w:ind w:left="520" w:right="480" w:hanging="419"/>
        <w:spacing w:after="0" w:line="245" w:lineRule="auto"/>
        <w:tabs>
          <w:tab w:leader="none" w:pos="520" w:val="left"/>
        </w:tabs>
        <w:numPr>
          <w:ilvl w:val="0"/>
          <w:numId w:val="17"/>
        </w:numPr>
        <w:rPr>
          <w:rFonts w:ascii="Arial" w:cs="Arial" w:eastAsia="Arial" w:hAnsi="Arial"/>
          <w:sz w:val="20"/>
          <w:szCs w:val="20"/>
          <w:color w:val="auto"/>
        </w:rPr>
      </w:pPr>
      <w:r>
        <w:rPr>
          <w:rFonts w:ascii="Arial" w:cs="Arial" w:eastAsia="Arial" w:hAnsi="Arial"/>
          <w:sz w:val="18"/>
          <w:szCs w:val="18"/>
          <w:color w:val="auto"/>
        </w:rPr>
        <w:t>BlackRock, Inc., a parent holding company, reported that it may be deemed to be the beneficial owner of 7,066,728 shares of the Company’s Common Stock. BlackRock, Inc. reported that it had sole dispositive power with respect to 7,066,728 shares, including 6,318,680 shares for which it had sole voting power.</w:t>
      </w:r>
    </w:p>
    <w:p>
      <w:pPr>
        <w:spacing w:after="0" w:line="74" w:lineRule="exact"/>
        <w:rPr>
          <w:rFonts w:ascii="Arial" w:cs="Arial" w:eastAsia="Arial" w:hAnsi="Arial"/>
          <w:sz w:val="20"/>
          <w:szCs w:val="20"/>
          <w:color w:val="auto"/>
        </w:rPr>
      </w:pPr>
    </w:p>
    <w:p>
      <w:pPr>
        <w:ind w:left="520" w:right="320" w:hanging="419"/>
        <w:spacing w:after="0" w:line="245" w:lineRule="auto"/>
        <w:tabs>
          <w:tab w:leader="none" w:pos="520" w:val="left"/>
        </w:tabs>
        <w:numPr>
          <w:ilvl w:val="0"/>
          <w:numId w:val="17"/>
        </w:numPr>
        <w:rPr>
          <w:rFonts w:ascii="Arial" w:cs="Arial" w:eastAsia="Arial" w:hAnsi="Arial"/>
          <w:sz w:val="20"/>
          <w:szCs w:val="20"/>
          <w:color w:val="auto"/>
        </w:rPr>
      </w:pPr>
      <w:r>
        <w:rPr>
          <w:rFonts w:ascii="Arial" w:cs="Arial" w:eastAsia="Arial" w:hAnsi="Arial"/>
          <w:sz w:val="18"/>
          <w:szCs w:val="18"/>
          <w:color w:val="auto"/>
        </w:rPr>
        <w:t>Janus Henderson Group plc, a parent holding company, reported that it may be deemed to be the beneficial owner of 6,899,079 shares of the Company’s Common Stock. Janus Henderson Group plc reported that it had shared voting power and shared dispositive power with respect to 6,899,079 shares.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25</w:t>
      </w:r>
    </w:p>
    <w:p>
      <w:pPr>
        <w:sectPr>
          <w:pgSz w:w="11900" w:h="16838" w:orient="portrait"/>
          <w:cols w:equalWidth="0" w:num="1">
            <w:col w:w="11240"/>
          </w:cols>
          <w:pgMar w:left="320" w:top="423" w:right="339" w:bottom="1440" w:gutter="0" w:footer="0" w:header="0"/>
        </w:sectPr>
      </w:pPr>
    </w:p>
    <w:bookmarkStart w:id="29" w:name="page30"/>
    <w:bookmarkEnd w:id="29"/>
    <w:p>
      <w:pPr>
        <w:jc w:val="both"/>
        <w:ind w:firstLine="595"/>
        <w:spacing w:after="0"/>
        <w:rPr>
          <w:sz w:val="20"/>
          <w:szCs w:val="20"/>
          <w:color w:val="auto"/>
        </w:rPr>
      </w:pPr>
      <w:r>
        <w:rPr>
          <w:rFonts w:ascii="Arial" w:cs="Arial" w:eastAsia="Arial" w:hAnsi="Arial"/>
          <w:sz w:val="20"/>
          <w:szCs w:val="20"/>
          <w:color w:val="auto"/>
        </w:rPr>
        <w:t>The following table shows, as of March 3, 2020, the number of shares of Common Stock beneficially owned by each Director; the Company’s Chief Executive Officer, Chief Financial Officer and the three other Executive Officers who were the highest paid during 2019; and all Directors and Executive Officers as a group. The Directors and Executive Officers of the Company have sole voting and dispositive power with respect to the securities of the Company listed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200025</wp:posOffset>
            </wp:positionV>
            <wp:extent cx="7143750" cy="45446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3750" cy="4544695"/>
                    </a:xfrm>
                    <a:prstGeom prst="rect">
                      <a:avLst/>
                    </a:prstGeom>
                    <a:noFill/>
                  </pic:spPr>
                </pic:pic>
              </a:graphicData>
            </a:graphic>
          </wp:anchor>
        </w:drawing>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820" w:type="dxa"/>
            <w:vAlign w:val="bottom"/>
            <w:tcBorders>
              <w:top w:val="single" w:sz="8" w:color="auto"/>
            </w:tcBorders>
            <w:shd w:val="clear" w:color="auto" w:fill="29650B"/>
          </w:tcPr>
          <w:p>
            <w:pPr>
              <w:spacing w:after="0"/>
              <w:rPr>
                <w:sz w:val="17"/>
                <w:szCs w:val="17"/>
                <w:color w:val="auto"/>
              </w:rPr>
            </w:pPr>
          </w:p>
        </w:tc>
        <w:tc>
          <w:tcPr>
            <w:tcW w:w="5320" w:type="dxa"/>
            <w:vAlign w:val="bottom"/>
            <w:tcBorders>
              <w:top w:val="single" w:sz="8" w:color="auto"/>
            </w:tcBorders>
            <w:shd w:val="clear" w:color="auto" w:fill="29650B"/>
          </w:tcPr>
          <w:p>
            <w:pPr>
              <w:jc w:val="right"/>
              <w:ind w:right="489"/>
              <w:spacing w:after="0" w:line="202" w:lineRule="exact"/>
              <w:rPr>
                <w:sz w:val="20"/>
                <w:szCs w:val="20"/>
                <w:color w:val="auto"/>
              </w:rPr>
            </w:pPr>
            <w:r>
              <w:rPr>
                <w:rFonts w:ascii="Arial" w:cs="Arial" w:eastAsia="Arial" w:hAnsi="Arial"/>
                <w:sz w:val="18"/>
                <w:szCs w:val="18"/>
                <w:b w:val="1"/>
                <w:bCs w:val="1"/>
                <w:color w:val="FFFFFF"/>
              </w:rPr>
              <w:t>Amount of Common Stock of the Company Owned</w:t>
            </w:r>
          </w:p>
        </w:tc>
        <w:tc>
          <w:tcPr>
            <w:tcW w:w="3100" w:type="dxa"/>
            <w:vAlign w:val="bottom"/>
            <w:tcBorders>
              <w:top w:val="single" w:sz="8" w:color="auto"/>
            </w:tcBorders>
            <w:shd w:val="clear" w:color="auto" w:fill="29650B"/>
          </w:tcPr>
          <w:p>
            <w:pPr>
              <w:jc w:val="center"/>
              <w:ind w:right="69"/>
              <w:spacing w:after="0" w:line="202" w:lineRule="exact"/>
              <w:rPr>
                <w:sz w:val="20"/>
                <w:szCs w:val="20"/>
                <w:color w:val="auto"/>
              </w:rPr>
            </w:pPr>
            <w:r>
              <w:rPr>
                <w:rFonts w:ascii="Arial" w:cs="Arial" w:eastAsia="Arial" w:hAnsi="Arial"/>
                <w:sz w:val="18"/>
                <w:szCs w:val="18"/>
                <w:b w:val="1"/>
                <w:bCs w:val="1"/>
                <w:color w:val="FFFFFF"/>
                <w:w w:val="89"/>
              </w:rPr>
              <w:t>Percentage of</w:t>
            </w:r>
          </w:p>
        </w:tc>
      </w:tr>
      <w:tr>
        <w:trPr>
          <w:trHeight w:val="232"/>
        </w:trPr>
        <w:tc>
          <w:tcPr>
            <w:tcW w:w="2820" w:type="dxa"/>
            <w:vAlign w:val="bottom"/>
            <w:shd w:val="clear" w:color="auto" w:fill="29650B"/>
          </w:tcPr>
          <w:p>
            <w:pPr>
              <w:ind w:left="1360"/>
              <w:spacing w:after="0"/>
              <w:rPr>
                <w:sz w:val="20"/>
                <w:szCs w:val="20"/>
                <w:color w:val="auto"/>
              </w:rPr>
            </w:pPr>
            <w:r>
              <w:rPr>
                <w:rFonts w:ascii="Arial" w:cs="Arial" w:eastAsia="Arial" w:hAnsi="Arial"/>
                <w:sz w:val="18"/>
                <w:szCs w:val="18"/>
                <w:b w:val="1"/>
                <w:bCs w:val="1"/>
                <w:color w:val="FFFFFF"/>
              </w:rPr>
              <w:t>Name</w:t>
            </w:r>
          </w:p>
        </w:tc>
        <w:tc>
          <w:tcPr>
            <w:tcW w:w="5320" w:type="dxa"/>
            <w:vAlign w:val="bottom"/>
            <w:shd w:val="clear" w:color="auto" w:fill="29650B"/>
          </w:tcPr>
          <w:p>
            <w:pPr>
              <w:jc w:val="right"/>
              <w:ind w:right="1169"/>
              <w:spacing w:after="0"/>
              <w:rPr>
                <w:sz w:val="20"/>
                <w:szCs w:val="20"/>
                <w:color w:val="auto"/>
              </w:rPr>
            </w:pPr>
            <w:r>
              <w:rPr>
                <w:rFonts w:ascii="Arial" w:cs="Arial" w:eastAsia="Arial" w:hAnsi="Arial"/>
                <w:sz w:val="18"/>
                <w:szCs w:val="18"/>
                <w:b w:val="1"/>
                <w:bCs w:val="1"/>
                <w:color w:val="FFFFFF"/>
              </w:rPr>
              <w:t>Beneficially, Directly or Indirectly</w:t>
            </w:r>
          </w:p>
        </w:tc>
        <w:tc>
          <w:tcPr>
            <w:tcW w:w="3100" w:type="dxa"/>
            <w:vAlign w:val="bottom"/>
            <w:shd w:val="clear" w:color="auto" w:fill="29650B"/>
          </w:tcPr>
          <w:p>
            <w:pPr>
              <w:jc w:val="center"/>
              <w:ind w:right="69"/>
              <w:spacing w:after="0"/>
              <w:rPr>
                <w:sz w:val="20"/>
                <w:szCs w:val="20"/>
                <w:color w:val="auto"/>
              </w:rPr>
            </w:pPr>
            <w:r>
              <w:rPr>
                <w:rFonts w:ascii="Arial" w:cs="Arial" w:eastAsia="Arial" w:hAnsi="Arial"/>
                <w:sz w:val="18"/>
                <w:szCs w:val="18"/>
                <w:b w:val="1"/>
                <w:bCs w:val="1"/>
                <w:color w:val="FFFFFF"/>
                <w:w w:val="89"/>
              </w:rPr>
              <w:t>Outstanding Shares (1)</w:t>
            </w:r>
          </w:p>
        </w:tc>
      </w:tr>
      <w:tr>
        <w:trPr>
          <w:trHeight w:val="360"/>
        </w:trPr>
        <w:tc>
          <w:tcPr>
            <w:tcW w:w="2820" w:type="dxa"/>
            <w:vAlign w:val="bottom"/>
          </w:tcPr>
          <w:p>
            <w:pPr>
              <w:ind w:left="100"/>
              <w:spacing w:after="0"/>
              <w:rPr>
                <w:sz w:val="20"/>
                <w:szCs w:val="20"/>
                <w:color w:val="auto"/>
              </w:rPr>
            </w:pPr>
            <w:r>
              <w:rPr>
                <w:rFonts w:ascii="Arial" w:cs="Arial" w:eastAsia="Arial" w:hAnsi="Arial"/>
                <w:sz w:val="18"/>
                <w:szCs w:val="18"/>
                <w:color w:val="auto"/>
              </w:rPr>
              <w:t>Robert Bourque</w:t>
            </w:r>
          </w:p>
        </w:tc>
        <w:tc>
          <w:tcPr>
            <w:tcW w:w="5320" w:type="dxa"/>
            <w:vAlign w:val="bottom"/>
          </w:tcPr>
          <w:p>
            <w:pPr>
              <w:jc w:val="right"/>
              <w:ind w:right="1349"/>
              <w:spacing w:after="0"/>
              <w:rPr>
                <w:sz w:val="20"/>
                <w:szCs w:val="20"/>
                <w:color w:val="auto"/>
              </w:rPr>
            </w:pPr>
            <w:r>
              <w:rPr>
                <w:rFonts w:ascii="Arial" w:cs="Arial" w:eastAsia="Arial" w:hAnsi="Arial"/>
                <w:sz w:val="18"/>
                <w:szCs w:val="18"/>
                <w:color w:val="auto"/>
              </w:rPr>
              <w:t>55,640</w:t>
            </w:r>
          </w:p>
        </w:tc>
        <w:tc>
          <w:tcPr>
            <w:tcW w:w="3100" w:type="dxa"/>
            <w:vAlign w:val="bottom"/>
          </w:tcPr>
          <w:p>
            <w:pPr>
              <w:jc w:val="center"/>
              <w:ind w:right="69"/>
              <w:spacing w:after="0"/>
              <w:rPr>
                <w:sz w:val="20"/>
                <w:szCs w:val="20"/>
                <w:color w:val="auto"/>
              </w:rPr>
            </w:pPr>
            <w:r>
              <w:rPr>
                <w:rFonts w:ascii="Arial" w:cs="Arial" w:eastAsia="Arial" w:hAnsi="Arial"/>
                <w:sz w:val="18"/>
                <w:szCs w:val="18"/>
                <w:color w:val="auto"/>
              </w:rPr>
              <w:t>*</w:t>
            </w:r>
          </w:p>
        </w:tc>
      </w:tr>
      <w:tr>
        <w:trPr>
          <w:trHeight w:val="211"/>
        </w:trPr>
        <w:tc>
          <w:tcPr>
            <w:tcW w:w="2820" w:type="dxa"/>
            <w:vAlign w:val="bottom"/>
            <w:shd w:val="clear" w:color="auto" w:fill="D9D9D9"/>
          </w:tcPr>
          <w:p>
            <w:pPr>
              <w:ind w:left="100"/>
              <w:spacing w:after="0"/>
              <w:rPr>
                <w:sz w:val="20"/>
                <w:szCs w:val="20"/>
                <w:color w:val="auto"/>
              </w:rPr>
            </w:pPr>
            <w:r>
              <w:rPr>
                <w:rFonts w:ascii="Arial" w:cs="Arial" w:eastAsia="Arial" w:hAnsi="Arial"/>
                <w:sz w:val="18"/>
                <w:szCs w:val="18"/>
                <w:color w:val="auto"/>
              </w:rPr>
              <w:t>John Conway</w:t>
            </w:r>
          </w:p>
        </w:tc>
        <w:tc>
          <w:tcPr>
            <w:tcW w:w="5320" w:type="dxa"/>
            <w:vAlign w:val="bottom"/>
            <w:shd w:val="clear" w:color="auto" w:fill="D9D9D9"/>
          </w:tcPr>
          <w:p>
            <w:pPr>
              <w:jc w:val="right"/>
              <w:ind w:right="1349"/>
              <w:spacing w:after="0"/>
              <w:rPr>
                <w:sz w:val="20"/>
                <w:szCs w:val="20"/>
                <w:color w:val="auto"/>
              </w:rPr>
            </w:pPr>
            <w:r>
              <w:rPr>
                <w:rFonts w:ascii="Arial" w:cs="Arial" w:eastAsia="Arial" w:hAnsi="Arial"/>
                <w:sz w:val="18"/>
                <w:szCs w:val="18"/>
                <w:color w:val="auto"/>
              </w:rPr>
              <w:t>1,030,091</w:t>
            </w:r>
          </w:p>
        </w:tc>
        <w:tc>
          <w:tcPr>
            <w:tcW w:w="3100" w:type="dxa"/>
            <w:vAlign w:val="bottom"/>
            <w:shd w:val="clear" w:color="auto" w:fill="D9D9D9"/>
          </w:tcPr>
          <w:p>
            <w:pPr>
              <w:jc w:val="center"/>
              <w:ind w:right="69"/>
              <w:spacing w:after="0"/>
              <w:rPr>
                <w:sz w:val="20"/>
                <w:szCs w:val="20"/>
                <w:color w:val="auto"/>
              </w:rPr>
            </w:pPr>
            <w:r>
              <w:rPr>
                <w:rFonts w:ascii="Arial" w:cs="Arial" w:eastAsia="Arial" w:hAnsi="Arial"/>
                <w:sz w:val="18"/>
                <w:szCs w:val="18"/>
                <w:color w:val="auto"/>
              </w:rPr>
              <w:t>*</w:t>
            </w:r>
          </w:p>
        </w:tc>
      </w:tr>
      <w:tr>
        <w:trPr>
          <w:trHeight w:val="211"/>
        </w:trPr>
        <w:tc>
          <w:tcPr>
            <w:tcW w:w="2820" w:type="dxa"/>
            <w:vAlign w:val="bottom"/>
          </w:tcPr>
          <w:p>
            <w:pPr>
              <w:ind w:left="100"/>
              <w:spacing w:after="0"/>
              <w:rPr>
                <w:sz w:val="20"/>
                <w:szCs w:val="20"/>
                <w:color w:val="auto"/>
              </w:rPr>
            </w:pPr>
            <w:r>
              <w:rPr>
                <w:rFonts w:ascii="Arial" w:cs="Arial" w:eastAsia="Arial" w:hAnsi="Arial"/>
                <w:sz w:val="18"/>
                <w:szCs w:val="18"/>
                <w:color w:val="auto"/>
              </w:rPr>
              <w:t>Timothy Donahue (2)</w:t>
            </w:r>
          </w:p>
        </w:tc>
        <w:tc>
          <w:tcPr>
            <w:tcW w:w="5320" w:type="dxa"/>
            <w:vAlign w:val="bottom"/>
          </w:tcPr>
          <w:p>
            <w:pPr>
              <w:jc w:val="right"/>
              <w:ind w:right="1349"/>
              <w:spacing w:after="0"/>
              <w:rPr>
                <w:sz w:val="20"/>
                <w:szCs w:val="20"/>
                <w:color w:val="auto"/>
              </w:rPr>
            </w:pPr>
            <w:r>
              <w:rPr>
                <w:rFonts w:ascii="Arial" w:cs="Arial" w:eastAsia="Arial" w:hAnsi="Arial"/>
                <w:sz w:val="18"/>
                <w:szCs w:val="18"/>
                <w:color w:val="auto"/>
              </w:rPr>
              <w:t>599,277</w:t>
            </w:r>
          </w:p>
        </w:tc>
        <w:tc>
          <w:tcPr>
            <w:tcW w:w="3100" w:type="dxa"/>
            <w:vAlign w:val="bottom"/>
          </w:tcPr>
          <w:p>
            <w:pPr>
              <w:jc w:val="center"/>
              <w:ind w:right="69"/>
              <w:spacing w:after="0"/>
              <w:rPr>
                <w:sz w:val="20"/>
                <w:szCs w:val="20"/>
                <w:color w:val="auto"/>
              </w:rPr>
            </w:pPr>
            <w:r>
              <w:rPr>
                <w:rFonts w:ascii="Arial" w:cs="Arial" w:eastAsia="Arial" w:hAnsi="Arial"/>
                <w:sz w:val="18"/>
                <w:szCs w:val="18"/>
                <w:color w:val="auto"/>
              </w:rPr>
              <w:t>*</w:t>
            </w:r>
          </w:p>
        </w:tc>
      </w:tr>
      <w:tr>
        <w:trPr>
          <w:trHeight w:val="211"/>
        </w:trPr>
        <w:tc>
          <w:tcPr>
            <w:tcW w:w="2820" w:type="dxa"/>
            <w:vAlign w:val="bottom"/>
            <w:shd w:val="clear" w:color="auto" w:fill="D9D9D9"/>
          </w:tcPr>
          <w:p>
            <w:pPr>
              <w:ind w:left="100"/>
              <w:spacing w:after="0"/>
              <w:rPr>
                <w:sz w:val="20"/>
                <w:szCs w:val="20"/>
                <w:color w:val="auto"/>
              </w:rPr>
            </w:pPr>
            <w:r>
              <w:rPr>
                <w:rFonts w:ascii="Arial" w:cs="Arial" w:eastAsia="Arial" w:hAnsi="Arial"/>
                <w:sz w:val="18"/>
                <w:szCs w:val="18"/>
                <w:color w:val="auto"/>
              </w:rPr>
              <w:t>Richard Fearon (3)</w:t>
            </w:r>
          </w:p>
        </w:tc>
        <w:tc>
          <w:tcPr>
            <w:tcW w:w="5320" w:type="dxa"/>
            <w:vAlign w:val="bottom"/>
            <w:shd w:val="clear" w:color="auto" w:fill="D9D9D9"/>
          </w:tcPr>
          <w:p>
            <w:pPr>
              <w:jc w:val="right"/>
              <w:ind w:right="1349"/>
              <w:spacing w:after="0"/>
              <w:rPr>
                <w:sz w:val="20"/>
                <w:szCs w:val="20"/>
                <w:color w:val="auto"/>
              </w:rPr>
            </w:pPr>
            <w:r>
              <w:rPr>
                <w:rFonts w:ascii="Arial" w:cs="Arial" w:eastAsia="Arial" w:hAnsi="Arial"/>
                <w:sz w:val="18"/>
                <w:szCs w:val="18"/>
                <w:color w:val="auto"/>
              </w:rPr>
              <w:t>652</w:t>
            </w:r>
          </w:p>
        </w:tc>
        <w:tc>
          <w:tcPr>
            <w:tcW w:w="3100" w:type="dxa"/>
            <w:vAlign w:val="bottom"/>
            <w:shd w:val="clear" w:color="auto" w:fill="D9D9D9"/>
          </w:tcPr>
          <w:p>
            <w:pPr>
              <w:jc w:val="center"/>
              <w:ind w:right="69"/>
              <w:spacing w:after="0"/>
              <w:rPr>
                <w:sz w:val="20"/>
                <w:szCs w:val="20"/>
                <w:color w:val="auto"/>
              </w:rPr>
            </w:pPr>
            <w:r>
              <w:rPr>
                <w:rFonts w:ascii="Arial" w:cs="Arial" w:eastAsia="Arial" w:hAnsi="Arial"/>
                <w:sz w:val="18"/>
                <w:szCs w:val="18"/>
                <w:color w:val="auto"/>
              </w:rPr>
              <w:t>*</w:t>
            </w:r>
          </w:p>
        </w:tc>
      </w:tr>
      <w:tr>
        <w:trPr>
          <w:trHeight w:val="211"/>
        </w:trPr>
        <w:tc>
          <w:tcPr>
            <w:tcW w:w="2820" w:type="dxa"/>
            <w:vAlign w:val="bottom"/>
          </w:tcPr>
          <w:p>
            <w:pPr>
              <w:ind w:left="100"/>
              <w:spacing w:after="0"/>
              <w:rPr>
                <w:sz w:val="20"/>
                <w:szCs w:val="20"/>
                <w:color w:val="auto"/>
              </w:rPr>
            </w:pPr>
            <w:r>
              <w:rPr>
                <w:rFonts w:ascii="Arial" w:cs="Arial" w:eastAsia="Arial" w:hAnsi="Arial"/>
                <w:sz w:val="18"/>
                <w:szCs w:val="18"/>
                <w:color w:val="auto"/>
              </w:rPr>
              <w:t>Andrea Funk</w:t>
            </w:r>
          </w:p>
        </w:tc>
        <w:tc>
          <w:tcPr>
            <w:tcW w:w="5320" w:type="dxa"/>
            <w:vAlign w:val="bottom"/>
          </w:tcPr>
          <w:p>
            <w:pPr>
              <w:jc w:val="right"/>
              <w:ind w:right="1349"/>
              <w:spacing w:after="0"/>
              <w:rPr>
                <w:sz w:val="20"/>
                <w:szCs w:val="20"/>
                <w:color w:val="auto"/>
              </w:rPr>
            </w:pPr>
            <w:r>
              <w:rPr>
                <w:rFonts w:ascii="Arial" w:cs="Arial" w:eastAsia="Arial" w:hAnsi="Arial"/>
                <w:sz w:val="18"/>
                <w:szCs w:val="18"/>
                <w:color w:val="auto"/>
              </w:rPr>
              <w:t>6,685</w:t>
            </w:r>
          </w:p>
        </w:tc>
        <w:tc>
          <w:tcPr>
            <w:tcW w:w="3100" w:type="dxa"/>
            <w:vAlign w:val="bottom"/>
          </w:tcPr>
          <w:p>
            <w:pPr>
              <w:jc w:val="center"/>
              <w:ind w:right="69"/>
              <w:spacing w:after="0"/>
              <w:rPr>
                <w:sz w:val="20"/>
                <w:szCs w:val="20"/>
                <w:color w:val="auto"/>
              </w:rPr>
            </w:pPr>
            <w:r>
              <w:rPr>
                <w:rFonts w:ascii="Arial" w:cs="Arial" w:eastAsia="Arial" w:hAnsi="Arial"/>
                <w:sz w:val="18"/>
                <w:szCs w:val="18"/>
                <w:color w:val="auto"/>
              </w:rPr>
              <w:t>*</w:t>
            </w:r>
          </w:p>
        </w:tc>
      </w:tr>
      <w:tr>
        <w:trPr>
          <w:trHeight w:val="211"/>
        </w:trPr>
        <w:tc>
          <w:tcPr>
            <w:tcW w:w="2820" w:type="dxa"/>
            <w:vAlign w:val="bottom"/>
            <w:shd w:val="clear" w:color="auto" w:fill="D9D9D9"/>
          </w:tcPr>
          <w:p>
            <w:pPr>
              <w:ind w:left="100"/>
              <w:spacing w:after="0"/>
              <w:rPr>
                <w:sz w:val="20"/>
                <w:szCs w:val="20"/>
                <w:color w:val="auto"/>
              </w:rPr>
            </w:pPr>
            <w:r>
              <w:rPr>
                <w:rFonts w:ascii="Arial" w:cs="Arial" w:eastAsia="Arial" w:hAnsi="Arial"/>
                <w:sz w:val="18"/>
                <w:szCs w:val="18"/>
                <w:color w:val="auto"/>
              </w:rPr>
              <w:t>Gerard Gifford</w:t>
            </w:r>
          </w:p>
        </w:tc>
        <w:tc>
          <w:tcPr>
            <w:tcW w:w="5320" w:type="dxa"/>
            <w:vAlign w:val="bottom"/>
            <w:shd w:val="clear" w:color="auto" w:fill="D9D9D9"/>
          </w:tcPr>
          <w:p>
            <w:pPr>
              <w:jc w:val="right"/>
              <w:ind w:right="1349"/>
              <w:spacing w:after="0"/>
              <w:rPr>
                <w:sz w:val="20"/>
                <w:szCs w:val="20"/>
                <w:color w:val="auto"/>
              </w:rPr>
            </w:pPr>
            <w:r>
              <w:rPr>
                <w:rFonts w:ascii="Arial" w:cs="Arial" w:eastAsia="Arial" w:hAnsi="Arial"/>
                <w:sz w:val="18"/>
                <w:szCs w:val="18"/>
                <w:color w:val="auto"/>
              </w:rPr>
              <w:t>163,091</w:t>
            </w:r>
          </w:p>
        </w:tc>
        <w:tc>
          <w:tcPr>
            <w:tcW w:w="3100" w:type="dxa"/>
            <w:vAlign w:val="bottom"/>
            <w:shd w:val="clear" w:color="auto" w:fill="D9D9D9"/>
          </w:tcPr>
          <w:p>
            <w:pPr>
              <w:jc w:val="center"/>
              <w:ind w:right="69"/>
              <w:spacing w:after="0"/>
              <w:rPr>
                <w:sz w:val="20"/>
                <w:szCs w:val="20"/>
                <w:color w:val="auto"/>
              </w:rPr>
            </w:pPr>
            <w:r>
              <w:rPr>
                <w:rFonts w:ascii="Arial" w:cs="Arial" w:eastAsia="Arial" w:hAnsi="Arial"/>
                <w:sz w:val="18"/>
                <w:szCs w:val="18"/>
                <w:color w:val="auto"/>
              </w:rPr>
              <w:t>*</w:t>
            </w:r>
          </w:p>
        </w:tc>
      </w:tr>
      <w:tr>
        <w:trPr>
          <w:trHeight w:val="211"/>
        </w:trPr>
        <w:tc>
          <w:tcPr>
            <w:tcW w:w="2820" w:type="dxa"/>
            <w:vAlign w:val="bottom"/>
          </w:tcPr>
          <w:p>
            <w:pPr>
              <w:ind w:left="100"/>
              <w:spacing w:after="0"/>
              <w:rPr>
                <w:sz w:val="20"/>
                <w:szCs w:val="20"/>
                <w:color w:val="auto"/>
              </w:rPr>
            </w:pPr>
            <w:r>
              <w:rPr>
                <w:rFonts w:ascii="Arial" w:cs="Arial" w:eastAsia="Arial" w:hAnsi="Arial"/>
                <w:sz w:val="18"/>
                <w:szCs w:val="18"/>
                <w:color w:val="auto"/>
              </w:rPr>
              <w:t>Stephen Hagge</w:t>
            </w:r>
          </w:p>
        </w:tc>
        <w:tc>
          <w:tcPr>
            <w:tcW w:w="5320" w:type="dxa"/>
            <w:vAlign w:val="bottom"/>
          </w:tcPr>
          <w:p>
            <w:pPr>
              <w:jc w:val="right"/>
              <w:ind w:right="1349"/>
              <w:spacing w:after="0"/>
              <w:rPr>
                <w:sz w:val="20"/>
                <w:szCs w:val="20"/>
                <w:color w:val="auto"/>
              </w:rPr>
            </w:pPr>
            <w:r>
              <w:rPr>
                <w:rFonts w:ascii="Arial" w:cs="Arial" w:eastAsia="Arial" w:hAnsi="Arial"/>
                <w:sz w:val="18"/>
                <w:szCs w:val="18"/>
                <w:color w:val="auto"/>
              </w:rPr>
              <w:t>459</w:t>
            </w:r>
          </w:p>
        </w:tc>
        <w:tc>
          <w:tcPr>
            <w:tcW w:w="3100" w:type="dxa"/>
            <w:vAlign w:val="bottom"/>
          </w:tcPr>
          <w:p>
            <w:pPr>
              <w:jc w:val="center"/>
              <w:ind w:right="69"/>
              <w:spacing w:after="0"/>
              <w:rPr>
                <w:sz w:val="20"/>
                <w:szCs w:val="20"/>
                <w:color w:val="auto"/>
              </w:rPr>
            </w:pPr>
            <w:r>
              <w:rPr>
                <w:rFonts w:ascii="Arial" w:cs="Arial" w:eastAsia="Arial" w:hAnsi="Arial"/>
                <w:sz w:val="18"/>
                <w:szCs w:val="18"/>
                <w:color w:val="auto"/>
              </w:rPr>
              <w:t>*</w:t>
            </w:r>
          </w:p>
        </w:tc>
      </w:tr>
      <w:tr>
        <w:trPr>
          <w:trHeight w:val="211"/>
        </w:trPr>
        <w:tc>
          <w:tcPr>
            <w:tcW w:w="2820" w:type="dxa"/>
            <w:vAlign w:val="bottom"/>
            <w:shd w:val="clear" w:color="auto" w:fill="D9D9D9"/>
          </w:tcPr>
          <w:p>
            <w:pPr>
              <w:ind w:left="100"/>
              <w:spacing w:after="0"/>
              <w:rPr>
                <w:sz w:val="20"/>
                <w:szCs w:val="20"/>
                <w:color w:val="auto"/>
              </w:rPr>
            </w:pPr>
            <w:r>
              <w:rPr>
                <w:rFonts w:ascii="Arial" w:cs="Arial" w:eastAsia="Arial" w:hAnsi="Arial"/>
                <w:sz w:val="18"/>
                <w:szCs w:val="18"/>
                <w:color w:val="auto"/>
              </w:rPr>
              <w:t>Thomas Kelly (2)</w:t>
            </w:r>
          </w:p>
        </w:tc>
        <w:tc>
          <w:tcPr>
            <w:tcW w:w="5320" w:type="dxa"/>
            <w:vAlign w:val="bottom"/>
            <w:shd w:val="clear" w:color="auto" w:fill="D9D9D9"/>
          </w:tcPr>
          <w:p>
            <w:pPr>
              <w:jc w:val="right"/>
              <w:ind w:right="1349"/>
              <w:spacing w:after="0"/>
              <w:rPr>
                <w:sz w:val="20"/>
                <w:szCs w:val="20"/>
                <w:color w:val="auto"/>
              </w:rPr>
            </w:pPr>
            <w:r>
              <w:rPr>
                <w:rFonts w:ascii="Arial" w:cs="Arial" w:eastAsia="Arial" w:hAnsi="Arial"/>
                <w:sz w:val="18"/>
                <w:szCs w:val="18"/>
                <w:color w:val="auto"/>
              </w:rPr>
              <w:t>125,548</w:t>
            </w:r>
          </w:p>
        </w:tc>
        <w:tc>
          <w:tcPr>
            <w:tcW w:w="3100" w:type="dxa"/>
            <w:vAlign w:val="bottom"/>
            <w:shd w:val="clear" w:color="auto" w:fill="D9D9D9"/>
          </w:tcPr>
          <w:p>
            <w:pPr>
              <w:jc w:val="center"/>
              <w:ind w:right="69"/>
              <w:spacing w:after="0"/>
              <w:rPr>
                <w:sz w:val="20"/>
                <w:szCs w:val="20"/>
                <w:color w:val="auto"/>
              </w:rPr>
            </w:pPr>
            <w:r>
              <w:rPr>
                <w:rFonts w:ascii="Arial" w:cs="Arial" w:eastAsia="Arial" w:hAnsi="Arial"/>
                <w:sz w:val="18"/>
                <w:szCs w:val="18"/>
                <w:color w:val="auto"/>
              </w:rPr>
              <w:t>*</w:t>
            </w:r>
          </w:p>
        </w:tc>
      </w:tr>
      <w:tr>
        <w:trPr>
          <w:trHeight w:val="211"/>
        </w:trPr>
        <w:tc>
          <w:tcPr>
            <w:tcW w:w="2820" w:type="dxa"/>
            <w:vAlign w:val="bottom"/>
          </w:tcPr>
          <w:p>
            <w:pPr>
              <w:ind w:left="100"/>
              <w:spacing w:after="0"/>
              <w:rPr>
                <w:sz w:val="20"/>
                <w:szCs w:val="20"/>
                <w:color w:val="auto"/>
              </w:rPr>
            </w:pPr>
            <w:r>
              <w:rPr>
                <w:rFonts w:ascii="Arial" w:cs="Arial" w:eastAsia="Arial" w:hAnsi="Arial"/>
                <w:sz w:val="18"/>
                <w:szCs w:val="18"/>
                <w:color w:val="auto"/>
              </w:rPr>
              <w:t>Rose Lee</w:t>
            </w:r>
          </w:p>
        </w:tc>
        <w:tc>
          <w:tcPr>
            <w:tcW w:w="5320" w:type="dxa"/>
            <w:vAlign w:val="bottom"/>
          </w:tcPr>
          <w:p>
            <w:pPr>
              <w:jc w:val="right"/>
              <w:ind w:right="1349"/>
              <w:spacing w:after="0"/>
              <w:rPr>
                <w:sz w:val="20"/>
                <w:szCs w:val="20"/>
                <w:color w:val="auto"/>
              </w:rPr>
            </w:pPr>
            <w:r>
              <w:rPr>
                <w:rFonts w:ascii="Arial" w:cs="Arial" w:eastAsia="Arial" w:hAnsi="Arial"/>
                <w:sz w:val="18"/>
                <w:szCs w:val="18"/>
                <w:color w:val="auto"/>
              </w:rPr>
              <w:t>8,255</w:t>
            </w:r>
          </w:p>
        </w:tc>
        <w:tc>
          <w:tcPr>
            <w:tcW w:w="3100" w:type="dxa"/>
            <w:vAlign w:val="bottom"/>
          </w:tcPr>
          <w:p>
            <w:pPr>
              <w:jc w:val="center"/>
              <w:ind w:right="69"/>
              <w:spacing w:after="0"/>
              <w:rPr>
                <w:sz w:val="20"/>
                <w:szCs w:val="20"/>
                <w:color w:val="auto"/>
              </w:rPr>
            </w:pPr>
            <w:r>
              <w:rPr>
                <w:rFonts w:ascii="Arial" w:cs="Arial" w:eastAsia="Arial" w:hAnsi="Arial"/>
                <w:sz w:val="18"/>
                <w:szCs w:val="18"/>
                <w:color w:val="auto"/>
              </w:rPr>
              <w:t>*</w:t>
            </w:r>
          </w:p>
        </w:tc>
      </w:tr>
      <w:tr>
        <w:trPr>
          <w:trHeight w:val="211"/>
        </w:trPr>
        <w:tc>
          <w:tcPr>
            <w:tcW w:w="2820" w:type="dxa"/>
            <w:vAlign w:val="bottom"/>
            <w:shd w:val="clear" w:color="auto" w:fill="D9D9D9"/>
          </w:tcPr>
          <w:p>
            <w:pPr>
              <w:ind w:left="100"/>
              <w:spacing w:after="0"/>
              <w:rPr>
                <w:sz w:val="20"/>
                <w:szCs w:val="20"/>
                <w:color w:val="auto"/>
              </w:rPr>
            </w:pPr>
            <w:r>
              <w:rPr>
                <w:rFonts w:ascii="Arial" w:cs="Arial" w:eastAsia="Arial" w:hAnsi="Arial"/>
                <w:sz w:val="18"/>
                <w:szCs w:val="18"/>
                <w:color w:val="auto"/>
              </w:rPr>
              <w:t>William Little (4)</w:t>
            </w:r>
          </w:p>
        </w:tc>
        <w:tc>
          <w:tcPr>
            <w:tcW w:w="5320" w:type="dxa"/>
            <w:vAlign w:val="bottom"/>
            <w:shd w:val="clear" w:color="auto" w:fill="D9D9D9"/>
          </w:tcPr>
          <w:p>
            <w:pPr>
              <w:jc w:val="right"/>
              <w:ind w:right="1349"/>
              <w:spacing w:after="0"/>
              <w:rPr>
                <w:sz w:val="20"/>
                <w:szCs w:val="20"/>
                <w:color w:val="auto"/>
              </w:rPr>
            </w:pPr>
            <w:r>
              <w:rPr>
                <w:rFonts w:ascii="Arial" w:cs="Arial" w:eastAsia="Arial" w:hAnsi="Arial"/>
                <w:sz w:val="18"/>
                <w:szCs w:val="18"/>
                <w:color w:val="auto"/>
              </w:rPr>
              <w:t>38,632</w:t>
            </w:r>
          </w:p>
        </w:tc>
        <w:tc>
          <w:tcPr>
            <w:tcW w:w="3100" w:type="dxa"/>
            <w:vAlign w:val="bottom"/>
            <w:shd w:val="clear" w:color="auto" w:fill="D9D9D9"/>
          </w:tcPr>
          <w:p>
            <w:pPr>
              <w:jc w:val="center"/>
              <w:ind w:right="69"/>
              <w:spacing w:after="0"/>
              <w:rPr>
                <w:sz w:val="20"/>
                <w:szCs w:val="20"/>
                <w:color w:val="auto"/>
              </w:rPr>
            </w:pPr>
            <w:r>
              <w:rPr>
                <w:rFonts w:ascii="Arial" w:cs="Arial" w:eastAsia="Arial" w:hAnsi="Arial"/>
                <w:sz w:val="18"/>
                <w:szCs w:val="18"/>
                <w:color w:val="auto"/>
              </w:rPr>
              <w:t>*</w:t>
            </w:r>
          </w:p>
        </w:tc>
      </w:tr>
      <w:tr>
        <w:trPr>
          <w:trHeight w:val="211"/>
        </w:trPr>
        <w:tc>
          <w:tcPr>
            <w:tcW w:w="2820" w:type="dxa"/>
            <w:vAlign w:val="bottom"/>
          </w:tcPr>
          <w:p>
            <w:pPr>
              <w:ind w:left="100"/>
              <w:spacing w:after="0"/>
              <w:rPr>
                <w:sz w:val="20"/>
                <w:szCs w:val="20"/>
                <w:color w:val="auto"/>
              </w:rPr>
            </w:pPr>
            <w:r>
              <w:rPr>
                <w:rFonts w:ascii="Arial" w:cs="Arial" w:eastAsia="Arial" w:hAnsi="Arial"/>
                <w:sz w:val="18"/>
                <w:szCs w:val="18"/>
                <w:color w:val="auto"/>
              </w:rPr>
              <w:t>Hans Löliger (4)</w:t>
            </w:r>
          </w:p>
        </w:tc>
        <w:tc>
          <w:tcPr>
            <w:tcW w:w="5320" w:type="dxa"/>
            <w:vAlign w:val="bottom"/>
          </w:tcPr>
          <w:p>
            <w:pPr>
              <w:jc w:val="right"/>
              <w:ind w:right="1349"/>
              <w:spacing w:after="0"/>
              <w:rPr>
                <w:sz w:val="20"/>
                <w:szCs w:val="20"/>
                <w:color w:val="auto"/>
              </w:rPr>
            </w:pPr>
            <w:r>
              <w:rPr>
                <w:rFonts w:ascii="Arial" w:cs="Arial" w:eastAsia="Arial" w:hAnsi="Arial"/>
                <w:sz w:val="18"/>
                <w:szCs w:val="18"/>
                <w:color w:val="auto"/>
              </w:rPr>
              <w:t>77,751</w:t>
            </w:r>
          </w:p>
        </w:tc>
        <w:tc>
          <w:tcPr>
            <w:tcW w:w="3100" w:type="dxa"/>
            <w:vAlign w:val="bottom"/>
          </w:tcPr>
          <w:p>
            <w:pPr>
              <w:jc w:val="center"/>
              <w:ind w:right="69"/>
              <w:spacing w:after="0"/>
              <w:rPr>
                <w:sz w:val="20"/>
                <w:szCs w:val="20"/>
                <w:color w:val="auto"/>
              </w:rPr>
            </w:pPr>
            <w:r>
              <w:rPr>
                <w:rFonts w:ascii="Arial" w:cs="Arial" w:eastAsia="Arial" w:hAnsi="Arial"/>
                <w:sz w:val="18"/>
                <w:szCs w:val="18"/>
                <w:color w:val="auto"/>
              </w:rPr>
              <w:t>*</w:t>
            </w:r>
          </w:p>
        </w:tc>
      </w:tr>
      <w:tr>
        <w:trPr>
          <w:trHeight w:val="211"/>
        </w:trPr>
        <w:tc>
          <w:tcPr>
            <w:tcW w:w="2820" w:type="dxa"/>
            <w:vAlign w:val="bottom"/>
            <w:shd w:val="clear" w:color="auto" w:fill="D9D9D9"/>
          </w:tcPr>
          <w:p>
            <w:pPr>
              <w:ind w:left="100"/>
              <w:spacing w:after="0"/>
              <w:rPr>
                <w:sz w:val="20"/>
                <w:szCs w:val="20"/>
                <w:color w:val="auto"/>
              </w:rPr>
            </w:pPr>
            <w:r>
              <w:rPr>
                <w:rFonts w:ascii="Arial" w:cs="Arial" w:eastAsia="Arial" w:hAnsi="Arial"/>
                <w:sz w:val="18"/>
                <w:szCs w:val="18"/>
                <w:color w:val="auto"/>
              </w:rPr>
              <w:t>James Miller</w:t>
            </w:r>
          </w:p>
        </w:tc>
        <w:tc>
          <w:tcPr>
            <w:tcW w:w="5320" w:type="dxa"/>
            <w:vAlign w:val="bottom"/>
            <w:shd w:val="clear" w:color="auto" w:fill="D9D9D9"/>
          </w:tcPr>
          <w:p>
            <w:pPr>
              <w:jc w:val="right"/>
              <w:ind w:right="1349"/>
              <w:spacing w:after="0"/>
              <w:rPr>
                <w:sz w:val="20"/>
                <w:szCs w:val="20"/>
                <w:color w:val="auto"/>
              </w:rPr>
            </w:pPr>
            <w:r>
              <w:rPr>
                <w:rFonts w:ascii="Arial" w:cs="Arial" w:eastAsia="Arial" w:hAnsi="Arial"/>
                <w:sz w:val="18"/>
                <w:szCs w:val="18"/>
                <w:color w:val="auto"/>
              </w:rPr>
              <w:t>23,122</w:t>
            </w:r>
          </w:p>
        </w:tc>
        <w:tc>
          <w:tcPr>
            <w:tcW w:w="3100" w:type="dxa"/>
            <w:vAlign w:val="bottom"/>
            <w:shd w:val="clear" w:color="auto" w:fill="D9D9D9"/>
          </w:tcPr>
          <w:p>
            <w:pPr>
              <w:jc w:val="center"/>
              <w:ind w:right="69"/>
              <w:spacing w:after="0"/>
              <w:rPr>
                <w:sz w:val="20"/>
                <w:szCs w:val="20"/>
                <w:color w:val="auto"/>
              </w:rPr>
            </w:pPr>
            <w:r>
              <w:rPr>
                <w:rFonts w:ascii="Arial" w:cs="Arial" w:eastAsia="Arial" w:hAnsi="Arial"/>
                <w:sz w:val="18"/>
                <w:szCs w:val="18"/>
                <w:color w:val="auto"/>
              </w:rPr>
              <w:t>*</w:t>
            </w:r>
          </w:p>
        </w:tc>
      </w:tr>
      <w:tr>
        <w:trPr>
          <w:trHeight w:val="211"/>
        </w:trPr>
        <w:tc>
          <w:tcPr>
            <w:tcW w:w="2820" w:type="dxa"/>
            <w:vAlign w:val="bottom"/>
          </w:tcPr>
          <w:p>
            <w:pPr>
              <w:ind w:left="100"/>
              <w:spacing w:after="0"/>
              <w:rPr>
                <w:sz w:val="20"/>
                <w:szCs w:val="20"/>
                <w:color w:val="auto"/>
              </w:rPr>
            </w:pPr>
            <w:r>
              <w:rPr>
                <w:rFonts w:ascii="Arial" w:cs="Arial" w:eastAsia="Arial" w:hAnsi="Arial"/>
                <w:sz w:val="18"/>
                <w:szCs w:val="18"/>
                <w:color w:val="auto"/>
              </w:rPr>
              <w:t>Josef Müller</w:t>
            </w:r>
          </w:p>
        </w:tc>
        <w:tc>
          <w:tcPr>
            <w:tcW w:w="5320" w:type="dxa"/>
            <w:vAlign w:val="bottom"/>
          </w:tcPr>
          <w:p>
            <w:pPr>
              <w:jc w:val="right"/>
              <w:ind w:right="1349"/>
              <w:spacing w:after="0"/>
              <w:rPr>
                <w:sz w:val="20"/>
                <w:szCs w:val="20"/>
                <w:color w:val="auto"/>
              </w:rPr>
            </w:pPr>
            <w:r>
              <w:rPr>
                <w:rFonts w:ascii="Arial" w:cs="Arial" w:eastAsia="Arial" w:hAnsi="Arial"/>
                <w:sz w:val="18"/>
                <w:szCs w:val="18"/>
                <w:color w:val="auto"/>
              </w:rPr>
              <w:t>22,435</w:t>
            </w:r>
          </w:p>
        </w:tc>
        <w:tc>
          <w:tcPr>
            <w:tcW w:w="3100" w:type="dxa"/>
            <w:vAlign w:val="bottom"/>
          </w:tcPr>
          <w:p>
            <w:pPr>
              <w:jc w:val="center"/>
              <w:ind w:right="69"/>
              <w:spacing w:after="0"/>
              <w:rPr>
                <w:sz w:val="20"/>
                <w:szCs w:val="20"/>
                <w:color w:val="auto"/>
              </w:rPr>
            </w:pPr>
            <w:r>
              <w:rPr>
                <w:rFonts w:ascii="Arial" w:cs="Arial" w:eastAsia="Arial" w:hAnsi="Arial"/>
                <w:sz w:val="18"/>
                <w:szCs w:val="18"/>
                <w:color w:val="auto"/>
              </w:rPr>
              <w:t>*</w:t>
            </w:r>
          </w:p>
        </w:tc>
      </w:tr>
      <w:tr>
        <w:trPr>
          <w:trHeight w:val="211"/>
        </w:trPr>
        <w:tc>
          <w:tcPr>
            <w:tcW w:w="2820" w:type="dxa"/>
            <w:vAlign w:val="bottom"/>
            <w:shd w:val="clear" w:color="auto" w:fill="D9D9D9"/>
          </w:tcPr>
          <w:p>
            <w:pPr>
              <w:ind w:left="100"/>
              <w:spacing w:after="0"/>
              <w:rPr>
                <w:sz w:val="20"/>
                <w:szCs w:val="20"/>
                <w:color w:val="auto"/>
              </w:rPr>
            </w:pPr>
            <w:r>
              <w:rPr>
                <w:rFonts w:ascii="Arial" w:cs="Arial" w:eastAsia="Arial" w:hAnsi="Arial"/>
                <w:sz w:val="18"/>
                <w:szCs w:val="18"/>
                <w:color w:val="auto"/>
              </w:rPr>
              <w:t>Djalma Novaes</w:t>
            </w:r>
          </w:p>
        </w:tc>
        <w:tc>
          <w:tcPr>
            <w:tcW w:w="5320" w:type="dxa"/>
            <w:vAlign w:val="bottom"/>
            <w:shd w:val="clear" w:color="auto" w:fill="D9D9D9"/>
          </w:tcPr>
          <w:p>
            <w:pPr>
              <w:jc w:val="right"/>
              <w:ind w:right="1349"/>
              <w:spacing w:after="0"/>
              <w:rPr>
                <w:sz w:val="20"/>
                <w:szCs w:val="20"/>
                <w:color w:val="auto"/>
              </w:rPr>
            </w:pPr>
            <w:r>
              <w:rPr>
                <w:rFonts w:ascii="Arial" w:cs="Arial" w:eastAsia="Arial" w:hAnsi="Arial"/>
                <w:sz w:val="18"/>
                <w:szCs w:val="18"/>
                <w:color w:val="auto"/>
              </w:rPr>
              <w:t>71,484</w:t>
            </w:r>
          </w:p>
        </w:tc>
        <w:tc>
          <w:tcPr>
            <w:tcW w:w="3100" w:type="dxa"/>
            <w:vAlign w:val="bottom"/>
            <w:shd w:val="clear" w:color="auto" w:fill="D9D9D9"/>
          </w:tcPr>
          <w:p>
            <w:pPr>
              <w:jc w:val="center"/>
              <w:ind w:right="69"/>
              <w:spacing w:after="0"/>
              <w:rPr>
                <w:sz w:val="20"/>
                <w:szCs w:val="20"/>
                <w:color w:val="auto"/>
              </w:rPr>
            </w:pPr>
            <w:r>
              <w:rPr>
                <w:rFonts w:ascii="Arial" w:cs="Arial" w:eastAsia="Arial" w:hAnsi="Arial"/>
                <w:sz w:val="18"/>
                <w:szCs w:val="18"/>
                <w:color w:val="auto"/>
              </w:rPr>
              <w:t>*</w:t>
            </w:r>
          </w:p>
        </w:tc>
      </w:tr>
      <w:tr>
        <w:trPr>
          <w:trHeight w:val="211"/>
        </w:trPr>
        <w:tc>
          <w:tcPr>
            <w:tcW w:w="2820" w:type="dxa"/>
            <w:vAlign w:val="bottom"/>
          </w:tcPr>
          <w:p>
            <w:pPr>
              <w:ind w:left="100"/>
              <w:spacing w:after="0"/>
              <w:rPr>
                <w:sz w:val="20"/>
                <w:szCs w:val="20"/>
                <w:color w:val="auto"/>
              </w:rPr>
            </w:pPr>
            <w:r>
              <w:rPr>
                <w:rFonts w:ascii="Arial" w:cs="Arial" w:eastAsia="Arial" w:hAnsi="Arial"/>
                <w:sz w:val="18"/>
                <w:szCs w:val="18"/>
                <w:color w:val="auto"/>
              </w:rPr>
              <w:t>B. Craig Owens</w:t>
            </w:r>
          </w:p>
        </w:tc>
        <w:tc>
          <w:tcPr>
            <w:tcW w:w="5320" w:type="dxa"/>
            <w:vAlign w:val="bottom"/>
          </w:tcPr>
          <w:p>
            <w:pPr>
              <w:jc w:val="right"/>
              <w:ind w:right="1349"/>
              <w:spacing w:after="0"/>
              <w:rPr>
                <w:sz w:val="20"/>
                <w:szCs w:val="20"/>
                <w:color w:val="auto"/>
              </w:rPr>
            </w:pPr>
            <w:r>
              <w:rPr>
                <w:rFonts w:ascii="Arial" w:cs="Arial" w:eastAsia="Arial" w:hAnsi="Arial"/>
                <w:sz w:val="18"/>
                <w:szCs w:val="18"/>
                <w:color w:val="auto"/>
              </w:rPr>
              <w:t>459</w:t>
            </w:r>
          </w:p>
        </w:tc>
        <w:tc>
          <w:tcPr>
            <w:tcW w:w="3100" w:type="dxa"/>
            <w:vAlign w:val="bottom"/>
          </w:tcPr>
          <w:p>
            <w:pPr>
              <w:jc w:val="center"/>
              <w:ind w:right="69"/>
              <w:spacing w:after="0"/>
              <w:rPr>
                <w:sz w:val="20"/>
                <w:szCs w:val="20"/>
                <w:color w:val="auto"/>
              </w:rPr>
            </w:pPr>
            <w:r>
              <w:rPr>
                <w:rFonts w:ascii="Arial" w:cs="Arial" w:eastAsia="Arial" w:hAnsi="Arial"/>
                <w:sz w:val="18"/>
                <w:szCs w:val="18"/>
                <w:color w:val="auto"/>
              </w:rPr>
              <w:t>*</w:t>
            </w:r>
          </w:p>
        </w:tc>
      </w:tr>
      <w:tr>
        <w:trPr>
          <w:trHeight w:val="211"/>
        </w:trPr>
        <w:tc>
          <w:tcPr>
            <w:tcW w:w="2820" w:type="dxa"/>
            <w:vAlign w:val="bottom"/>
            <w:shd w:val="clear" w:color="auto" w:fill="D9D9D9"/>
          </w:tcPr>
          <w:p>
            <w:pPr>
              <w:ind w:left="100"/>
              <w:spacing w:after="0"/>
              <w:rPr>
                <w:sz w:val="20"/>
                <w:szCs w:val="20"/>
                <w:color w:val="auto"/>
              </w:rPr>
            </w:pPr>
            <w:r>
              <w:rPr>
                <w:rFonts w:ascii="Arial" w:cs="Arial" w:eastAsia="Arial" w:hAnsi="Arial"/>
                <w:sz w:val="18"/>
                <w:szCs w:val="18"/>
                <w:color w:val="auto"/>
              </w:rPr>
              <w:t>Caesar Sweitzer</w:t>
            </w:r>
          </w:p>
        </w:tc>
        <w:tc>
          <w:tcPr>
            <w:tcW w:w="5320" w:type="dxa"/>
            <w:vAlign w:val="bottom"/>
            <w:shd w:val="clear" w:color="auto" w:fill="D9D9D9"/>
          </w:tcPr>
          <w:p>
            <w:pPr>
              <w:jc w:val="right"/>
              <w:ind w:right="1349"/>
              <w:spacing w:after="0"/>
              <w:rPr>
                <w:sz w:val="20"/>
                <w:szCs w:val="20"/>
                <w:color w:val="auto"/>
              </w:rPr>
            </w:pPr>
            <w:r>
              <w:rPr>
                <w:rFonts w:ascii="Arial" w:cs="Arial" w:eastAsia="Arial" w:hAnsi="Arial"/>
                <w:sz w:val="18"/>
                <w:szCs w:val="18"/>
                <w:color w:val="auto"/>
              </w:rPr>
              <w:t>14,035</w:t>
            </w:r>
          </w:p>
        </w:tc>
        <w:tc>
          <w:tcPr>
            <w:tcW w:w="3100" w:type="dxa"/>
            <w:vAlign w:val="bottom"/>
            <w:shd w:val="clear" w:color="auto" w:fill="D9D9D9"/>
          </w:tcPr>
          <w:p>
            <w:pPr>
              <w:jc w:val="center"/>
              <w:ind w:right="69"/>
              <w:spacing w:after="0"/>
              <w:rPr>
                <w:sz w:val="20"/>
                <w:szCs w:val="20"/>
                <w:color w:val="auto"/>
              </w:rPr>
            </w:pPr>
            <w:r>
              <w:rPr>
                <w:rFonts w:ascii="Arial" w:cs="Arial" w:eastAsia="Arial" w:hAnsi="Arial"/>
                <w:sz w:val="18"/>
                <w:szCs w:val="18"/>
                <w:color w:val="auto"/>
              </w:rPr>
              <w:t>*</w:t>
            </w:r>
          </w:p>
        </w:tc>
      </w:tr>
      <w:tr>
        <w:trPr>
          <w:trHeight w:val="211"/>
        </w:trPr>
        <w:tc>
          <w:tcPr>
            <w:tcW w:w="2820" w:type="dxa"/>
            <w:vAlign w:val="bottom"/>
          </w:tcPr>
          <w:p>
            <w:pPr>
              <w:ind w:left="100"/>
              <w:spacing w:after="0"/>
              <w:rPr>
                <w:sz w:val="20"/>
                <w:szCs w:val="20"/>
                <w:color w:val="auto"/>
              </w:rPr>
            </w:pPr>
            <w:r>
              <w:rPr>
                <w:rFonts w:ascii="Arial" w:cs="Arial" w:eastAsia="Arial" w:hAnsi="Arial"/>
                <w:sz w:val="18"/>
                <w:szCs w:val="18"/>
                <w:color w:val="auto"/>
              </w:rPr>
              <w:t>Jim Turner</w:t>
            </w:r>
          </w:p>
        </w:tc>
        <w:tc>
          <w:tcPr>
            <w:tcW w:w="5320" w:type="dxa"/>
            <w:vAlign w:val="bottom"/>
          </w:tcPr>
          <w:p>
            <w:pPr>
              <w:jc w:val="right"/>
              <w:ind w:right="1349"/>
              <w:spacing w:after="0"/>
              <w:rPr>
                <w:sz w:val="20"/>
                <w:szCs w:val="20"/>
                <w:color w:val="auto"/>
              </w:rPr>
            </w:pPr>
            <w:r>
              <w:rPr>
                <w:rFonts w:ascii="Arial" w:cs="Arial" w:eastAsia="Arial" w:hAnsi="Arial"/>
                <w:sz w:val="18"/>
                <w:szCs w:val="18"/>
                <w:color w:val="auto"/>
              </w:rPr>
              <w:t>90,846</w:t>
            </w:r>
          </w:p>
        </w:tc>
        <w:tc>
          <w:tcPr>
            <w:tcW w:w="3100" w:type="dxa"/>
            <w:vAlign w:val="bottom"/>
          </w:tcPr>
          <w:p>
            <w:pPr>
              <w:jc w:val="center"/>
              <w:ind w:right="69"/>
              <w:spacing w:after="0"/>
              <w:rPr>
                <w:sz w:val="20"/>
                <w:szCs w:val="20"/>
                <w:color w:val="auto"/>
              </w:rPr>
            </w:pPr>
            <w:r>
              <w:rPr>
                <w:rFonts w:ascii="Arial" w:cs="Arial" w:eastAsia="Arial" w:hAnsi="Arial"/>
                <w:sz w:val="18"/>
                <w:szCs w:val="18"/>
                <w:color w:val="auto"/>
              </w:rPr>
              <w:t>*</w:t>
            </w:r>
          </w:p>
        </w:tc>
      </w:tr>
      <w:tr>
        <w:trPr>
          <w:trHeight w:val="211"/>
        </w:trPr>
        <w:tc>
          <w:tcPr>
            <w:tcW w:w="2820" w:type="dxa"/>
            <w:vAlign w:val="bottom"/>
            <w:shd w:val="clear" w:color="auto" w:fill="D9D9D9"/>
          </w:tcPr>
          <w:p>
            <w:pPr>
              <w:ind w:left="100"/>
              <w:spacing w:after="0"/>
              <w:rPr>
                <w:sz w:val="20"/>
                <w:szCs w:val="20"/>
                <w:color w:val="auto"/>
              </w:rPr>
            </w:pPr>
            <w:r>
              <w:rPr>
                <w:rFonts w:ascii="Arial" w:cs="Arial" w:eastAsia="Arial" w:hAnsi="Arial"/>
                <w:sz w:val="18"/>
                <w:szCs w:val="18"/>
                <w:color w:val="auto"/>
              </w:rPr>
              <w:t>William Urkiel</w:t>
            </w:r>
          </w:p>
        </w:tc>
        <w:tc>
          <w:tcPr>
            <w:tcW w:w="5320" w:type="dxa"/>
            <w:vAlign w:val="bottom"/>
            <w:shd w:val="clear" w:color="auto" w:fill="D9D9D9"/>
          </w:tcPr>
          <w:p>
            <w:pPr>
              <w:jc w:val="right"/>
              <w:ind w:right="1349"/>
              <w:spacing w:after="0"/>
              <w:rPr>
                <w:sz w:val="20"/>
                <w:szCs w:val="20"/>
                <w:color w:val="auto"/>
              </w:rPr>
            </w:pPr>
            <w:r>
              <w:rPr>
                <w:rFonts w:ascii="Arial" w:cs="Arial" w:eastAsia="Arial" w:hAnsi="Arial"/>
                <w:sz w:val="18"/>
                <w:szCs w:val="18"/>
                <w:color w:val="auto"/>
              </w:rPr>
              <w:t>50,065</w:t>
            </w:r>
          </w:p>
        </w:tc>
        <w:tc>
          <w:tcPr>
            <w:tcW w:w="3100" w:type="dxa"/>
            <w:vAlign w:val="bottom"/>
            <w:shd w:val="clear" w:color="auto" w:fill="D9D9D9"/>
          </w:tcPr>
          <w:p>
            <w:pPr>
              <w:jc w:val="center"/>
              <w:ind w:right="69"/>
              <w:spacing w:after="0"/>
              <w:rPr>
                <w:sz w:val="20"/>
                <w:szCs w:val="20"/>
                <w:color w:val="auto"/>
              </w:rPr>
            </w:pPr>
            <w:r>
              <w:rPr>
                <w:rFonts w:ascii="Arial" w:cs="Arial" w:eastAsia="Arial" w:hAnsi="Arial"/>
                <w:sz w:val="18"/>
                <w:szCs w:val="18"/>
                <w:color w:val="auto"/>
              </w:rPr>
              <w:t>*</w:t>
            </w:r>
          </w:p>
        </w:tc>
      </w:tr>
      <w:tr>
        <w:trPr>
          <w:trHeight w:val="206"/>
        </w:trPr>
        <w:tc>
          <w:tcPr>
            <w:tcW w:w="2820" w:type="dxa"/>
            <w:vAlign w:val="bottom"/>
          </w:tcPr>
          <w:p>
            <w:pPr>
              <w:ind w:left="100"/>
              <w:spacing w:after="0"/>
              <w:rPr>
                <w:sz w:val="20"/>
                <w:szCs w:val="20"/>
                <w:color w:val="auto"/>
              </w:rPr>
            </w:pPr>
            <w:r>
              <w:rPr>
                <w:rFonts w:ascii="Arial" w:cs="Arial" w:eastAsia="Arial" w:hAnsi="Arial"/>
                <w:sz w:val="18"/>
                <w:szCs w:val="18"/>
                <w:color w:val="auto"/>
              </w:rPr>
              <w:t>Directors and Executive</w:t>
            </w:r>
          </w:p>
        </w:tc>
        <w:tc>
          <w:tcPr>
            <w:tcW w:w="5320" w:type="dxa"/>
            <w:vAlign w:val="bottom"/>
          </w:tcPr>
          <w:p>
            <w:pPr>
              <w:spacing w:after="0"/>
              <w:rPr>
                <w:sz w:val="17"/>
                <w:szCs w:val="17"/>
                <w:color w:val="auto"/>
              </w:rPr>
            </w:pPr>
          </w:p>
        </w:tc>
        <w:tc>
          <w:tcPr>
            <w:tcW w:w="3100" w:type="dxa"/>
            <w:vAlign w:val="bottom"/>
          </w:tcPr>
          <w:p>
            <w:pPr>
              <w:spacing w:after="0"/>
              <w:rPr>
                <w:sz w:val="17"/>
                <w:szCs w:val="17"/>
                <w:color w:val="auto"/>
              </w:rPr>
            </w:pPr>
          </w:p>
        </w:tc>
      </w:tr>
      <w:tr>
        <w:trPr>
          <w:trHeight w:val="232"/>
        </w:trPr>
        <w:tc>
          <w:tcPr>
            <w:tcW w:w="2820" w:type="dxa"/>
            <w:vAlign w:val="bottom"/>
          </w:tcPr>
          <w:p>
            <w:pPr>
              <w:ind w:left="220"/>
              <w:spacing w:after="0"/>
              <w:rPr>
                <w:sz w:val="20"/>
                <w:szCs w:val="20"/>
                <w:color w:val="auto"/>
              </w:rPr>
            </w:pPr>
            <w:r>
              <w:rPr>
                <w:rFonts w:ascii="Arial" w:cs="Arial" w:eastAsia="Arial" w:hAnsi="Arial"/>
                <w:sz w:val="18"/>
                <w:szCs w:val="18"/>
                <w:color w:val="auto"/>
              </w:rPr>
              <w:t>Officers as a Group of 21</w:t>
            </w:r>
          </w:p>
        </w:tc>
        <w:tc>
          <w:tcPr>
            <w:tcW w:w="5320" w:type="dxa"/>
            <w:vAlign w:val="bottom"/>
          </w:tcPr>
          <w:p>
            <w:pPr>
              <w:jc w:val="right"/>
              <w:ind w:right="1349"/>
              <w:spacing w:after="0"/>
              <w:rPr>
                <w:sz w:val="20"/>
                <w:szCs w:val="20"/>
                <w:color w:val="auto"/>
              </w:rPr>
            </w:pPr>
            <w:r>
              <w:rPr>
                <w:rFonts w:ascii="Arial" w:cs="Arial" w:eastAsia="Arial" w:hAnsi="Arial"/>
                <w:sz w:val="18"/>
                <w:szCs w:val="18"/>
                <w:color w:val="auto"/>
              </w:rPr>
              <w:t>2,517,624</w:t>
            </w:r>
          </w:p>
        </w:tc>
        <w:tc>
          <w:tcPr>
            <w:tcW w:w="3100" w:type="dxa"/>
            <w:vAlign w:val="bottom"/>
          </w:tcPr>
          <w:p>
            <w:pPr>
              <w:jc w:val="center"/>
              <w:ind w:right="69"/>
              <w:spacing w:after="0"/>
              <w:rPr>
                <w:sz w:val="20"/>
                <w:szCs w:val="20"/>
                <w:color w:val="auto"/>
              </w:rPr>
            </w:pPr>
            <w:r>
              <w:rPr>
                <w:rFonts w:ascii="Arial" w:cs="Arial" w:eastAsia="Arial" w:hAnsi="Arial"/>
                <w:sz w:val="18"/>
                <w:szCs w:val="18"/>
                <w:color w:val="auto"/>
                <w:w w:val="92"/>
              </w:rPr>
              <w:t>1.9%</w:t>
            </w:r>
          </w:p>
        </w:tc>
      </w:tr>
    </w:tbl>
    <w:p>
      <w:pPr>
        <w:spacing w:after="0" w:line="20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 Less than 1%</w:t>
      </w:r>
    </w:p>
    <w:p>
      <w:pPr>
        <w:spacing w:after="0" w:line="53" w:lineRule="exact"/>
        <w:rPr>
          <w:sz w:val="20"/>
          <w:szCs w:val="20"/>
          <w:color w:val="auto"/>
        </w:rPr>
      </w:pPr>
    </w:p>
    <w:p>
      <w:pPr>
        <w:ind w:left="540" w:hanging="439"/>
        <w:spacing w:after="0"/>
        <w:tabs>
          <w:tab w:leader="none" w:pos="540" w:val="left"/>
        </w:tabs>
        <w:numPr>
          <w:ilvl w:val="0"/>
          <w:numId w:val="18"/>
        </w:numPr>
        <w:rPr>
          <w:rFonts w:ascii="Arial" w:cs="Arial" w:eastAsia="Arial" w:hAnsi="Arial"/>
          <w:sz w:val="20"/>
          <w:szCs w:val="20"/>
          <w:color w:val="auto"/>
        </w:rPr>
      </w:pPr>
      <w:r>
        <w:rPr>
          <w:rFonts w:ascii="Arial" w:cs="Arial" w:eastAsia="Arial" w:hAnsi="Arial"/>
          <w:sz w:val="18"/>
          <w:szCs w:val="18"/>
          <w:color w:val="auto"/>
        </w:rPr>
        <w:t>Percentages are derived based upon 135,696,867 shares of Common Stock outstanding as of March 3, 2020.</w:t>
      </w:r>
    </w:p>
    <w:p>
      <w:pPr>
        <w:spacing w:after="0" w:line="92" w:lineRule="exact"/>
        <w:rPr>
          <w:rFonts w:ascii="Arial" w:cs="Arial" w:eastAsia="Arial" w:hAnsi="Arial"/>
          <w:sz w:val="20"/>
          <w:szCs w:val="20"/>
          <w:color w:val="auto"/>
        </w:rPr>
      </w:pPr>
    </w:p>
    <w:p>
      <w:pPr>
        <w:ind w:left="540" w:right="240" w:hanging="439"/>
        <w:spacing w:after="0" w:line="265" w:lineRule="auto"/>
        <w:tabs>
          <w:tab w:leader="none" w:pos="540" w:val="left"/>
        </w:tabs>
        <w:numPr>
          <w:ilvl w:val="0"/>
          <w:numId w:val="18"/>
        </w:numPr>
        <w:rPr>
          <w:rFonts w:ascii="Arial" w:cs="Arial" w:eastAsia="Arial" w:hAnsi="Arial"/>
          <w:sz w:val="19"/>
          <w:szCs w:val="19"/>
          <w:color w:val="auto"/>
        </w:rPr>
      </w:pPr>
      <w:r>
        <w:rPr>
          <w:rFonts w:ascii="Arial" w:cs="Arial" w:eastAsia="Arial" w:hAnsi="Arial"/>
          <w:sz w:val="17"/>
          <w:szCs w:val="17"/>
          <w:color w:val="auto"/>
        </w:rPr>
        <w:t>Excludes 3,000,000 shares of Common Stock held in the Crown Cork &amp; Seal Company, Inc. Master Retirement Trust on behalf of various Company pension plans (“Trust Shares”). Messrs. Donahue and Kelly are members of the Benefits Plan Investment Committee of the trust that has sole voting and dispositive power with respect to the Trust Shares, but they disclaim beneficial ownership of the Trust Shares.</w:t>
      </w:r>
    </w:p>
    <w:p>
      <w:pPr>
        <w:spacing w:after="0" w:line="58" w:lineRule="exact"/>
        <w:rPr>
          <w:rFonts w:ascii="Arial" w:cs="Arial" w:eastAsia="Arial" w:hAnsi="Arial"/>
          <w:sz w:val="19"/>
          <w:szCs w:val="19"/>
          <w:color w:val="auto"/>
        </w:rPr>
      </w:pPr>
    </w:p>
    <w:p>
      <w:pPr>
        <w:ind w:left="540" w:hanging="439"/>
        <w:spacing w:after="0"/>
        <w:tabs>
          <w:tab w:leader="none" w:pos="540" w:val="left"/>
        </w:tabs>
        <w:numPr>
          <w:ilvl w:val="0"/>
          <w:numId w:val="18"/>
        </w:numPr>
        <w:rPr>
          <w:rFonts w:ascii="Arial" w:cs="Arial" w:eastAsia="Arial" w:hAnsi="Arial"/>
          <w:sz w:val="20"/>
          <w:szCs w:val="20"/>
          <w:color w:val="auto"/>
        </w:rPr>
      </w:pPr>
      <w:r>
        <w:rPr>
          <w:rFonts w:ascii="Arial" w:cs="Arial" w:eastAsia="Arial" w:hAnsi="Arial"/>
          <w:sz w:val="18"/>
          <w:szCs w:val="18"/>
          <w:color w:val="auto"/>
        </w:rPr>
        <w:t>Includes 16 shares of Common Stock held by the Fearon Family Trust, of which Mr. Fearon is a trustee and a beneficiary.</w:t>
      </w:r>
    </w:p>
    <w:p>
      <w:pPr>
        <w:spacing w:after="0" w:line="92" w:lineRule="exact"/>
        <w:rPr>
          <w:rFonts w:ascii="Arial" w:cs="Arial" w:eastAsia="Arial" w:hAnsi="Arial"/>
          <w:sz w:val="20"/>
          <w:szCs w:val="20"/>
          <w:color w:val="auto"/>
        </w:rPr>
      </w:pPr>
    </w:p>
    <w:p>
      <w:pPr>
        <w:ind w:left="540" w:right="340" w:hanging="439"/>
        <w:spacing w:after="0" w:line="246" w:lineRule="auto"/>
        <w:tabs>
          <w:tab w:leader="none" w:pos="540" w:val="left"/>
        </w:tabs>
        <w:numPr>
          <w:ilvl w:val="0"/>
          <w:numId w:val="18"/>
        </w:numPr>
        <w:rPr>
          <w:rFonts w:ascii="Arial" w:cs="Arial" w:eastAsia="Arial" w:hAnsi="Arial"/>
          <w:sz w:val="20"/>
          <w:szCs w:val="20"/>
          <w:color w:val="auto"/>
        </w:rPr>
      </w:pPr>
      <w:r>
        <w:rPr>
          <w:rFonts w:ascii="Arial" w:cs="Arial" w:eastAsia="Arial" w:hAnsi="Arial"/>
          <w:sz w:val="18"/>
          <w:szCs w:val="18"/>
          <w:color w:val="auto"/>
        </w:rPr>
        <w:t>Messrs. Little and Löliger are retiring as Directors and are not standing for re-election to the Board at the Company’s 2020 Annual Meeting of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26</w:t>
      </w:r>
    </w:p>
    <w:p>
      <w:pPr>
        <w:sectPr>
          <w:pgSz w:w="11900" w:h="16838" w:orient="portrait"/>
          <w:cols w:equalWidth="0" w:num="1">
            <w:col w:w="11240"/>
          </w:cols>
          <w:pgMar w:left="320" w:top="443" w:right="339" w:bottom="1440" w:gutter="0" w:footer="0" w:header="0"/>
        </w:sectPr>
      </w:pPr>
    </w:p>
    <w:bookmarkStart w:id="30" w:name="page31"/>
    <w:bookmarkEnd w:id="30"/>
    <w:p>
      <w:pPr>
        <w:spacing w:after="0"/>
        <w:rPr>
          <w:sz w:val="20"/>
          <w:szCs w:val="20"/>
          <w:color w:val="auto"/>
        </w:rPr>
      </w:pPr>
      <w:r>
        <w:rPr>
          <w:rFonts w:ascii="Arial" w:cs="Arial" w:eastAsia="Arial" w:hAnsi="Arial"/>
          <w:sz w:val="30"/>
          <w:szCs w:val="30"/>
          <w:b w:val="1"/>
          <w:bCs w:val="1"/>
          <w:color w:val="29650B"/>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3750" cy="317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3750" cy="3175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jc w:val="both"/>
        <w:ind w:firstLine="595"/>
        <w:spacing w:after="0" w:line="287" w:lineRule="auto"/>
        <w:rPr>
          <w:sz w:val="20"/>
          <w:szCs w:val="20"/>
          <w:color w:val="auto"/>
        </w:rPr>
      </w:pPr>
      <w:r>
        <w:rPr>
          <w:rFonts w:ascii="Arial" w:cs="Arial" w:eastAsia="Arial" w:hAnsi="Arial"/>
          <w:sz w:val="19"/>
          <w:szCs w:val="19"/>
          <w:b w:val="1"/>
          <w:bCs w:val="1"/>
          <w:color w:val="auto"/>
        </w:rPr>
        <w:t xml:space="preserve">Meetings of the Board of Directors. </w:t>
      </w:r>
      <w:r>
        <w:rPr>
          <w:rFonts w:ascii="Arial" w:cs="Arial" w:eastAsia="Arial" w:hAnsi="Arial"/>
          <w:sz w:val="19"/>
          <w:szCs w:val="19"/>
          <w:color w:val="auto"/>
        </w:rPr>
        <w:t>In 2019, there were six meetings of the Board of Directors. Each Director during his or her term</w:t>
      </w:r>
      <w:r>
        <w:rPr>
          <w:rFonts w:ascii="Arial" w:cs="Arial" w:eastAsia="Arial" w:hAnsi="Arial"/>
          <w:sz w:val="19"/>
          <w:szCs w:val="19"/>
          <w:b w:val="1"/>
          <w:bCs w:val="1"/>
          <w:color w:val="auto"/>
        </w:rPr>
        <w:t xml:space="preserve"> </w:t>
      </w:r>
      <w:r>
        <w:rPr>
          <w:rFonts w:ascii="Arial" w:cs="Arial" w:eastAsia="Arial" w:hAnsi="Arial"/>
          <w:sz w:val="19"/>
          <w:szCs w:val="19"/>
          <w:color w:val="auto"/>
        </w:rPr>
        <w:t>of service attended at least 75% of the aggregate meetings of the Board and of the committees on which he or she served.</w:t>
      </w:r>
    </w:p>
    <w:p>
      <w:pPr>
        <w:spacing w:after="0" w:line="23" w:lineRule="exact"/>
        <w:rPr>
          <w:sz w:val="20"/>
          <w:szCs w:val="20"/>
          <w:color w:val="auto"/>
        </w:rPr>
      </w:pPr>
    </w:p>
    <w:p>
      <w:pPr>
        <w:jc w:val="both"/>
        <w:ind w:firstLine="595"/>
        <w:spacing w:after="0" w:line="246" w:lineRule="auto"/>
        <w:rPr>
          <w:sz w:val="20"/>
          <w:szCs w:val="20"/>
          <w:color w:val="auto"/>
        </w:rPr>
      </w:pPr>
      <w:r>
        <w:rPr>
          <w:rFonts w:ascii="Arial" w:cs="Arial" w:eastAsia="Arial" w:hAnsi="Arial"/>
          <w:sz w:val="20"/>
          <w:szCs w:val="20"/>
          <w:b w:val="1"/>
          <w:bCs w:val="1"/>
          <w:color w:val="auto"/>
        </w:rPr>
        <w:t xml:space="preserve">Attendance at the Annual Meeting. </w:t>
      </w:r>
      <w:r>
        <w:rPr>
          <w:rFonts w:ascii="Arial" w:cs="Arial" w:eastAsia="Arial" w:hAnsi="Arial"/>
          <w:sz w:val="20"/>
          <w:szCs w:val="20"/>
          <w:color w:val="auto"/>
        </w:rPr>
        <w:t>Under the Company’s Corporate Governance Guidelines, Directors are expected to attend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Company’s Annual Meeting of Shareholders. In 2019, each of the Directors serving on the Board at the time attended the Annual Meeting of Shareholders.</w:t>
      </w:r>
    </w:p>
    <w:p>
      <w:pPr>
        <w:spacing w:after="0" w:line="62" w:lineRule="exact"/>
        <w:rPr>
          <w:sz w:val="20"/>
          <w:szCs w:val="20"/>
          <w:color w:val="auto"/>
        </w:rPr>
      </w:pPr>
    </w:p>
    <w:p>
      <w:pPr>
        <w:jc w:val="both"/>
        <w:ind w:firstLine="595"/>
        <w:spacing w:after="0" w:line="242" w:lineRule="auto"/>
        <w:rPr>
          <w:sz w:val="20"/>
          <w:szCs w:val="20"/>
          <w:color w:val="auto"/>
        </w:rPr>
      </w:pPr>
      <w:r>
        <w:rPr>
          <w:rFonts w:ascii="Arial" w:cs="Arial" w:eastAsia="Arial" w:hAnsi="Arial"/>
          <w:sz w:val="20"/>
          <w:szCs w:val="20"/>
          <w:b w:val="1"/>
          <w:bCs w:val="1"/>
          <w:color w:val="auto"/>
        </w:rPr>
        <w:t xml:space="preserve">Director Independence. </w:t>
      </w:r>
      <w:r>
        <w:rPr>
          <w:rFonts w:ascii="Arial" w:cs="Arial" w:eastAsia="Arial" w:hAnsi="Arial"/>
          <w:sz w:val="20"/>
          <w:szCs w:val="20"/>
          <w:color w:val="auto"/>
        </w:rPr>
        <w:t>The Board has determined that all Directors standing for election, with the exception of Timothy Donahue,</w:t>
      </w:r>
      <w:r>
        <w:rPr>
          <w:rFonts w:ascii="Arial" w:cs="Arial" w:eastAsia="Arial" w:hAnsi="Arial"/>
          <w:sz w:val="20"/>
          <w:szCs w:val="20"/>
          <w:b w:val="1"/>
          <w:bCs w:val="1"/>
          <w:color w:val="auto"/>
        </w:rPr>
        <w:t xml:space="preserve"> </w:t>
      </w:r>
      <w:r>
        <w:rPr>
          <w:rFonts w:ascii="Arial" w:cs="Arial" w:eastAsia="Arial" w:hAnsi="Arial"/>
          <w:sz w:val="20"/>
          <w:szCs w:val="20"/>
          <w:color w:val="auto"/>
        </w:rPr>
        <w:t>the Company’s Chief Executive Officer, are independent under the listing standards of the NYSE. The Board made this determination based on the absence of any of the express disqualifying criteria set forth in the listing standards that require a majority of the Board nominees to be independent Directors.</w:t>
      </w:r>
    </w:p>
    <w:p>
      <w:pPr>
        <w:spacing w:after="0" w:line="71" w:lineRule="exact"/>
        <w:rPr>
          <w:sz w:val="20"/>
          <w:szCs w:val="20"/>
          <w:color w:val="auto"/>
        </w:rPr>
      </w:pPr>
    </w:p>
    <w:p>
      <w:pPr>
        <w:jc w:val="both"/>
        <w:ind w:firstLine="595"/>
        <w:spacing w:after="0" w:line="266" w:lineRule="auto"/>
        <w:rPr>
          <w:sz w:val="20"/>
          <w:szCs w:val="20"/>
          <w:color w:val="auto"/>
        </w:rPr>
      </w:pPr>
      <w:r>
        <w:rPr>
          <w:rFonts w:ascii="Arial" w:cs="Arial" w:eastAsia="Arial" w:hAnsi="Arial"/>
          <w:sz w:val="18"/>
          <w:szCs w:val="18"/>
          <w:color w:val="auto"/>
        </w:rPr>
        <w:t>In making the foregoing determinations, the Board considered the Directors’ affiliations with the Company or third parties and Company payments to such parties: For Mr. Conway – his status prior to 2016 as the Company’s Chief Executive Officer. For Mr. Fearon: as an officer of Eaton Corporation – ordinary course of business purchases of energy management solutions by the Company; as a director of PolyOne Corporation – ordinary course of business purchases of plastisol sealing compounds by the Company; and as a member of the Board of Trustees of Manufacturers Alliance/MAPI, Inc., a not for profit professional society – payment of membership dues for Crown employees by the Company. For Ms. Funk: as an officer of EnerSys – ordinary course of business purchases by the Company of batteries and related accessories; and as a director of Ecore International – ordinary course of business purchases of rubber matting by the Company. None of these relationships or transactions fell within the NYSE listing standards disqualifying criteria.</w:t>
      </w:r>
    </w:p>
    <w:p>
      <w:pPr>
        <w:spacing w:after="0" w:line="44"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 xml:space="preserve">Board Leadership and Risk Oversight. </w:t>
      </w:r>
      <w:r>
        <w:rPr>
          <w:rFonts w:ascii="Arial" w:cs="Arial" w:eastAsia="Arial" w:hAnsi="Arial"/>
          <w:sz w:val="18"/>
          <w:szCs w:val="18"/>
          <w:color w:val="auto"/>
        </w:rPr>
        <w:t>Mr. Conway is the independent, non-executive Chairman of the Board. The non-executive</w:t>
      </w:r>
    </w:p>
    <w:p>
      <w:pPr>
        <w:spacing w:after="0" w:line="38" w:lineRule="exact"/>
        <w:rPr>
          <w:sz w:val="20"/>
          <w:szCs w:val="20"/>
          <w:color w:val="auto"/>
        </w:rPr>
      </w:pPr>
    </w:p>
    <w:p>
      <w:pPr>
        <w:spacing w:after="0"/>
        <w:rPr>
          <w:sz w:val="20"/>
          <w:szCs w:val="20"/>
          <w:color w:val="auto"/>
        </w:rPr>
      </w:pPr>
      <w:r>
        <w:rPr>
          <w:rFonts w:ascii="Arial" w:cs="Arial" w:eastAsia="Arial" w:hAnsi="Arial"/>
          <w:sz w:val="20"/>
          <w:szCs w:val="20"/>
          <w:color w:val="auto"/>
        </w:rPr>
        <w:t>Chairman of the Board has a range of duties, including, among other things:</w:t>
      </w:r>
    </w:p>
    <w:p>
      <w:pPr>
        <w:spacing w:after="0" w:line="77" w:lineRule="exact"/>
        <w:rPr>
          <w:sz w:val="20"/>
          <w:szCs w:val="20"/>
          <w:color w:val="auto"/>
        </w:rPr>
      </w:pPr>
    </w:p>
    <w:p>
      <w:pPr>
        <w:ind w:left="1440" w:right="80" w:hanging="446"/>
        <w:spacing w:after="0" w:line="254" w:lineRule="auto"/>
        <w:tabs>
          <w:tab w:leader="none" w:pos="1440" w:val="left"/>
        </w:tabs>
        <w:numPr>
          <w:ilvl w:val="0"/>
          <w:numId w:val="19"/>
        </w:numPr>
        <w:rPr>
          <w:rFonts w:ascii="Arial" w:cs="Arial" w:eastAsia="Arial" w:hAnsi="Arial"/>
          <w:sz w:val="20"/>
          <w:szCs w:val="20"/>
          <w:color w:val="auto"/>
        </w:rPr>
      </w:pPr>
      <w:r>
        <w:rPr>
          <w:rFonts w:ascii="Arial" w:cs="Arial" w:eastAsia="Arial" w:hAnsi="Arial"/>
          <w:sz w:val="20"/>
          <w:szCs w:val="20"/>
          <w:color w:val="auto"/>
        </w:rPr>
        <w:t>creating and maintaining an effective working relationship among the Chief Executive Officer and other members of management and the other members of the Board;</w:t>
      </w:r>
    </w:p>
    <w:p>
      <w:pPr>
        <w:spacing w:after="0" w:line="9" w:lineRule="exact"/>
        <w:rPr>
          <w:rFonts w:ascii="Arial" w:cs="Arial" w:eastAsia="Arial" w:hAnsi="Arial"/>
          <w:sz w:val="20"/>
          <w:szCs w:val="20"/>
          <w:color w:val="auto"/>
        </w:rPr>
      </w:pPr>
    </w:p>
    <w:p>
      <w:pPr>
        <w:ind w:left="1440" w:hanging="446"/>
        <w:spacing w:after="0"/>
        <w:tabs>
          <w:tab w:leader="none" w:pos="1440" w:val="left"/>
        </w:tabs>
        <w:numPr>
          <w:ilvl w:val="0"/>
          <w:numId w:val="19"/>
        </w:numPr>
        <w:rPr>
          <w:rFonts w:ascii="Arial" w:cs="Arial" w:eastAsia="Arial" w:hAnsi="Arial"/>
          <w:sz w:val="20"/>
          <w:szCs w:val="20"/>
          <w:color w:val="auto"/>
        </w:rPr>
      </w:pPr>
      <w:r>
        <w:rPr>
          <w:rFonts w:ascii="Arial" w:cs="Arial" w:eastAsia="Arial" w:hAnsi="Arial"/>
          <w:sz w:val="20"/>
          <w:szCs w:val="20"/>
          <w:color w:val="auto"/>
        </w:rPr>
        <w:t>providing the Chief Executive Officer ongoing direction as to Board needs, interests and opinions; and</w:t>
      </w:r>
    </w:p>
    <w:p>
      <w:pPr>
        <w:spacing w:after="0" w:line="42" w:lineRule="exact"/>
        <w:rPr>
          <w:rFonts w:ascii="Arial" w:cs="Arial" w:eastAsia="Arial" w:hAnsi="Arial"/>
          <w:sz w:val="20"/>
          <w:szCs w:val="20"/>
          <w:color w:val="auto"/>
        </w:rPr>
      </w:pPr>
    </w:p>
    <w:p>
      <w:pPr>
        <w:ind w:left="1440" w:hanging="446"/>
        <w:spacing w:after="0"/>
        <w:tabs>
          <w:tab w:leader="none" w:pos="1440" w:val="left"/>
        </w:tabs>
        <w:numPr>
          <w:ilvl w:val="0"/>
          <w:numId w:val="19"/>
        </w:numPr>
        <w:rPr>
          <w:rFonts w:ascii="Arial" w:cs="Arial" w:eastAsia="Arial" w:hAnsi="Arial"/>
          <w:sz w:val="20"/>
          <w:szCs w:val="20"/>
          <w:color w:val="auto"/>
        </w:rPr>
      </w:pPr>
      <w:r>
        <w:rPr>
          <w:rFonts w:ascii="Arial" w:cs="Arial" w:eastAsia="Arial" w:hAnsi="Arial"/>
          <w:sz w:val="20"/>
          <w:szCs w:val="20"/>
          <w:color w:val="auto"/>
        </w:rPr>
        <w:t>assuring that the Board agenda is appropriately directed to the matters of greater importance to the Company.</w:t>
      </w:r>
    </w:p>
    <w:p>
      <w:pPr>
        <w:spacing w:after="0" w:line="93" w:lineRule="exact"/>
        <w:rPr>
          <w:sz w:val="20"/>
          <w:szCs w:val="20"/>
          <w:color w:val="auto"/>
        </w:rPr>
      </w:pPr>
    </w:p>
    <w:p>
      <w:pPr>
        <w:ind w:firstLine="595"/>
        <w:spacing w:after="0" w:line="254" w:lineRule="auto"/>
        <w:rPr>
          <w:sz w:val="20"/>
          <w:szCs w:val="20"/>
          <w:color w:val="auto"/>
        </w:rPr>
      </w:pPr>
      <w:r>
        <w:rPr>
          <w:rFonts w:ascii="Arial" w:cs="Arial" w:eastAsia="Arial" w:hAnsi="Arial"/>
          <w:sz w:val="20"/>
          <w:szCs w:val="20"/>
          <w:color w:val="auto"/>
        </w:rPr>
        <w:t>Mr. Miller serves as the Independent Lead Director of the Board. The Independent Lead Director has a range of duties, including, among other things:</w:t>
      </w:r>
    </w:p>
    <w:p>
      <w:pPr>
        <w:spacing w:after="0" w:line="59" w:lineRule="exact"/>
        <w:rPr>
          <w:sz w:val="20"/>
          <w:szCs w:val="20"/>
          <w:color w:val="auto"/>
        </w:rPr>
      </w:pPr>
    </w:p>
    <w:p>
      <w:pPr>
        <w:ind w:left="1440" w:hanging="446"/>
        <w:spacing w:after="0"/>
        <w:tabs>
          <w:tab w:leader="none" w:pos="1440" w:val="left"/>
        </w:tabs>
        <w:numPr>
          <w:ilvl w:val="0"/>
          <w:numId w:val="20"/>
        </w:numPr>
        <w:rPr>
          <w:rFonts w:ascii="Arial" w:cs="Arial" w:eastAsia="Arial" w:hAnsi="Arial"/>
          <w:sz w:val="20"/>
          <w:szCs w:val="20"/>
          <w:color w:val="auto"/>
        </w:rPr>
      </w:pPr>
      <w:r>
        <w:rPr>
          <w:rFonts w:ascii="Arial" w:cs="Arial" w:eastAsia="Arial" w:hAnsi="Arial"/>
          <w:sz w:val="20"/>
          <w:szCs w:val="20"/>
          <w:color w:val="auto"/>
        </w:rPr>
        <w:t>presiding over executive sessions of the independent Directors;</w:t>
      </w:r>
    </w:p>
    <w:p>
      <w:pPr>
        <w:spacing w:after="0" w:line="42" w:lineRule="exact"/>
        <w:rPr>
          <w:rFonts w:ascii="Arial" w:cs="Arial" w:eastAsia="Arial" w:hAnsi="Arial"/>
          <w:sz w:val="20"/>
          <w:szCs w:val="20"/>
          <w:color w:val="auto"/>
        </w:rPr>
      </w:pPr>
    </w:p>
    <w:p>
      <w:pPr>
        <w:ind w:left="1440" w:hanging="446"/>
        <w:spacing w:after="0"/>
        <w:tabs>
          <w:tab w:leader="none" w:pos="1440" w:val="left"/>
        </w:tabs>
        <w:numPr>
          <w:ilvl w:val="0"/>
          <w:numId w:val="20"/>
        </w:numPr>
        <w:rPr>
          <w:rFonts w:ascii="Arial" w:cs="Arial" w:eastAsia="Arial" w:hAnsi="Arial"/>
          <w:sz w:val="20"/>
          <w:szCs w:val="20"/>
          <w:color w:val="auto"/>
        </w:rPr>
      </w:pPr>
      <w:r>
        <w:rPr>
          <w:rFonts w:ascii="Arial" w:cs="Arial" w:eastAsia="Arial" w:hAnsi="Arial"/>
          <w:sz w:val="20"/>
          <w:szCs w:val="20"/>
          <w:color w:val="auto"/>
        </w:rPr>
        <w:t>presiding at all meetings of the Board in the Chairman’s absence;</w:t>
      </w:r>
    </w:p>
    <w:p>
      <w:pPr>
        <w:spacing w:after="0" w:line="42" w:lineRule="exact"/>
        <w:rPr>
          <w:rFonts w:ascii="Arial" w:cs="Arial" w:eastAsia="Arial" w:hAnsi="Arial"/>
          <w:sz w:val="20"/>
          <w:szCs w:val="20"/>
          <w:color w:val="auto"/>
        </w:rPr>
      </w:pPr>
    </w:p>
    <w:p>
      <w:pPr>
        <w:ind w:left="1440" w:hanging="446"/>
        <w:spacing w:after="0"/>
        <w:tabs>
          <w:tab w:leader="none" w:pos="1440" w:val="left"/>
        </w:tabs>
        <w:numPr>
          <w:ilvl w:val="0"/>
          <w:numId w:val="20"/>
        </w:numPr>
        <w:rPr>
          <w:rFonts w:ascii="Arial" w:cs="Arial" w:eastAsia="Arial" w:hAnsi="Arial"/>
          <w:sz w:val="20"/>
          <w:szCs w:val="20"/>
          <w:color w:val="auto"/>
        </w:rPr>
      </w:pPr>
      <w:r>
        <w:rPr>
          <w:rFonts w:ascii="Arial" w:cs="Arial" w:eastAsia="Arial" w:hAnsi="Arial"/>
          <w:sz w:val="20"/>
          <w:szCs w:val="20"/>
          <w:color w:val="auto"/>
        </w:rPr>
        <w:t>being able to call meetings of the independent Directors;</w:t>
      </w:r>
    </w:p>
    <w:p>
      <w:pPr>
        <w:spacing w:after="0" w:line="42" w:lineRule="exact"/>
        <w:rPr>
          <w:rFonts w:ascii="Arial" w:cs="Arial" w:eastAsia="Arial" w:hAnsi="Arial"/>
          <w:sz w:val="20"/>
          <w:szCs w:val="20"/>
          <w:color w:val="auto"/>
        </w:rPr>
      </w:pPr>
    </w:p>
    <w:p>
      <w:pPr>
        <w:ind w:left="1440" w:hanging="446"/>
        <w:spacing w:after="0"/>
        <w:tabs>
          <w:tab w:leader="none" w:pos="1440" w:val="left"/>
        </w:tabs>
        <w:numPr>
          <w:ilvl w:val="0"/>
          <w:numId w:val="20"/>
        </w:numPr>
        <w:rPr>
          <w:rFonts w:ascii="Arial" w:cs="Arial" w:eastAsia="Arial" w:hAnsi="Arial"/>
          <w:sz w:val="20"/>
          <w:szCs w:val="20"/>
          <w:color w:val="auto"/>
        </w:rPr>
      </w:pPr>
      <w:r>
        <w:rPr>
          <w:rFonts w:ascii="Arial" w:cs="Arial" w:eastAsia="Arial" w:hAnsi="Arial"/>
          <w:sz w:val="20"/>
          <w:szCs w:val="20"/>
          <w:color w:val="auto"/>
        </w:rPr>
        <w:t>liaising between the Chairman of the Board and the other independent Directors;</w:t>
      </w:r>
    </w:p>
    <w:p>
      <w:pPr>
        <w:spacing w:after="0" w:line="42" w:lineRule="exact"/>
        <w:rPr>
          <w:rFonts w:ascii="Arial" w:cs="Arial" w:eastAsia="Arial" w:hAnsi="Arial"/>
          <w:sz w:val="20"/>
          <w:szCs w:val="20"/>
          <w:color w:val="auto"/>
        </w:rPr>
      </w:pPr>
    </w:p>
    <w:p>
      <w:pPr>
        <w:ind w:left="1440" w:hanging="446"/>
        <w:spacing w:after="0"/>
        <w:tabs>
          <w:tab w:leader="none" w:pos="1440" w:val="left"/>
        </w:tabs>
        <w:numPr>
          <w:ilvl w:val="0"/>
          <w:numId w:val="20"/>
        </w:numPr>
        <w:rPr>
          <w:rFonts w:ascii="Arial" w:cs="Arial" w:eastAsia="Arial" w:hAnsi="Arial"/>
          <w:sz w:val="20"/>
          <w:szCs w:val="20"/>
          <w:color w:val="auto"/>
        </w:rPr>
      </w:pPr>
      <w:r>
        <w:rPr>
          <w:rFonts w:ascii="Arial" w:cs="Arial" w:eastAsia="Arial" w:hAnsi="Arial"/>
          <w:sz w:val="20"/>
          <w:szCs w:val="20"/>
          <w:color w:val="auto"/>
        </w:rPr>
        <w:t>providing the Chairman with input on Board and Committee agendas and schedules;</w:t>
      </w:r>
    </w:p>
    <w:p>
      <w:pPr>
        <w:spacing w:after="0" w:line="42" w:lineRule="exact"/>
        <w:rPr>
          <w:rFonts w:ascii="Arial" w:cs="Arial" w:eastAsia="Arial" w:hAnsi="Arial"/>
          <w:sz w:val="20"/>
          <w:szCs w:val="20"/>
          <w:color w:val="auto"/>
        </w:rPr>
      </w:pPr>
    </w:p>
    <w:p>
      <w:pPr>
        <w:ind w:left="1440" w:hanging="446"/>
        <w:spacing w:after="0"/>
        <w:tabs>
          <w:tab w:leader="none" w:pos="1440" w:val="left"/>
        </w:tabs>
        <w:numPr>
          <w:ilvl w:val="0"/>
          <w:numId w:val="20"/>
        </w:numPr>
        <w:rPr>
          <w:rFonts w:ascii="Arial" w:cs="Arial" w:eastAsia="Arial" w:hAnsi="Arial"/>
          <w:sz w:val="20"/>
          <w:szCs w:val="20"/>
          <w:color w:val="auto"/>
        </w:rPr>
      </w:pPr>
      <w:r>
        <w:rPr>
          <w:rFonts w:ascii="Arial" w:cs="Arial" w:eastAsia="Arial" w:hAnsi="Arial"/>
          <w:sz w:val="20"/>
          <w:szCs w:val="20"/>
          <w:color w:val="auto"/>
        </w:rPr>
        <w:t>consulting with the CEO regarding concerns of other independent Directors as appropriate</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27</w:t>
      </w:r>
    </w:p>
    <w:p>
      <w:pPr>
        <w:sectPr>
          <w:pgSz w:w="11900" w:h="16838" w:orient="portrait"/>
          <w:cols w:equalWidth="0" w:num="1">
            <w:col w:w="11240"/>
          </w:cols>
          <w:pgMar w:left="320" w:top="423" w:right="339" w:bottom="1440" w:gutter="0" w:footer="0" w:header="0"/>
        </w:sectPr>
      </w:pPr>
    </w:p>
    <w:bookmarkStart w:id="31" w:name="page32"/>
    <w:bookmarkEnd w:id="31"/>
    <w:p>
      <w:pPr>
        <w:ind w:left="1440" w:hanging="446"/>
        <w:spacing w:after="0"/>
        <w:tabs>
          <w:tab w:leader="none" w:pos="1440" w:val="left"/>
        </w:tabs>
        <w:numPr>
          <w:ilvl w:val="0"/>
          <w:numId w:val="21"/>
        </w:numPr>
        <w:rPr>
          <w:rFonts w:ascii="Arial" w:cs="Arial" w:eastAsia="Arial" w:hAnsi="Arial"/>
          <w:sz w:val="20"/>
          <w:szCs w:val="20"/>
          <w:color w:val="auto"/>
        </w:rPr>
      </w:pPr>
      <w:r>
        <w:rPr>
          <w:rFonts w:ascii="Arial" w:cs="Arial" w:eastAsia="Arial" w:hAnsi="Arial"/>
          <w:sz w:val="20"/>
          <w:szCs w:val="20"/>
          <w:color w:val="auto"/>
        </w:rPr>
        <w:t>leading the Board’s evaluation of the Chairman;</w:t>
      </w:r>
    </w:p>
    <w:p>
      <w:pPr>
        <w:spacing w:after="0" w:line="42" w:lineRule="exact"/>
        <w:rPr>
          <w:rFonts w:ascii="Arial" w:cs="Arial" w:eastAsia="Arial" w:hAnsi="Arial"/>
          <w:sz w:val="20"/>
          <w:szCs w:val="20"/>
          <w:color w:val="auto"/>
        </w:rPr>
      </w:pPr>
    </w:p>
    <w:p>
      <w:pPr>
        <w:ind w:left="1440" w:hanging="446"/>
        <w:spacing w:after="0"/>
        <w:tabs>
          <w:tab w:leader="none" w:pos="1440" w:val="left"/>
        </w:tabs>
        <w:numPr>
          <w:ilvl w:val="0"/>
          <w:numId w:val="21"/>
        </w:numPr>
        <w:rPr>
          <w:rFonts w:ascii="Arial" w:cs="Arial" w:eastAsia="Arial" w:hAnsi="Arial"/>
          <w:sz w:val="20"/>
          <w:szCs w:val="20"/>
          <w:color w:val="auto"/>
        </w:rPr>
      </w:pPr>
      <w:r>
        <w:rPr>
          <w:rFonts w:ascii="Arial" w:cs="Arial" w:eastAsia="Arial" w:hAnsi="Arial"/>
          <w:sz w:val="20"/>
          <w:szCs w:val="20"/>
          <w:color w:val="auto"/>
        </w:rPr>
        <w:t>serving a leading role in the Board’s annual self-assessment; and</w:t>
      </w:r>
    </w:p>
    <w:p>
      <w:pPr>
        <w:spacing w:after="0" w:line="42" w:lineRule="exact"/>
        <w:rPr>
          <w:rFonts w:ascii="Arial" w:cs="Arial" w:eastAsia="Arial" w:hAnsi="Arial"/>
          <w:sz w:val="20"/>
          <w:szCs w:val="20"/>
          <w:color w:val="auto"/>
        </w:rPr>
      </w:pPr>
    </w:p>
    <w:p>
      <w:pPr>
        <w:ind w:left="1440" w:hanging="446"/>
        <w:spacing w:after="0"/>
        <w:tabs>
          <w:tab w:leader="none" w:pos="1440" w:val="left"/>
        </w:tabs>
        <w:numPr>
          <w:ilvl w:val="0"/>
          <w:numId w:val="21"/>
        </w:numPr>
        <w:rPr>
          <w:rFonts w:ascii="Arial" w:cs="Arial" w:eastAsia="Arial" w:hAnsi="Arial"/>
          <w:sz w:val="20"/>
          <w:szCs w:val="20"/>
          <w:color w:val="auto"/>
        </w:rPr>
      </w:pPr>
      <w:r>
        <w:rPr>
          <w:rFonts w:ascii="Arial" w:cs="Arial" w:eastAsia="Arial" w:hAnsi="Arial"/>
          <w:sz w:val="20"/>
          <w:szCs w:val="20"/>
          <w:color w:val="auto"/>
        </w:rPr>
        <w:t>being available for consultation and direct communication with major shareholders.</w:t>
      </w:r>
    </w:p>
    <w:p>
      <w:pPr>
        <w:spacing w:after="0" w:line="192" w:lineRule="exact"/>
        <w:rPr>
          <w:sz w:val="20"/>
          <w:szCs w:val="20"/>
          <w:color w:val="auto"/>
        </w:rPr>
      </w:pPr>
    </w:p>
    <w:p>
      <w:pPr>
        <w:jc w:val="both"/>
        <w:ind w:firstLine="595"/>
        <w:spacing w:after="0" w:line="254" w:lineRule="auto"/>
        <w:rPr>
          <w:sz w:val="20"/>
          <w:szCs w:val="20"/>
          <w:color w:val="auto"/>
        </w:rPr>
      </w:pPr>
      <w:r>
        <w:rPr>
          <w:rFonts w:ascii="Arial" w:cs="Arial" w:eastAsia="Arial" w:hAnsi="Arial"/>
          <w:sz w:val="20"/>
          <w:szCs w:val="20"/>
          <w:color w:val="auto"/>
        </w:rPr>
        <w:t>The Board’s current leadership structure includes Audit, Compensation and Nominating and Corporate Governance Committees that are each chaired by and composed solely of independent Directors.</w:t>
      </w:r>
    </w:p>
    <w:p>
      <w:pPr>
        <w:spacing w:after="0" w:line="183" w:lineRule="exact"/>
        <w:rPr>
          <w:sz w:val="20"/>
          <w:szCs w:val="20"/>
          <w:color w:val="auto"/>
        </w:rPr>
      </w:pPr>
    </w:p>
    <w:p>
      <w:pPr>
        <w:jc w:val="both"/>
        <w:ind w:firstLine="595"/>
        <w:spacing w:after="0" w:line="269" w:lineRule="auto"/>
        <w:rPr>
          <w:sz w:val="20"/>
          <w:szCs w:val="20"/>
          <w:color w:val="auto"/>
        </w:rPr>
      </w:pPr>
      <w:r>
        <w:rPr>
          <w:rFonts w:ascii="Arial" w:cs="Arial" w:eastAsia="Arial" w:hAnsi="Arial"/>
          <w:sz w:val="18"/>
          <w:szCs w:val="18"/>
          <w:color w:val="auto"/>
        </w:rPr>
        <w:t>The roles of Chairman of the Board and Chief Executive Officer are held by two different individuals. The independent Chairman of the Board, Mr. Conway, presides over meetings of the Board and acts as liaison between the Board and Mr. Donahue, the Chief Executive Officer, who is responsible for the day-to-day management of the Company. Moreover, the Board believes that its other structural features, including eleven independent Directors among the slate of twelve Directors standing for election at the Company’s Annual Meeting, regular meetings of independent Directors in executive session, key committees consisting wholly of independent Directors and an Independent Lead Director with a wide range of duties, provide for substantial independent oversight of the Company’s management.</w:t>
      </w:r>
    </w:p>
    <w:p>
      <w:pPr>
        <w:spacing w:after="0" w:line="171" w:lineRule="exact"/>
        <w:rPr>
          <w:sz w:val="20"/>
          <w:szCs w:val="20"/>
          <w:color w:val="auto"/>
        </w:rPr>
      </w:pPr>
    </w:p>
    <w:p>
      <w:pPr>
        <w:jc w:val="both"/>
        <w:ind w:firstLine="595"/>
        <w:spacing w:after="0" w:line="254" w:lineRule="auto"/>
        <w:rPr>
          <w:sz w:val="20"/>
          <w:szCs w:val="20"/>
          <w:color w:val="auto"/>
        </w:rPr>
      </w:pPr>
      <w:r>
        <w:rPr>
          <w:rFonts w:ascii="Arial" w:cs="Arial" w:eastAsia="Arial" w:hAnsi="Arial"/>
          <w:sz w:val="19"/>
          <w:szCs w:val="19"/>
          <w:color w:val="auto"/>
        </w:rPr>
        <w:t>The Board is responsible for providing oversight of the Company’s Executive Officers’ responsibilities to assess and manage the Company’s risk, including its credit risk, liquidity risk, reputational risk and risk from adverse fluctuations in foreign exchange and interest rates and commodity prices. The Board periodically meets in person with the Executive Officers regarding the Company’s risks and ways to mitigate such risks. In addition, the Audit Committee periodically reviews with management, internal audit and independent auditors the adequacy and effectiveness of the Company’s policies for assessing and managing risk.</w:t>
      </w:r>
    </w:p>
    <w:p>
      <w:pPr>
        <w:spacing w:after="0" w:line="153" w:lineRule="exact"/>
        <w:rPr>
          <w:sz w:val="20"/>
          <w:szCs w:val="20"/>
          <w:color w:val="auto"/>
        </w:rPr>
      </w:pPr>
    </w:p>
    <w:p>
      <w:pPr>
        <w:jc w:val="both"/>
        <w:ind w:firstLine="595"/>
        <w:spacing w:after="0" w:line="255" w:lineRule="auto"/>
        <w:rPr>
          <w:sz w:val="20"/>
          <w:szCs w:val="20"/>
          <w:color w:val="auto"/>
        </w:rPr>
      </w:pPr>
      <w:r>
        <w:rPr>
          <w:rFonts w:ascii="Arial" w:cs="Arial" w:eastAsia="Arial" w:hAnsi="Arial"/>
          <w:sz w:val="19"/>
          <w:szCs w:val="19"/>
          <w:b w:val="1"/>
          <w:bCs w:val="1"/>
          <w:color w:val="auto"/>
        </w:rPr>
        <w:t xml:space="preserve">Director Stock Ownership, Anti-Pledging and Anti-Hedging. </w:t>
      </w:r>
      <w:r>
        <w:rPr>
          <w:rFonts w:ascii="Arial" w:cs="Arial" w:eastAsia="Arial" w:hAnsi="Arial"/>
          <w:sz w:val="19"/>
          <w:szCs w:val="19"/>
          <w:color w:val="auto"/>
        </w:rPr>
        <w:t>Under the Company’s Corporate Governance Guidelines, after five</w:t>
      </w:r>
      <w:r>
        <w:rPr>
          <w:rFonts w:ascii="Arial" w:cs="Arial" w:eastAsia="Arial" w:hAnsi="Arial"/>
          <w:sz w:val="19"/>
          <w:szCs w:val="19"/>
          <w:b w:val="1"/>
          <w:bCs w:val="1"/>
          <w:color w:val="auto"/>
        </w:rPr>
        <w:t xml:space="preserve"> </w:t>
      </w:r>
      <w:r>
        <w:rPr>
          <w:rFonts w:ascii="Arial" w:cs="Arial" w:eastAsia="Arial" w:hAnsi="Arial"/>
          <w:sz w:val="19"/>
          <w:szCs w:val="19"/>
          <w:color w:val="auto"/>
        </w:rPr>
        <w:t>years of service on the Board, independent Directors are expected to own Company Common Stock having a market value of at least five times the cash base annual Director’s fee. As of March 3, 2020, each Director with five or more years of service on the Board owned the required minimum level of Common Stock. The Company’s Corporate Governance Guidelines prohibit Directors, Officers and other insiders from all forms of pledging or hedging transactions relating to Company Common Stock.</w:t>
      </w:r>
    </w:p>
    <w:p>
      <w:pPr>
        <w:spacing w:after="0" w:line="154" w:lineRule="exact"/>
        <w:rPr>
          <w:sz w:val="20"/>
          <w:szCs w:val="20"/>
          <w:color w:val="auto"/>
        </w:rPr>
      </w:pPr>
    </w:p>
    <w:p>
      <w:pPr>
        <w:jc w:val="both"/>
        <w:ind w:firstLine="595"/>
        <w:spacing w:after="0" w:line="239" w:lineRule="auto"/>
        <w:rPr>
          <w:sz w:val="20"/>
          <w:szCs w:val="20"/>
          <w:color w:val="auto"/>
        </w:rPr>
      </w:pPr>
      <w:r>
        <w:rPr>
          <w:rFonts w:ascii="Arial" w:cs="Arial" w:eastAsia="Arial" w:hAnsi="Arial"/>
          <w:sz w:val="20"/>
          <w:szCs w:val="20"/>
          <w:b w:val="1"/>
          <w:bCs w:val="1"/>
          <w:color w:val="auto"/>
        </w:rPr>
        <w:t xml:space="preserve">Board Committees. </w:t>
      </w:r>
      <w:r>
        <w:rPr>
          <w:rFonts w:ascii="Arial" w:cs="Arial" w:eastAsia="Arial" w:hAnsi="Arial"/>
          <w:sz w:val="20"/>
          <w:szCs w:val="20"/>
          <w:color w:val="auto"/>
        </w:rPr>
        <w:t>The Board has an Audit Committee, a Compensation Committee, a Nominating and Corporate Governance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Committee and an Executive Committee. The Board has approved written charters for the Audit Committee, Compensation Committee and Nominating and Corporate Governance Committee that can be found at </w:t>
      </w:r>
      <w:r>
        <w:rPr>
          <w:rFonts w:ascii="Arial" w:cs="Arial" w:eastAsia="Arial" w:hAnsi="Arial"/>
          <w:sz w:val="20"/>
          <w:szCs w:val="20"/>
          <w:b w:val="1"/>
          <w:bCs w:val="1"/>
          <w:u w:val="single" w:color="auto"/>
          <w:color w:val="29650B"/>
        </w:rPr>
        <w:t>https://www.crowncork.com/investors/corporate-governance</w:t>
      </w:r>
      <w:r>
        <w:rPr>
          <w:rFonts w:ascii="Arial" w:cs="Arial" w:eastAsia="Arial" w:hAnsi="Arial"/>
          <w:sz w:val="20"/>
          <w:szCs w:val="20"/>
          <w:color w:val="auto"/>
        </w:rPr>
        <w:t>. Each of the Audit Committee, Compensation Committee and Nominating and Corporate Governance Committee conducts a self-evaluation and review of its charter annually.</w:t>
      </w:r>
    </w:p>
    <w:p>
      <w:pPr>
        <w:spacing w:after="0" w:line="176" w:lineRule="exact"/>
        <w:rPr>
          <w:sz w:val="20"/>
          <w:szCs w:val="20"/>
          <w:color w:val="auto"/>
        </w:rPr>
      </w:pPr>
    </w:p>
    <w:p>
      <w:pPr>
        <w:jc w:val="both"/>
        <w:ind w:firstLine="595"/>
        <w:spacing w:after="0" w:line="269" w:lineRule="auto"/>
        <w:rPr>
          <w:sz w:val="20"/>
          <w:szCs w:val="20"/>
          <w:color w:val="auto"/>
        </w:rPr>
      </w:pPr>
      <w:r>
        <w:rPr>
          <w:rFonts w:ascii="Arial" w:cs="Arial" w:eastAsia="Arial" w:hAnsi="Arial"/>
          <w:sz w:val="18"/>
          <w:szCs w:val="18"/>
          <w:b w:val="1"/>
          <w:bCs w:val="1"/>
          <w:i w:val="1"/>
          <w:iCs w:val="1"/>
          <w:color w:val="auto"/>
        </w:rPr>
        <w:t xml:space="preserve">Audit Committee. </w:t>
      </w:r>
      <w:r>
        <w:rPr>
          <w:rFonts w:ascii="Arial" w:cs="Arial" w:eastAsia="Arial" w:hAnsi="Arial"/>
          <w:sz w:val="18"/>
          <w:szCs w:val="18"/>
          <w:color w:val="auto"/>
        </w:rPr>
        <w:t>In 2019, the Audit Committee had eleven meetings. The Audit Committee provides assistance to the Board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discharging its responsibilities in connection with the oversight of the financial accounting practices and internal controls of the Company and represents the Board in connection with the services rendered by the Company’s independent auditors. The current members of the Audit Committee are Ms. Funk, Ms. Lee and Messrs. Müller, Sweitzer and Urkiel. Mr. Sweitzer serves as Chair of the Audit Committee. The Board has determined that the Directors who serve on the Audit Committee are all independent under the listing standards of the NYSE and that Messrs. Sweitzer and Urkiel and Ms. Funk are “audit committee financial experts” within the meaning of SEC regulations.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28</w:t>
      </w:r>
    </w:p>
    <w:p>
      <w:pPr>
        <w:sectPr>
          <w:pgSz w:w="11900" w:h="16838" w:orient="portrait"/>
          <w:cols w:equalWidth="0" w:num="1">
            <w:col w:w="11240"/>
          </w:cols>
          <w:pgMar w:left="320" w:top="716" w:right="339" w:bottom="1440" w:gutter="0" w:footer="0" w:header="0"/>
        </w:sectPr>
      </w:pPr>
    </w:p>
    <w:bookmarkStart w:id="32" w:name="page33"/>
    <w:bookmarkEnd w:id="32"/>
    <w:p>
      <w:pPr>
        <w:jc w:val="both"/>
        <w:ind w:firstLine="595"/>
        <w:spacing w:after="0" w:line="238" w:lineRule="auto"/>
        <w:rPr>
          <w:sz w:val="20"/>
          <w:szCs w:val="20"/>
          <w:color w:val="auto"/>
        </w:rPr>
      </w:pPr>
      <w:r>
        <w:rPr>
          <w:rFonts w:ascii="Arial" w:cs="Arial" w:eastAsia="Arial" w:hAnsi="Arial"/>
          <w:sz w:val="20"/>
          <w:szCs w:val="20"/>
          <w:b w:val="1"/>
          <w:bCs w:val="1"/>
          <w:i w:val="1"/>
          <w:iCs w:val="1"/>
          <w:color w:val="auto"/>
        </w:rPr>
        <w:t xml:space="preserve">Compensation Committee. </w:t>
      </w:r>
      <w:r>
        <w:rPr>
          <w:rFonts w:ascii="Arial" w:cs="Arial" w:eastAsia="Arial" w:hAnsi="Arial"/>
          <w:sz w:val="20"/>
          <w:szCs w:val="20"/>
          <w:color w:val="auto"/>
        </w:rPr>
        <w:t>In 2019, the Compensation Committee had two meetings. The Compensation Committee is responsible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for the review of the executive compensation program. The current members of the Compensation Committee are Messrs. Hagge, Miller, Müller and Turner and Ms. Funk, each of whom is independent under the listing standards of the NYSE. Mr. Turner serves as Chair of the Compensation Committee. For further discussion regarding the Compensation Committee’s processes and procedures for the consideration of executive compensation, see the CD&amp;A beginning on page 31.</w:t>
      </w:r>
    </w:p>
    <w:p>
      <w:pPr>
        <w:spacing w:after="0" w:line="174" w:lineRule="exact"/>
        <w:rPr>
          <w:sz w:val="20"/>
          <w:szCs w:val="20"/>
          <w:color w:val="auto"/>
        </w:rPr>
      </w:pPr>
    </w:p>
    <w:p>
      <w:pPr>
        <w:jc w:val="both"/>
        <w:ind w:firstLine="595"/>
        <w:spacing w:after="0" w:line="250" w:lineRule="auto"/>
        <w:rPr>
          <w:sz w:val="20"/>
          <w:szCs w:val="20"/>
          <w:color w:val="auto"/>
        </w:rPr>
      </w:pPr>
      <w:r>
        <w:rPr>
          <w:rFonts w:ascii="Arial" w:cs="Arial" w:eastAsia="Arial" w:hAnsi="Arial"/>
          <w:sz w:val="19"/>
          <w:szCs w:val="19"/>
          <w:b w:val="1"/>
          <w:bCs w:val="1"/>
          <w:i w:val="1"/>
          <w:iCs w:val="1"/>
          <w:color w:val="auto"/>
        </w:rPr>
        <w:t xml:space="preserve">Nominating and Corporate Governance Committee. </w:t>
      </w:r>
      <w:r>
        <w:rPr>
          <w:rFonts w:ascii="Arial" w:cs="Arial" w:eastAsia="Arial" w:hAnsi="Arial"/>
          <w:sz w:val="19"/>
          <w:szCs w:val="19"/>
          <w:color w:val="auto"/>
        </w:rPr>
        <w:t>There were three meetings of the Nominating and Corporate Governance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Committee in 2019. The Nominating and Corporate Governance Committee is responsible for leading the search for individuals qualified to become members of the Board and recommending to the Board individuals as Director nominees. The Committee also oversees the annual self-evaluation process of the Board and its committees, makes recommendations to the Board regarding the membership of the Board committees and performs other corporate governance functions, such as oversight of the Company’s environmental, social and governance policies, programs and practices. The current members of the Nominating and Corporate Governance Committee are Messrs. Miller, Sweitzer, Turner and Urkiel and Ms. Lee, each of whom is independent under the listing standards of the NYSE. Mr. Miller serves as Chair of the Nominating and Corporate Governance Committee.</w:t>
      </w:r>
    </w:p>
    <w:p>
      <w:pPr>
        <w:spacing w:after="0" w:line="164" w:lineRule="exact"/>
        <w:rPr>
          <w:sz w:val="20"/>
          <w:szCs w:val="20"/>
          <w:color w:val="auto"/>
        </w:rPr>
      </w:pPr>
    </w:p>
    <w:p>
      <w:pPr>
        <w:jc w:val="both"/>
        <w:ind w:firstLine="595"/>
        <w:spacing w:after="0" w:line="262" w:lineRule="auto"/>
        <w:rPr>
          <w:sz w:val="20"/>
          <w:szCs w:val="20"/>
          <w:color w:val="auto"/>
        </w:rPr>
      </w:pPr>
      <w:r>
        <w:rPr>
          <w:rFonts w:ascii="Arial" w:cs="Arial" w:eastAsia="Arial" w:hAnsi="Arial"/>
          <w:sz w:val="18"/>
          <w:szCs w:val="18"/>
          <w:color w:val="auto"/>
        </w:rPr>
        <w:t>Consistent with the Company’s Corporate Governance Guidelines, the Nominating and Corporate Governance Committee seeks Director nominees committed to upholding the highest standards of personal and professional integrity and representing the interests of all Shareholders, not particular Shareholder constituencies. The Committee identifies nominees for Director by first evaluating the current members of the Board willing to continue in service. In addition, the Committee regularly assesses the appropriate size of the Board, whether any vacancies on the Board are expected because of retirement or otherwise and whether the Board needs Directors with particular skills or experience. To identify and evaluate potential candidates for the Board, the Committee solicits ideas for possible nominees from a number of sources, which may include current Board members, senior-level Company executives and professional search firms. The Committee will also consider candidates properly submitted by Company Shareholders. Candidates for the Board are evaluated through a process that may include background and reference checks, personal interviews with members of the Committee and a review of each candidate’s qualifications and other relevant characteristics. The same identifying and evaluating procedures apply to all candidates for Director, whether submitted by Shareholders or otherwise. The Nominating and Corporate Governance Committee and the Board desire to maintain the Board’s diversity and consider factors such as race, gender, nationality and ethnicity, as well as professional backgrounds and geographic and industry experiences. The Committee does not intend to nominate representational Directors but instead considers diversity given the characteristics of the Board in its entirety.</w:t>
      </w:r>
    </w:p>
    <w:p>
      <w:pPr>
        <w:spacing w:after="0" w:line="185" w:lineRule="exact"/>
        <w:rPr>
          <w:sz w:val="20"/>
          <w:szCs w:val="20"/>
          <w:color w:val="auto"/>
        </w:rPr>
      </w:pPr>
    </w:p>
    <w:p>
      <w:pPr>
        <w:jc w:val="both"/>
        <w:ind w:firstLine="595"/>
        <w:spacing w:after="0" w:line="257" w:lineRule="auto"/>
        <w:rPr>
          <w:sz w:val="20"/>
          <w:szCs w:val="20"/>
          <w:color w:val="auto"/>
        </w:rPr>
      </w:pPr>
      <w:r>
        <w:rPr>
          <w:rFonts w:ascii="Arial" w:cs="Arial" w:eastAsia="Arial" w:hAnsi="Arial"/>
          <w:sz w:val="19"/>
          <w:szCs w:val="19"/>
          <w:color w:val="auto"/>
        </w:rPr>
        <w:t>The Company is committed to thoughtful board refreshment and ongoing board succession planning. Five new independent directors recently have been added to the Company’s Board of Directors: Ms. Lee in 2016, Ms. Funk in 2017, and Messrs. Fearon, Hagge and Owens in 2019. During the refreshment process, the Nominating &amp; Corporate Governance Committee was assisted by an independent search firm and interviewed candidates identified through Director, Shareholder and independent search firm input.</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29</w:t>
      </w:r>
    </w:p>
    <w:p>
      <w:pPr>
        <w:sectPr>
          <w:pgSz w:w="11900" w:h="16838" w:orient="portrait"/>
          <w:cols w:equalWidth="0" w:num="1">
            <w:col w:w="11240"/>
          </w:cols>
          <w:pgMar w:left="320" w:top="443" w:right="339" w:bottom="1440" w:gutter="0" w:footer="0" w:header="0"/>
        </w:sectPr>
      </w:pPr>
    </w:p>
    <w:bookmarkStart w:id="33" w:name="page34"/>
    <w:bookmarkEnd w:id="33"/>
    <w:p>
      <w:pPr>
        <w:jc w:val="both"/>
        <w:ind w:firstLine="595"/>
        <w:spacing w:after="0" w:line="237" w:lineRule="auto"/>
        <w:rPr>
          <w:sz w:val="20"/>
          <w:szCs w:val="20"/>
          <w:color w:val="auto"/>
        </w:rPr>
      </w:pPr>
      <w:r>
        <w:rPr>
          <w:rFonts w:ascii="Arial" w:cs="Arial" w:eastAsia="Arial" w:hAnsi="Arial"/>
          <w:sz w:val="20"/>
          <w:szCs w:val="20"/>
          <w:color w:val="auto"/>
        </w:rPr>
        <w:t>Shareholders who wish to suggest qualified candidates may write, via Certified Mail – Return Receipt Requested, to the Office of the Corporate Secretary, Crown Holdings, Inc., 770 Township Line Road, Yardley, PA 19067 stating in detail the qualifications of the persons they recommend. Shareholders must include a letter from each person recommended affirming that he or she agrees to serve as a Director of the Company if elected by Shareholders. However, through its own resources, the Committee expects to be able to identify an ample number of qualified candidates. See “Questions and Answers about the 2020 Annual Meeting” for information on bringing nominations for the Board of Directors at the 2021 Annual Meeting.</w:t>
      </w:r>
    </w:p>
    <w:p>
      <w:pPr>
        <w:spacing w:after="0" w:line="169" w:lineRule="exact"/>
        <w:rPr>
          <w:sz w:val="20"/>
          <w:szCs w:val="20"/>
          <w:color w:val="auto"/>
        </w:rPr>
      </w:pPr>
    </w:p>
    <w:p>
      <w:pPr>
        <w:jc w:val="both"/>
        <w:ind w:firstLine="595"/>
        <w:spacing w:after="0" w:line="246" w:lineRule="auto"/>
        <w:rPr>
          <w:sz w:val="20"/>
          <w:szCs w:val="20"/>
          <w:color w:val="auto"/>
        </w:rPr>
      </w:pPr>
      <w:r>
        <w:rPr>
          <w:rFonts w:ascii="Arial" w:cs="Arial" w:eastAsia="Arial" w:hAnsi="Arial"/>
          <w:sz w:val="20"/>
          <w:szCs w:val="20"/>
          <w:b w:val="1"/>
          <w:bCs w:val="1"/>
          <w:color w:val="auto"/>
        </w:rPr>
        <w:t xml:space="preserve">Executive Sessions of the Board. </w:t>
      </w:r>
      <w:r>
        <w:rPr>
          <w:rFonts w:ascii="Arial" w:cs="Arial" w:eastAsia="Arial" w:hAnsi="Arial"/>
          <w:sz w:val="20"/>
          <w:szCs w:val="20"/>
          <w:color w:val="auto"/>
        </w:rPr>
        <w:t>Pursuant to the Company’s Corporate Governance Guidelines, the independent Directors of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meet periodically at regularly scheduled executive sessions without management. The Independent Lead Director chairs such meetings.</w:t>
      </w:r>
    </w:p>
    <w:p>
      <w:pPr>
        <w:spacing w:after="0" w:line="161" w:lineRule="exact"/>
        <w:rPr>
          <w:sz w:val="20"/>
          <w:szCs w:val="20"/>
          <w:color w:val="auto"/>
        </w:rPr>
      </w:pPr>
    </w:p>
    <w:p>
      <w:pPr>
        <w:jc w:val="both"/>
        <w:ind w:firstLine="595"/>
        <w:spacing w:after="0" w:line="242" w:lineRule="auto"/>
        <w:rPr>
          <w:sz w:val="20"/>
          <w:szCs w:val="20"/>
          <w:color w:val="auto"/>
        </w:rPr>
      </w:pPr>
      <w:r>
        <w:rPr>
          <w:rFonts w:ascii="Arial" w:cs="Arial" w:eastAsia="Arial" w:hAnsi="Arial"/>
          <w:sz w:val="20"/>
          <w:szCs w:val="20"/>
          <w:b w:val="1"/>
          <w:bCs w:val="1"/>
          <w:color w:val="auto"/>
        </w:rPr>
        <w:t xml:space="preserve">Proxy Access. </w:t>
      </w:r>
      <w:r>
        <w:rPr>
          <w:rFonts w:ascii="Arial" w:cs="Arial" w:eastAsia="Arial" w:hAnsi="Arial"/>
          <w:sz w:val="20"/>
          <w:szCs w:val="20"/>
          <w:color w:val="auto"/>
        </w:rPr>
        <w:t>The Company’s proxy access By-Law permits Shareholders owning 3% or more of the Company’s Common Stock for</w:t>
      </w:r>
      <w:r>
        <w:rPr>
          <w:rFonts w:ascii="Arial" w:cs="Arial" w:eastAsia="Arial" w:hAnsi="Arial"/>
          <w:sz w:val="20"/>
          <w:szCs w:val="20"/>
          <w:b w:val="1"/>
          <w:bCs w:val="1"/>
          <w:color w:val="auto"/>
        </w:rPr>
        <w:t xml:space="preserve"> </w:t>
      </w:r>
      <w:r>
        <w:rPr>
          <w:rFonts w:ascii="Arial" w:cs="Arial" w:eastAsia="Arial" w:hAnsi="Arial"/>
          <w:sz w:val="20"/>
          <w:szCs w:val="20"/>
          <w:color w:val="auto"/>
        </w:rPr>
        <w:t>a period of at least three years to nominate up to the greater of 20% of the Board of Directors or two Directors and include these nominations in the Company’s proxy materials. The number of Shareholders who may aggregate their shares to meet the 3% ownership threshold is limited to 20.</w:t>
      </w:r>
    </w:p>
    <w:p>
      <w:pPr>
        <w:spacing w:after="0" w:line="164" w:lineRule="exact"/>
        <w:rPr>
          <w:sz w:val="20"/>
          <w:szCs w:val="20"/>
          <w:color w:val="auto"/>
        </w:rPr>
      </w:pPr>
    </w:p>
    <w:p>
      <w:pPr>
        <w:jc w:val="both"/>
        <w:ind w:firstLine="595"/>
        <w:spacing w:after="0" w:line="242" w:lineRule="auto"/>
        <w:rPr>
          <w:sz w:val="20"/>
          <w:szCs w:val="20"/>
          <w:color w:val="auto"/>
        </w:rPr>
      </w:pPr>
      <w:r>
        <w:rPr>
          <w:rFonts w:ascii="Arial" w:cs="Arial" w:eastAsia="Arial" w:hAnsi="Arial"/>
          <w:sz w:val="20"/>
          <w:szCs w:val="20"/>
          <w:b w:val="1"/>
          <w:bCs w:val="1"/>
          <w:color w:val="auto"/>
        </w:rPr>
        <w:t xml:space="preserve">Code of Business Conduct and Ethics. </w:t>
      </w:r>
      <w:r>
        <w:rPr>
          <w:rFonts w:ascii="Arial" w:cs="Arial" w:eastAsia="Arial" w:hAnsi="Arial"/>
          <w:sz w:val="20"/>
          <w:szCs w:val="20"/>
          <w:color w:val="auto"/>
        </w:rPr>
        <w:t>The Company has a Code of Business Conduct and Ethics that applies to all Directors and</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employees. The Code of Business Conduct and Ethics is available on the Company’s website at </w:t>
      </w:r>
      <w:r>
        <w:rPr>
          <w:rFonts w:ascii="Arial" w:cs="Arial" w:eastAsia="Arial" w:hAnsi="Arial"/>
          <w:sz w:val="20"/>
          <w:szCs w:val="20"/>
          <w:b w:val="1"/>
          <w:bCs w:val="1"/>
          <w:u w:val="single" w:color="auto"/>
          <w:color w:val="29650B"/>
        </w:rPr>
        <w:t>https://www.crowncork.com/investors/corporate-governance/code-business-conduct-and-ethics</w:t>
      </w:r>
      <w:r>
        <w:rPr>
          <w:rFonts w:ascii="Arial" w:cs="Arial" w:eastAsia="Arial" w:hAnsi="Arial"/>
          <w:sz w:val="20"/>
          <w:szCs w:val="20"/>
          <w:color w:val="000000"/>
        </w:rPr>
        <w:t>. The Company intends to disclose</w:t>
      </w:r>
      <w:r>
        <w:rPr>
          <w:rFonts w:ascii="Arial" w:cs="Arial" w:eastAsia="Arial" w:hAnsi="Arial"/>
          <w:sz w:val="20"/>
          <w:szCs w:val="20"/>
          <w:b w:val="1"/>
          <w:bCs w:val="1"/>
          <w:color w:val="29650B"/>
        </w:rPr>
        <w:t xml:space="preserve"> </w:t>
      </w:r>
      <w:r>
        <w:rPr>
          <w:rFonts w:ascii="Arial" w:cs="Arial" w:eastAsia="Arial" w:hAnsi="Arial"/>
          <w:sz w:val="20"/>
          <w:szCs w:val="20"/>
          <w:color w:val="000000"/>
        </w:rPr>
        <w:t>updates to, and waivers of, the Code of Business Conduct and Ethics on the Company’s website.</w:t>
      </w:r>
    </w:p>
    <w:p>
      <w:pPr>
        <w:spacing w:after="0" w:line="164" w:lineRule="exact"/>
        <w:rPr>
          <w:sz w:val="20"/>
          <w:szCs w:val="20"/>
          <w:color w:val="auto"/>
        </w:rPr>
      </w:pPr>
    </w:p>
    <w:p>
      <w:pPr>
        <w:ind w:left="600"/>
        <w:spacing w:after="0"/>
        <w:rPr>
          <w:sz w:val="20"/>
          <w:szCs w:val="20"/>
          <w:color w:val="auto"/>
        </w:rPr>
      </w:pPr>
      <w:r>
        <w:rPr>
          <w:rFonts w:ascii="Arial" w:cs="Arial" w:eastAsia="Arial" w:hAnsi="Arial"/>
          <w:sz w:val="19"/>
          <w:szCs w:val="19"/>
          <w:b w:val="1"/>
          <w:bCs w:val="1"/>
          <w:color w:val="auto"/>
        </w:rPr>
        <w:t xml:space="preserve">Sustainability. </w:t>
      </w:r>
      <w:r>
        <w:rPr>
          <w:rFonts w:ascii="Arial" w:cs="Arial" w:eastAsia="Arial" w:hAnsi="Arial"/>
          <w:sz w:val="19"/>
          <w:szCs w:val="19"/>
          <w:color w:val="auto"/>
        </w:rPr>
        <w:t>See “Sustainability – Environmental and Social Responsibility” on page 5 in the Proxy Statement Summary.</w:t>
      </w:r>
    </w:p>
    <w:p>
      <w:pPr>
        <w:spacing w:after="0" w:line="203" w:lineRule="exact"/>
        <w:rPr>
          <w:sz w:val="20"/>
          <w:szCs w:val="20"/>
          <w:color w:val="auto"/>
        </w:rPr>
      </w:pPr>
    </w:p>
    <w:p>
      <w:pPr>
        <w:jc w:val="both"/>
        <w:ind w:firstLine="595"/>
        <w:spacing w:after="0" w:line="242" w:lineRule="auto"/>
        <w:rPr>
          <w:sz w:val="20"/>
          <w:szCs w:val="20"/>
          <w:color w:val="auto"/>
        </w:rPr>
      </w:pPr>
      <w:r>
        <w:rPr>
          <w:rFonts w:ascii="Arial" w:cs="Arial" w:eastAsia="Arial" w:hAnsi="Arial"/>
          <w:sz w:val="20"/>
          <w:szCs w:val="20"/>
          <w:b w:val="1"/>
          <w:bCs w:val="1"/>
          <w:color w:val="auto"/>
        </w:rPr>
        <w:t xml:space="preserve">Transactions with Related Persons. </w:t>
      </w:r>
      <w:r>
        <w:rPr>
          <w:rFonts w:ascii="Arial" w:cs="Arial" w:eastAsia="Arial" w:hAnsi="Arial"/>
          <w:sz w:val="20"/>
          <w:szCs w:val="20"/>
          <w:color w:val="auto"/>
        </w:rPr>
        <w:t>The Nominating and Corporate Governance Committee is charged with reviewing and</w:t>
      </w:r>
      <w:r>
        <w:rPr>
          <w:rFonts w:ascii="Arial" w:cs="Arial" w:eastAsia="Arial" w:hAnsi="Arial"/>
          <w:sz w:val="20"/>
          <w:szCs w:val="20"/>
          <w:b w:val="1"/>
          <w:bCs w:val="1"/>
          <w:color w:val="auto"/>
        </w:rPr>
        <w:t xml:space="preserve"> </w:t>
      </w:r>
      <w:r>
        <w:rPr>
          <w:rFonts w:ascii="Arial" w:cs="Arial" w:eastAsia="Arial" w:hAnsi="Arial"/>
          <w:sz w:val="20"/>
          <w:szCs w:val="20"/>
          <w:color w:val="auto"/>
        </w:rPr>
        <w:t>approving or ratifying all transactions with related persons by Directors and Executive Officers required to be disclosed under Item 404(a) of Regulation S-K under the Securities Exchange Act of 1934, as amended (“Regulation S-K”). The written Company policy pertaining to related party transactions is included in the Company’s Corporate Governance Guidelines.</w:t>
      </w:r>
    </w:p>
    <w:p>
      <w:pPr>
        <w:spacing w:after="0" w:line="164" w:lineRule="exact"/>
        <w:rPr>
          <w:sz w:val="20"/>
          <w:szCs w:val="20"/>
          <w:color w:val="auto"/>
        </w:rPr>
      </w:pPr>
    </w:p>
    <w:p>
      <w:pPr>
        <w:ind w:left="600"/>
        <w:spacing w:after="0"/>
        <w:rPr>
          <w:sz w:val="20"/>
          <w:szCs w:val="20"/>
          <w:color w:val="auto"/>
        </w:rPr>
      </w:pPr>
      <w:r>
        <w:rPr>
          <w:rFonts w:ascii="Arial" w:cs="Arial" w:eastAsia="Arial" w:hAnsi="Arial"/>
          <w:sz w:val="20"/>
          <w:szCs w:val="20"/>
          <w:b w:val="1"/>
          <w:bCs w:val="1"/>
          <w:color w:val="auto"/>
        </w:rPr>
        <w:t xml:space="preserve">Shareholder Engagement. </w:t>
      </w:r>
      <w:r>
        <w:rPr>
          <w:rFonts w:ascii="Arial" w:cs="Arial" w:eastAsia="Arial" w:hAnsi="Arial"/>
          <w:sz w:val="20"/>
          <w:szCs w:val="20"/>
          <w:color w:val="auto"/>
        </w:rPr>
        <w:t>See “Shareholder Engagement” on page 4 in the Proxy Statement Summary.</w:t>
      </w:r>
    </w:p>
    <w:p>
      <w:pPr>
        <w:spacing w:after="0" w:line="192" w:lineRule="exact"/>
        <w:rPr>
          <w:sz w:val="20"/>
          <w:szCs w:val="20"/>
          <w:color w:val="auto"/>
        </w:rPr>
      </w:pPr>
    </w:p>
    <w:p>
      <w:pPr>
        <w:jc w:val="both"/>
        <w:ind w:firstLine="595"/>
        <w:spacing w:after="0" w:line="255" w:lineRule="auto"/>
        <w:rPr>
          <w:sz w:val="20"/>
          <w:szCs w:val="20"/>
          <w:color w:val="auto"/>
        </w:rPr>
      </w:pPr>
      <w:r>
        <w:rPr>
          <w:rFonts w:ascii="Arial" w:cs="Arial" w:eastAsia="Arial" w:hAnsi="Arial"/>
          <w:sz w:val="19"/>
          <w:szCs w:val="19"/>
          <w:b w:val="1"/>
          <w:bCs w:val="1"/>
          <w:color w:val="auto"/>
        </w:rPr>
        <w:t xml:space="preserve">Communications with the Board of Directors. </w:t>
      </w:r>
      <w:r>
        <w:rPr>
          <w:rFonts w:ascii="Arial" w:cs="Arial" w:eastAsia="Arial" w:hAnsi="Arial"/>
          <w:sz w:val="19"/>
          <w:szCs w:val="19"/>
          <w:color w:val="auto"/>
        </w:rPr>
        <w:t>Shareholders and other interested parties who wish to send communications on any</w:t>
      </w:r>
      <w:r>
        <w:rPr>
          <w:rFonts w:ascii="Arial" w:cs="Arial" w:eastAsia="Arial" w:hAnsi="Arial"/>
          <w:sz w:val="19"/>
          <w:szCs w:val="19"/>
          <w:b w:val="1"/>
          <w:bCs w:val="1"/>
          <w:color w:val="auto"/>
        </w:rPr>
        <w:t xml:space="preserve"> </w:t>
      </w:r>
      <w:r>
        <w:rPr>
          <w:rFonts w:ascii="Arial" w:cs="Arial" w:eastAsia="Arial" w:hAnsi="Arial"/>
          <w:sz w:val="19"/>
          <w:szCs w:val="19"/>
          <w:color w:val="auto"/>
        </w:rPr>
        <w:t>topic to the Chairman, the Independent Lead Director, the independent Directors or the Board as a whole may do so by writing c/o Office of the Corporate Secretary, Crown Holdings, Inc., 770 Township Line Road, Yardley, PA 19067. Communications will be forwarded to the Directors if they relate to substantive matters and include information, suggestions or comments that the Chairman or Independent Lead Director, with the assistance of the Corporate Secretary, deems appropriate for consideration by the Directors.</w:t>
      </w:r>
    </w:p>
    <w:p>
      <w:pPr>
        <w:spacing w:after="0" w:line="154" w:lineRule="exact"/>
        <w:rPr>
          <w:sz w:val="20"/>
          <w:szCs w:val="20"/>
          <w:color w:val="auto"/>
        </w:rPr>
      </w:pPr>
    </w:p>
    <w:p>
      <w:pPr>
        <w:jc w:val="both"/>
        <w:ind w:firstLine="595"/>
        <w:spacing w:after="0" w:line="246" w:lineRule="auto"/>
        <w:rPr>
          <w:sz w:val="20"/>
          <w:szCs w:val="20"/>
          <w:color w:val="auto"/>
        </w:rPr>
      </w:pPr>
      <w:r>
        <w:rPr>
          <w:rFonts w:ascii="Arial" w:cs="Arial" w:eastAsia="Arial" w:hAnsi="Arial"/>
          <w:sz w:val="20"/>
          <w:szCs w:val="20"/>
          <w:b w:val="1"/>
          <w:bCs w:val="1"/>
          <w:color w:val="auto"/>
        </w:rPr>
        <w:t xml:space="preserve">Company Website. </w:t>
      </w:r>
      <w:r>
        <w:rPr>
          <w:rFonts w:ascii="Arial" w:cs="Arial" w:eastAsia="Arial" w:hAnsi="Arial"/>
          <w:sz w:val="20"/>
          <w:szCs w:val="20"/>
          <w:color w:val="auto"/>
        </w:rPr>
        <w:t>The Company’s Corporate Governance Guidelines and the Charters of the Audit, Compensation and Nominating</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and Corporate Governance Committees are available on the Company’s website at </w:t>
      </w:r>
      <w:r>
        <w:rPr>
          <w:rFonts w:ascii="Arial" w:cs="Arial" w:eastAsia="Arial" w:hAnsi="Arial"/>
          <w:sz w:val="20"/>
          <w:szCs w:val="20"/>
          <w:b w:val="1"/>
          <w:bCs w:val="1"/>
          <w:u w:val="single" w:color="auto"/>
          <w:color w:val="29650B"/>
        </w:rPr>
        <w:t>https://www.crowncork.com/investors/corporate-governance</w:t>
      </w:r>
      <w:r>
        <w:rPr>
          <w:rFonts w:ascii="Arial" w:cs="Arial" w:eastAsia="Arial" w:hAnsi="Arial"/>
          <w:sz w:val="20"/>
          <w:szCs w:val="20"/>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30</w:t>
      </w:r>
    </w:p>
    <w:p>
      <w:pPr>
        <w:sectPr>
          <w:pgSz w:w="11900" w:h="16838" w:orient="portrait"/>
          <w:cols w:equalWidth="0" w:num="1">
            <w:col w:w="11240"/>
          </w:cols>
          <w:pgMar w:left="320" w:top="443" w:right="339" w:bottom="1440" w:gutter="0" w:footer="0" w:header="0"/>
        </w:sectPr>
      </w:pPr>
    </w:p>
    <w:bookmarkStart w:id="34" w:name="page35"/>
    <w:bookmarkEnd w:id="34"/>
    <w:p>
      <w:pPr>
        <w:ind w:left="1"/>
        <w:spacing w:after="0"/>
        <w:rPr>
          <w:sz w:val="20"/>
          <w:szCs w:val="20"/>
          <w:color w:val="auto"/>
        </w:rPr>
      </w:pPr>
      <w:r>
        <w:rPr>
          <w:rFonts w:ascii="Arial" w:cs="Arial" w:eastAsia="Arial" w:hAnsi="Arial"/>
          <w:sz w:val="30"/>
          <w:szCs w:val="30"/>
          <w:b w:val="1"/>
          <w:bCs w:val="1"/>
          <w:color w:val="29650B"/>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3750" cy="317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3750" cy="3175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jc w:val="both"/>
        <w:ind w:left="1" w:firstLine="595"/>
        <w:spacing w:after="0" w:line="238" w:lineRule="auto"/>
        <w:rPr>
          <w:sz w:val="20"/>
          <w:szCs w:val="20"/>
          <w:color w:val="auto"/>
        </w:rPr>
      </w:pPr>
      <w:r>
        <w:rPr>
          <w:rFonts w:ascii="Arial" w:cs="Arial" w:eastAsia="Arial" w:hAnsi="Arial"/>
          <w:sz w:val="20"/>
          <w:szCs w:val="20"/>
          <w:color w:val="auto"/>
        </w:rPr>
        <w:t>This Compensation Discussion and Analysis (“CD&amp;A”) provides an overview of the Company’s executive compensation program together with a description of the material factors underlying the decisions that resulted in the compensation provided for 2019 to the Company’s Chief Executive Officer (“CEO”), the Company’s Chief Financial Officer and the other three Executive Officers who were the highest paid during 2019 (collectively, “Named Executive Officers” or “NEOs”). The names of the Company’s 2019 NEOs and their titles at year-end are:</w:t>
      </w:r>
    </w:p>
    <w:p>
      <w:pPr>
        <w:spacing w:after="0" w:line="292" w:lineRule="exact"/>
        <w:rPr>
          <w:sz w:val="20"/>
          <w:szCs w:val="20"/>
          <w:color w:val="auto"/>
        </w:rPr>
      </w:pPr>
    </w:p>
    <w:p>
      <w:pPr>
        <w:ind w:left="1581" w:hanging="787"/>
        <w:spacing w:after="0"/>
        <w:tabs>
          <w:tab w:leader="none" w:pos="1581" w:val="left"/>
        </w:tabs>
        <w:numPr>
          <w:ilvl w:val="0"/>
          <w:numId w:val="22"/>
        </w:numPr>
        <w:rPr>
          <w:rFonts w:ascii="Arial" w:cs="Arial" w:eastAsia="Arial" w:hAnsi="Arial"/>
          <w:sz w:val="20"/>
          <w:szCs w:val="20"/>
          <w:color w:val="auto"/>
        </w:rPr>
      </w:pPr>
      <w:r>
        <w:rPr>
          <w:rFonts w:ascii="Arial" w:cs="Arial" w:eastAsia="Arial" w:hAnsi="Arial"/>
          <w:sz w:val="20"/>
          <w:szCs w:val="20"/>
          <w:b w:val="1"/>
          <w:bCs w:val="1"/>
          <w:color w:val="auto"/>
        </w:rPr>
        <w:t xml:space="preserve">Timothy J. Donahue </w:t>
      </w:r>
      <w:r>
        <w:rPr>
          <w:rFonts w:ascii="Arial" w:cs="Arial" w:eastAsia="Arial" w:hAnsi="Arial"/>
          <w:sz w:val="20"/>
          <w:szCs w:val="20"/>
          <w:color w:val="auto"/>
        </w:rPr>
        <w:t>– President and Chief Executive Officer</w:t>
      </w:r>
    </w:p>
    <w:p>
      <w:pPr>
        <w:spacing w:after="0" w:line="154" w:lineRule="exact"/>
        <w:rPr>
          <w:rFonts w:ascii="Arial" w:cs="Arial" w:eastAsia="Arial" w:hAnsi="Arial"/>
          <w:sz w:val="20"/>
          <w:szCs w:val="20"/>
          <w:color w:val="auto"/>
        </w:rPr>
      </w:pPr>
    </w:p>
    <w:p>
      <w:pPr>
        <w:ind w:left="1581" w:hanging="787"/>
        <w:spacing w:after="0"/>
        <w:tabs>
          <w:tab w:leader="none" w:pos="1581" w:val="left"/>
        </w:tabs>
        <w:numPr>
          <w:ilvl w:val="0"/>
          <w:numId w:val="22"/>
        </w:numPr>
        <w:rPr>
          <w:rFonts w:ascii="Arial" w:cs="Arial" w:eastAsia="Arial" w:hAnsi="Arial"/>
          <w:sz w:val="20"/>
          <w:szCs w:val="20"/>
          <w:color w:val="auto"/>
        </w:rPr>
      </w:pPr>
      <w:r>
        <w:rPr>
          <w:rFonts w:ascii="Arial" w:cs="Arial" w:eastAsia="Arial" w:hAnsi="Arial"/>
          <w:sz w:val="20"/>
          <w:szCs w:val="20"/>
          <w:b w:val="1"/>
          <w:bCs w:val="1"/>
          <w:color w:val="auto"/>
        </w:rPr>
        <w:t xml:space="preserve">Thomas A. Kelly </w:t>
      </w:r>
      <w:r>
        <w:rPr>
          <w:rFonts w:ascii="Arial" w:cs="Arial" w:eastAsia="Arial" w:hAnsi="Arial"/>
          <w:sz w:val="20"/>
          <w:szCs w:val="20"/>
          <w:color w:val="auto"/>
        </w:rPr>
        <w:t>– Senior Vice President and Chief Financial Officer</w:t>
      </w:r>
    </w:p>
    <w:p>
      <w:pPr>
        <w:spacing w:after="0" w:line="154" w:lineRule="exact"/>
        <w:rPr>
          <w:rFonts w:ascii="Arial" w:cs="Arial" w:eastAsia="Arial" w:hAnsi="Arial"/>
          <w:sz w:val="20"/>
          <w:szCs w:val="20"/>
          <w:color w:val="auto"/>
        </w:rPr>
      </w:pPr>
    </w:p>
    <w:p>
      <w:pPr>
        <w:ind w:left="1581" w:hanging="787"/>
        <w:spacing w:after="0"/>
        <w:tabs>
          <w:tab w:leader="none" w:pos="1581" w:val="left"/>
        </w:tabs>
        <w:numPr>
          <w:ilvl w:val="0"/>
          <w:numId w:val="22"/>
        </w:numPr>
        <w:rPr>
          <w:rFonts w:ascii="Arial" w:cs="Arial" w:eastAsia="Arial" w:hAnsi="Arial"/>
          <w:sz w:val="20"/>
          <w:szCs w:val="20"/>
          <w:color w:val="auto"/>
        </w:rPr>
      </w:pPr>
      <w:r>
        <w:rPr>
          <w:rFonts w:ascii="Arial" w:cs="Arial" w:eastAsia="Arial" w:hAnsi="Arial"/>
          <w:sz w:val="20"/>
          <w:szCs w:val="20"/>
          <w:b w:val="1"/>
          <w:bCs w:val="1"/>
          <w:color w:val="auto"/>
        </w:rPr>
        <w:t xml:space="preserve">Gerard H. Gifford </w:t>
      </w:r>
      <w:r>
        <w:rPr>
          <w:rFonts w:ascii="Arial" w:cs="Arial" w:eastAsia="Arial" w:hAnsi="Arial"/>
          <w:sz w:val="20"/>
          <w:szCs w:val="20"/>
          <w:color w:val="auto"/>
        </w:rPr>
        <w:t>– Executive Vice President and Chief Operating Officer</w:t>
      </w:r>
    </w:p>
    <w:p>
      <w:pPr>
        <w:spacing w:after="0" w:line="154" w:lineRule="exact"/>
        <w:rPr>
          <w:rFonts w:ascii="Arial" w:cs="Arial" w:eastAsia="Arial" w:hAnsi="Arial"/>
          <w:sz w:val="20"/>
          <w:szCs w:val="20"/>
          <w:color w:val="auto"/>
        </w:rPr>
      </w:pPr>
    </w:p>
    <w:p>
      <w:pPr>
        <w:ind w:left="1581" w:hanging="787"/>
        <w:spacing w:after="0"/>
        <w:tabs>
          <w:tab w:leader="none" w:pos="1581" w:val="left"/>
        </w:tabs>
        <w:numPr>
          <w:ilvl w:val="0"/>
          <w:numId w:val="22"/>
        </w:numPr>
        <w:rPr>
          <w:rFonts w:ascii="Arial" w:cs="Arial" w:eastAsia="Arial" w:hAnsi="Arial"/>
          <w:sz w:val="20"/>
          <w:szCs w:val="20"/>
          <w:color w:val="auto"/>
        </w:rPr>
      </w:pPr>
      <w:r>
        <w:rPr>
          <w:rFonts w:ascii="Arial" w:cs="Arial" w:eastAsia="Arial" w:hAnsi="Arial"/>
          <w:sz w:val="20"/>
          <w:szCs w:val="20"/>
          <w:b w:val="1"/>
          <w:bCs w:val="1"/>
          <w:color w:val="auto"/>
        </w:rPr>
        <w:t>Djalma Novaes, Jr</w:t>
      </w:r>
      <w:r>
        <w:rPr>
          <w:rFonts w:ascii="Arial" w:cs="Arial" w:eastAsia="Arial" w:hAnsi="Arial"/>
          <w:sz w:val="20"/>
          <w:szCs w:val="20"/>
          <w:color w:val="auto"/>
        </w:rPr>
        <w:t>. – President – Americas Division</w:t>
      </w:r>
    </w:p>
    <w:p>
      <w:pPr>
        <w:spacing w:after="0" w:line="137" w:lineRule="exact"/>
        <w:rPr>
          <w:rFonts w:ascii="Arial" w:cs="Arial" w:eastAsia="Arial" w:hAnsi="Arial"/>
          <w:sz w:val="20"/>
          <w:szCs w:val="20"/>
          <w:color w:val="auto"/>
        </w:rPr>
      </w:pPr>
    </w:p>
    <w:p>
      <w:pPr>
        <w:ind w:left="1581" w:hanging="787"/>
        <w:spacing w:after="0"/>
        <w:tabs>
          <w:tab w:leader="none" w:pos="1581" w:val="left"/>
        </w:tabs>
        <w:numPr>
          <w:ilvl w:val="0"/>
          <w:numId w:val="22"/>
        </w:numPr>
        <w:rPr>
          <w:rFonts w:ascii="Arial" w:cs="Arial" w:eastAsia="Arial" w:hAnsi="Arial"/>
          <w:sz w:val="40"/>
          <w:szCs w:val="40"/>
          <w:color w:val="auto"/>
          <w:vertAlign w:val="superscript"/>
        </w:rPr>
      </w:pPr>
      <w:r>
        <w:rPr>
          <w:rFonts w:ascii="Arial" w:cs="Arial" w:eastAsia="Arial" w:hAnsi="Arial"/>
          <w:sz w:val="20"/>
          <w:szCs w:val="20"/>
          <w:b w:val="1"/>
          <w:bCs w:val="1"/>
          <w:color w:val="auto"/>
        </w:rPr>
        <w:t xml:space="preserve">Robert H. Bourque </w:t>
      </w:r>
      <w:r>
        <w:rPr>
          <w:rFonts w:ascii="Arial" w:cs="Arial" w:eastAsia="Arial" w:hAnsi="Arial"/>
          <w:sz w:val="20"/>
          <w:szCs w:val="20"/>
          <w:color w:val="auto"/>
        </w:rPr>
        <w:t>– President – Transit Packaging Division</w:t>
      </w:r>
      <w:r>
        <w:rPr>
          <w:rFonts w:ascii="Arial" w:cs="Arial" w:eastAsia="Arial" w:hAnsi="Arial"/>
          <w:sz w:val="20"/>
          <w:szCs w:val="20"/>
          <w:b w:val="1"/>
          <w:bCs w:val="1"/>
          <w:color w:val="auto"/>
        </w:rPr>
        <w:t xml:space="preserve"> </w:t>
      </w:r>
      <w:r>
        <w:rPr>
          <w:rFonts w:ascii="Arial" w:cs="Arial" w:eastAsia="Arial" w:hAnsi="Arial"/>
          <w:sz w:val="33"/>
          <w:szCs w:val="33"/>
          <w:color w:val="auto"/>
          <w:vertAlign w:val="superscript"/>
        </w:rPr>
        <w:t>1</w:t>
      </w:r>
    </w:p>
    <w:p>
      <w:pPr>
        <w:spacing w:after="0" w:line="320" w:lineRule="exact"/>
        <w:rPr>
          <w:sz w:val="20"/>
          <w:szCs w:val="20"/>
          <w:color w:val="auto"/>
        </w:rPr>
      </w:pPr>
    </w:p>
    <w:p>
      <w:pPr>
        <w:jc w:val="both"/>
        <w:ind w:left="1" w:firstLine="595"/>
        <w:spacing w:after="0"/>
        <w:rPr>
          <w:sz w:val="20"/>
          <w:szCs w:val="20"/>
          <w:color w:val="auto"/>
        </w:rPr>
      </w:pPr>
      <w:r>
        <w:rPr>
          <w:rFonts w:ascii="Arial" w:cs="Arial" w:eastAsia="Arial" w:hAnsi="Arial"/>
          <w:sz w:val="20"/>
          <w:szCs w:val="20"/>
          <w:color w:val="auto"/>
        </w:rPr>
        <w:t>The following discussion and analysis contains statements regarding individual and Company performance targets and goals. These targets and goals are disclosed in the limited context of the Company’s compensation programs and should not be understood to be statements of management’s expectations or estimates of financial results or other guidance. The Company specifically cautions investors not to apply these statements to other contexts.</w:t>
      </w:r>
    </w:p>
    <w:p>
      <w:pPr>
        <w:spacing w:after="0" w:line="190" w:lineRule="exact"/>
        <w:rPr>
          <w:sz w:val="20"/>
          <w:szCs w:val="20"/>
          <w:color w:val="auto"/>
        </w:rPr>
      </w:pPr>
    </w:p>
    <w:p>
      <w:pPr>
        <w:jc w:val="both"/>
        <w:ind w:left="1" w:firstLine="595"/>
        <w:spacing w:after="0" w:line="252" w:lineRule="auto"/>
        <w:rPr>
          <w:sz w:val="20"/>
          <w:szCs w:val="20"/>
          <w:color w:val="auto"/>
        </w:rPr>
      </w:pPr>
      <w:r>
        <w:rPr>
          <w:rFonts w:ascii="Arial" w:cs="Arial" w:eastAsia="Arial" w:hAnsi="Arial"/>
          <w:sz w:val="19"/>
          <w:szCs w:val="19"/>
          <w:b w:val="1"/>
          <w:bCs w:val="1"/>
          <w:color w:val="auto"/>
        </w:rPr>
        <w:t xml:space="preserve">2019 Say-on-Pay Vote Results. </w:t>
      </w:r>
      <w:r>
        <w:rPr>
          <w:rFonts w:ascii="Arial" w:cs="Arial" w:eastAsia="Arial" w:hAnsi="Arial"/>
          <w:sz w:val="19"/>
          <w:szCs w:val="19"/>
          <w:color w:val="auto"/>
        </w:rPr>
        <w:t>At our Annual Meeting of Shareholders held in April 2019, we held an advisory Shareholder Say-on-Pay vote on the 2018 compensation of our NEOs. Over 97% of the shares voted at last year’s Annual Meeting voted FOR our Say-on-Pay resolution, approving the compensation of our NEOs. The Board’s Compensation Committee (the “Committee”) believes the results of the Say-on-Pay vote show strong support for the performance-based and ownership-oriented compensation philosophy that the Committee utilizes. Accordingly, the Committee did not change its general approach to executive compensation in 2019. Although the advisory Shareholder vote on executive compensation is non-binding, the Committee will continue to take the outcome of this annual vote into consideration when making compensation decisions for our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303530</wp:posOffset>
            </wp:positionV>
            <wp:extent cx="1787525"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787525" cy="7620"/>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left="241" w:right="340" w:hanging="241"/>
        <w:spacing w:after="0" w:line="254" w:lineRule="auto"/>
        <w:tabs>
          <w:tab w:leader="none" w:pos="241" w:val="left"/>
        </w:tabs>
        <w:numPr>
          <w:ilvl w:val="0"/>
          <w:numId w:val="23"/>
        </w:numPr>
        <w:rPr>
          <w:rFonts w:ascii="Arial" w:cs="Arial" w:eastAsia="Arial" w:hAnsi="Arial"/>
          <w:sz w:val="17"/>
          <w:szCs w:val="17"/>
          <w:color w:val="auto"/>
        </w:rPr>
      </w:pPr>
      <w:r>
        <w:rPr>
          <w:rFonts w:ascii="Arial" w:cs="Arial" w:eastAsia="Arial" w:hAnsi="Arial"/>
          <w:sz w:val="20"/>
          <w:szCs w:val="20"/>
          <w:color w:val="auto"/>
        </w:rPr>
        <w:t>Mr. Bourque became the Company’s President – Transit Packaging Division on August 1, 2018. Prior to August 1, 2018, Mr. Bourque held the position of President – Asia Pacific Division.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31</w:t>
      </w:r>
    </w:p>
    <w:p>
      <w:pPr>
        <w:sectPr>
          <w:pgSz w:w="11900" w:h="16838" w:orient="portrait"/>
          <w:cols w:equalWidth="0" w:num="1">
            <w:col w:w="11241"/>
          </w:cols>
          <w:pgMar w:left="319" w:top="423" w:right="339" w:bottom="1440" w:gutter="0" w:footer="0" w:header="0"/>
        </w:sectPr>
      </w:pPr>
    </w:p>
    <w:bookmarkStart w:id="35" w:name="page36"/>
    <w:bookmarkEnd w:id="35"/>
    <w:p>
      <w:pPr>
        <w:jc w:val="both"/>
        <w:ind w:firstLine="595"/>
        <w:spacing w:after="0" w:line="246" w:lineRule="auto"/>
        <w:rPr>
          <w:sz w:val="20"/>
          <w:szCs w:val="20"/>
          <w:color w:val="auto"/>
        </w:rPr>
      </w:pPr>
      <w:r>
        <w:rPr>
          <w:rFonts w:ascii="Arial" w:cs="Arial" w:eastAsia="Arial" w:hAnsi="Arial"/>
          <w:sz w:val="20"/>
          <w:szCs w:val="20"/>
          <w:b w:val="1"/>
          <w:bCs w:val="1"/>
          <w:color w:val="auto"/>
        </w:rPr>
        <w:t xml:space="preserve">At-Risk Compensation. </w:t>
      </w:r>
      <w:r>
        <w:rPr>
          <w:rFonts w:ascii="Arial" w:cs="Arial" w:eastAsia="Arial" w:hAnsi="Arial"/>
          <w:sz w:val="20"/>
          <w:szCs w:val="20"/>
          <w:color w:val="auto"/>
        </w:rPr>
        <w:t>Our executive compensation program is based on our “pay-for-performance” philosophy, as outlined in the</w:t>
      </w:r>
      <w:r>
        <w:rPr>
          <w:rFonts w:ascii="Arial" w:cs="Arial" w:eastAsia="Arial" w:hAnsi="Arial"/>
          <w:sz w:val="20"/>
          <w:szCs w:val="20"/>
          <w:b w:val="1"/>
          <w:bCs w:val="1"/>
          <w:color w:val="auto"/>
        </w:rPr>
        <w:t xml:space="preserve"> </w:t>
      </w:r>
      <w:r>
        <w:rPr>
          <w:rFonts w:ascii="Arial" w:cs="Arial" w:eastAsia="Arial" w:hAnsi="Arial"/>
          <w:sz w:val="20"/>
          <w:szCs w:val="20"/>
          <w:color w:val="auto"/>
        </w:rPr>
        <w:t>following table, with the majority of our NEOs’ total direct compensation “at risk” and tied to the accomplishment of performance objectives.</w:t>
      </w:r>
    </w:p>
    <w:p>
      <w:pPr>
        <w:spacing w:after="0" w:line="290"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3400" w:type="dxa"/>
            <w:vAlign w:val="bottom"/>
            <w:tcBorders>
              <w:top w:val="single" w:sz="8" w:color="auto"/>
              <w:left w:val="single" w:sz="8" w:color="auto"/>
              <w:right w:val="single" w:sz="8" w:color="auto"/>
            </w:tcBorders>
            <w:shd w:val="clear" w:color="auto" w:fill="29650B"/>
          </w:tcPr>
          <w:p>
            <w:pPr>
              <w:spacing w:after="0"/>
              <w:rPr>
                <w:sz w:val="18"/>
                <w:szCs w:val="18"/>
                <w:color w:val="auto"/>
              </w:rPr>
            </w:pPr>
          </w:p>
        </w:tc>
        <w:tc>
          <w:tcPr>
            <w:tcW w:w="4300" w:type="dxa"/>
            <w:vAlign w:val="bottom"/>
            <w:tcBorders>
              <w:top w:val="single" w:sz="8" w:color="auto"/>
              <w:right w:val="single" w:sz="8" w:color="auto"/>
            </w:tcBorders>
            <w:shd w:val="clear" w:color="auto" w:fill="29650B"/>
          </w:tcPr>
          <w:p>
            <w:pPr>
              <w:spacing w:after="0"/>
              <w:rPr>
                <w:sz w:val="18"/>
                <w:szCs w:val="18"/>
                <w:color w:val="auto"/>
              </w:rPr>
            </w:pPr>
          </w:p>
        </w:tc>
        <w:tc>
          <w:tcPr>
            <w:tcW w:w="3560" w:type="dxa"/>
            <w:vAlign w:val="bottom"/>
            <w:tcBorders>
              <w:top w:val="single" w:sz="8" w:color="auto"/>
              <w:right w:val="single" w:sz="8" w:color="auto"/>
            </w:tcBorders>
            <w:shd w:val="clear" w:color="auto" w:fill="29650B"/>
          </w:tcPr>
          <w:p>
            <w:pPr>
              <w:ind w:left="160"/>
              <w:spacing w:after="0" w:line="210" w:lineRule="exact"/>
              <w:rPr>
                <w:sz w:val="20"/>
                <w:szCs w:val="20"/>
                <w:color w:val="auto"/>
              </w:rPr>
            </w:pPr>
            <w:r>
              <w:rPr>
                <w:rFonts w:ascii="Arial" w:cs="Arial" w:eastAsia="Arial" w:hAnsi="Arial"/>
                <w:sz w:val="20"/>
                <w:szCs w:val="20"/>
                <w:b w:val="1"/>
                <w:bCs w:val="1"/>
                <w:color w:val="FFFFFF"/>
                <w:w w:val="96"/>
              </w:rPr>
              <w:t>Alignment with Pay-for-Performance</w:t>
            </w:r>
          </w:p>
        </w:tc>
      </w:tr>
      <w:tr>
        <w:trPr>
          <w:trHeight w:val="248"/>
        </w:trPr>
        <w:tc>
          <w:tcPr>
            <w:tcW w:w="3400" w:type="dxa"/>
            <w:vAlign w:val="bottom"/>
            <w:tcBorders>
              <w:left w:val="single" w:sz="8" w:color="auto"/>
              <w:bottom w:val="single" w:sz="8" w:color="auto"/>
              <w:right w:val="single" w:sz="8" w:color="auto"/>
            </w:tcBorders>
            <w:shd w:val="clear" w:color="auto" w:fill="29650B"/>
          </w:tcPr>
          <w:p>
            <w:pPr>
              <w:ind w:left="700"/>
              <w:spacing w:after="0"/>
              <w:rPr>
                <w:sz w:val="20"/>
                <w:szCs w:val="20"/>
                <w:color w:val="auto"/>
              </w:rPr>
            </w:pPr>
            <w:r>
              <w:rPr>
                <w:rFonts w:ascii="Arial" w:cs="Arial" w:eastAsia="Arial" w:hAnsi="Arial"/>
                <w:sz w:val="20"/>
                <w:szCs w:val="20"/>
                <w:b w:val="1"/>
                <w:bCs w:val="1"/>
                <w:color w:val="FFFFFF"/>
              </w:rPr>
              <w:t>Compensation Element</w:t>
            </w:r>
          </w:p>
        </w:tc>
        <w:tc>
          <w:tcPr>
            <w:tcW w:w="4300" w:type="dxa"/>
            <w:vAlign w:val="bottom"/>
            <w:tcBorders>
              <w:bottom w:val="single" w:sz="8" w:color="auto"/>
              <w:right w:val="single" w:sz="8" w:color="auto"/>
            </w:tcBorders>
            <w:shd w:val="clear" w:color="auto" w:fill="29650B"/>
          </w:tcPr>
          <w:p>
            <w:pPr>
              <w:ind w:left="1140"/>
              <w:spacing w:after="0"/>
              <w:rPr>
                <w:sz w:val="20"/>
                <w:szCs w:val="20"/>
                <w:color w:val="auto"/>
              </w:rPr>
            </w:pPr>
            <w:r>
              <w:rPr>
                <w:rFonts w:ascii="Arial" w:cs="Arial" w:eastAsia="Arial" w:hAnsi="Arial"/>
                <w:sz w:val="20"/>
                <w:szCs w:val="20"/>
                <w:b w:val="1"/>
                <w:bCs w:val="1"/>
                <w:color w:val="FFFFFF"/>
              </w:rPr>
              <w:t>Basis for Measurement</w:t>
            </w:r>
          </w:p>
        </w:tc>
        <w:tc>
          <w:tcPr>
            <w:tcW w:w="3560" w:type="dxa"/>
            <w:vAlign w:val="bottom"/>
            <w:tcBorders>
              <w:bottom w:val="single" w:sz="8" w:color="auto"/>
              <w:right w:val="single" w:sz="8" w:color="auto"/>
            </w:tcBorders>
            <w:shd w:val="clear" w:color="auto" w:fill="29650B"/>
          </w:tcPr>
          <w:p>
            <w:pPr>
              <w:ind w:left="1280"/>
              <w:spacing w:after="0"/>
              <w:rPr>
                <w:sz w:val="20"/>
                <w:szCs w:val="20"/>
                <w:color w:val="auto"/>
              </w:rPr>
            </w:pPr>
            <w:r>
              <w:rPr>
                <w:rFonts w:ascii="Arial" w:cs="Arial" w:eastAsia="Arial" w:hAnsi="Arial"/>
                <w:sz w:val="20"/>
                <w:szCs w:val="20"/>
                <w:b w:val="1"/>
                <w:bCs w:val="1"/>
                <w:color w:val="FFFFFF"/>
              </w:rPr>
              <w:t>Philosophy</w:t>
            </w:r>
          </w:p>
        </w:tc>
      </w:tr>
      <w:tr>
        <w:trPr>
          <w:trHeight w:val="447"/>
        </w:trPr>
        <w:tc>
          <w:tcPr>
            <w:tcW w:w="3400" w:type="dxa"/>
            <w:vAlign w:val="bottom"/>
            <w:tcBorders>
              <w:left w:val="single" w:sz="8" w:color="auto"/>
              <w:right w:val="single" w:sz="8" w:color="D9D9D9"/>
            </w:tcBorders>
            <w:shd w:val="clear" w:color="auto" w:fill="D9D9D9"/>
          </w:tcPr>
          <w:p>
            <w:pPr>
              <w:ind w:left="100"/>
              <w:spacing w:after="0"/>
              <w:rPr>
                <w:sz w:val="20"/>
                <w:szCs w:val="20"/>
                <w:color w:val="auto"/>
              </w:rPr>
            </w:pPr>
            <w:r>
              <w:rPr>
                <w:rFonts w:ascii="Arial" w:cs="Arial" w:eastAsia="Arial" w:hAnsi="Arial"/>
                <w:sz w:val="20"/>
                <w:szCs w:val="20"/>
                <w:b w:val="1"/>
                <w:bCs w:val="1"/>
                <w:color w:val="auto"/>
              </w:rPr>
              <w:t>Annual Cash Compensation</w:t>
            </w:r>
          </w:p>
        </w:tc>
        <w:tc>
          <w:tcPr>
            <w:tcW w:w="4300" w:type="dxa"/>
            <w:vAlign w:val="bottom"/>
            <w:tcBorders>
              <w:right w:val="single" w:sz="8" w:color="D9D9D9"/>
            </w:tcBorders>
            <w:shd w:val="clear" w:color="auto" w:fill="D9D9D9"/>
          </w:tcPr>
          <w:p>
            <w:pPr>
              <w:spacing w:after="0"/>
              <w:rPr>
                <w:sz w:val="24"/>
                <w:szCs w:val="24"/>
                <w:color w:val="auto"/>
              </w:rPr>
            </w:pPr>
          </w:p>
        </w:tc>
        <w:tc>
          <w:tcPr>
            <w:tcW w:w="3560" w:type="dxa"/>
            <w:vAlign w:val="bottom"/>
            <w:tcBorders>
              <w:right w:val="single" w:sz="8" w:color="auto"/>
            </w:tcBorders>
            <w:shd w:val="clear" w:color="auto" w:fill="D9D9D9"/>
          </w:tcPr>
          <w:p>
            <w:pPr>
              <w:spacing w:after="0"/>
              <w:rPr>
                <w:sz w:val="24"/>
                <w:szCs w:val="24"/>
                <w:color w:val="auto"/>
              </w:rPr>
            </w:pPr>
          </w:p>
        </w:tc>
      </w:tr>
      <w:tr>
        <w:trPr>
          <w:trHeight w:val="215"/>
        </w:trPr>
        <w:tc>
          <w:tcPr>
            <w:tcW w:w="3400" w:type="dxa"/>
            <w:vAlign w:val="bottom"/>
            <w:tcBorders>
              <w:left w:val="single" w:sz="8" w:color="auto"/>
              <w:bottom w:val="single" w:sz="8" w:color="auto"/>
              <w:right w:val="single" w:sz="8" w:color="D9D9D9"/>
            </w:tcBorders>
            <w:shd w:val="clear" w:color="auto" w:fill="D9D9D9"/>
          </w:tcPr>
          <w:p>
            <w:pPr>
              <w:spacing w:after="0"/>
              <w:rPr>
                <w:sz w:val="18"/>
                <w:szCs w:val="18"/>
                <w:color w:val="auto"/>
              </w:rPr>
            </w:pPr>
          </w:p>
        </w:tc>
        <w:tc>
          <w:tcPr>
            <w:tcW w:w="4300" w:type="dxa"/>
            <w:vAlign w:val="bottom"/>
            <w:tcBorders>
              <w:bottom w:val="single" w:sz="8" w:color="auto"/>
              <w:right w:val="single" w:sz="8" w:color="D9D9D9"/>
            </w:tcBorders>
            <w:shd w:val="clear" w:color="auto" w:fill="D9D9D9"/>
          </w:tcPr>
          <w:p>
            <w:pPr>
              <w:spacing w:after="0"/>
              <w:rPr>
                <w:sz w:val="18"/>
                <w:szCs w:val="18"/>
                <w:color w:val="auto"/>
              </w:rPr>
            </w:pPr>
          </w:p>
        </w:tc>
        <w:tc>
          <w:tcPr>
            <w:tcW w:w="3560" w:type="dxa"/>
            <w:vAlign w:val="bottom"/>
            <w:tcBorders>
              <w:bottom w:val="single" w:sz="8" w:color="auto"/>
              <w:right w:val="single" w:sz="8" w:color="auto"/>
            </w:tcBorders>
            <w:shd w:val="clear" w:color="auto" w:fill="D9D9D9"/>
          </w:tcPr>
          <w:p>
            <w:pPr>
              <w:spacing w:after="0"/>
              <w:rPr>
                <w:sz w:val="18"/>
                <w:szCs w:val="18"/>
                <w:color w:val="auto"/>
              </w:rPr>
            </w:pPr>
          </w:p>
        </w:tc>
      </w:tr>
      <w:tr>
        <w:trPr>
          <w:trHeight w:val="420"/>
        </w:trPr>
        <w:tc>
          <w:tcPr>
            <w:tcW w:w="34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Base Salary</w:t>
            </w:r>
          </w:p>
        </w:tc>
        <w:tc>
          <w:tcPr>
            <w:tcW w:w="430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w w:val="99"/>
              </w:rPr>
              <w:t>Individual performance based on primary duties</w:t>
            </w:r>
          </w:p>
        </w:tc>
        <w:tc>
          <w:tcPr>
            <w:tcW w:w="35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Competitive compensation required to</w:t>
            </w:r>
          </w:p>
        </w:tc>
      </w:tr>
      <w:tr>
        <w:trPr>
          <w:trHeight w:val="223"/>
        </w:trPr>
        <w:tc>
          <w:tcPr>
            <w:tcW w:w="3400" w:type="dxa"/>
            <w:vAlign w:val="bottom"/>
            <w:tcBorders>
              <w:left w:val="single" w:sz="8" w:color="auto"/>
              <w:right w:val="single" w:sz="8" w:color="auto"/>
            </w:tcBorders>
          </w:tcPr>
          <w:p>
            <w:pPr>
              <w:spacing w:after="0"/>
              <w:rPr>
                <w:sz w:val="19"/>
                <w:szCs w:val="19"/>
                <w:color w:val="auto"/>
              </w:rPr>
            </w:pPr>
          </w:p>
        </w:tc>
        <w:tc>
          <w:tcPr>
            <w:tcW w:w="4300" w:type="dxa"/>
            <w:vAlign w:val="bottom"/>
            <w:tcBorders>
              <w:right w:val="single" w:sz="8" w:color="auto"/>
            </w:tcBorders>
          </w:tcPr>
          <w:p>
            <w:pPr>
              <w:ind w:left="80"/>
              <w:spacing w:after="0" w:line="223" w:lineRule="exact"/>
              <w:rPr>
                <w:sz w:val="20"/>
                <w:szCs w:val="20"/>
                <w:color w:val="auto"/>
              </w:rPr>
            </w:pPr>
            <w:r>
              <w:rPr>
                <w:rFonts w:ascii="Arial" w:cs="Arial" w:eastAsia="Arial" w:hAnsi="Arial"/>
                <w:sz w:val="20"/>
                <w:szCs w:val="20"/>
                <w:color w:val="auto"/>
                <w:w w:val="97"/>
              </w:rPr>
              <w:t>and responsibilities and market competitiveness.</w:t>
            </w:r>
          </w:p>
        </w:tc>
        <w:tc>
          <w:tcPr>
            <w:tcW w:w="3560" w:type="dxa"/>
            <w:vAlign w:val="bottom"/>
            <w:tcBorders>
              <w:right w:val="single" w:sz="8" w:color="auto"/>
            </w:tcBorders>
          </w:tcPr>
          <w:p>
            <w:pPr>
              <w:ind w:left="60"/>
              <w:spacing w:after="0" w:line="223" w:lineRule="exact"/>
              <w:rPr>
                <w:sz w:val="20"/>
                <w:szCs w:val="20"/>
                <w:color w:val="auto"/>
              </w:rPr>
            </w:pPr>
            <w:r>
              <w:rPr>
                <w:rFonts w:ascii="Arial" w:cs="Arial" w:eastAsia="Arial" w:hAnsi="Arial"/>
                <w:sz w:val="20"/>
                <w:szCs w:val="20"/>
                <w:color w:val="auto"/>
              </w:rPr>
              <w:t>attract and retain highly qualified</w:t>
            </w:r>
          </w:p>
        </w:tc>
      </w:tr>
      <w:tr>
        <w:trPr>
          <w:trHeight w:val="242"/>
        </w:trPr>
        <w:tc>
          <w:tcPr>
            <w:tcW w:w="3400" w:type="dxa"/>
            <w:vAlign w:val="bottom"/>
            <w:tcBorders>
              <w:left w:val="single" w:sz="8" w:color="auto"/>
              <w:bottom w:val="single" w:sz="8" w:color="auto"/>
              <w:right w:val="single" w:sz="8" w:color="auto"/>
            </w:tcBorders>
          </w:tcPr>
          <w:p>
            <w:pPr>
              <w:spacing w:after="0"/>
              <w:rPr>
                <w:sz w:val="21"/>
                <w:szCs w:val="21"/>
                <w:color w:val="auto"/>
              </w:rPr>
            </w:pPr>
          </w:p>
        </w:tc>
        <w:tc>
          <w:tcPr>
            <w:tcW w:w="4300" w:type="dxa"/>
            <w:vAlign w:val="bottom"/>
            <w:tcBorders>
              <w:bottom w:val="single" w:sz="8" w:color="auto"/>
              <w:right w:val="single" w:sz="8" w:color="auto"/>
            </w:tcBorders>
          </w:tcPr>
          <w:p>
            <w:pPr>
              <w:spacing w:after="0"/>
              <w:rPr>
                <w:sz w:val="21"/>
                <w:szCs w:val="21"/>
                <w:color w:val="auto"/>
              </w:rPr>
            </w:pPr>
          </w:p>
        </w:tc>
        <w:tc>
          <w:tcPr>
            <w:tcW w:w="35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executives.</w:t>
            </w:r>
          </w:p>
        </w:tc>
      </w:tr>
      <w:tr>
        <w:trPr>
          <w:trHeight w:val="420"/>
        </w:trPr>
        <w:tc>
          <w:tcPr>
            <w:tcW w:w="34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Annual Incentive Bonus</w:t>
            </w:r>
          </w:p>
        </w:tc>
        <w:tc>
          <w:tcPr>
            <w:tcW w:w="430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w w:val="94"/>
              </w:rPr>
              <w:t>Economic profit and modified operating cash flow.</w:t>
            </w:r>
          </w:p>
        </w:tc>
        <w:tc>
          <w:tcPr>
            <w:tcW w:w="35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Use of economic profit and modified</w:t>
            </w:r>
          </w:p>
        </w:tc>
      </w:tr>
      <w:tr>
        <w:trPr>
          <w:trHeight w:val="223"/>
        </w:trPr>
        <w:tc>
          <w:tcPr>
            <w:tcW w:w="3400" w:type="dxa"/>
            <w:vAlign w:val="bottom"/>
            <w:tcBorders>
              <w:left w:val="single" w:sz="8" w:color="auto"/>
              <w:right w:val="single" w:sz="8" w:color="auto"/>
            </w:tcBorders>
          </w:tcPr>
          <w:p>
            <w:pPr>
              <w:spacing w:after="0"/>
              <w:rPr>
                <w:sz w:val="19"/>
                <w:szCs w:val="19"/>
                <w:color w:val="auto"/>
              </w:rPr>
            </w:pPr>
          </w:p>
        </w:tc>
        <w:tc>
          <w:tcPr>
            <w:tcW w:w="4300" w:type="dxa"/>
            <w:vAlign w:val="bottom"/>
            <w:tcBorders>
              <w:right w:val="single" w:sz="8" w:color="auto"/>
            </w:tcBorders>
          </w:tcPr>
          <w:p>
            <w:pPr>
              <w:spacing w:after="0"/>
              <w:rPr>
                <w:sz w:val="19"/>
                <w:szCs w:val="19"/>
                <w:color w:val="auto"/>
              </w:rPr>
            </w:pPr>
          </w:p>
        </w:tc>
        <w:tc>
          <w:tcPr>
            <w:tcW w:w="3560" w:type="dxa"/>
            <w:vAlign w:val="bottom"/>
            <w:tcBorders>
              <w:right w:val="single" w:sz="8" w:color="auto"/>
            </w:tcBorders>
          </w:tcPr>
          <w:p>
            <w:pPr>
              <w:ind w:left="60"/>
              <w:spacing w:after="0" w:line="223" w:lineRule="exact"/>
              <w:rPr>
                <w:sz w:val="20"/>
                <w:szCs w:val="20"/>
                <w:color w:val="auto"/>
              </w:rPr>
            </w:pPr>
            <w:r>
              <w:rPr>
                <w:rFonts w:ascii="Arial" w:cs="Arial" w:eastAsia="Arial" w:hAnsi="Arial"/>
                <w:sz w:val="20"/>
                <w:szCs w:val="20"/>
                <w:color w:val="auto"/>
                <w:w w:val="98"/>
              </w:rPr>
              <w:t>operating cash flow metrics drives long-</w:t>
            </w:r>
          </w:p>
        </w:tc>
      </w:tr>
      <w:tr>
        <w:trPr>
          <w:trHeight w:val="223"/>
        </w:trPr>
        <w:tc>
          <w:tcPr>
            <w:tcW w:w="3400" w:type="dxa"/>
            <w:vAlign w:val="bottom"/>
            <w:tcBorders>
              <w:left w:val="single" w:sz="8" w:color="auto"/>
              <w:right w:val="single" w:sz="8" w:color="auto"/>
            </w:tcBorders>
          </w:tcPr>
          <w:p>
            <w:pPr>
              <w:spacing w:after="0"/>
              <w:rPr>
                <w:sz w:val="19"/>
                <w:szCs w:val="19"/>
                <w:color w:val="auto"/>
              </w:rPr>
            </w:pPr>
          </w:p>
        </w:tc>
        <w:tc>
          <w:tcPr>
            <w:tcW w:w="4300" w:type="dxa"/>
            <w:vAlign w:val="bottom"/>
            <w:tcBorders>
              <w:right w:val="single" w:sz="8" w:color="auto"/>
            </w:tcBorders>
          </w:tcPr>
          <w:p>
            <w:pPr>
              <w:spacing w:after="0"/>
              <w:rPr>
                <w:sz w:val="19"/>
                <w:szCs w:val="19"/>
                <w:color w:val="auto"/>
              </w:rPr>
            </w:pPr>
          </w:p>
        </w:tc>
        <w:tc>
          <w:tcPr>
            <w:tcW w:w="3560" w:type="dxa"/>
            <w:vAlign w:val="bottom"/>
            <w:tcBorders>
              <w:right w:val="single" w:sz="8" w:color="auto"/>
            </w:tcBorders>
          </w:tcPr>
          <w:p>
            <w:pPr>
              <w:ind w:left="60"/>
              <w:spacing w:after="0" w:line="223" w:lineRule="exact"/>
              <w:rPr>
                <w:sz w:val="20"/>
                <w:szCs w:val="20"/>
                <w:color w:val="auto"/>
              </w:rPr>
            </w:pPr>
            <w:r>
              <w:rPr>
                <w:rFonts w:ascii="Arial" w:cs="Arial" w:eastAsia="Arial" w:hAnsi="Arial"/>
                <w:sz w:val="20"/>
                <w:szCs w:val="20"/>
                <w:color w:val="auto"/>
                <w:w w:val="92"/>
              </w:rPr>
              <w:t>term operating performance and long-term</w:t>
            </w:r>
          </w:p>
        </w:tc>
      </w:tr>
      <w:tr>
        <w:trPr>
          <w:trHeight w:val="251"/>
        </w:trPr>
        <w:tc>
          <w:tcPr>
            <w:tcW w:w="3400" w:type="dxa"/>
            <w:vAlign w:val="bottom"/>
            <w:tcBorders>
              <w:left w:val="single" w:sz="8" w:color="auto"/>
              <w:right w:val="single" w:sz="8" w:color="auto"/>
            </w:tcBorders>
          </w:tcPr>
          <w:p>
            <w:pPr>
              <w:spacing w:after="0"/>
              <w:rPr>
                <w:sz w:val="21"/>
                <w:szCs w:val="21"/>
                <w:color w:val="auto"/>
              </w:rPr>
            </w:pPr>
          </w:p>
        </w:tc>
        <w:tc>
          <w:tcPr>
            <w:tcW w:w="4300" w:type="dxa"/>
            <w:vAlign w:val="bottom"/>
            <w:tcBorders>
              <w:right w:val="single" w:sz="8" w:color="auto"/>
            </w:tcBorders>
          </w:tcPr>
          <w:p>
            <w:pPr>
              <w:spacing w:after="0"/>
              <w:rPr>
                <w:sz w:val="21"/>
                <w:szCs w:val="21"/>
                <w:color w:val="auto"/>
              </w:rPr>
            </w:pPr>
          </w:p>
        </w:tc>
        <w:tc>
          <w:tcPr>
            <w:tcW w:w="35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increase in Shareholder value.</w:t>
            </w:r>
          </w:p>
        </w:tc>
      </w:tr>
      <w:tr>
        <w:trPr>
          <w:trHeight w:val="215"/>
        </w:trPr>
        <w:tc>
          <w:tcPr>
            <w:tcW w:w="3400" w:type="dxa"/>
            <w:vAlign w:val="bottom"/>
            <w:tcBorders>
              <w:left w:val="single" w:sz="8" w:color="auto"/>
              <w:bottom w:val="single" w:sz="8" w:color="auto"/>
              <w:right w:val="single" w:sz="8" w:color="auto"/>
            </w:tcBorders>
          </w:tcPr>
          <w:p>
            <w:pPr>
              <w:spacing w:after="0"/>
              <w:rPr>
                <w:sz w:val="18"/>
                <w:szCs w:val="18"/>
                <w:color w:val="auto"/>
              </w:rPr>
            </w:pPr>
          </w:p>
        </w:tc>
        <w:tc>
          <w:tcPr>
            <w:tcW w:w="4300" w:type="dxa"/>
            <w:vAlign w:val="bottom"/>
            <w:tcBorders>
              <w:bottom w:val="single" w:sz="8" w:color="auto"/>
              <w:right w:val="single" w:sz="8" w:color="auto"/>
            </w:tcBorders>
          </w:tcPr>
          <w:p>
            <w:pPr>
              <w:spacing w:after="0"/>
              <w:rPr>
                <w:sz w:val="18"/>
                <w:szCs w:val="18"/>
                <w:color w:val="auto"/>
              </w:rPr>
            </w:pPr>
          </w:p>
        </w:tc>
        <w:tc>
          <w:tcPr>
            <w:tcW w:w="3560" w:type="dxa"/>
            <w:vAlign w:val="bottom"/>
            <w:tcBorders>
              <w:bottom w:val="single" w:sz="8" w:color="auto"/>
              <w:right w:val="single" w:sz="8" w:color="auto"/>
            </w:tcBorders>
          </w:tcPr>
          <w:p>
            <w:pPr>
              <w:spacing w:after="0"/>
              <w:rPr>
                <w:sz w:val="18"/>
                <w:szCs w:val="18"/>
                <w:color w:val="auto"/>
              </w:rPr>
            </w:pPr>
          </w:p>
        </w:tc>
      </w:tr>
      <w:tr>
        <w:trPr>
          <w:trHeight w:val="447"/>
        </w:trPr>
        <w:tc>
          <w:tcPr>
            <w:tcW w:w="3400" w:type="dxa"/>
            <w:vAlign w:val="bottom"/>
            <w:tcBorders>
              <w:left w:val="single" w:sz="8" w:color="auto"/>
              <w:right w:val="single" w:sz="8" w:color="D9D9D9"/>
            </w:tcBorders>
            <w:shd w:val="clear" w:color="auto" w:fill="D9D9D9"/>
          </w:tcPr>
          <w:p>
            <w:pPr>
              <w:ind w:left="100"/>
              <w:spacing w:after="0"/>
              <w:rPr>
                <w:sz w:val="20"/>
                <w:szCs w:val="20"/>
                <w:color w:val="auto"/>
              </w:rPr>
            </w:pPr>
            <w:r>
              <w:rPr>
                <w:rFonts w:ascii="Arial" w:cs="Arial" w:eastAsia="Arial" w:hAnsi="Arial"/>
                <w:sz w:val="20"/>
                <w:szCs w:val="20"/>
                <w:b w:val="1"/>
                <w:bCs w:val="1"/>
                <w:color w:val="auto"/>
              </w:rPr>
              <w:t>Long-Term Equity Compensation</w:t>
            </w:r>
          </w:p>
        </w:tc>
        <w:tc>
          <w:tcPr>
            <w:tcW w:w="4300" w:type="dxa"/>
            <w:vAlign w:val="bottom"/>
            <w:tcBorders>
              <w:right w:val="single" w:sz="8" w:color="D9D9D9"/>
            </w:tcBorders>
            <w:shd w:val="clear" w:color="auto" w:fill="D9D9D9"/>
          </w:tcPr>
          <w:p>
            <w:pPr>
              <w:spacing w:after="0"/>
              <w:rPr>
                <w:sz w:val="24"/>
                <w:szCs w:val="24"/>
                <w:color w:val="auto"/>
              </w:rPr>
            </w:pPr>
          </w:p>
        </w:tc>
        <w:tc>
          <w:tcPr>
            <w:tcW w:w="3560" w:type="dxa"/>
            <w:vAlign w:val="bottom"/>
            <w:tcBorders>
              <w:right w:val="single" w:sz="8" w:color="auto"/>
            </w:tcBorders>
            <w:shd w:val="clear" w:color="auto" w:fill="D9D9D9"/>
          </w:tcPr>
          <w:p>
            <w:pPr>
              <w:spacing w:after="0"/>
              <w:rPr>
                <w:sz w:val="24"/>
                <w:szCs w:val="24"/>
                <w:color w:val="auto"/>
              </w:rPr>
            </w:pPr>
          </w:p>
        </w:tc>
      </w:tr>
      <w:tr>
        <w:trPr>
          <w:trHeight w:val="215"/>
        </w:trPr>
        <w:tc>
          <w:tcPr>
            <w:tcW w:w="3400" w:type="dxa"/>
            <w:vAlign w:val="bottom"/>
            <w:tcBorders>
              <w:left w:val="single" w:sz="8" w:color="auto"/>
              <w:bottom w:val="single" w:sz="8" w:color="auto"/>
              <w:right w:val="single" w:sz="8" w:color="D9D9D9"/>
            </w:tcBorders>
            <w:shd w:val="clear" w:color="auto" w:fill="D9D9D9"/>
          </w:tcPr>
          <w:p>
            <w:pPr>
              <w:spacing w:after="0"/>
              <w:rPr>
                <w:sz w:val="18"/>
                <w:szCs w:val="18"/>
                <w:color w:val="auto"/>
              </w:rPr>
            </w:pPr>
          </w:p>
        </w:tc>
        <w:tc>
          <w:tcPr>
            <w:tcW w:w="4300" w:type="dxa"/>
            <w:vAlign w:val="bottom"/>
            <w:tcBorders>
              <w:bottom w:val="single" w:sz="8" w:color="auto"/>
              <w:right w:val="single" w:sz="8" w:color="D9D9D9"/>
            </w:tcBorders>
            <w:shd w:val="clear" w:color="auto" w:fill="D9D9D9"/>
          </w:tcPr>
          <w:p>
            <w:pPr>
              <w:spacing w:after="0"/>
              <w:rPr>
                <w:sz w:val="18"/>
                <w:szCs w:val="18"/>
                <w:color w:val="auto"/>
              </w:rPr>
            </w:pPr>
          </w:p>
        </w:tc>
        <w:tc>
          <w:tcPr>
            <w:tcW w:w="3560" w:type="dxa"/>
            <w:vAlign w:val="bottom"/>
            <w:tcBorders>
              <w:bottom w:val="single" w:sz="8" w:color="auto"/>
              <w:right w:val="single" w:sz="8" w:color="auto"/>
            </w:tcBorders>
            <w:shd w:val="clear" w:color="auto" w:fill="D9D9D9"/>
          </w:tcPr>
          <w:p>
            <w:pPr>
              <w:spacing w:after="0"/>
              <w:rPr>
                <w:sz w:val="18"/>
                <w:szCs w:val="18"/>
                <w:color w:val="auto"/>
              </w:rPr>
            </w:pPr>
          </w:p>
        </w:tc>
      </w:tr>
      <w:tr>
        <w:trPr>
          <w:trHeight w:val="420"/>
        </w:trPr>
        <w:tc>
          <w:tcPr>
            <w:tcW w:w="34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0"/>
                <w:szCs w:val="20"/>
                <w:color w:val="auto"/>
                <w:w w:val="99"/>
              </w:rPr>
              <w:t>Performance-Based Restricted Stock</w:t>
            </w:r>
          </w:p>
        </w:tc>
        <w:tc>
          <w:tcPr>
            <w:tcW w:w="430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w w:val="97"/>
              </w:rPr>
              <w:t>Total shareholder return relative to industry peer</w:t>
            </w:r>
          </w:p>
        </w:tc>
        <w:tc>
          <w:tcPr>
            <w:tcW w:w="35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Provides incentive to outperform and</w:t>
            </w:r>
          </w:p>
        </w:tc>
      </w:tr>
      <w:tr>
        <w:trPr>
          <w:trHeight w:val="223"/>
        </w:trPr>
        <w:tc>
          <w:tcPr>
            <w:tcW w:w="3400" w:type="dxa"/>
            <w:vAlign w:val="bottom"/>
            <w:tcBorders>
              <w:left w:val="single" w:sz="8" w:color="auto"/>
              <w:right w:val="single" w:sz="8" w:color="auto"/>
            </w:tcBorders>
          </w:tcPr>
          <w:p>
            <w:pPr>
              <w:ind w:left="100"/>
              <w:spacing w:after="0" w:line="223" w:lineRule="exact"/>
              <w:rPr>
                <w:sz w:val="20"/>
                <w:szCs w:val="20"/>
                <w:color w:val="auto"/>
              </w:rPr>
            </w:pPr>
            <w:r>
              <w:rPr>
                <w:rFonts w:ascii="Arial" w:cs="Arial" w:eastAsia="Arial" w:hAnsi="Arial"/>
                <w:sz w:val="20"/>
                <w:szCs w:val="20"/>
                <w:color w:val="auto"/>
              </w:rPr>
              <w:t>Awards (approximately two-thirds of</w:t>
            </w:r>
          </w:p>
        </w:tc>
        <w:tc>
          <w:tcPr>
            <w:tcW w:w="4300" w:type="dxa"/>
            <w:vAlign w:val="bottom"/>
            <w:tcBorders>
              <w:right w:val="single" w:sz="8" w:color="auto"/>
            </w:tcBorders>
          </w:tcPr>
          <w:p>
            <w:pPr>
              <w:ind w:left="80"/>
              <w:spacing w:after="0" w:line="223" w:lineRule="exact"/>
              <w:rPr>
                <w:sz w:val="20"/>
                <w:szCs w:val="20"/>
                <w:color w:val="auto"/>
              </w:rPr>
            </w:pPr>
            <w:r>
              <w:rPr>
                <w:rFonts w:ascii="Arial" w:cs="Arial" w:eastAsia="Arial" w:hAnsi="Arial"/>
                <w:sz w:val="20"/>
                <w:szCs w:val="20"/>
                <w:color w:val="auto"/>
                <w:w w:val="94"/>
              </w:rPr>
              <w:t>group and return on invested capital, in each case</w:t>
            </w:r>
          </w:p>
        </w:tc>
        <w:tc>
          <w:tcPr>
            <w:tcW w:w="3560" w:type="dxa"/>
            <w:vAlign w:val="bottom"/>
            <w:tcBorders>
              <w:right w:val="single" w:sz="8" w:color="auto"/>
            </w:tcBorders>
          </w:tcPr>
          <w:p>
            <w:pPr>
              <w:ind w:left="60"/>
              <w:spacing w:after="0" w:line="223" w:lineRule="exact"/>
              <w:rPr>
                <w:sz w:val="20"/>
                <w:szCs w:val="20"/>
                <w:color w:val="auto"/>
              </w:rPr>
            </w:pPr>
            <w:r>
              <w:rPr>
                <w:rFonts w:ascii="Arial" w:cs="Arial" w:eastAsia="Arial" w:hAnsi="Arial"/>
                <w:sz w:val="20"/>
                <w:szCs w:val="20"/>
                <w:color w:val="auto"/>
              </w:rPr>
              <w:t>deliver superior Shareholder returns</w:t>
            </w:r>
          </w:p>
        </w:tc>
      </w:tr>
      <w:tr>
        <w:trPr>
          <w:trHeight w:val="223"/>
        </w:trPr>
        <w:tc>
          <w:tcPr>
            <w:tcW w:w="3400" w:type="dxa"/>
            <w:vAlign w:val="bottom"/>
            <w:tcBorders>
              <w:left w:val="single" w:sz="8" w:color="auto"/>
              <w:right w:val="single" w:sz="8" w:color="auto"/>
            </w:tcBorders>
          </w:tcPr>
          <w:p>
            <w:pPr>
              <w:ind w:left="100"/>
              <w:spacing w:after="0" w:line="223" w:lineRule="exact"/>
              <w:rPr>
                <w:sz w:val="20"/>
                <w:szCs w:val="20"/>
                <w:color w:val="auto"/>
              </w:rPr>
            </w:pPr>
            <w:r>
              <w:rPr>
                <w:rFonts w:ascii="Arial" w:cs="Arial" w:eastAsia="Arial" w:hAnsi="Arial"/>
                <w:sz w:val="20"/>
                <w:szCs w:val="20"/>
                <w:color w:val="auto"/>
              </w:rPr>
              <w:t>total long-term equity compensation)</w:t>
            </w:r>
          </w:p>
        </w:tc>
        <w:tc>
          <w:tcPr>
            <w:tcW w:w="4300" w:type="dxa"/>
            <w:vAlign w:val="bottom"/>
            <w:tcBorders>
              <w:right w:val="single" w:sz="8" w:color="auto"/>
            </w:tcBorders>
          </w:tcPr>
          <w:p>
            <w:pPr>
              <w:ind w:left="80"/>
              <w:spacing w:after="0" w:line="223" w:lineRule="exact"/>
              <w:rPr>
                <w:sz w:val="20"/>
                <w:szCs w:val="20"/>
                <w:color w:val="auto"/>
              </w:rPr>
            </w:pPr>
            <w:r>
              <w:rPr>
                <w:rFonts w:ascii="Arial" w:cs="Arial" w:eastAsia="Arial" w:hAnsi="Arial"/>
                <w:sz w:val="20"/>
                <w:szCs w:val="20"/>
                <w:color w:val="auto"/>
              </w:rPr>
              <w:t>over a three-year performance period.</w:t>
            </w:r>
          </w:p>
        </w:tc>
        <w:tc>
          <w:tcPr>
            <w:tcW w:w="3560" w:type="dxa"/>
            <w:vAlign w:val="bottom"/>
            <w:tcBorders>
              <w:right w:val="single" w:sz="8" w:color="auto"/>
            </w:tcBorders>
          </w:tcPr>
          <w:p>
            <w:pPr>
              <w:ind w:left="60"/>
              <w:spacing w:after="0" w:line="223" w:lineRule="exact"/>
              <w:rPr>
                <w:sz w:val="20"/>
                <w:szCs w:val="20"/>
                <w:color w:val="auto"/>
              </w:rPr>
            </w:pPr>
            <w:r>
              <w:rPr>
                <w:rFonts w:ascii="Arial" w:cs="Arial" w:eastAsia="Arial" w:hAnsi="Arial"/>
                <w:sz w:val="20"/>
                <w:szCs w:val="20"/>
                <w:color w:val="auto"/>
                <w:w w:val="99"/>
              </w:rPr>
              <w:t>relative to peers and to efficiently utilize</w:t>
            </w:r>
          </w:p>
        </w:tc>
      </w:tr>
      <w:tr>
        <w:trPr>
          <w:trHeight w:val="223"/>
        </w:trPr>
        <w:tc>
          <w:tcPr>
            <w:tcW w:w="3400" w:type="dxa"/>
            <w:vAlign w:val="bottom"/>
            <w:tcBorders>
              <w:left w:val="single" w:sz="8" w:color="auto"/>
              <w:right w:val="single" w:sz="8" w:color="auto"/>
            </w:tcBorders>
          </w:tcPr>
          <w:p>
            <w:pPr>
              <w:spacing w:after="0"/>
              <w:rPr>
                <w:sz w:val="19"/>
                <w:szCs w:val="19"/>
                <w:color w:val="auto"/>
              </w:rPr>
            </w:pPr>
          </w:p>
        </w:tc>
        <w:tc>
          <w:tcPr>
            <w:tcW w:w="4300" w:type="dxa"/>
            <w:vAlign w:val="bottom"/>
            <w:tcBorders>
              <w:right w:val="single" w:sz="8" w:color="auto"/>
            </w:tcBorders>
          </w:tcPr>
          <w:p>
            <w:pPr>
              <w:spacing w:after="0"/>
              <w:rPr>
                <w:sz w:val="19"/>
                <w:szCs w:val="19"/>
                <w:color w:val="auto"/>
              </w:rPr>
            </w:pPr>
          </w:p>
        </w:tc>
        <w:tc>
          <w:tcPr>
            <w:tcW w:w="3560" w:type="dxa"/>
            <w:vAlign w:val="bottom"/>
            <w:tcBorders>
              <w:right w:val="single" w:sz="8" w:color="auto"/>
            </w:tcBorders>
          </w:tcPr>
          <w:p>
            <w:pPr>
              <w:ind w:left="60"/>
              <w:spacing w:after="0" w:line="223" w:lineRule="exact"/>
              <w:rPr>
                <w:sz w:val="20"/>
                <w:szCs w:val="20"/>
                <w:color w:val="auto"/>
              </w:rPr>
            </w:pPr>
            <w:r>
              <w:rPr>
                <w:rFonts w:ascii="Arial" w:cs="Arial" w:eastAsia="Arial" w:hAnsi="Arial"/>
                <w:sz w:val="20"/>
                <w:szCs w:val="20"/>
                <w:color w:val="auto"/>
                <w:w w:val="95"/>
              </w:rPr>
              <w:t>the Company’s capital. Aligns NEOs with</w:t>
            </w:r>
          </w:p>
        </w:tc>
      </w:tr>
      <w:tr>
        <w:trPr>
          <w:trHeight w:val="223"/>
        </w:trPr>
        <w:tc>
          <w:tcPr>
            <w:tcW w:w="3400" w:type="dxa"/>
            <w:vAlign w:val="bottom"/>
            <w:tcBorders>
              <w:left w:val="single" w:sz="8" w:color="auto"/>
              <w:right w:val="single" w:sz="8" w:color="auto"/>
            </w:tcBorders>
          </w:tcPr>
          <w:p>
            <w:pPr>
              <w:spacing w:after="0"/>
              <w:rPr>
                <w:sz w:val="19"/>
                <w:szCs w:val="19"/>
                <w:color w:val="auto"/>
              </w:rPr>
            </w:pPr>
          </w:p>
        </w:tc>
        <w:tc>
          <w:tcPr>
            <w:tcW w:w="4300" w:type="dxa"/>
            <w:vAlign w:val="bottom"/>
            <w:tcBorders>
              <w:right w:val="single" w:sz="8" w:color="auto"/>
            </w:tcBorders>
          </w:tcPr>
          <w:p>
            <w:pPr>
              <w:spacing w:after="0"/>
              <w:rPr>
                <w:sz w:val="19"/>
                <w:szCs w:val="19"/>
                <w:color w:val="auto"/>
              </w:rPr>
            </w:pPr>
          </w:p>
        </w:tc>
        <w:tc>
          <w:tcPr>
            <w:tcW w:w="3560" w:type="dxa"/>
            <w:vAlign w:val="bottom"/>
            <w:tcBorders>
              <w:right w:val="single" w:sz="8" w:color="auto"/>
            </w:tcBorders>
          </w:tcPr>
          <w:p>
            <w:pPr>
              <w:ind w:left="60"/>
              <w:spacing w:after="0" w:line="223" w:lineRule="exact"/>
              <w:rPr>
                <w:sz w:val="20"/>
                <w:szCs w:val="20"/>
                <w:color w:val="auto"/>
              </w:rPr>
            </w:pPr>
            <w:r>
              <w:rPr>
                <w:rFonts w:ascii="Arial" w:cs="Arial" w:eastAsia="Arial" w:hAnsi="Arial"/>
                <w:sz w:val="20"/>
                <w:szCs w:val="20"/>
                <w:color w:val="auto"/>
                <w:w w:val="98"/>
              </w:rPr>
              <w:t>interests of Shareholders and promotes</w:t>
            </w:r>
          </w:p>
        </w:tc>
      </w:tr>
      <w:tr>
        <w:trPr>
          <w:trHeight w:val="223"/>
        </w:trPr>
        <w:tc>
          <w:tcPr>
            <w:tcW w:w="3400" w:type="dxa"/>
            <w:vAlign w:val="bottom"/>
            <w:tcBorders>
              <w:left w:val="single" w:sz="8" w:color="auto"/>
              <w:right w:val="single" w:sz="8" w:color="auto"/>
            </w:tcBorders>
          </w:tcPr>
          <w:p>
            <w:pPr>
              <w:spacing w:after="0"/>
              <w:rPr>
                <w:sz w:val="19"/>
                <w:szCs w:val="19"/>
                <w:color w:val="auto"/>
              </w:rPr>
            </w:pPr>
          </w:p>
        </w:tc>
        <w:tc>
          <w:tcPr>
            <w:tcW w:w="4300" w:type="dxa"/>
            <w:vAlign w:val="bottom"/>
            <w:tcBorders>
              <w:right w:val="single" w:sz="8" w:color="auto"/>
            </w:tcBorders>
          </w:tcPr>
          <w:p>
            <w:pPr>
              <w:spacing w:after="0"/>
              <w:rPr>
                <w:sz w:val="19"/>
                <w:szCs w:val="19"/>
                <w:color w:val="auto"/>
              </w:rPr>
            </w:pPr>
          </w:p>
        </w:tc>
        <w:tc>
          <w:tcPr>
            <w:tcW w:w="3560" w:type="dxa"/>
            <w:vAlign w:val="bottom"/>
            <w:tcBorders>
              <w:right w:val="single" w:sz="8" w:color="auto"/>
            </w:tcBorders>
          </w:tcPr>
          <w:p>
            <w:pPr>
              <w:ind w:left="60"/>
              <w:spacing w:after="0" w:line="223" w:lineRule="exact"/>
              <w:rPr>
                <w:sz w:val="20"/>
                <w:szCs w:val="20"/>
                <w:color w:val="auto"/>
              </w:rPr>
            </w:pPr>
            <w:r>
              <w:rPr>
                <w:rFonts w:ascii="Arial" w:cs="Arial" w:eastAsia="Arial" w:hAnsi="Arial"/>
                <w:sz w:val="20"/>
                <w:szCs w:val="20"/>
                <w:color w:val="auto"/>
                <w:w w:val="92"/>
              </w:rPr>
              <w:t>commitment to the long-term performance</w:t>
            </w:r>
          </w:p>
        </w:tc>
      </w:tr>
      <w:tr>
        <w:trPr>
          <w:trHeight w:val="251"/>
        </w:trPr>
        <w:tc>
          <w:tcPr>
            <w:tcW w:w="3400" w:type="dxa"/>
            <w:vAlign w:val="bottom"/>
            <w:tcBorders>
              <w:left w:val="single" w:sz="8" w:color="auto"/>
              <w:right w:val="single" w:sz="8" w:color="auto"/>
            </w:tcBorders>
          </w:tcPr>
          <w:p>
            <w:pPr>
              <w:spacing w:after="0"/>
              <w:rPr>
                <w:sz w:val="21"/>
                <w:szCs w:val="21"/>
                <w:color w:val="auto"/>
              </w:rPr>
            </w:pPr>
          </w:p>
        </w:tc>
        <w:tc>
          <w:tcPr>
            <w:tcW w:w="4300" w:type="dxa"/>
            <w:vAlign w:val="bottom"/>
            <w:tcBorders>
              <w:right w:val="single" w:sz="8" w:color="auto"/>
            </w:tcBorders>
          </w:tcPr>
          <w:p>
            <w:pPr>
              <w:spacing w:after="0"/>
              <w:rPr>
                <w:sz w:val="21"/>
                <w:szCs w:val="21"/>
                <w:color w:val="auto"/>
              </w:rPr>
            </w:pPr>
          </w:p>
        </w:tc>
        <w:tc>
          <w:tcPr>
            <w:tcW w:w="35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of the Company.</w:t>
            </w:r>
          </w:p>
        </w:tc>
      </w:tr>
      <w:tr>
        <w:trPr>
          <w:trHeight w:val="215"/>
        </w:trPr>
        <w:tc>
          <w:tcPr>
            <w:tcW w:w="3400" w:type="dxa"/>
            <w:vAlign w:val="bottom"/>
            <w:tcBorders>
              <w:left w:val="single" w:sz="8" w:color="auto"/>
              <w:bottom w:val="single" w:sz="8" w:color="auto"/>
              <w:right w:val="single" w:sz="8" w:color="auto"/>
            </w:tcBorders>
          </w:tcPr>
          <w:p>
            <w:pPr>
              <w:spacing w:after="0"/>
              <w:rPr>
                <w:sz w:val="18"/>
                <w:szCs w:val="18"/>
                <w:color w:val="auto"/>
              </w:rPr>
            </w:pPr>
          </w:p>
        </w:tc>
        <w:tc>
          <w:tcPr>
            <w:tcW w:w="4300" w:type="dxa"/>
            <w:vAlign w:val="bottom"/>
            <w:tcBorders>
              <w:bottom w:val="single" w:sz="8" w:color="auto"/>
              <w:right w:val="single" w:sz="8" w:color="auto"/>
            </w:tcBorders>
          </w:tcPr>
          <w:p>
            <w:pPr>
              <w:spacing w:after="0"/>
              <w:rPr>
                <w:sz w:val="18"/>
                <w:szCs w:val="18"/>
                <w:color w:val="auto"/>
              </w:rPr>
            </w:pPr>
          </w:p>
        </w:tc>
        <w:tc>
          <w:tcPr>
            <w:tcW w:w="3560" w:type="dxa"/>
            <w:vAlign w:val="bottom"/>
            <w:tcBorders>
              <w:bottom w:val="single" w:sz="8" w:color="auto"/>
              <w:right w:val="single" w:sz="8" w:color="auto"/>
            </w:tcBorders>
          </w:tcPr>
          <w:p>
            <w:pPr>
              <w:spacing w:after="0"/>
              <w:rPr>
                <w:sz w:val="18"/>
                <w:szCs w:val="18"/>
                <w:color w:val="auto"/>
              </w:rPr>
            </w:pPr>
          </w:p>
        </w:tc>
      </w:tr>
      <w:tr>
        <w:trPr>
          <w:trHeight w:val="420"/>
        </w:trPr>
        <w:tc>
          <w:tcPr>
            <w:tcW w:w="34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0"/>
                <w:szCs w:val="20"/>
                <w:color w:val="auto"/>
                <w:w w:val="98"/>
              </w:rPr>
              <w:t>Time-Based Restricted Stock Awards</w:t>
            </w:r>
          </w:p>
        </w:tc>
        <w:tc>
          <w:tcPr>
            <w:tcW w:w="430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Long-term stock price appreciation.</w:t>
            </w:r>
          </w:p>
        </w:tc>
        <w:tc>
          <w:tcPr>
            <w:tcW w:w="35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Aligns NEOs with interests of</w:t>
            </w:r>
          </w:p>
        </w:tc>
      </w:tr>
      <w:tr>
        <w:trPr>
          <w:trHeight w:val="223"/>
        </w:trPr>
        <w:tc>
          <w:tcPr>
            <w:tcW w:w="3400" w:type="dxa"/>
            <w:vAlign w:val="bottom"/>
            <w:tcBorders>
              <w:left w:val="single" w:sz="8" w:color="auto"/>
              <w:right w:val="single" w:sz="8" w:color="auto"/>
            </w:tcBorders>
          </w:tcPr>
          <w:p>
            <w:pPr>
              <w:ind w:left="100"/>
              <w:spacing w:after="0" w:line="223" w:lineRule="exact"/>
              <w:rPr>
                <w:sz w:val="20"/>
                <w:szCs w:val="20"/>
                <w:color w:val="auto"/>
              </w:rPr>
            </w:pPr>
            <w:r>
              <w:rPr>
                <w:rFonts w:ascii="Arial" w:cs="Arial" w:eastAsia="Arial" w:hAnsi="Arial"/>
                <w:sz w:val="20"/>
                <w:szCs w:val="20"/>
                <w:color w:val="auto"/>
                <w:w w:val="98"/>
              </w:rPr>
              <w:t>(approximately one-third of total long-</w:t>
            </w:r>
          </w:p>
        </w:tc>
        <w:tc>
          <w:tcPr>
            <w:tcW w:w="4300" w:type="dxa"/>
            <w:vAlign w:val="bottom"/>
            <w:tcBorders>
              <w:right w:val="single" w:sz="8" w:color="auto"/>
            </w:tcBorders>
          </w:tcPr>
          <w:p>
            <w:pPr>
              <w:spacing w:after="0"/>
              <w:rPr>
                <w:sz w:val="19"/>
                <w:szCs w:val="19"/>
                <w:color w:val="auto"/>
              </w:rPr>
            </w:pPr>
          </w:p>
        </w:tc>
        <w:tc>
          <w:tcPr>
            <w:tcW w:w="3560" w:type="dxa"/>
            <w:vAlign w:val="bottom"/>
            <w:tcBorders>
              <w:right w:val="single" w:sz="8" w:color="auto"/>
            </w:tcBorders>
          </w:tcPr>
          <w:p>
            <w:pPr>
              <w:ind w:left="60"/>
              <w:spacing w:after="0" w:line="223" w:lineRule="exact"/>
              <w:rPr>
                <w:sz w:val="20"/>
                <w:szCs w:val="20"/>
                <w:color w:val="auto"/>
              </w:rPr>
            </w:pPr>
            <w:r>
              <w:rPr>
                <w:rFonts w:ascii="Arial" w:cs="Arial" w:eastAsia="Arial" w:hAnsi="Arial"/>
                <w:sz w:val="20"/>
                <w:szCs w:val="20"/>
                <w:color w:val="auto"/>
                <w:w w:val="95"/>
              </w:rPr>
              <w:t>Shareholders and promotes commitment</w:t>
            </w:r>
          </w:p>
        </w:tc>
      </w:tr>
      <w:tr>
        <w:trPr>
          <w:trHeight w:val="223"/>
        </w:trPr>
        <w:tc>
          <w:tcPr>
            <w:tcW w:w="3400" w:type="dxa"/>
            <w:vAlign w:val="bottom"/>
            <w:tcBorders>
              <w:left w:val="single" w:sz="8" w:color="auto"/>
              <w:right w:val="single" w:sz="8" w:color="auto"/>
            </w:tcBorders>
          </w:tcPr>
          <w:p>
            <w:pPr>
              <w:ind w:left="100"/>
              <w:spacing w:after="0" w:line="223" w:lineRule="exact"/>
              <w:rPr>
                <w:sz w:val="20"/>
                <w:szCs w:val="20"/>
                <w:color w:val="auto"/>
              </w:rPr>
            </w:pPr>
            <w:r>
              <w:rPr>
                <w:rFonts w:ascii="Arial" w:cs="Arial" w:eastAsia="Arial" w:hAnsi="Arial"/>
                <w:sz w:val="20"/>
                <w:szCs w:val="20"/>
                <w:color w:val="auto"/>
              </w:rPr>
              <w:t>term equity compensation)</w:t>
            </w:r>
          </w:p>
        </w:tc>
        <w:tc>
          <w:tcPr>
            <w:tcW w:w="4300" w:type="dxa"/>
            <w:vAlign w:val="bottom"/>
            <w:tcBorders>
              <w:right w:val="single" w:sz="8" w:color="auto"/>
            </w:tcBorders>
          </w:tcPr>
          <w:p>
            <w:pPr>
              <w:spacing w:after="0"/>
              <w:rPr>
                <w:sz w:val="19"/>
                <w:szCs w:val="19"/>
                <w:color w:val="auto"/>
              </w:rPr>
            </w:pPr>
          </w:p>
        </w:tc>
        <w:tc>
          <w:tcPr>
            <w:tcW w:w="3560" w:type="dxa"/>
            <w:vAlign w:val="bottom"/>
            <w:tcBorders>
              <w:right w:val="single" w:sz="8" w:color="auto"/>
            </w:tcBorders>
          </w:tcPr>
          <w:p>
            <w:pPr>
              <w:ind w:left="60"/>
              <w:spacing w:after="0" w:line="223" w:lineRule="exact"/>
              <w:rPr>
                <w:sz w:val="20"/>
                <w:szCs w:val="20"/>
                <w:color w:val="auto"/>
              </w:rPr>
            </w:pPr>
            <w:r>
              <w:rPr>
                <w:rFonts w:ascii="Arial" w:cs="Arial" w:eastAsia="Arial" w:hAnsi="Arial"/>
                <w:sz w:val="20"/>
                <w:szCs w:val="20"/>
                <w:color w:val="auto"/>
              </w:rPr>
              <w:t>to the long-term performance of the</w:t>
            </w:r>
          </w:p>
        </w:tc>
      </w:tr>
      <w:tr>
        <w:trPr>
          <w:trHeight w:val="251"/>
        </w:trPr>
        <w:tc>
          <w:tcPr>
            <w:tcW w:w="3400" w:type="dxa"/>
            <w:vAlign w:val="bottom"/>
            <w:tcBorders>
              <w:left w:val="single" w:sz="8" w:color="auto"/>
              <w:right w:val="single" w:sz="8" w:color="auto"/>
            </w:tcBorders>
          </w:tcPr>
          <w:p>
            <w:pPr>
              <w:spacing w:after="0"/>
              <w:rPr>
                <w:sz w:val="21"/>
                <w:szCs w:val="21"/>
                <w:color w:val="auto"/>
              </w:rPr>
            </w:pPr>
          </w:p>
        </w:tc>
        <w:tc>
          <w:tcPr>
            <w:tcW w:w="4300" w:type="dxa"/>
            <w:vAlign w:val="bottom"/>
            <w:tcBorders>
              <w:right w:val="single" w:sz="8" w:color="auto"/>
            </w:tcBorders>
          </w:tcPr>
          <w:p>
            <w:pPr>
              <w:spacing w:after="0"/>
              <w:rPr>
                <w:sz w:val="21"/>
                <w:szCs w:val="21"/>
                <w:color w:val="auto"/>
              </w:rPr>
            </w:pPr>
          </w:p>
        </w:tc>
        <w:tc>
          <w:tcPr>
            <w:tcW w:w="35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Company.</w:t>
            </w:r>
          </w:p>
        </w:tc>
      </w:tr>
      <w:tr>
        <w:trPr>
          <w:trHeight w:val="215"/>
        </w:trPr>
        <w:tc>
          <w:tcPr>
            <w:tcW w:w="3400" w:type="dxa"/>
            <w:vAlign w:val="bottom"/>
            <w:tcBorders>
              <w:left w:val="single" w:sz="8" w:color="auto"/>
              <w:bottom w:val="single" w:sz="8" w:color="auto"/>
              <w:right w:val="single" w:sz="8" w:color="auto"/>
            </w:tcBorders>
          </w:tcPr>
          <w:p>
            <w:pPr>
              <w:spacing w:after="0"/>
              <w:rPr>
                <w:sz w:val="18"/>
                <w:szCs w:val="18"/>
                <w:color w:val="auto"/>
              </w:rPr>
            </w:pPr>
          </w:p>
        </w:tc>
        <w:tc>
          <w:tcPr>
            <w:tcW w:w="4300" w:type="dxa"/>
            <w:vAlign w:val="bottom"/>
            <w:tcBorders>
              <w:bottom w:val="single" w:sz="8" w:color="auto"/>
              <w:right w:val="single" w:sz="8" w:color="auto"/>
            </w:tcBorders>
          </w:tcPr>
          <w:p>
            <w:pPr>
              <w:spacing w:after="0"/>
              <w:rPr>
                <w:sz w:val="18"/>
                <w:szCs w:val="18"/>
                <w:color w:val="auto"/>
              </w:rPr>
            </w:pPr>
          </w:p>
        </w:tc>
        <w:tc>
          <w:tcPr>
            <w:tcW w:w="3560" w:type="dxa"/>
            <w:vAlign w:val="bottom"/>
            <w:tcBorders>
              <w:bottom w:val="single" w:sz="8" w:color="auto"/>
              <w:right w:val="single" w:sz="8" w:color="auto"/>
            </w:tcBorders>
          </w:tcPr>
          <w:p>
            <w:pPr>
              <w:spacing w:after="0"/>
              <w:rPr>
                <w:sz w:val="18"/>
                <w:szCs w:val="18"/>
                <w:color w:val="auto"/>
              </w:rPr>
            </w:pPr>
          </w:p>
        </w:tc>
      </w:tr>
    </w:tbl>
    <w:p>
      <w:pPr>
        <w:spacing w:after="0" w:line="204" w:lineRule="exact"/>
        <w:rPr>
          <w:sz w:val="20"/>
          <w:szCs w:val="20"/>
          <w:color w:val="auto"/>
        </w:rPr>
      </w:pPr>
    </w:p>
    <w:p>
      <w:pPr>
        <w:jc w:val="both"/>
        <w:ind w:firstLine="595"/>
        <w:spacing w:after="0" w:line="342" w:lineRule="auto"/>
        <w:rPr>
          <w:sz w:val="20"/>
          <w:szCs w:val="20"/>
          <w:color w:val="auto"/>
        </w:rPr>
      </w:pPr>
      <w:r>
        <w:rPr>
          <w:rFonts w:ascii="Arial" w:cs="Arial" w:eastAsia="Arial" w:hAnsi="Arial"/>
          <w:sz w:val="17"/>
          <w:szCs w:val="17"/>
          <w:color w:val="auto"/>
        </w:rPr>
        <w:t>The allocation of 2019 total direct compensation for our CEO and for our other NEOs among these various components is set forth in the materials on page 9 in the Proxy Statement Summary that highlight the Company’s emphasis on “at risk” and equity-based compensation.</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32</w:t>
      </w:r>
    </w:p>
    <w:p>
      <w:pPr>
        <w:sectPr>
          <w:pgSz w:w="11900" w:h="16838" w:orient="portrait"/>
          <w:cols w:equalWidth="0" w:num="1">
            <w:col w:w="11240"/>
          </w:cols>
          <w:pgMar w:left="320" w:top="437" w:right="339" w:bottom="1440" w:gutter="0" w:footer="0" w:header="0"/>
        </w:sectPr>
      </w:pPr>
    </w:p>
    <w:bookmarkStart w:id="36" w:name="page37"/>
    <w:bookmarkEnd w:id="36"/>
    <w:p>
      <w:pPr>
        <w:jc w:val="both"/>
        <w:ind w:firstLine="595"/>
        <w:spacing w:after="0" w:line="265" w:lineRule="auto"/>
        <w:rPr>
          <w:sz w:val="20"/>
          <w:szCs w:val="20"/>
          <w:color w:val="auto"/>
        </w:rPr>
      </w:pPr>
      <w:r>
        <w:rPr>
          <w:rFonts w:ascii="Arial" w:cs="Arial" w:eastAsia="Arial" w:hAnsi="Arial"/>
          <w:sz w:val="18"/>
          <w:szCs w:val="18"/>
          <w:b w:val="1"/>
          <w:bCs w:val="1"/>
          <w:color w:val="auto"/>
        </w:rPr>
        <w:t xml:space="preserve">Pay-for-Performance Alignment – Performance-Based Shares. </w:t>
      </w:r>
      <w:r>
        <w:rPr>
          <w:rFonts w:ascii="Arial" w:cs="Arial" w:eastAsia="Arial" w:hAnsi="Arial"/>
          <w:sz w:val="18"/>
          <w:szCs w:val="18"/>
          <w:color w:val="auto"/>
        </w:rPr>
        <w:t>The Company’s executive compensation program is designed to</w:t>
      </w:r>
      <w:r>
        <w:rPr>
          <w:rFonts w:ascii="Arial" w:cs="Arial" w:eastAsia="Arial" w:hAnsi="Arial"/>
          <w:sz w:val="18"/>
          <w:szCs w:val="18"/>
          <w:b w:val="1"/>
          <w:bCs w:val="1"/>
          <w:color w:val="auto"/>
        </w:rPr>
        <w:t xml:space="preserve"> </w:t>
      </w:r>
      <w:r>
        <w:rPr>
          <w:rFonts w:ascii="Arial" w:cs="Arial" w:eastAsia="Arial" w:hAnsi="Arial"/>
          <w:sz w:val="18"/>
          <w:szCs w:val="18"/>
          <w:color w:val="auto"/>
        </w:rPr>
        <w:t>motivate our NEOs to create long-term value for our Shareholders and to efficiently use the Company’s invested capital in order to grow our business. To achieve these objectives, our program emphasizes long-term performance-based equity incentives. Beginning with 2017 grants vesting in 2020, performance share grants have utilized two performance metrics: total shareholder return relative to a group of industry peers and the Company’s return on invested capital versus a target. Based on the Company’s under-performance for the measurement periods related to the vesting of performance-based shares in the prior three years, the Company’s NEOs, including the CEO, forfeited 100% of the performance-based shares awarded to them that were scheduled to vest in 2018 and 2019 and 34% of the shares vesting in 2017. The Company’s strong performance for the measurement period related to the performance-based shares vesting in 2020 resulted in an award that was 21.3% above the target grant established in 2017. Such forfeitures and additional award display a clear and direct correlation between pay-for-performance and our executives’ compensation.</w:t>
      </w:r>
    </w:p>
    <w:p>
      <w:pPr>
        <w:spacing w:after="0" w:line="170" w:lineRule="exact"/>
        <w:rPr>
          <w:sz w:val="20"/>
          <w:szCs w:val="20"/>
          <w:color w:val="auto"/>
        </w:rPr>
      </w:pPr>
    </w:p>
    <w:p>
      <w:pPr>
        <w:jc w:val="both"/>
        <w:ind w:firstLine="595"/>
        <w:spacing w:after="0" w:line="286" w:lineRule="auto"/>
        <w:rPr>
          <w:sz w:val="20"/>
          <w:szCs w:val="20"/>
          <w:color w:val="auto"/>
        </w:rPr>
      </w:pPr>
      <w:r>
        <w:rPr>
          <w:rFonts w:ascii="Arial" w:cs="Arial" w:eastAsia="Arial" w:hAnsi="Arial"/>
          <w:sz w:val="17"/>
          <w:szCs w:val="17"/>
          <w:b w:val="1"/>
          <w:bCs w:val="1"/>
          <w:color w:val="auto"/>
        </w:rPr>
        <w:t xml:space="preserve">Role of the Compensation Committee. </w:t>
      </w:r>
      <w:r>
        <w:rPr>
          <w:rFonts w:ascii="Arial" w:cs="Arial" w:eastAsia="Arial" w:hAnsi="Arial"/>
          <w:sz w:val="17"/>
          <w:szCs w:val="17"/>
          <w:color w:val="auto"/>
        </w:rPr>
        <w:t>The Committee currently comprises five Directors, all of whom are independent under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NYSE listing standards. During 2019, the Committee members were Andrea Funk, Hans Löliger, James Miller Josef Müller and Jim Turner. Mr. Turner succeeded Mr. Löliger as Chair during 2019. In February 2020, Mr. Löliger, who is retiring from the Board, was replaced by Stephen Hagge. The Committee has responsibility for determining and implementing the Company’s philosophy with respect to executive compensation. To implement this philosophy, the Committee oversees the establishment and administration of the Company’s executive compensation program. The Committee operates under a written charter adopted by the Board of Directors. A copy of this charter is available on the Company’s website at </w:t>
      </w:r>
      <w:r>
        <w:rPr>
          <w:rFonts w:ascii="Arial" w:cs="Arial" w:eastAsia="Arial" w:hAnsi="Arial"/>
          <w:sz w:val="17"/>
          <w:szCs w:val="17"/>
          <w:b w:val="1"/>
          <w:bCs w:val="1"/>
          <w:u w:val="single" w:color="auto"/>
          <w:color w:val="29650B"/>
        </w:rPr>
        <w:t>https://www.crowncork.com/investors/corporate-governance/compensation-committee-charter</w:t>
      </w:r>
      <w:r>
        <w:rPr>
          <w:rFonts w:ascii="Arial" w:cs="Arial" w:eastAsia="Arial" w:hAnsi="Arial"/>
          <w:sz w:val="17"/>
          <w:szCs w:val="17"/>
          <w:color w:val="auto"/>
        </w:rPr>
        <w:t>.</w:t>
      </w:r>
    </w:p>
    <w:p>
      <w:pPr>
        <w:spacing w:after="0" w:line="155" w:lineRule="exact"/>
        <w:rPr>
          <w:sz w:val="20"/>
          <w:szCs w:val="20"/>
          <w:color w:val="auto"/>
        </w:rPr>
      </w:pPr>
    </w:p>
    <w:p>
      <w:pPr>
        <w:jc w:val="both"/>
        <w:ind w:firstLine="595"/>
        <w:spacing w:after="0" w:line="250" w:lineRule="auto"/>
        <w:rPr>
          <w:sz w:val="20"/>
          <w:szCs w:val="20"/>
          <w:color w:val="auto"/>
        </w:rPr>
      </w:pPr>
      <w:r>
        <w:rPr>
          <w:rFonts w:ascii="Arial" w:cs="Arial" w:eastAsia="Arial" w:hAnsi="Arial"/>
          <w:sz w:val="19"/>
          <w:szCs w:val="19"/>
          <w:b w:val="1"/>
          <w:bCs w:val="1"/>
          <w:color w:val="auto"/>
        </w:rPr>
        <w:t xml:space="preserve">Compensation Philosophy and Objectives. </w:t>
      </w:r>
      <w:r>
        <w:rPr>
          <w:rFonts w:ascii="Arial" w:cs="Arial" w:eastAsia="Arial" w:hAnsi="Arial"/>
          <w:sz w:val="19"/>
          <w:szCs w:val="19"/>
          <w:color w:val="auto"/>
        </w:rPr>
        <w:t>The Committee maintains a “pay-for-performance” philosophy toward executive</w:t>
      </w:r>
      <w:r>
        <w:rPr>
          <w:rFonts w:ascii="Arial" w:cs="Arial" w:eastAsia="Arial" w:hAnsi="Arial"/>
          <w:sz w:val="19"/>
          <w:szCs w:val="19"/>
          <w:b w:val="1"/>
          <w:bCs w:val="1"/>
          <w:color w:val="auto"/>
        </w:rPr>
        <w:t xml:space="preserve"> </w:t>
      </w:r>
      <w:r>
        <w:rPr>
          <w:rFonts w:ascii="Arial" w:cs="Arial" w:eastAsia="Arial" w:hAnsi="Arial"/>
          <w:sz w:val="19"/>
          <w:szCs w:val="19"/>
          <w:color w:val="auto"/>
        </w:rPr>
        <w:t>compensation. One of the guiding principles of this “pay-for-performance” philosophy is that the executive compensation program should enable the Company to attract, retain and motivate a team of highly qualified executives who will create long-term value for the Shareholders. To achieve this objective, the Committee has developed an executive compensation program that is ownership-oriented and that rewards the attainment of specific annual and long-term goals that will result in improvement in total shareholder return. To that end, the Committee believes that the executive compensation program should include both cash and equity-based compensation that rewards specific performance by the Company. In addition, the Committee continually monitors the effectiveness of the program to ensure that the compensation provided to executives remains competitive relative to the compensation paid to executives in a peer group comprising select companies in the container and packaging industry and other manufacturing companies.</w:t>
      </w:r>
    </w:p>
    <w:p>
      <w:pPr>
        <w:spacing w:after="0" w:line="165" w:lineRule="exact"/>
        <w:rPr>
          <w:sz w:val="20"/>
          <w:szCs w:val="20"/>
          <w:color w:val="auto"/>
        </w:rPr>
      </w:pPr>
    </w:p>
    <w:p>
      <w:pPr>
        <w:jc w:val="both"/>
        <w:ind w:firstLine="595"/>
        <w:spacing w:after="0" w:line="236" w:lineRule="auto"/>
        <w:rPr>
          <w:sz w:val="20"/>
          <w:szCs w:val="20"/>
          <w:color w:val="auto"/>
        </w:rPr>
      </w:pPr>
      <w:r>
        <w:rPr>
          <w:rFonts w:ascii="Arial" w:cs="Arial" w:eastAsia="Arial" w:hAnsi="Arial"/>
          <w:sz w:val="20"/>
          <w:szCs w:val="20"/>
          <w:color w:val="auto"/>
        </w:rPr>
        <w:t>The Committee annually evaluates the components of the compensation program as well as the desired mix of compensation among these components. The Committee believes that a substantial portion of the direct compensation paid to the Company’s NEOs should be at risk, contingent on the Company’s operating and stock market performance. Consistent with this philosophy, the Committee will continue to place significant emphasis on stock-based and performance-based compensation in an effort to more closely align compensation with Shareholder interests and increase executives’ focus on the Company’s long-term performance. Accordingly, the annual incentive bonus is determined by operating metrics that drive long-term growth and Shareholder value, and approximately two-thirds of the value of the restricted stock granted in 2019 under the Company’s long-term incentive plan is tied to performance of the Company’s total shareholder return versus that of a peer group and return on invested capital versus the Company’s projected three-year average of return on invested capital.</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33</w:t>
      </w:r>
    </w:p>
    <w:p>
      <w:pPr>
        <w:sectPr>
          <w:pgSz w:w="11900" w:h="16838" w:orient="portrait"/>
          <w:cols w:equalWidth="0" w:num="1">
            <w:col w:w="11240"/>
          </w:cols>
          <w:pgMar w:left="320" w:top="437" w:right="339" w:bottom="1440" w:gutter="0" w:footer="0" w:header="0"/>
        </w:sectPr>
      </w:pPr>
    </w:p>
    <w:bookmarkStart w:id="37" w:name="page38"/>
    <w:bookmarkEnd w:id="37"/>
    <w:p>
      <w:pPr>
        <w:jc w:val="both"/>
        <w:ind w:firstLine="595"/>
        <w:spacing w:after="0" w:line="284" w:lineRule="auto"/>
        <w:rPr>
          <w:sz w:val="20"/>
          <w:szCs w:val="20"/>
          <w:color w:val="auto"/>
        </w:rPr>
      </w:pPr>
      <w:r>
        <w:rPr>
          <w:rFonts w:ascii="Arial" w:cs="Arial" w:eastAsia="Arial" w:hAnsi="Arial"/>
          <w:sz w:val="18"/>
          <w:szCs w:val="18"/>
          <w:i w:val="1"/>
          <w:iCs w:val="1"/>
          <w:color w:val="auto"/>
        </w:rPr>
        <w:t>Stock Ownership Guidelines and Share Retention Policy</w:t>
      </w:r>
      <w:r>
        <w:rPr>
          <w:rFonts w:ascii="Arial" w:cs="Arial" w:eastAsia="Arial" w:hAnsi="Arial"/>
          <w:sz w:val="18"/>
          <w:szCs w:val="18"/>
          <w:color w:val="auto"/>
        </w:rPr>
        <w:t>. Consistent with the Committee’s stock ownership-oriented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philosophy and its focus on long-term performance, the Company maintains stock ownership guidelines under which our NEOs are expected to own Company Common Stock with a minimum value equal to a multiple of base salary, as set forth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1078230</wp:posOffset>
            </wp:positionH>
            <wp:positionV relativeFrom="paragraph">
              <wp:posOffset>175895</wp:posOffset>
            </wp:positionV>
            <wp:extent cx="4993640" cy="13785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993640" cy="1378585"/>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FFFFFF"/>
        </w:rPr>
        <w:t>Stock Ownership Guidelines Applicable to NEOs</w:t>
      </w:r>
    </w:p>
    <w:p>
      <w:pPr>
        <w:spacing w:after="0" w:line="222" w:lineRule="exact"/>
        <w:rPr>
          <w:sz w:val="20"/>
          <w:szCs w:val="20"/>
          <w:color w:val="auto"/>
        </w:rPr>
      </w:pPr>
    </w:p>
    <w:tbl>
      <w:tblPr>
        <w:tblLayout w:type="fixed"/>
        <w:tblInd w:w="1700" w:type="dxa"/>
        <w:tblCellMar>
          <w:top w:w="0" w:type="dxa"/>
          <w:left w:w="0" w:type="dxa"/>
          <w:bottom w:w="0" w:type="dxa"/>
          <w:right w:w="0" w:type="dxa"/>
        </w:tblCellMar>
      </w:tblPr>
      <w:tr>
        <w:trPr>
          <w:trHeight w:val="467"/>
        </w:trPr>
        <w:tc>
          <w:tcPr>
            <w:tcW w:w="38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FFFFFF"/>
                <w:w w:val="86"/>
              </w:rPr>
              <w:t>Position</w:t>
            </w:r>
          </w:p>
        </w:tc>
        <w:tc>
          <w:tcPr>
            <w:tcW w:w="3980" w:type="dxa"/>
            <w:vAlign w:val="bottom"/>
            <w:tcBorders>
              <w:top w:val="single" w:sz="8" w:color="auto"/>
            </w:tcBorders>
          </w:tcPr>
          <w:p>
            <w:pPr>
              <w:jc w:val="center"/>
              <w:spacing w:after="0"/>
              <w:rPr>
                <w:sz w:val="20"/>
                <w:szCs w:val="20"/>
                <w:color w:val="auto"/>
              </w:rPr>
            </w:pPr>
            <w:r>
              <w:rPr>
                <w:rFonts w:ascii="Arial" w:cs="Arial" w:eastAsia="Arial" w:hAnsi="Arial"/>
                <w:sz w:val="20"/>
                <w:szCs w:val="20"/>
                <w:b w:val="1"/>
                <w:bCs w:val="1"/>
                <w:color w:val="FFFFFF"/>
                <w:w w:val="90"/>
              </w:rPr>
              <w:t>Multiple of Base Salary</w:t>
            </w:r>
          </w:p>
        </w:tc>
      </w:tr>
      <w:tr>
        <w:trPr>
          <w:trHeight w:val="215"/>
        </w:trPr>
        <w:tc>
          <w:tcPr>
            <w:tcW w:w="3880" w:type="dxa"/>
            <w:vAlign w:val="bottom"/>
            <w:tcBorders>
              <w:bottom w:val="single" w:sz="8" w:color="auto"/>
              <w:right w:val="single" w:sz="8" w:color="auto"/>
            </w:tcBorders>
          </w:tcPr>
          <w:p>
            <w:pPr>
              <w:spacing w:after="0"/>
              <w:rPr>
                <w:sz w:val="18"/>
                <w:szCs w:val="18"/>
                <w:color w:val="auto"/>
              </w:rPr>
            </w:pPr>
          </w:p>
        </w:tc>
        <w:tc>
          <w:tcPr>
            <w:tcW w:w="3980" w:type="dxa"/>
            <w:vAlign w:val="bottom"/>
            <w:tcBorders>
              <w:bottom w:val="single" w:sz="8" w:color="auto"/>
            </w:tcBorders>
          </w:tcPr>
          <w:p>
            <w:pPr>
              <w:spacing w:after="0"/>
              <w:rPr>
                <w:sz w:val="18"/>
                <w:szCs w:val="18"/>
                <w:color w:val="auto"/>
              </w:rPr>
            </w:pPr>
          </w:p>
        </w:tc>
      </w:tr>
      <w:tr>
        <w:trPr>
          <w:trHeight w:val="298"/>
        </w:trPr>
        <w:tc>
          <w:tcPr>
            <w:tcW w:w="38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2"/>
              </w:rPr>
              <w:t>CEO</w:t>
            </w:r>
          </w:p>
        </w:tc>
        <w:tc>
          <w:tcPr>
            <w:tcW w:w="3980" w:type="dxa"/>
            <w:vAlign w:val="bottom"/>
          </w:tcPr>
          <w:p>
            <w:pPr>
              <w:jc w:val="center"/>
              <w:spacing w:after="0"/>
              <w:rPr>
                <w:sz w:val="20"/>
                <w:szCs w:val="20"/>
                <w:color w:val="auto"/>
              </w:rPr>
            </w:pPr>
            <w:r>
              <w:rPr>
                <w:rFonts w:ascii="Arial" w:cs="Arial" w:eastAsia="Arial" w:hAnsi="Arial"/>
                <w:sz w:val="20"/>
                <w:szCs w:val="20"/>
                <w:color w:val="auto"/>
                <w:w w:val="94"/>
              </w:rPr>
              <w:t>6x</w:t>
            </w:r>
          </w:p>
        </w:tc>
      </w:tr>
      <w:tr>
        <w:trPr>
          <w:trHeight w:val="78"/>
        </w:trPr>
        <w:tc>
          <w:tcPr>
            <w:tcW w:w="3880" w:type="dxa"/>
            <w:vAlign w:val="bottom"/>
            <w:tcBorders>
              <w:bottom w:val="single" w:sz="8" w:color="auto"/>
              <w:right w:val="single" w:sz="8" w:color="auto"/>
            </w:tcBorders>
          </w:tcPr>
          <w:p>
            <w:pPr>
              <w:spacing w:after="0"/>
              <w:rPr>
                <w:sz w:val="6"/>
                <w:szCs w:val="6"/>
                <w:color w:val="auto"/>
              </w:rPr>
            </w:pPr>
          </w:p>
        </w:tc>
        <w:tc>
          <w:tcPr>
            <w:tcW w:w="3980" w:type="dxa"/>
            <w:vAlign w:val="bottom"/>
            <w:tcBorders>
              <w:bottom w:val="single" w:sz="8" w:color="auto"/>
            </w:tcBorders>
          </w:tcPr>
          <w:p>
            <w:pPr>
              <w:spacing w:after="0"/>
              <w:rPr>
                <w:sz w:val="6"/>
                <w:szCs w:val="6"/>
                <w:color w:val="auto"/>
              </w:rPr>
            </w:pPr>
          </w:p>
        </w:tc>
      </w:tr>
      <w:tr>
        <w:trPr>
          <w:trHeight w:val="298"/>
        </w:trPr>
        <w:tc>
          <w:tcPr>
            <w:tcW w:w="38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5"/>
              </w:rPr>
              <w:t>All other NEOs</w:t>
            </w:r>
          </w:p>
        </w:tc>
        <w:tc>
          <w:tcPr>
            <w:tcW w:w="3980" w:type="dxa"/>
            <w:vAlign w:val="bottom"/>
          </w:tcPr>
          <w:p>
            <w:pPr>
              <w:jc w:val="center"/>
              <w:spacing w:after="0"/>
              <w:rPr>
                <w:sz w:val="20"/>
                <w:szCs w:val="20"/>
                <w:color w:val="auto"/>
              </w:rPr>
            </w:pPr>
            <w:r>
              <w:rPr>
                <w:rFonts w:ascii="Arial" w:cs="Arial" w:eastAsia="Arial" w:hAnsi="Arial"/>
                <w:sz w:val="20"/>
                <w:szCs w:val="20"/>
                <w:color w:val="auto"/>
                <w:w w:val="94"/>
              </w:rPr>
              <w:t>3x</w:t>
            </w:r>
          </w:p>
        </w:tc>
      </w:tr>
      <w:tr>
        <w:trPr>
          <w:trHeight w:val="78"/>
        </w:trPr>
        <w:tc>
          <w:tcPr>
            <w:tcW w:w="3880" w:type="dxa"/>
            <w:vAlign w:val="bottom"/>
            <w:tcBorders>
              <w:bottom w:val="single" w:sz="8" w:color="auto"/>
              <w:right w:val="single" w:sz="8" w:color="auto"/>
            </w:tcBorders>
          </w:tcPr>
          <w:p>
            <w:pPr>
              <w:spacing w:after="0"/>
              <w:rPr>
                <w:sz w:val="6"/>
                <w:szCs w:val="6"/>
                <w:color w:val="auto"/>
              </w:rPr>
            </w:pPr>
          </w:p>
        </w:tc>
        <w:tc>
          <w:tcPr>
            <w:tcW w:w="3980" w:type="dxa"/>
            <w:vAlign w:val="bottom"/>
            <w:tcBorders>
              <w:bottom w:val="single" w:sz="8" w:color="auto"/>
            </w:tcBorders>
          </w:tcPr>
          <w:p>
            <w:pPr>
              <w:spacing w:after="0"/>
              <w:rPr>
                <w:sz w:val="6"/>
                <w:szCs w:val="6"/>
                <w:color w:val="auto"/>
              </w:rPr>
            </w:pPr>
          </w:p>
        </w:tc>
      </w:tr>
    </w:tbl>
    <w:p>
      <w:pPr>
        <w:spacing w:after="0" w:line="204" w:lineRule="exact"/>
        <w:rPr>
          <w:sz w:val="20"/>
          <w:szCs w:val="20"/>
          <w:color w:val="auto"/>
        </w:rPr>
      </w:pPr>
    </w:p>
    <w:p>
      <w:pPr>
        <w:jc w:val="both"/>
        <w:ind w:firstLine="595"/>
        <w:spacing w:after="0" w:line="284" w:lineRule="auto"/>
        <w:rPr>
          <w:sz w:val="20"/>
          <w:szCs w:val="20"/>
          <w:color w:val="auto"/>
        </w:rPr>
      </w:pPr>
      <w:r>
        <w:rPr>
          <w:rFonts w:ascii="Arial" w:cs="Arial" w:eastAsia="Arial" w:hAnsi="Arial"/>
          <w:sz w:val="18"/>
          <w:szCs w:val="18"/>
          <w:color w:val="auto"/>
        </w:rPr>
        <w:t>Until the ownership requirement is satisfied, an NEO is required to retain 50% of the after-tax number of shares of any Common Stock received as the result of an option exercise, vesting of restricted shares or issuance of deferred shares. At year-end, all the NEOs either owned more than the minimum level of Common Stock or were otherwise in compliance with the stock ownership guidelines.</w:t>
      </w:r>
    </w:p>
    <w:p>
      <w:pPr>
        <w:spacing w:after="0" w:line="133" w:lineRule="exact"/>
        <w:rPr>
          <w:sz w:val="20"/>
          <w:szCs w:val="20"/>
          <w:color w:val="auto"/>
        </w:rPr>
      </w:pPr>
    </w:p>
    <w:p>
      <w:pPr>
        <w:jc w:val="both"/>
        <w:ind w:firstLine="595"/>
        <w:spacing w:after="0" w:line="280" w:lineRule="auto"/>
        <w:rPr>
          <w:sz w:val="20"/>
          <w:szCs w:val="20"/>
          <w:color w:val="auto"/>
        </w:rPr>
      </w:pPr>
      <w:r>
        <w:rPr>
          <w:rFonts w:ascii="Arial" w:cs="Arial" w:eastAsia="Arial" w:hAnsi="Arial"/>
          <w:sz w:val="19"/>
          <w:szCs w:val="19"/>
          <w:i w:val="1"/>
          <w:iCs w:val="1"/>
          <w:color w:val="auto"/>
        </w:rPr>
        <w:t xml:space="preserve">Prohibition of Hedging and Pledging. </w:t>
      </w:r>
      <w:r>
        <w:rPr>
          <w:rFonts w:ascii="Arial" w:cs="Arial" w:eastAsia="Arial" w:hAnsi="Arial"/>
          <w:sz w:val="19"/>
          <w:szCs w:val="19"/>
          <w:color w:val="auto"/>
        </w:rPr>
        <w:t>Under the Company’s Corporate Governance Guidelines, the Company’s Directors, Officers</w:t>
      </w:r>
      <w:r>
        <w:rPr>
          <w:rFonts w:ascii="Arial" w:cs="Arial" w:eastAsia="Arial" w:hAnsi="Arial"/>
          <w:sz w:val="19"/>
          <w:szCs w:val="19"/>
          <w:i w:val="1"/>
          <w:iCs w:val="1"/>
          <w:color w:val="auto"/>
        </w:rPr>
        <w:t xml:space="preserve"> </w:t>
      </w:r>
      <w:r>
        <w:rPr>
          <w:rFonts w:ascii="Arial" w:cs="Arial" w:eastAsia="Arial" w:hAnsi="Arial"/>
          <w:sz w:val="19"/>
          <w:szCs w:val="19"/>
          <w:color w:val="auto"/>
        </w:rPr>
        <w:t>and other insiders may not engage in any form of hedging or pledging transactions with respect to Company securities.</w:t>
      </w:r>
    </w:p>
    <w:p>
      <w:pPr>
        <w:spacing w:after="0" w:line="129" w:lineRule="exact"/>
        <w:rPr>
          <w:sz w:val="20"/>
          <w:szCs w:val="20"/>
          <w:color w:val="auto"/>
        </w:rPr>
      </w:pPr>
    </w:p>
    <w:p>
      <w:pPr>
        <w:jc w:val="both"/>
        <w:ind w:firstLine="595"/>
        <w:spacing w:after="0" w:line="246" w:lineRule="auto"/>
        <w:rPr>
          <w:sz w:val="20"/>
          <w:szCs w:val="20"/>
          <w:color w:val="auto"/>
        </w:rPr>
      </w:pPr>
      <w:r>
        <w:rPr>
          <w:rFonts w:ascii="Arial" w:cs="Arial" w:eastAsia="Arial" w:hAnsi="Arial"/>
          <w:sz w:val="20"/>
          <w:szCs w:val="20"/>
          <w:b w:val="1"/>
          <w:bCs w:val="1"/>
          <w:color w:val="auto"/>
        </w:rPr>
        <w:t xml:space="preserve">Committee Process. </w:t>
      </w:r>
      <w:r>
        <w:rPr>
          <w:rFonts w:ascii="Arial" w:cs="Arial" w:eastAsia="Arial" w:hAnsi="Arial"/>
          <w:sz w:val="20"/>
          <w:szCs w:val="20"/>
          <w:color w:val="auto"/>
        </w:rPr>
        <w:t>The Committee meets as often as necessary to perform its duties and responsibilities. During 2019, the</w:t>
      </w:r>
      <w:r>
        <w:rPr>
          <w:rFonts w:ascii="Arial" w:cs="Arial" w:eastAsia="Arial" w:hAnsi="Arial"/>
          <w:sz w:val="20"/>
          <w:szCs w:val="20"/>
          <w:b w:val="1"/>
          <w:bCs w:val="1"/>
          <w:color w:val="auto"/>
        </w:rPr>
        <w:t xml:space="preserve"> </w:t>
      </w:r>
      <w:r>
        <w:rPr>
          <w:rFonts w:ascii="Arial" w:cs="Arial" w:eastAsia="Arial" w:hAnsi="Arial"/>
          <w:sz w:val="20"/>
          <w:szCs w:val="20"/>
          <w:color w:val="auto"/>
        </w:rPr>
        <w:t>Committee met two times. The Committee usually meets with the CEO and, when appropriate, with other Company Officers and outside advisors. In addition, the Committee periodically meets in executive session without management present.</w:t>
      </w:r>
    </w:p>
    <w:p>
      <w:pPr>
        <w:spacing w:after="0" w:line="167" w:lineRule="exact"/>
        <w:rPr>
          <w:sz w:val="20"/>
          <w:szCs w:val="20"/>
          <w:color w:val="auto"/>
        </w:rPr>
      </w:pPr>
    </w:p>
    <w:p>
      <w:pPr>
        <w:jc w:val="both"/>
        <w:ind w:firstLine="595"/>
        <w:spacing w:after="0" w:line="254" w:lineRule="auto"/>
        <w:rPr>
          <w:sz w:val="20"/>
          <w:szCs w:val="20"/>
          <w:color w:val="auto"/>
        </w:rPr>
      </w:pPr>
      <w:r>
        <w:rPr>
          <w:rFonts w:ascii="Arial" w:cs="Arial" w:eastAsia="Arial" w:hAnsi="Arial"/>
          <w:sz w:val="19"/>
          <w:szCs w:val="19"/>
          <w:i w:val="1"/>
          <w:iCs w:val="1"/>
          <w:color w:val="auto"/>
        </w:rPr>
        <w:t>Setting of Meeting Agenda</w:t>
      </w:r>
      <w:r>
        <w:rPr>
          <w:rFonts w:ascii="Arial" w:cs="Arial" w:eastAsia="Arial" w:hAnsi="Arial"/>
          <w:sz w:val="19"/>
          <w:szCs w:val="19"/>
          <w:color w:val="auto"/>
        </w:rPr>
        <w:t>. The Committee’s meeting agenda is normally established by the Committee Chair in consultation with the</w:t>
      </w:r>
      <w:r>
        <w:rPr>
          <w:rFonts w:ascii="Arial" w:cs="Arial" w:eastAsia="Arial" w:hAnsi="Arial"/>
          <w:sz w:val="19"/>
          <w:szCs w:val="19"/>
          <w:i w:val="1"/>
          <w:iCs w:val="1"/>
          <w:color w:val="auto"/>
        </w:rPr>
        <w:t xml:space="preserve"> </w:t>
      </w:r>
      <w:r>
        <w:rPr>
          <w:rFonts w:ascii="Arial" w:cs="Arial" w:eastAsia="Arial" w:hAnsi="Arial"/>
          <w:sz w:val="19"/>
          <w:szCs w:val="19"/>
          <w:color w:val="auto"/>
        </w:rPr>
        <w:t>CEO and the Vice President of Human Resources. Committee members receive and review materials in advance of each meeting. Depending on the meeting’s agenda, such materials may include: financial reports regarding the Company’s performance, reports on achievement of corporate objectives, reports detailing executives’ stock ownership and stock awards and information regarding the compensation programs and compensation levels of certain peer group companies.</w:t>
      </w:r>
    </w:p>
    <w:p>
      <w:pPr>
        <w:spacing w:after="0" w:line="159" w:lineRule="exact"/>
        <w:rPr>
          <w:sz w:val="20"/>
          <w:szCs w:val="20"/>
          <w:color w:val="auto"/>
        </w:rPr>
      </w:pPr>
    </w:p>
    <w:p>
      <w:pPr>
        <w:jc w:val="both"/>
        <w:ind w:firstLine="595"/>
        <w:spacing w:after="0" w:line="238" w:lineRule="auto"/>
        <w:rPr>
          <w:sz w:val="20"/>
          <w:szCs w:val="20"/>
          <w:color w:val="auto"/>
        </w:rPr>
      </w:pPr>
      <w:r>
        <w:rPr>
          <w:rFonts w:ascii="Arial" w:cs="Arial" w:eastAsia="Arial" w:hAnsi="Arial"/>
          <w:sz w:val="20"/>
          <w:szCs w:val="20"/>
          <w:i w:val="1"/>
          <w:iCs w:val="1"/>
          <w:color w:val="auto"/>
        </w:rPr>
        <w:t>Use of Tally Sheets</w:t>
      </w:r>
      <w:r>
        <w:rPr>
          <w:rFonts w:ascii="Arial" w:cs="Arial" w:eastAsia="Arial" w:hAnsi="Arial"/>
          <w:sz w:val="20"/>
          <w:szCs w:val="20"/>
          <w:color w:val="auto"/>
        </w:rPr>
        <w:t>. The Committee reviews tally sheets when setting annual compensation for the NEOs. These tally sheets allow the</w:t>
      </w:r>
      <w:r>
        <w:rPr>
          <w:rFonts w:ascii="Arial" w:cs="Arial" w:eastAsia="Arial" w:hAnsi="Arial"/>
          <w:sz w:val="20"/>
          <w:szCs w:val="20"/>
          <w:i w:val="1"/>
          <w:iCs w:val="1"/>
          <w:color w:val="auto"/>
        </w:rPr>
        <w:t xml:space="preserve"> </w:t>
      </w:r>
      <w:r>
        <w:rPr>
          <w:rFonts w:ascii="Arial" w:cs="Arial" w:eastAsia="Arial" w:hAnsi="Arial"/>
          <w:sz w:val="20"/>
          <w:szCs w:val="20"/>
          <w:color w:val="auto"/>
        </w:rPr>
        <w:t>Committee to review each NEO’s compensation on an aggregate basis and to see how a change in any one component affects each NEO’s total compensation. For 2019, the Committee used the tally sheet information to review total compensation, the current mix of compensation (e.g., cash versus equity), issues of internal pay equity, total value of Company stock held by each NEO, payouts under certain potential termination scenarios and the aggregate value of retirement benefits.</w:t>
      </w:r>
    </w:p>
    <w:p>
      <w:pPr>
        <w:spacing w:after="0" w:line="174" w:lineRule="exact"/>
        <w:rPr>
          <w:sz w:val="20"/>
          <w:szCs w:val="20"/>
          <w:color w:val="auto"/>
        </w:rPr>
      </w:pPr>
    </w:p>
    <w:p>
      <w:pPr>
        <w:jc w:val="both"/>
        <w:ind w:firstLine="595"/>
        <w:spacing w:after="0" w:line="243" w:lineRule="auto"/>
        <w:rPr>
          <w:sz w:val="20"/>
          <w:szCs w:val="20"/>
          <w:color w:val="auto"/>
        </w:rPr>
      </w:pPr>
      <w:r>
        <w:rPr>
          <w:rFonts w:ascii="Arial" w:cs="Arial" w:eastAsia="Arial" w:hAnsi="Arial"/>
          <w:sz w:val="20"/>
          <w:szCs w:val="20"/>
          <w:i w:val="1"/>
          <w:iCs w:val="1"/>
          <w:color w:val="auto"/>
        </w:rPr>
        <w:t>Retention of Compensation Consultants</w:t>
      </w:r>
      <w:r>
        <w:rPr>
          <w:rFonts w:ascii="Arial" w:cs="Arial" w:eastAsia="Arial" w:hAnsi="Arial"/>
          <w:sz w:val="20"/>
          <w:szCs w:val="20"/>
          <w:color w:val="auto"/>
        </w:rPr>
        <w:t>. The Committee’s charter authorizes the Committee, in its sole discretion, to retain, oversee</w:t>
      </w:r>
      <w:r>
        <w:rPr>
          <w:rFonts w:ascii="Arial" w:cs="Arial" w:eastAsia="Arial" w:hAnsi="Arial"/>
          <w:sz w:val="20"/>
          <w:szCs w:val="20"/>
          <w:i w:val="1"/>
          <w:iCs w:val="1"/>
          <w:color w:val="auto"/>
        </w:rPr>
        <w:t xml:space="preserve"> </w:t>
      </w:r>
      <w:r>
        <w:rPr>
          <w:rFonts w:ascii="Arial" w:cs="Arial" w:eastAsia="Arial" w:hAnsi="Arial"/>
          <w:sz w:val="20"/>
          <w:szCs w:val="20"/>
          <w:color w:val="auto"/>
        </w:rPr>
        <w:t>and terminate consultants to assist it in the evaluation of compensation for the NEOs. The Committee has sole authority to approve the fees and other retention terms of any such consultants.</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34</w:t>
      </w:r>
    </w:p>
    <w:p>
      <w:pPr>
        <w:sectPr>
          <w:pgSz w:w="11900" w:h="16838" w:orient="portrait"/>
          <w:cols w:equalWidth="0" w:num="1">
            <w:col w:w="11240"/>
          </w:cols>
          <w:pgMar w:left="320" w:top="443" w:right="339" w:bottom="1440" w:gutter="0" w:footer="0" w:header="0"/>
        </w:sectPr>
      </w:pPr>
    </w:p>
    <w:bookmarkStart w:id="38" w:name="page39"/>
    <w:bookmarkEnd w:id="38"/>
    <w:p>
      <w:pPr>
        <w:jc w:val="both"/>
        <w:ind w:firstLine="595"/>
        <w:spacing w:after="0" w:line="242" w:lineRule="auto"/>
        <w:rPr>
          <w:sz w:val="20"/>
          <w:szCs w:val="20"/>
          <w:color w:val="auto"/>
        </w:rPr>
      </w:pPr>
      <w:r>
        <w:rPr>
          <w:rFonts w:ascii="Arial" w:cs="Arial" w:eastAsia="Arial" w:hAnsi="Arial"/>
          <w:sz w:val="20"/>
          <w:szCs w:val="20"/>
          <w:b w:val="1"/>
          <w:bCs w:val="1"/>
          <w:color w:val="auto"/>
        </w:rPr>
        <w:t xml:space="preserve">Role of Executive Officers in Compensation Decisions. </w:t>
      </w:r>
      <w:r>
        <w:rPr>
          <w:rFonts w:ascii="Arial" w:cs="Arial" w:eastAsia="Arial" w:hAnsi="Arial"/>
          <w:sz w:val="20"/>
          <w:szCs w:val="20"/>
          <w:color w:val="auto"/>
        </w:rPr>
        <w:t>The Committee makes all decisions regarding the CEO’s compensation.</w:t>
      </w:r>
      <w:r>
        <w:rPr>
          <w:rFonts w:ascii="Arial" w:cs="Arial" w:eastAsia="Arial" w:hAnsi="Arial"/>
          <w:sz w:val="20"/>
          <w:szCs w:val="20"/>
          <w:b w:val="1"/>
          <w:bCs w:val="1"/>
          <w:color w:val="auto"/>
        </w:rPr>
        <w:t xml:space="preserve"> </w:t>
      </w:r>
      <w:r>
        <w:rPr>
          <w:rFonts w:ascii="Arial" w:cs="Arial" w:eastAsia="Arial" w:hAnsi="Arial"/>
          <w:sz w:val="20"/>
          <w:szCs w:val="20"/>
          <w:color w:val="auto"/>
        </w:rPr>
        <w:t>Decisions regarding the compensation of other NEOs are made by the Committee in consultation with, and upon the recommendation of, the CEO. In this regard, the CEO provides the Committee with evaluations of business goals and objectives and executive performance and recommendations regarding salary levels, equity grants and other incentive awards.</w:t>
      </w:r>
    </w:p>
    <w:p>
      <w:pPr>
        <w:spacing w:after="0" w:line="164" w:lineRule="exact"/>
        <w:rPr>
          <w:sz w:val="20"/>
          <w:szCs w:val="20"/>
          <w:color w:val="auto"/>
        </w:rPr>
      </w:pPr>
    </w:p>
    <w:p>
      <w:pPr>
        <w:jc w:val="both"/>
        <w:ind w:firstLine="595"/>
        <w:spacing w:after="0" w:line="246" w:lineRule="auto"/>
        <w:rPr>
          <w:sz w:val="20"/>
          <w:szCs w:val="20"/>
          <w:color w:val="auto"/>
        </w:rPr>
      </w:pPr>
      <w:r>
        <w:rPr>
          <w:rFonts w:ascii="Arial" w:cs="Arial" w:eastAsia="Arial" w:hAnsi="Arial"/>
          <w:sz w:val="20"/>
          <w:szCs w:val="20"/>
          <w:b w:val="1"/>
          <w:bCs w:val="1"/>
          <w:color w:val="auto"/>
        </w:rPr>
        <w:t xml:space="preserve">Executive Compensation Consultant. </w:t>
      </w:r>
      <w:r>
        <w:rPr>
          <w:rFonts w:ascii="Arial" w:cs="Arial" w:eastAsia="Arial" w:hAnsi="Arial"/>
          <w:sz w:val="20"/>
          <w:szCs w:val="20"/>
          <w:color w:val="auto"/>
        </w:rPr>
        <w:t>Pursuant to its authority under its charter to retain compensation consultants, the Committee</w:t>
      </w:r>
      <w:r>
        <w:rPr>
          <w:rFonts w:ascii="Arial" w:cs="Arial" w:eastAsia="Arial" w:hAnsi="Arial"/>
          <w:sz w:val="20"/>
          <w:szCs w:val="20"/>
          <w:b w:val="1"/>
          <w:bCs w:val="1"/>
          <w:color w:val="auto"/>
        </w:rPr>
        <w:t xml:space="preserve"> </w:t>
      </w:r>
      <w:r>
        <w:rPr>
          <w:rFonts w:ascii="Arial" w:cs="Arial" w:eastAsia="Arial" w:hAnsi="Arial"/>
          <w:sz w:val="20"/>
          <w:szCs w:val="20"/>
          <w:color w:val="auto"/>
        </w:rPr>
        <w:t>engaged Pay Governance, LLC, an executive compensation consulting firm, to act as its independent advisor with respect to 2019 compensation decisions.</w:t>
      </w:r>
    </w:p>
    <w:p>
      <w:pPr>
        <w:spacing w:after="0" w:line="167" w:lineRule="exact"/>
        <w:rPr>
          <w:sz w:val="20"/>
          <w:szCs w:val="20"/>
          <w:color w:val="auto"/>
        </w:rPr>
      </w:pPr>
    </w:p>
    <w:p>
      <w:pPr>
        <w:jc w:val="both"/>
        <w:ind w:firstLine="595"/>
        <w:spacing w:after="0" w:line="251" w:lineRule="auto"/>
        <w:rPr>
          <w:sz w:val="20"/>
          <w:szCs w:val="20"/>
          <w:color w:val="auto"/>
        </w:rPr>
      </w:pPr>
      <w:r>
        <w:rPr>
          <w:rFonts w:ascii="Arial" w:cs="Arial" w:eastAsia="Arial" w:hAnsi="Arial"/>
          <w:sz w:val="19"/>
          <w:szCs w:val="19"/>
          <w:i w:val="1"/>
          <w:iCs w:val="1"/>
          <w:color w:val="auto"/>
        </w:rPr>
        <w:t>Consultant Independence</w:t>
      </w:r>
      <w:r>
        <w:rPr>
          <w:rFonts w:ascii="Arial" w:cs="Arial" w:eastAsia="Arial" w:hAnsi="Arial"/>
          <w:sz w:val="19"/>
          <w:szCs w:val="19"/>
          <w:color w:val="auto"/>
        </w:rPr>
        <w:t>. All services provided by Pay Governance to the Committee are conducted under the direction and authority</w:t>
      </w:r>
      <w:r>
        <w:rPr>
          <w:rFonts w:ascii="Arial" w:cs="Arial" w:eastAsia="Arial" w:hAnsi="Arial"/>
          <w:sz w:val="19"/>
          <w:szCs w:val="19"/>
          <w:i w:val="1"/>
          <w:iCs w:val="1"/>
          <w:color w:val="auto"/>
        </w:rPr>
        <w:t xml:space="preserve"> </w:t>
      </w:r>
      <w:r>
        <w:rPr>
          <w:rFonts w:ascii="Arial" w:cs="Arial" w:eastAsia="Arial" w:hAnsi="Arial"/>
          <w:sz w:val="19"/>
          <w:szCs w:val="19"/>
          <w:color w:val="auto"/>
        </w:rPr>
        <w:t>of the Committee, and all work performed by Pay Governance must be pre-approved by the Committee. Pay Governance does not provide any other services to the Company, and neither Pay Governance nor the individuals affiliated with Pay Governance who provide services to the Company own any shares of the Company’s stock. There are no personal or business relationships between the Pay Governance consultants and any executive of the Company. In addition, there are no personal relationships between the Pay Governance consultants and any member of the Committee. Pay Governance maintains a detailed conflict of interest policy in order to ensure that compensation committees receive conflict-free advice.</w:t>
      </w:r>
    </w:p>
    <w:p>
      <w:pPr>
        <w:spacing w:after="0" w:line="156" w:lineRule="exact"/>
        <w:rPr>
          <w:sz w:val="20"/>
          <w:szCs w:val="20"/>
          <w:color w:val="auto"/>
        </w:rPr>
      </w:pPr>
    </w:p>
    <w:p>
      <w:pPr>
        <w:jc w:val="both"/>
        <w:ind w:firstLine="595"/>
        <w:spacing w:after="0" w:line="246" w:lineRule="auto"/>
        <w:rPr>
          <w:sz w:val="20"/>
          <w:szCs w:val="20"/>
          <w:color w:val="auto"/>
        </w:rPr>
      </w:pPr>
      <w:r>
        <w:rPr>
          <w:rFonts w:ascii="Arial" w:cs="Arial" w:eastAsia="Arial" w:hAnsi="Arial"/>
          <w:sz w:val="20"/>
          <w:szCs w:val="20"/>
          <w:b w:val="1"/>
          <w:bCs w:val="1"/>
          <w:color w:val="auto"/>
        </w:rPr>
        <w:t xml:space="preserve">Use of Benchmarking. </w:t>
      </w:r>
      <w:r>
        <w:rPr>
          <w:rFonts w:ascii="Arial" w:cs="Arial" w:eastAsia="Arial" w:hAnsi="Arial"/>
          <w:sz w:val="20"/>
          <w:szCs w:val="20"/>
          <w:color w:val="auto"/>
        </w:rPr>
        <w:t>In advising the Committee regarding 2019 compensation for our NEOs, Pay Governance developed</w:t>
      </w:r>
      <w:r>
        <w:rPr>
          <w:rFonts w:ascii="Arial" w:cs="Arial" w:eastAsia="Arial" w:hAnsi="Arial"/>
          <w:sz w:val="20"/>
          <w:szCs w:val="20"/>
          <w:b w:val="1"/>
          <w:bCs w:val="1"/>
          <w:color w:val="auto"/>
        </w:rPr>
        <w:t xml:space="preserve"> </w:t>
      </w:r>
      <w:r>
        <w:rPr>
          <w:rFonts w:ascii="Arial" w:cs="Arial" w:eastAsia="Arial" w:hAnsi="Arial"/>
          <w:sz w:val="20"/>
          <w:szCs w:val="20"/>
          <w:color w:val="auto"/>
        </w:rPr>
        <w:t>competitive compensation levels by establishing a benchmark match for each NEO position in the competitive market. Competitive levels were developed for the following elements of pay:</w:t>
      </w:r>
    </w:p>
    <w:p>
      <w:pPr>
        <w:spacing w:after="0" w:line="130" w:lineRule="exact"/>
        <w:rPr>
          <w:sz w:val="20"/>
          <w:szCs w:val="20"/>
          <w:color w:val="auto"/>
        </w:rPr>
      </w:pPr>
    </w:p>
    <w:p>
      <w:pPr>
        <w:ind w:left="1120" w:hanging="439"/>
        <w:spacing w:after="0"/>
        <w:tabs>
          <w:tab w:leader="none" w:pos="1120" w:val="left"/>
        </w:tabs>
        <w:numPr>
          <w:ilvl w:val="0"/>
          <w:numId w:val="24"/>
        </w:numPr>
        <w:rPr>
          <w:rFonts w:ascii="Arial" w:cs="Arial" w:eastAsia="Arial" w:hAnsi="Arial"/>
          <w:sz w:val="20"/>
          <w:szCs w:val="20"/>
          <w:color w:val="auto"/>
        </w:rPr>
      </w:pPr>
      <w:r>
        <w:rPr>
          <w:rFonts w:ascii="Arial" w:cs="Arial" w:eastAsia="Arial" w:hAnsi="Arial"/>
          <w:sz w:val="20"/>
          <w:szCs w:val="20"/>
          <w:color w:val="auto"/>
        </w:rPr>
        <w:t>base salary</w:t>
      </w:r>
    </w:p>
    <w:p>
      <w:pPr>
        <w:spacing w:after="0" w:line="9" w:lineRule="exact"/>
        <w:rPr>
          <w:rFonts w:ascii="Arial" w:cs="Arial" w:eastAsia="Arial" w:hAnsi="Arial"/>
          <w:sz w:val="20"/>
          <w:szCs w:val="20"/>
          <w:color w:val="auto"/>
        </w:rPr>
      </w:pPr>
    </w:p>
    <w:p>
      <w:pPr>
        <w:ind w:left="1120" w:hanging="439"/>
        <w:spacing w:after="0" w:line="232" w:lineRule="auto"/>
        <w:tabs>
          <w:tab w:leader="none" w:pos="1120" w:val="left"/>
        </w:tabs>
        <w:numPr>
          <w:ilvl w:val="0"/>
          <w:numId w:val="24"/>
        </w:numPr>
        <w:rPr>
          <w:rFonts w:ascii="Arial" w:cs="Arial" w:eastAsia="Arial" w:hAnsi="Arial"/>
          <w:sz w:val="20"/>
          <w:szCs w:val="20"/>
          <w:color w:val="auto"/>
        </w:rPr>
      </w:pPr>
      <w:r>
        <w:rPr>
          <w:rFonts w:ascii="Arial" w:cs="Arial" w:eastAsia="Arial" w:hAnsi="Arial"/>
          <w:sz w:val="20"/>
          <w:szCs w:val="20"/>
          <w:color w:val="auto"/>
        </w:rPr>
        <w:t>target annual incentive</w:t>
      </w:r>
    </w:p>
    <w:p>
      <w:pPr>
        <w:ind w:left="1120" w:hanging="439"/>
        <w:spacing w:after="0" w:line="232" w:lineRule="auto"/>
        <w:tabs>
          <w:tab w:leader="none" w:pos="1120" w:val="left"/>
        </w:tabs>
        <w:numPr>
          <w:ilvl w:val="0"/>
          <w:numId w:val="24"/>
        </w:numPr>
        <w:rPr>
          <w:rFonts w:ascii="Arial" w:cs="Arial" w:eastAsia="Arial" w:hAnsi="Arial"/>
          <w:sz w:val="20"/>
          <w:szCs w:val="20"/>
          <w:color w:val="auto"/>
        </w:rPr>
      </w:pPr>
      <w:r>
        <w:rPr>
          <w:rFonts w:ascii="Arial" w:cs="Arial" w:eastAsia="Arial" w:hAnsi="Arial"/>
          <w:sz w:val="20"/>
          <w:szCs w:val="20"/>
          <w:color w:val="auto"/>
        </w:rPr>
        <w:t>target total cash compensation (base salary plus target annual incentive)</w:t>
      </w:r>
    </w:p>
    <w:p>
      <w:pPr>
        <w:ind w:left="1120" w:hanging="439"/>
        <w:spacing w:after="0" w:line="232" w:lineRule="auto"/>
        <w:tabs>
          <w:tab w:leader="none" w:pos="1120" w:val="left"/>
        </w:tabs>
        <w:numPr>
          <w:ilvl w:val="0"/>
          <w:numId w:val="24"/>
        </w:numPr>
        <w:rPr>
          <w:rFonts w:ascii="Arial" w:cs="Arial" w:eastAsia="Arial" w:hAnsi="Arial"/>
          <w:sz w:val="20"/>
          <w:szCs w:val="20"/>
          <w:color w:val="auto"/>
        </w:rPr>
      </w:pPr>
      <w:r>
        <w:rPr>
          <w:rFonts w:ascii="Arial" w:cs="Arial" w:eastAsia="Arial" w:hAnsi="Arial"/>
          <w:sz w:val="20"/>
          <w:szCs w:val="20"/>
          <w:color w:val="auto"/>
        </w:rPr>
        <w:t>long-term equity incentives</w:t>
      </w:r>
    </w:p>
    <w:p>
      <w:pPr>
        <w:ind w:left="1120" w:hanging="439"/>
        <w:spacing w:after="0" w:line="232" w:lineRule="auto"/>
        <w:tabs>
          <w:tab w:leader="none" w:pos="1120" w:val="left"/>
        </w:tabs>
        <w:numPr>
          <w:ilvl w:val="0"/>
          <w:numId w:val="24"/>
        </w:numPr>
        <w:rPr>
          <w:rFonts w:ascii="Arial" w:cs="Arial" w:eastAsia="Arial" w:hAnsi="Arial"/>
          <w:sz w:val="20"/>
          <w:szCs w:val="20"/>
          <w:color w:val="auto"/>
        </w:rPr>
      </w:pPr>
      <w:r>
        <w:rPr>
          <w:rFonts w:ascii="Arial" w:cs="Arial" w:eastAsia="Arial" w:hAnsi="Arial"/>
          <w:sz w:val="20"/>
          <w:szCs w:val="20"/>
          <w:color w:val="auto"/>
        </w:rPr>
        <w:t>target total direct compensation (target total cash compensation plus the value of long-term equity incentives)</w:t>
      </w:r>
    </w:p>
    <w:p>
      <w:pPr>
        <w:ind w:left="1120" w:hanging="439"/>
        <w:spacing w:after="0" w:line="232" w:lineRule="auto"/>
        <w:tabs>
          <w:tab w:leader="none" w:pos="1120" w:val="left"/>
        </w:tabs>
        <w:numPr>
          <w:ilvl w:val="0"/>
          <w:numId w:val="24"/>
        </w:numPr>
        <w:rPr>
          <w:rFonts w:ascii="Arial" w:cs="Arial" w:eastAsia="Arial" w:hAnsi="Arial"/>
          <w:sz w:val="20"/>
          <w:szCs w:val="20"/>
          <w:color w:val="auto"/>
        </w:rPr>
      </w:pPr>
      <w:r>
        <w:rPr>
          <w:rFonts w:ascii="Arial" w:cs="Arial" w:eastAsia="Arial" w:hAnsi="Arial"/>
          <w:sz w:val="20"/>
          <w:szCs w:val="20"/>
          <w:color w:val="auto"/>
        </w:rPr>
        <w:t>annualized value of retirement benefits</w:t>
      </w:r>
    </w:p>
    <w:p>
      <w:pPr>
        <w:ind w:left="1120" w:hanging="439"/>
        <w:spacing w:after="0"/>
        <w:tabs>
          <w:tab w:leader="none" w:pos="1120" w:val="left"/>
        </w:tabs>
        <w:numPr>
          <w:ilvl w:val="0"/>
          <w:numId w:val="24"/>
        </w:numPr>
        <w:rPr>
          <w:rFonts w:ascii="Arial" w:cs="Arial" w:eastAsia="Arial" w:hAnsi="Arial"/>
          <w:sz w:val="20"/>
          <w:szCs w:val="20"/>
          <w:color w:val="auto"/>
        </w:rPr>
      </w:pPr>
      <w:r>
        <w:rPr>
          <w:rFonts w:ascii="Arial" w:cs="Arial" w:eastAsia="Arial" w:hAnsi="Arial"/>
          <w:sz w:val="20"/>
          <w:szCs w:val="20"/>
          <w:color w:val="auto"/>
        </w:rPr>
        <w:t>target total remuneration (target total direct compensation plus the annualized value of retirement benefits)</w:t>
      </w:r>
    </w:p>
    <w:p>
      <w:pPr>
        <w:spacing w:after="0" w:line="71" w:lineRule="exact"/>
        <w:rPr>
          <w:sz w:val="20"/>
          <w:szCs w:val="20"/>
          <w:color w:val="auto"/>
        </w:rPr>
      </w:pPr>
    </w:p>
    <w:p>
      <w:pPr>
        <w:jc w:val="both"/>
        <w:ind w:firstLine="595"/>
        <w:spacing w:after="0" w:line="259" w:lineRule="auto"/>
        <w:rPr>
          <w:sz w:val="20"/>
          <w:szCs w:val="20"/>
          <w:color w:val="auto"/>
        </w:rPr>
      </w:pPr>
      <w:r>
        <w:rPr>
          <w:rFonts w:ascii="Arial" w:cs="Arial" w:eastAsia="Arial" w:hAnsi="Arial"/>
          <w:sz w:val="19"/>
          <w:szCs w:val="19"/>
          <w:b w:val="1"/>
          <w:bCs w:val="1"/>
          <w:color w:val="auto"/>
        </w:rPr>
        <w:t xml:space="preserve">Peer Group Composition. </w:t>
      </w:r>
      <w:r>
        <w:rPr>
          <w:rFonts w:ascii="Arial" w:cs="Arial" w:eastAsia="Arial" w:hAnsi="Arial"/>
          <w:sz w:val="19"/>
          <w:szCs w:val="19"/>
          <w:color w:val="auto"/>
        </w:rPr>
        <w:t>In establishing its benchmarks for each of the NEOs, Pay Governance gathered data for 17 public</w:t>
      </w:r>
      <w:r>
        <w:rPr>
          <w:rFonts w:ascii="Arial" w:cs="Arial" w:eastAsia="Arial" w:hAnsi="Arial"/>
          <w:sz w:val="19"/>
          <w:szCs w:val="19"/>
          <w:b w:val="1"/>
          <w:bCs w:val="1"/>
          <w:color w:val="auto"/>
        </w:rPr>
        <w:t xml:space="preserve"> </w:t>
      </w:r>
      <w:r>
        <w:rPr>
          <w:rFonts w:ascii="Arial" w:cs="Arial" w:eastAsia="Arial" w:hAnsi="Arial"/>
          <w:sz w:val="19"/>
          <w:szCs w:val="19"/>
          <w:color w:val="auto"/>
        </w:rPr>
        <w:t>companies, or divisions of public companies, defined as the “Peer Group.” Members of the Peer Group are manufacturing companies of similar scope and are generally from the following three categories: (i) other packaging companies, (ii) current or potential suppliers to the Company and (iii) current or potential customers of the Company. The Peer Group comprises the following companies:</w:t>
      </w:r>
    </w:p>
    <w:p>
      <w:pPr>
        <w:spacing w:after="0" w:line="98"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260" w:type="dxa"/>
            <w:vAlign w:val="bottom"/>
          </w:tcPr>
          <w:p>
            <w:pPr>
              <w:jc w:val="right"/>
              <w:ind w:right="181"/>
              <w:spacing w:after="0"/>
              <w:rPr>
                <w:sz w:val="20"/>
                <w:szCs w:val="20"/>
                <w:color w:val="auto"/>
              </w:rPr>
            </w:pPr>
            <w:r>
              <w:rPr>
                <w:rFonts w:ascii="Arial" w:cs="Arial" w:eastAsia="Arial" w:hAnsi="Arial"/>
                <w:sz w:val="8"/>
                <w:szCs w:val="8"/>
                <w:color w:val="auto"/>
                <w:w w:val="73"/>
              </w:rPr>
              <w:t>·</w:t>
            </w:r>
          </w:p>
        </w:tc>
        <w:tc>
          <w:tcPr>
            <w:tcW w:w="4120" w:type="dxa"/>
            <w:vAlign w:val="bottom"/>
          </w:tcPr>
          <w:p>
            <w:pPr>
              <w:ind w:left="200"/>
              <w:spacing w:after="0"/>
              <w:rPr>
                <w:sz w:val="20"/>
                <w:szCs w:val="20"/>
                <w:color w:val="auto"/>
              </w:rPr>
            </w:pPr>
            <w:r>
              <w:rPr>
                <w:rFonts w:ascii="Arial" w:cs="Arial" w:eastAsia="Arial" w:hAnsi="Arial"/>
                <w:sz w:val="18"/>
                <w:szCs w:val="18"/>
                <w:color w:val="auto"/>
              </w:rPr>
              <w:t>Avery Dennison Corporation</w:t>
            </w:r>
          </w:p>
        </w:tc>
        <w:tc>
          <w:tcPr>
            <w:tcW w:w="206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2600" w:type="dxa"/>
            <w:vAlign w:val="bottom"/>
          </w:tcPr>
          <w:p>
            <w:pPr>
              <w:ind w:left="200"/>
              <w:spacing w:after="0"/>
              <w:rPr>
                <w:sz w:val="20"/>
                <w:szCs w:val="20"/>
                <w:color w:val="auto"/>
              </w:rPr>
            </w:pPr>
            <w:r>
              <w:rPr>
                <w:rFonts w:ascii="Arial" w:cs="Arial" w:eastAsia="Arial" w:hAnsi="Arial"/>
                <w:sz w:val="18"/>
                <w:szCs w:val="18"/>
                <w:color w:val="auto"/>
              </w:rPr>
              <w:t>Nestlé USA</w:t>
            </w:r>
          </w:p>
        </w:tc>
      </w:tr>
      <w:tr>
        <w:trPr>
          <w:trHeight w:val="223"/>
        </w:trPr>
        <w:tc>
          <w:tcPr>
            <w:tcW w:w="260" w:type="dxa"/>
            <w:vAlign w:val="bottom"/>
          </w:tcPr>
          <w:p>
            <w:pPr>
              <w:jc w:val="right"/>
              <w:ind w:right="181"/>
              <w:spacing w:after="0"/>
              <w:rPr>
                <w:sz w:val="20"/>
                <w:szCs w:val="20"/>
                <w:color w:val="auto"/>
              </w:rPr>
            </w:pPr>
            <w:r>
              <w:rPr>
                <w:rFonts w:ascii="Arial" w:cs="Arial" w:eastAsia="Arial" w:hAnsi="Arial"/>
                <w:sz w:val="8"/>
                <w:szCs w:val="8"/>
                <w:color w:val="auto"/>
                <w:w w:val="73"/>
              </w:rPr>
              <w:t>·</w:t>
            </w:r>
          </w:p>
        </w:tc>
        <w:tc>
          <w:tcPr>
            <w:tcW w:w="4120" w:type="dxa"/>
            <w:vAlign w:val="bottom"/>
          </w:tcPr>
          <w:p>
            <w:pPr>
              <w:ind w:left="200"/>
              <w:spacing w:after="0"/>
              <w:rPr>
                <w:sz w:val="20"/>
                <w:szCs w:val="20"/>
                <w:color w:val="auto"/>
              </w:rPr>
            </w:pPr>
            <w:r>
              <w:rPr>
                <w:rFonts w:ascii="Arial" w:cs="Arial" w:eastAsia="Arial" w:hAnsi="Arial"/>
                <w:sz w:val="18"/>
                <w:szCs w:val="18"/>
                <w:color w:val="auto"/>
              </w:rPr>
              <w:t>Ball Corporation</w:t>
            </w:r>
          </w:p>
        </w:tc>
        <w:tc>
          <w:tcPr>
            <w:tcW w:w="2060" w:type="dxa"/>
            <w:vAlign w:val="bottom"/>
          </w:tcPr>
          <w:p>
            <w:pPr>
              <w:jc w:val="right"/>
              <w:ind w:right="101"/>
              <w:spacing w:after="0" w:line="223" w:lineRule="exact"/>
              <w:rPr>
                <w:sz w:val="20"/>
                <w:szCs w:val="20"/>
                <w:color w:val="auto"/>
              </w:rPr>
            </w:pPr>
            <w:r>
              <w:rPr>
                <w:rFonts w:ascii="Arial" w:cs="Arial" w:eastAsia="Arial" w:hAnsi="Arial"/>
                <w:sz w:val="20"/>
                <w:szCs w:val="20"/>
                <w:color w:val="auto"/>
              </w:rPr>
              <w:t>·</w:t>
            </w:r>
          </w:p>
        </w:tc>
        <w:tc>
          <w:tcPr>
            <w:tcW w:w="2600" w:type="dxa"/>
            <w:vAlign w:val="bottom"/>
          </w:tcPr>
          <w:p>
            <w:pPr>
              <w:ind w:left="200"/>
              <w:spacing w:after="0"/>
              <w:rPr>
                <w:sz w:val="20"/>
                <w:szCs w:val="20"/>
                <w:color w:val="auto"/>
              </w:rPr>
            </w:pPr>
            <w:r>
              <w:rPr>
                <w:rFonts w:ascii="Arial" w:cs="Arial" w:eastAsia="Arial" w:hAnsi="Arial"/>
                <w:sz w:val="18"/>
                <w:szCs w:val="18"/>
                <w:color w:val="auto"/>
              </w:rPr>
              <w:t>O-I Glass</w:t>
            </w:r>
          </w:p>
        </w:tc>
      </w:tr>
      <w:tr>
        <w:trPr>
          <w:trHeight w:val="223"/>
        </w:trPr>
        <w:tc>
          <w:tcPr>
            <w:tcW w:w="260" w:type="dxa"/>
            <w:vAlign w:val="bottom"/>
          </w:tcPr>
          <w:p>
            <w:pPr>
              <w:jc w:val="right"/>
              <w:ind w:right="181"/>
              <w:spacing w:after="0"/>
              <w:rPr>
                <w:sz w:val="20"/>
                <w:szCs w:val="20"/>
                <w:color w:val="auto"/>
              </w:rPr>
            </w:pPr>
            <w:r>
              <w:rPr>
                <w:rFonts w:ascii="Arial" w:cs="Arial" w:eastAsia="Arial" w:hAnsi="Arial"/>
                <w:sz w:val="8"/>
                <w:szCs w:val="8"/>
                <w:color w:val="auto"/>
                <w:w w:val="73"/>
              </w:rPr>
              <w:t>·</w:t>
            </w:r>
          </w:p>
        </w:tc>
        <w:tc>
          <w:tcPr>
            <w:tcW w:w="4120" w:type="dxa"/>
            <w:vAlign w:val="bottom"/>
          </w:tcPr>
          <w:p>
            <w:pPr>
              <w:ind w:left="200"/>
              <w:spacing w:after="0"/>
              <w:rPr>
                <w:sz w:val="20"/>
                <w:szCs w:val="20"/>
                <w:color w:val="auto"/>
              </w:rPr>
            </w:pPr>
            <w:r>
              <w:rPr>
                <w:rFonts w:ascii="Arial" w:cs="Arial" w:eastAsia="Arial" w:hAnsi="Arial"/>
                <w:sz w:val="18"/>
                <w:szCs w:val="18"/>
                <w:color w:val="auto"/>
              </w:rPr>
              <w:t>Bemis Company</w:t>
            </w:r>
          </w:p>
        </w:tc>
        <w:tc>
          <w:tcPr>
            <w:tcW w:w="2060" w:type="dxa"/>
            <w:vAlign w:val="bottom"/>
          </w:tcPr>
          <w:p>
            <w:pPr>
              <w:jc w:val="right"/>
              <w:ind w:right="101"/>
              <w:spacing w:after="0" w:line="223" w:lineRule="exact"/>
              <w:rPr>
                <w:sz w:val="20"/>
                <w:szCs w:val="20"/>
                <w:color w:val="auto"/>
              </w:rPr>
            </w:pPr>
            <w:r>
              <w:rPr>
                <w:rFonts w:ascii="Arial" w:cs="Arial" w:eastAsia="Arial" w:hAnsi="Arial"/>
                <w:sz w:val="20"/>
                <w:szCs w:val="20"/>
                <w:color w:val="auto"/>
              </w:rPr>
              <w:t>·</w:t>
            </w:r>
          </w:p>
        </w:tc>
        <w:tc>
          <w:tcPr>
            <w:tcW w:w="2600" w:type="dxa"/>
            <w:vAlign w:val="bottom"/>
          </w:tcPr>
          <w:p>
            <w:pPr>
              <w:ind w:left="200"/>
              <w:spacing w:after="0"/>
              <w:rPr>
                <w:sz w:val="20"/>
                <w:szCs w:val="20"/>
                <w:color w:val="auto"/>
              </w:rPr>
            </w:pPr>
            <w:r>
              <w:rPr>
                <w:rFonts w:ascii="Arial" w:cs="Arial" w:eastAsia="Arial" w:hAnsi="Arial"/>
                <w:sz w:val="18"/>
                <w:szCs w:val="18"/>
                <w:color w:val="auto"/>
              </w:rPr>
              <w:t>PPG Industries</w:t>
            </w:r>
          </w:p>
        </w:tc>
      </w:tr>
      <w:tr>
        <w:trPr>
          <w:trHeight w:val="223"/>
        </w:trPr>
        <w:tc>
          <w:tcPr>
            <w:tcW w:w="260" w:type="dxa"/>
            <w:vAlign w:val="bottom"/>
          </w:tcPr>
          <w:p>
            <w:pPr>
              <w:jc w:val="right"/>
              <w:ind w:right="181"/>
              <w:spacing w:after="0"/>
              <w:rPr>
                <w:sz w:val="20"/>
                <w:szCs w:val="20"/>
                <w:color w:val="auto"/>
              </w:rPr>
            </w:pPr>
            <w:r>
              <w:rPr>
                <w:rFonts w:ascii="Arial" w:cs="Arial" w:eastAsia="Arial" w:hAnsi="Arial"/>
                <w:sz w:val="8"/>
                <w:szCs w:val="8"/>
                <w:color w:val="auto"/>
                <w:w w:val="73"/>
              </w:rPr>
              <w:t>·</w:t>
            </w:r>
          </w:p>
        </w:tc>
        <w:tc>
          <w:tcPr>
            <w:tcW w:w="4120" w:type="dxa"/>
            <w:vAlign w:val="bottom"/>
          </w:tcPr>
          <w:p>
            <w:pPr>
              <w:ind w:left="200"/>
              <w:spacing w:after="0"/>
              <w:rPr>
                <w:sz w:val="20"/>
                <w:szCs w:val="20"/>
                <w:color w:val="auto"/>
              </w:rPr>
            </w:pPr>
            <w:r>
              <w:rPr>
                <w:rFonts w:ascii="Arial" w:cs="Arial" w:eastAsia="Arial" w:hAnsi="Arial"/>
                <w:sz w:val="18"/>
                <w:szCs w:val="18"/>
                <w:color w:val="auto"/>
              </w:rPr>
              <w:t>Campbell Soup Company</w:t>
            </w:r>
          </w:p>
        </w:tc>
        <w:tc>
          <w:tcPr>
            <w:tcW w:w="2060" w:type="dxa"/>
            <w:vAlign w:val="bottom"/>
          </w:tcPr>
          <w:p>
            <w:pPr>
              <w:jc w:val="right"/>
              <w:ind w:right="101"/>
              <w:spacing w:after="0" w:line="223" w:lineRule="exact"/>
              <w:rPr>
                <w:sz w:val="20"/>
                <w:szCs w:val="20"/>
                <w:color w:val="auto"/>
              </w:rPr>
            </w:pPr>
            <w:r>
              <w:rPr>
                <w:rFonts w:ascii="Arial" w:cs="Arial" w:eastAsia="Arial" w:hAnsi="Arial"/>
                <w:sz w:val="20"/>
                <w:szCs w:val="20"/>
                <w:color w:val="auto"/>
              </w:rPr>
              <w:t>·</w:t>
            </w:r>
          </w:p>
        </w:tc>
        <w:tc>
          <w:tcPr>
            <w:tcW w:w="2600" w:type="dxa"/>
            <w:vAlign w:val="bottom"/>
          </w:tcPr>
          <w:p>
            <w:pPr>
              <w:ind w:left="200"/>
              <w:spacing w:after="0"/>
              <w:rPr>
                <w:sz w:val="20"/>
                <w:szCs w:val="20"/>
                <w:color w:val="auto"/>
              </w:rPr>
            </w:pPr>
            <w:r>
              <w:rPr>
                <w:rFonts w:ascii="Arial" w:cs="Arial" w:eastAsia="Arial" w:hAnsi="Arial"/>
                <w:sz w:val="18"/>
                <w:szCs w:val="18"/>
                <w:color w:val="auto"/>
              </w:rPr>
              <w:t>S.C. Johnson &amp; Son</w:t>
            </w:r>
          </w:p>
        </w:tc>
      </w:tr>
      <w:tr>
        <w:trPr>
          <w:trHeight w:val="223"/>
        </w:trPr>
        <w:tc>
          <w:tcPr>
            <w:tcW w:w="260" w:type="dxa"/>
            <w:vAlign w:val="bottom"/>
          </w:tcPr>
          <w:p>
            <w:pPr>
              <w:jc w:val="right"/>
              <w:ind w:right="181"/>
              <w:spacing w:after="0"/>
              <w:rPr>
                <w:sz w:val="20"/>
                <w:szCs w:val="20"/>
                <w:color w:val="auto"/>
              </w:rPr>
            </w:pPr>
            <w:r>
              <w:rPr>
                <w:rFonts w:ascii="Arial" w:cs="Arial" w:eastAsia="Arial" w:hAnsi="Arial"/>
                <w:sz w:val="8"/>
                <w:szCs w:val="8"/>
                <w:color w:val="auto"/>
                <w:w w:val="73"/>
              </w:rPr>
              <w:t>·</w:t>
            </w:r>
          </w:p>
        </w:tc>
        <w:tc>
          <w:tcPr>
            <w:tcW w:w="4120" w:type="dxa"/>
            <w:vAlign w:val="bottom"/>
          </w:tcPr>
          <w:p>
            <w:pPr>
              <w:ind w:left="200"/>
              <w:spacing w:after="0"/>
              <w:rPr>
                <w:sz w:val="20"/>
                <w:szCs w:val="20"/>
                <w:color w:val="auto"/>
              </w:rPr>
            </w:pPr>
            <w:r>
              <w:rPr>
                <w:rFonts w:ascii="Arial" w:cs="Arial" w:eastAsia="Arial" w:hAnsi="Arial"/>
                <w:sz w:val="18"/>
                <w:szCs w:val="18"/>
                <w:color w:val="auto"/>
              </w:rPr>
              <w:t>Colgate Palmolive Company</w:t>
            </w:r>
          </w:p>
        </w:tc>
        <w:tc>
          <w:tcPr>
            <w:tcW w:w="2060" w:type="dxa"/>
            <w:vAlign w:val="bottom"/>
          </w:tcPr>
          <w:p>
            <w:pPr>
              <w:jc w:val="right"/>
              <w:ind w:right="101"/>
              <w:spacing w:after="0" w:line="223" w:lineRule="exact"/>
              <w:rPr>
                <w:sz w:val="20"/>
                <w:szCs w:val="20"/>
                <w:color w:val="auto"/>
              </w:rPr>
            </w:pPr>
            <w:r>
              <w:rPr>
                <w:rFonts w:ascii="Arial" w:cs="Arial" w:eastAsia="Arial" w:hAnsi="Arial"/>
                <w:sz w:val="20"/>
                <w:szCs w:val="20"/>
                <w:color w:val="auto"/>
              </w:rPr>
              <w:t>·</w:t>
            </w:r>
          </w:p>
        </w:tc>
        <w:tc>
          <w:tcPr>
            <w:tcW w:w="2600" w:type="dxa"/>
            <w:vAlign w:val="bottom"/>
          </w:tcPr>
          <w:p>
            <w:pPr>
              <w:ind w:left="200"/>
              <w:spacing w:after="0"/>
              <w:rPr>
                <w:sz w:val="20"/>
                <w:szCs w:val="20"/>
                <w:color w:val="auto"/>
              </w:rPr>
            </w:pPr>
            <w:r>
              <w:rPr>
                <w:rFonts w:ascii="Arial" w:cs="Arial" w:eastAsia="Arial" w:hAnsi="Arial"/>
                <w:sz w:val="18"/>
                <w:szCs w:val="18"/>
                <w:color w:val="auto"/>
              </w:rPr>
              <w:t>Sealed Air Corporation</w:t>
            </w:r>
          </w:p>
        </w:tc>
      </w:tr>
      <w:tr>
        <w:trPr>
          <w:trHeight w:val="223"/>
        </w:trPr>
        <w:tc>
          <w:tcPr>
            <w:tcW w:w="260" w:type="dxa"/>
            <w:vAlign w:val="bottom"/>
          </w:tcPr>
          <w:p>
            <w:pPr>
              <w:jc w:val="right"/>
              <w:ind w:right="181"/>
              <w:spacing w:after="0"/>
              <w:rPr>
                <w:sz w:val="20"/>
                <w:szCs w:val="20"/>
                <w:color w:val="auto"/>
              </w:rPr>
            </w:pPr>
            <w:r>
              <w:rPr>
                <w:rFonts w:ascii="Arial" w:cs="Arial" w:eastAsia="Arial" w:hAnsi="Arial"/>
                <w:sz w:val="8"/>
                <w:szCs w:val="8"/>
                <w:color w:val="auto"/>
                <w:w w:val="73"/>
              </w:rPr>
              <w:t>·</w:t>
            </w:r>
          </w:p>
        </w:tc>
        <w:tc>
          <w:tcPr>
            <w:tcW w:w="4120" w:type="dxa"/>
            <w:vAlign w:val="bottom"/>
          </w:tcPr>
          <w:p>
            <w:pPr>
              <w:ind w:left="200"/>
              <w:spacing w:after="0"/>
              <w:rPr>
                <w:sz w:val="20"/>
                <w:szCs w:val="20"/>
                <w:color w:val="auto"/>
              </w:rPr>
            </w:pPr>
            <w:r>
              <w:rPr>
                <w:rFonts w:ascii="Arial" w:cs="Arial" w:eastAsia="Arial" w:hAnsi="Arial"/>
                <w:sz w:val="18"/>
                <w:szCs w:val="18"/>
                <w:color w:val="auto"/>
              </w:rPr>
              <w:t>Dean Foods Company</w:t>
            </w:r>
          </w:p>
        </w:tc>
        <w:tc>
          <w:tcPr>
            <w:tcW w:w="2060" w:type="dxa"/>
            <w:vAlign w:val="bottom"/>
          </w:tcPr>
          <w:p>
            <w:pPr>
              <w:jc w:val="right"/>
              <w:ind w:right="101"/>
              <w:spacing w:after="0" w:line="223" w:lineRule="exact"/>
              <w:rPr>
                <w:sz w:val="20"/>
                <w:szCs w:val="20"/>
                <w:color w:val="auto"/>
              </w:rPr>
            </w:pPr>
            <w:r>
              <w:rPr>
                <w:rFonts w:ascii="Arial" w:cs="Arial" w:eastAsia="Arial" w:hAnsi="Arial"/>
                <w:sz w:val="20"/>
                <w:szCs w:val="20"/>
                <w:color w:val="auto"/>
              </w:rPr>
              <w:t>·</w:t>
            </w:r>
          </w:p>
        </w:tc>
        <w:tc>
          <w:tcPr>
            <w:tcW w:w="2600" w:type="dxa"/>
            <w:vAlign w:val="bottom"/>
          </w:tcPr>
          <w:p>
            <w:pPr>
              <w:ind w:left="200"/>
              <w:spacing w:after="0"/>
              <w:rPr>
                <w:sz w:val="20"/>
                <w:szCs w:val="20"/>
                <w:color w:val="auto"/>
              </w:rPr>
            </w:pPr>
            <w:r>
              <w:rPr>
                <w:rFonts w:ascii="Arial" w:cs="Arial" w:eastAsia="Arial" w:hAnsi="Arial"/>
                <w:sz w:val="18"/>
                <w:szCs w:val="18"/>
                <w:color w:val="auto"/>
                <w:w w:val="92"/>
              </w:rPr>
              <w:t>The Sherwin-Williams Company</w:t>
            </w:r>
          </w:p>
        </w:tc>
      </w:tr>
      <w:tr>
        <w:trPr>
          <w:trHeight w:val="223"/>
        </w:trPr>
        <w:tc>
          <w:tcPr>
            <w:tcW w:w="260" w:type="dxa"/>
            <w:vAlign w:val="bottom"/>
          </w:tcPr>
          <w:p>
            <w:pPr>
              <w:jc w:val="right"/>
              <w:ind w:right="181"/>
              <w:spacing w:after="0"/>
              <w:rPr>
                <w:sz w:val="20"/>
                <w:szCs w:val="20"/>
                <w:color w:val="auto"/>
              </w:rPr>
            </w:pPr>
            <w:r>
              <w:rPr>
                <w:rFonts w:ascii="Arial" w:cs="Arial" w:eastAsia="Arial" w:hAnsi="Arial"/>
                <w:sz w:val="8"/>
                <w:szCs w:val="8"/>
                <w:color w:val="auto"/>
                <w:w w:val="73"/>
              </w:rPr>
              <w:t>·</w:t>
            </w:r>
          </w:p>
        </w:tc>
        <w:tc>
          <w:tcPr>
            <w:tcW w:w="4120" w:type="dxa"/>
            <w:vAlign w:val="bottom"/>
          </w:tcPr>
          <w:p>
            <w:pPr>
              <w:ind w:left="200"/>
              <w:spacing w:after="0"/>
              <w:rPr>
                <w:sz w:val="20"/>
                <w:szCs w:val="20"/>
                <w:color w:val="auto"/>
              </w:rPr>
            </w:pPr>
            <w:r>
              <w:rPr>
                <w:rFonts w:ascii="Arial" w:cs="Arial" w:eastAsia="Arial" w:hAnsi="Arial"/>
                <w:sz w:val="18"/>
                <w:szCs w:val="18"/>
                <w:color w:val="auto"/>
              </w:rPr>
              <w:t>Eastman Chemical Company</w:t>
            </w:r>
          </w:p>
        </w:tc>
        <w:tc>
          <w:tcPr>
            <w:tcW w:w="2060" w:type="dxa"/>
            <w:vAlign w:val="bottom"/>
          </w:tcPr>
          <w:p>
            <w:pPr>
              <w:jc w:val="right"/>
              <w:ind w:right="101"/>
              <w:spacing w:after="0" w:line="223" w:lineRule="exact"/>
              <w:rPr>
                <w:sz w:val="20"/>
                <w:szCs w:val="20"/>
                <w:color w:val="auto"/>
              </w:rPr>
            </w:pPr>
            <w:r>
              <w:rPr>
                <w:rFonts w:ascii="Arial" w:cs="Arial" w:eastAsia="Arial" w:hAnsi="Arial"/>
                <w:sz w:val="20"/>
                <w:szCs w:val="20"/>
                <w:color w:val="auto"/>
              </w:rPr>
              <w:t>·</w:t>
            </w:r>
          </w:p>
        </w:tc>
        <w:tc>
          <w:tcPr>
            <w:tcW w:w="2600" w:type="dxa"/>
            <w:vAlign w:val="bottom"/>
          </w:tcPr>
          <w:p>
            <w:pPr>
              <w:ind w:left="200"/>
              <w:spacing w:after="0"/>
              <w:rPr>
                <w:sz w:val="20"/>
                <w:szCs w:val="20"/>
                <w:color w:val="auto"/>
              </w:rPr>
            </w:pPr>
            <w:r>
              <w:rPr>
                <w:rFonts w:ascii="Arial" w:cs="Arial" w:eastAsia="Arial" w:hAnsi="Arial"/>
                <w:sz w:val="18"/>
                <w:szCs w:val="18"/>
                <w:color w:val="auto"/>
                <w:w w:val="94"/>
              </w:rPr>
              <w:t>United States Steel Corporation</w:t>
            </w:r>
          </w:p>
        </w:tc>
      </w:tr>
      <w:tr>
        <w:trPr>
          <w:trHeight w:val="239"/>
        </w:trPr>
        <w:tc>
          <w:tcPr>
            <w:tcW w:w="260" w:type="dxa"/>
            <w:vAlign w:val="bottom"/>
          </w:tcPr>
          <w:p>
            <w:pPr>
              <w:jc w:val="right"/>
              <w:ind w:right="181"/>
              <w:spacing w:after="0"/>
              <w:rPr>
                <w:sz w:val="20"/>
                <w:szCs w:val="20"/>
                <w:color w:val="auto"/>
              </w:rPr>
            </w:pPr>
            <w:r>
              <w:rPr>
                <w:rFonts w:ascii="Arial" w:cs="Arial" w:eastAsia="Arial" w:hAnsi="Arial"/>
                <w:sz w:val="8"/>
                <w:szCs w:val="8"/>
                <w:color w:val="auto"/>
                <w:w w:val="73"/>
              </w:rPr>
              <w:t>·</w:t>
            </w:r>
          </w:p>
        </w:tc>
        <w:tc>
          <w:tcPr>
            <w:tcW w:w="4120" w:type="dxa"/>
            <w:vAlign w:val="bottom"/>
          </w:tcPr>
          <w:p>
            <w:pPr>
              <w:ind w:left="200"/>
              <w:spacing w:after="0"/>
              <w:rPr>
                <w:sz w:val="20"/>
                <w:szCs w:val="20"/>
                <w:color w:val="auto"/>
              </w:rPr>
            </w:pPr>
            <w:r>
              <w:rPr>
                <w:rFonts w:ascii="Arial" w:cs="Arial" w:eastAsia="Arial" w:hAnsi="Arial"/>
                <w:sz w:val="18"/>
                <w:szCs w:val="18"/>
                <w:color w:val="auto"/>
              </w:rPr>
              <w:t>Greif</w:t>
            </w:r>
          </w:p>
        </w:tc>
        <w:tc>
          <w:tcPr>
            <w:tcW w:w="206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2600" w:type="dxa"/>
            <w:vAlign w:val="bottom"/>
          </w:tcPr>
          <w:p>
            <w:pPr>
              <w:ind w:left="200"/>
              <w:spacing w:after="0"/>
              <w:rPr>
                <w:sz w:val="20"/>
                <w:szCs w:val="20"/>
                <w:color w:val="auto"/>
              </w:rPr>
            </w:pPr>
            <w:r>
              <w:rPr>
                <w:rFonts w:ascii="Arial" w:cs="Arial" w:eastAsia="Arial" w:hAnsi="Arial"/>
                <w:sz w:val="18"/>
                <w:szCs w:val="18"/>
                <w:color w:val="auto"/>
              </w:rPr>
              <w:t>WestRock</w:t>
            </w:r>
          </w:p>
        </w:tc>
      </w:tr>
    </w:tbl>
    <w:p>
      <w:pPr>
        <w:ind w:left="1120" w:hanging="461"/>
        <w:spacing w:after="0" w:line="227" w:lineRule="auto"/>
        <w:tabs>
          <w:tab w:leader="none" w:pos="1120" w:val="left"/>
        </w:tabs>
        <w:numPr>
          <w:ilvl w:val="0"/>
          <w:numId w:val="25"/>
        </w:numPr>
        <w:rPr>
          <w:rFonts w:ascii="Arial" w:cs="Arial" w:eastAsia="Arial" w:hAnsi="Arial"/>
          <w:sz w:val="20"/>
          <w:szCs w:val="20"/>
          <w:color w:val="auto"/>
        </w:rPr>
      </w:pPr>
      <w:r>
        <w:rPr>
          <w:rFonts w:ascii="Arial" w:cs="Arial" w:eastAsia="Arial" w:hAnsi="Arial"/>
          <w:sz w:val="18"/>
          <w:szCs w:val="18"/>
          <w:color w:val="auto"/>
        </w:rPr>
        <w:t>Keurig Dr Pepper</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35</w:t>
      </w:r>
    </w:p>
    <w:p>
      <w:pPr>
        <w:sectPr>
          <w:pgSz w:w="11900" w:h="16838" w:orient="portrait"/>
          <w:cols w:equalWidth="0" w:num="1">
            <w:col w:w="11240"/>
          </w:cols>
          <w:pgMar w:left="320" w:top="437" w:right="339" w:bottom="1440" w:gutter="0" w:footer="0" w:header="0"/>
        </w:sectPr>
      </w:pPr>
    </w:p>
    <w:bookmarkStart w:id="39" w:name="page40"/>
    <w:bookmarkEnd w:id="39"/>
    <w:p>
      <w:pPr>
        <w:jc w:val="both"/>
        <w:ind w:firstLine="595"/>
        <w:spacing w:after="0" w:line="243" w:lineRule="auto"/>
        <w:rPr>
          <w:sz w:val="20"/>
          <w:szCs w:val="20"/>
          <w:color w:val="auto"/>
        </w:rPr>
      </w:pPr>
      <w:r>
        <w:rPr>
          <w:rFonts w:ascii="Arial" w:cs="Arial" w:eastAsia="Arial" w:hAnsi="Arial"/>
          <w:sz w:val="20"/>
          <w:szCs w:val="20"/>
          <w:color w:val="auto"/>
        </w:rPr>
        <w:t>Specific benchmark levels were developed using regression analysis to size-adjust the market data to reflect the Company’s corporate revenue or the individual business unit revenue, when appropriate. To provide a broader frame of reference, Pay Governance also analyzed each NEO position against general industry data.</w:t>
      </w:r>
    </w:p>
    <w:p>
      <w:pPr>
        <w:spacing w:after="0" w:line="188" w:lineRule="exact"/>
        <w:rPr>
          <w:sz w:val="20"/>
          <w:szCs w:val="20"/>
          <w:color w:val="auto"/>
        </w:rPr>
      </w:pPr>
    </w:p>
    <w:p>
      <w:pPr>
        <w:jc w:val="both"/>
        <w:ind w:firstLine="595"/>
        <w:spacing w:after="0" w:line="238" w:lineRule="auto"/>
        <w:rPr>
          <w:sz w:val="20"/>
          <w:szCs w:val="20"/>
          <w:color w:val="auto"/>
        </w:rPr>
      </w:pPr>
      <w:r>
        <w:rPr>
          <w:rFonts w:ascii="Arial" w:cs="Arial" w:eastAsia="Arial" w:hAnsi="Arial"/>
          <w:sz w:val="20"/>
          <w:szCs w:val="20"/>
          <w:b w:val="1"/>
          <w:bCs w:val="1"/>
          <w:color w:val="auto"/>
        </w:rPr>
        <w:t xml:space="preserve">Compensation Strategy for CEO. </w:t>
      </w:r>
      <w:r>
        <w:rPr>
          <w:rFonts w:ascii="Arial" w:cs="Arial" w:eastAsia="Arial" w:hAnsi="Arial"/>
          <w:sz w:val="20"/>
          <w:szCs w:val="20"/>
          <w:color w:val="auto"/>
        </w:rPr>
        <w:t>The evaluation of the CEO’s performance and the setting of his compensation is one of the</w:t>
      </w:r>
      <w:r>
        <w:rPr>
          <w:rFonts w:ascii="Arial" w:cs="Arial" w:eastAsia="Arial" w:hAnsi="Arial"/>
          <w:sz w:val="20"/>
          <w:szCs w:val="20"/>
          <w:b w:val="1"/>
          <w:bCs w:val="1"/>
          <w:color w:val="auto"/>
        </w:rPr>
        <w:t xml:space="preserve"> </w:t>
      </w:r>
      <w:r>
        <w:rPr>
          <w:rFonts w:ascii="Arial" w:cs="Arial" w:eastAsia="Arial" w:hAnsi="Arial"/>
          <w:sz w:val="20"/>
          <w:szCs w:val="20"/>
          <w:color w:val="auto"/>
        </w:rPr>
        <w:t>fundamental duties of the Committee. In determining the CEO’s compensation for 2019, the Committee evaluated the CEO’s performance and the Company’s performance in the prior year and since Mr. Donahue became CEO in 2016. In evaluating the CEO’s performance, the Committee considered the Company’s overall financial, operational and strategic results. In addition, the Committee continued to focus on the Company’s development during Mr. Donahue’s tenure in several key areas that the Committee believes are essential to increase Shareholder value, including:</w:t>
      </w:r>
    </w:p>
    <w:p>
      <w:pPr>
        <w:spacing w:after="0" w:line="200" w:lineRule="exact"/>
        <w:rPr>
          <w:sz w:val="20"/>
          <w:szCs w:val="20"/>
          <w:color w:val="auto"/>
        </w:rPr>
      </w:pPr>
    </w:p>
    <w:p>
      <w:pPr>
        <w:jc w:val="both"/>
        <w:ind w:left="900" w:hanging="305"/>
        <w:spacing w:after="0" w:line="243" w:lineRule="auto"/>
        <w:tabs>
          <w:tab w:leader="none" w:pos="900" w:val="left"/>
        </w:tabs>
        <w:numPr>
          <w:ilvl w:val="0"/>
          <w:numId w:val="26"/>
        </w:numPr>
        <w:rPr>
          <w:rFonts w:ascii="Arial" w:cs="Arial" w:eastAsia="Arial" w:hAnsi="Arial"/>
          <w:sz w:val="20"/>
          <w:szCs w:val="20"/>
          <w:color w:val="auto"/>
        </w:rPr>
      </w:pPr>
      <w:r>
        <w:rPr>
          <w:rFonts w:ascii="Arial" w:cs="Arial" w:eastAsia="Arial" w:hAnsi="Arial"/>
          <w:sz w:val="20"/>
          <w:szCs w:val="20"/>
          <w:i w:val="1"/>
          <w:iCs w:val="1"/>
          <w:color w:val="auto"/>
        </w:rPr>
        <w:t xml:space="preserve">Strong earnings and cash flow generation. </w:t>
      </w:r>
      <w:r>
        <w:rPr>
          <w:rFonts w:ascii="Arial" w:cs="Arial" w:eastAsia="Arial" w:hAnsi="Arial"/>
          <w:sz w:val="20"/>
          <w:szCs w:val="20"/>
          <w:color w:val="auto"/>
        </w:rPr>
        <w:t>For the year, net income was $510 million. This translated to diluted earnings per share</w:t>
      </w:r>
      <w:r>
        <w:rPr>
          <w:rFonts w:ascii="Arial" w:cs="Arial" w:eastAsia="Arial" w:hAnsi="Arial"/>
          <w:sz w:val="20"/>
          <w:szCs w:val="20"/>
          <w:i w:val="1"/>
          <w:iCs w:val="1"/>
          <w:color w:val="auto"/>
        </w:rPr>
        <w:t xml:space="preserve"> </w:t>
      </w:r>
      <w:r>
        <w:rPr>
          <w:rFonts w:ascii="Arial" w:cs="Arial" w:eastAsia="Arial" w:hAnsi="Arial"/>
          <w:sz w:val="20"/>
          <w:szCs w:val="20"/>
          <w:color w:val="auto"/>
        </w:rPr>
        <w:t>of $3.78, an increase of 15% over 2018. Cash flow from operating activities in 2019 was $1,163 million, which was significantly improved over $571 million in 2018.</w:t>
      </w:r>
    </w:p>
    <w:p>
      <w:pPr>
        <w:spacing w:after="0" w:line="200" w:lineRule="exact"/>
        <w:rPr>
          <w:rFonts w:ascii="Arial" w:cs="Arial" w:eastAsia="Arial" w:hAnsi="Arial"/>
          <w:sz w:val="20"/>
          <w:szCs w:val="20"/>
          <w:color w:val="auto"/>
        </w:rPr>
      </w:pPr>
    </w:p>
    <w:p>
      <w:pPr>
        <w:spacing w:after="0" w:line="217" w:lineRule="exact"/>
        <w:rPr>
          <w:rFonts w:ascii="Arial" w:cs="Arial" w:eastAsia="Arial" w:hAnsi="Arial"/>
          <w:sz w:val="20"/>
          <w:szCs w:val="20"/>
          <w:color w:val="auto"/>
        </w:rPr>
      </w:pPr>
    </w:p>
    <w:p>
      <w:pPr>
        <w:jc w:val="both"/>
        <w:ind w:left="900" w:hanging="305"/>
        <w:spacing w:after="0"/>
        <w:tabs>
          <w:tab w:leader="none" w:pos="900" w:val="left"/>
        </w:tabs>
        <w:numPr>
          <w:ilvl w:val="0"/>
          <w:numId w:val="26"/>
        </w:numPr>
        <w:rPr>
          <w:rFonts w:ascii="Arial" w:cs="Arial" w:eastAsia="Arial" w:hAnsi="Arial"/>
          <w:sz w:val="20"/>
          <w:szCs w:val="20"/>
          <w:color w:val="auto"/>
        </w:rPr>
      </w:pPr>
      <w:r>
        <w:rPr>
          <w:rFonts w:ascii="Arial" w:cs="Arial" w:eastAsia="Arial" w:hAnsi="Arial"/>
          <w:sz w:val="20"/>
          <w:szCs w:val="20"/>
          <w:i w:val="1"/>
          <w:iCs w:val="1"/>
          <w:color w:val="auto"/>
        </w:rPr>
        <w:t>Investment in growth markets</w:t>
      </w:r>
      <w:r>
        <w:rPr>
          <w:rFonts w:ascii="Arial" w:cs="Arial" w:eastAsia="Arial" w:hAnsi="Arial"/>
          <w:sz w:val="20"/>
          <w:szCs w:val="20"/>
          <w:color w:val="auto"/>
        </w:rPr>
        <w:t>. In response to increasing global demand for beverage cans, the Company completed new beverage</w:t>
      </w:r>
      <w:r>
        <w:rPr>
          <w:rFonts w:ascii="Arial" w:cs="Arial" w:eastAsia="Arial" w:hAnsi="Arial"/>
          <w:sz w:val="20"/>
          <w:szCs w:val="20"/>
          <w:i w:val="1"/>
          <w:iCs w:val="1"/>
          <w:color w:val="auto"/>
        </w:rPr>
        <w:t xml:space="preserve"> </w:t>
      </w:r>
      <w:r>
        <w:rPr>
          <w:rFonts w:ascii="Arial" w:cs="Arial" w:eastAsia="Arial" w:hAnsi="Arial"/>
          <w:sz w:val="20"/>
          <w:szCs w:val="20"/>
          <w:color w:val="auto"/>
        </w:rPr>
        <w:t>projects in 2019 in Brazil and Spain and completed the construction of another line in Cambodia. In addition, the Company progressed on plans to commercialize a new can plant in Thailand in 2020 and add production lines at the Company’s facilities in Toronto, Ontario and Nichols, New York.</w:t>
      </w:r>
    </w:p>
    <w:p>
      <w:pPr>
        <w:spacing w:after="0" w:line="200" w:lineRule="exact"/>
        <w:rPr>
          <w:rFonts w:ascii="Arial" w:cs="Arial" w:eastAsia="Arial" w:hAnsi="Arial"/>
          <w:sz w:val="20"/>
          <w:szCs w:val="20"/>
          <w:color w:val="auto"/>
        </w:rPr>
      </w:pPr>
    </w:p>
    <w:p>
      <w:pPr>
        <w:spacing w:after="0" w:line="219" w:lineRule="exact"/>
        <w:rPr>
          <w:rFonts w:ascii="Arial" w:cs="Arial" w:eastAsia="Arial" w:hAnsi="Arial"/>
          <w:sz w:val="20"/>
          <w:szCs w:val="20"/>
          <w:color w:val="auto"/>
        </w:rPr>
      </w:pPr>
    </w:p>
    <w:p>
      <w:pPr>
        <w:ind w:left="900" w:hanging="305"/>
        <w:spacing w:after="0" w:line="254" w:lineRule="auto"/>
        <w:tabs>
          <w:tab w:leader="none" w:pos="900" w:val="left"/>
        </w:tabs>
        <w:numPr>
          <w:ilvl w:val="0"/>
          <w:numId w:val="26"/>
        </w:numPr>
        <w:rPr>
          <w:rFonts w:ascii="Arial" w:cs="Arial" w:eastAsia="Arial" w:hAnsi="Arial"/>
          <w:sz w:val="20"/>
          <w:szCs w:val="20"/>
          <w:color w:val="auto"/>
        </w:rPr>
      </w:pPr>
      <w:r>
        <w:rPr>
          <w:rFonts w:ascii="Arial" w:cs="Arial" w:eastAsia="Arial" w:hAnsi="Arial"/>
          <w:sz w:val="20"/>
          <w:szCs w:val="20"/>
          <w:i w:val="1"/>
          <w:iCs w:val="1"/>
          <w:color w:val="auto"/>
        </w:rPr>
        <w:t xml:space="preserve">Deleveraging of the balance sheet. </w:t>
      </w:r>
      <w:r>
        <w:rPr>
          <w:rFonts w:ascii="Arial" w:cs="Arial" w:eastAsia="Arial" w:hAnsi="Arial"/>
          <w:sz w:val="20"/>
          <w:szCs w:val="20"/>
          <w:color w:val="auto"/>
        </w:rPr>
        <w:t>Following the Signode (Transit Packaging) acquisition, the Company’s deleveraging goal is on</w:t>
      </w:r>
      <w:r>
        <w:rPr>
          <w:rFonts w:ascii="Arial" w:cs="Arial" w:eastAsia="Arial" w:hAnsi="Arial"/>
          <w:sz w:val="20"/>
          <w:szCs w:val="20"/>
          <w:i w:val="1"/>
          <w:iCs w:val="1"/>
          <w:color w:val="auto"/>
        </w:rPr>
        <w:t xml:space="preserve"> </w:t>
      </w:r>
      <w:r>
        <w:rPr>
          <w:rFonts w:ascii="Arial" w:cs="Arial" w:eastAsia="Arial" w:hAnsi="Arial"/>
          <w:sz w:val="20"/>
          <w:szCs w:val="20"/>
          <w:color w:val="auto"/>
        </w:rPr>
        <w:t>plan.</w:t>
      </w:r>
    </w:p>
    <w:p>
      <w:pPr>
        <w:spacing w:after="0" w:line="200" w:lineRule="exact"/>
        <w:rPr>
          <w:rFonts w:ascii="Arial" w:cs="Arial" w:eastAsia="Arial" w:hAnsi="Arial"/>
          <w:sz w:val="20"/>
          <w:szCs w:val="20"/>
          <w:color w:val="auto"/>
        </w:rPr>
      </w:pPr>
    </w:p>
    <w:p>
      <w:pPr>
        <w:spacing w:after="0" w:line="206" w:lineRule="exact"/>
        <w:rPr>
          <w:rFonts w:ascii="Arial" w:cs="Arial" w:eastAsia="Arial" w:hAnsi="Arial"/>
          <w:sz w:val="20"/>
          <w:szCs w:val="20"/>
          <w:color w:val="auto"/>
        </w:rPr>
      </w:pPr>
    </w:p>
    <w:p>
      <w:pPr>
        <w:jc w:val="both"/>
        <w:ind w:left="900" w:hanging="305"/>
        <w:spacing w:after="0" w:line="263"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 xml:space="preserve">Sustainability. </w:t>
      </w:r>
      <w:r>
        <w:rPr>
          <w:rFonts w:ascii="Arial" w:cs="Arial" w:eastAsia="Arial" w:hAnsi="Arial"/>
          <w:sz w:val="18"/>
          <w:szCs w:val="18"/>
          <w:color w:val="auto"/>
        </w:rPr>
        <w:t>Under Mr. Donahue’s leadership, the Company has continued its commitment to efficiently manage and conserve</w:t>
      </w:r>
      <w:r>
        <w:rPr>
          <w:rFonts w:ascii="Arial" w:cs="Arial" w:eastAsia="Arial" w:hAnsi="Arial"/>
          <w:sz w:val="18"/>
          <w:szCs w:val="18"/>
          <w:i w:val="1"/>
          <w:iCs w:val="1"/>
          <w:color w:val="auto"/>
        </w:rPr>
        <w:t xml:space="preserve"> </w:t>
      </w:r>
      <w:r>
        <w:rPr>
          <w:rFonts w:ascii="Arial" w:cs="Arial" w:eastAsia="Arial" w:hAnsi="Arial"/>
          <w:sz w:val="18"/>
          <w:szCs w:val="18"/>
          <w:color w:val="auto"/>
        </w:rPr>
        <w:t>resources and bring innovations to market to support the sustainability efforts of Crown, its customers and consumers. Three years into its five-year initiative to reduce energy consumption and greenhouse gas emissions, the Company has already surpassed its goal of reducing energy consumption in its worldwide metal packaging business by 5% per billion standard units of production and is over 94% of the way to meeting its greenhouse gas emissions reduction target from 2015 levels by 2020. Since the date of our last proxy statement, the Company signed one of the largest non-investment grade “sustainability-linked loans” in history. The Company also has made commitments regarding renewable energy and water conservation and has committed to the Science-Based Targets Initiative. In addition, the Company centralized management of its corporate-level sustainability efforts under the newly-created role of Vice President – Global Sustainability, created Sustainability Steering Committees comprised of senior executives at the corporate and divisional levels, and launched its Supplier Code of Conduct to ensure alignment of supplier conduct with the Company’s core values.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36</w:t>
      </w:r>
    </w:p>
    <w:p>
      <w:pPr>
        <w:sectPr>
          <w:pgSz w:w="11900" w:h="16838" w:orient="portrait"/>
          <w:cols w:equalWidth="0" w:num="1">
            <w:col w:w="11240"/>
          </w:cols>
          <w:pgMar w:left="320" w:top="443" w:right="339" w:bottom="1440" w:gutter="0" w:footer="0" w:header="0"/>
        </w:sectPr>
      </w:pPr>
    </w:p>
    <w:bookmarkStart w:id="40" w:name="page41"/>
    <w:bookmarkEnd w:id="40"/>
    <w:p>
      <w:pPr>
        <w:ind w:firstLine="595"/>
        <w:spacing w:after="0" w:line="203" w:lineRule="auto"/>
        <w:rPr>
          <w:sz w:val="20"/>
          <w:szCs w:val="20"/>
          <w:color w:val="auto"/>
        </w:rPr>
      </w:pPr>
      <w:r>
        <w:rPr>
          <w:rFonts w:ascii="Arial" w:cs="Arial" w:eastAsia="Arial" w:hAnsi="Arial"/>
          <w:sz w:val="20"/>
          <w:szCs w:val="20"/>
          <w:i w:val="1"/>
          <w:iCs w:val="1"/>
          <w:color w:val="auto"/>
        </w:rPr>
        <w:t>CEO Target Compensation</w:t>
      </w:r>
      <w:r>
        <w:rPr>
          <w:rFonts w:ascii="Arial" w:cs="Arial" w:eastAsia="Arial" w:hAnsi="Arial"/>
          <w:sz w:val="20"/>
          <w:szCs w:val="20"/>
          <w:b w:val="1"/>
          <w:bCs w:val="1"/>
          <w:color w:val="auto"/>
        </w:rPr>
        <w:t>.</w:t>
      </w:r>
      <w:r>
        <w:rPr>
          <w:rFonts w:ascii="Arial" w:cs="Arial" w:eastAsia="Arial" w:hAnsi="Arial"/>
          <w:sz w:val="20"/>
          <w:szCs w:val="20"/>
          <w:i w:val="1"/>
          <w:iCs w:val="1"/>
          <w:color w:val="auto"/>
        </w:rPr>
        <w:t xml:space="preserve"> </w:t>
      </w:r>
      <w:r>
        <w:rPr>
          <w:rFonts w:ascii="Arial" w:cs="Arial" w:eastAsia="Arial" w:hAnsi="Arial"/>
          <w:sz w:val="20"/>
          <w:szCs w:val="20"/>
          <w:color w:val="auto"/>
        </w:rPr>
        <w:t>The Committee uses the 50</w:t>
      </w:r>
      <w:r>
        <w:rPr>
          <w:rFonts w:ascii="Arial" w:cs="Arial" w:eastAsia="Arial" w:hAnsi="Arial"/>
          <w:sz w:val="33"/>
          <w:szCs w:val="33"/>
          <w:color w:val="auto"/>
          <w:vertAlign w:val="superscript"/>
        </w:rPr>
        <w:t>th</w:t>
      </w:r>
      <w:r>
        <w:rPr>
          <w:rFonts w:ascii="Arial" w:cs="Arial" w:eastAsia="Arial" w:hAnsi="Arial"/>
          <w:sz w:val="20"/>
          <w:szCs w:val="20"/>
          <w:i w:val="1"/>
          <w:iCs w:val="1"/>
          <w:color w:val="auto"/>
        </w:rPr>
        <w:t xml:space="preserve"> </w:t>
      </w:r>
      <w:r>
        <w:rPr>
          <w:rFonts w:ascii="Arial" w:cs="Arial" w:eastAsia="Arial" w:hAnsi="Arial"/>
          <w:sz w:val="20"/>
          <w:szCs w:val="20"/>
          <w:color w:val="auto"/>
        </w:rPr>
        <w:t>percentile of the Peer Group’s target total direct compensation as a</w:t>
      </w:r>
      <w:r>
        <w:rPr>
          <w:rFonts w:ascii="Arial" w:cs="Arial" w:eastAsia="Arial" w:hAnsi="Arial"/>
          <w:sz w:val="20"/>
          <w:szCs w:val="20"/>
          <w:i w:val="1"/>
          <w:iCs w:val="1"/>
          <w:color w:val="auto"/>
        </w:rPr>
        <w:t xml:space="preserve"> </w:t>
      </w:r>
      <w:r>
        <w:rPr>
          <w:rFonts w:ascii="Arial" w:cs="Arial" w:eastAsia="Arial" w:hAnsi="Arial"/>
          <w:sz w:val="20"/>
          <w:szCs w:val="20"/>
          <w:color w:val="auto"/>
        </w:rPr>
        <w:t>guidepost in determining CEO compensation.</w:t>
      </w:r>
    </w:p>
    <w:p>
      <w:pPr>
        <w:spacing w:after="0" w:line="172" w:lineRule="exact"/>
        <w:rPr>
          <w:sz w:val="20"/>
          <w:szCs w:val="20"/>
          <w:color w:val="auto"/>
        </w:rPr>
      </w:pPr>
    </w:p>
    <w:p>
      <w:pPr>
        <w:ind w:left="600"/>
        <w:spacing w:after="0"/>
        <w:rPr>
          <w:sz w:val="20"/>
          <w:szCs w:val="20"/>
          <w:color w:val="auto"/>
        </w:rPr>
      </w:pPr>
      <w:r>
        <w:rPr>
          <w:rFonts w:ascii="Arial" w:cs="Arial" w:eastAsia="Arial" w:hAnsi="Arial"/>
          <w:sz w:val="20"/>
          <w:szCs w:val="20"/>
          <w:color w:val="auto"/>
        </w:rPr>
        <w:t>The specific components of Mr. Donahue’s 2019 compensation were set as follows:</w:t>
      </w:r>
    </w:p>
    <w:p>
      <w:pPr>
        <w:spacing w:after="0" w:line="191" w:lineRule="exact"/>
        <w:rPr>
          <w:sz w:val="20"/>
          <w:szCs w:val="20"/>
          <w:color w:val="auto"/>
        </w:rPr>
      </w:pPr>
    </w:p>
    <w:tbl>
      <w:tblPr>
        <w:tblLayout w:type="fixed"/>
        <w:tblInd w:w="1710" w:type="dxa"/>
        <w:tblCellMar>
          <w:top w:w="0" w:type="dxa"/>
          <w:left w:w="0" w:type="dxa"/>
          <w:bottom w:w="0" w:type="dxa"/>
          <w:right w:w="0" w:type="dxa"/>
        </w:tblCellMar>
      </w:tblPr>
      <w:tr>
        <w:trPr>
          <w:trHeight w:val="343"/>
        </w:trPr>
        <w:tc>
          <w:tcPr>
            <w:tcW w:w="4340" w:type="dxa"/>
            <w:vAlign w:val="bottom"/>
            <w:tcBorders>
              <w:top w:val="single" w:sz="8" w:color="auto"/>
              <w:left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Base Salary</w:t>
            </w:r>
          </w:p>
        </w:tc>
        <w:tc>
          <w:tcPr>
            <w:tcW w:w="3520" w:type="dxa"/>
            <w:vAlign w:val="bottom"/>
            <w:tcBorders>
              <w:top w:val="single" w:sz="8" w:color="auto"/>
              <w:right w:val="single" w:sz="8" w:color="auto"/>
            </w:tcBorders>
          </w:tcPr>
          <w:p>
            <w:pPr>
              <w:jc w:val="right"/>
              <w:ind w:right="581"/>
              <w:spacing w:after="0"/>
              <w:rPr>
                <w:sz w:val="20"/>
                <w:szCs w:val="20"/>
                <w:color w:val="auto"/>
              </w:rPr>
            </w:pPr>
            <w:r>
              <w:rPr>
                <w:rFonts w:ascii="Arial" w:cs="Arial" w:eastAsia="Arial" w:hAnsi="Arial"/>
                <w:sz w:val="20"/>
                <w:szCs w:val="20"/>
                <w:color w:val="auto"/>
              </w:rPr>
              <w:t>$1,155,000</w:t>
            </w:r>
          </w:p>
        </w:tc>
      </w:tr>
      <w:tr>
        <w:trPr>
          <w:trHeight w:val="91"/>
        </w:trPr>
        <w:tc>
          <w:tcPr>
            <w:tcW w:w="4340" w:type="dxa"/>
            <w:vAlign w:val="bottom"/>
            <w:tcBorders>
              <w:left w:val="single" w:sz="8" w:color="auto"/>
              <w:bottom w:val="single" w:sz="8" w:color="auto"/>
              <w:right w:val="single" w:sz="8" w:color="auto"/>
            </w:tcBorders>
          </w:tcPr>
          <w:p>
            <w:pPr>
              <w:spacing w:after="0"/>
              <w:rPr>
                <w:sz w:val="7"/>
                <w:szCs w:val="7"/>
                <w:color w:val="auto"/>
              </w:rPr>
            </w:pPr>
          </w:p>
        </w:tc>
        <w:tc>
          <w:tcPr>
            <w:tcW w:w="3520" w:type="dxa"/>
            <w:vAlign w:val="bottom"/>
            <w:tcBorders>
              <w:bottom w:val="single" w:sz="8" w:color="auto"/>
              <w:right w:val="single" w:sz="8" w:color="auto"/>
            </w:tcBorders>
          </w:tcPr>
          <w:p>
            <w:pPr>
              <w:spacing w:after="0"/>
              <w:rPr>
                <w:sz w:val="7"/>
                <w:szCs w:val="7"/>
                <w:color w:val="auto"/>
              </w:rPr>
            </w:pPr>
          </w:p>
        </w:tc>
      </w:tr>
      <w:tr>
        <w:trPr>
          <w:trHeight w:val="323"/>
        </w:trPr>
        <w:tc>
          <w:tcPr>
            <w:tcW w:w="4340" w:type="dxa"/>
            <w:vAlign w:val="bottom"/>
            <w:tcBorders>
              <w:left w:val="single" w:sz="8" w:color="auto"/>
              <w:right w:val="single" w:sz="8" w:color="auto"/>
            </w:tcBorders>
            <w:shd w:val="clear" w:color="auto" w:fill="D9D9D9"/>
          </w:tcPr>
          <w:p>
            <w:pPr>
              <w:ind w:left="100"/>
              <w:spacing w:after="0"/>
              <w:rPr>
                <w:sz w:val="20"/>
                <w:szCs w:val="20"/>
                <w:color w:val="auto"/>
              </w:rPr>
            </w:pPr>
            <w:r>
              <w:rPr>
                <w:rFonts w:ascii="Arial" w:cs="Arial" w:eastAsia="Arial" w:hAnsi="Arial"/>
                <w:sz w:val="20"/>
                <w:szCs w:val="20"/>
                <w:color w:val="auto"/>
              </w:rPr>
              <w:t>Target Annual Incentive</w:t>
            </w:r>
          </w:p>
        </w:tc>
        <w:tc>
          <w:tcPr>
            <w:tcW w:w="3520" w:type="dxa"/>
            <w:vAlign w:val="bottom"/>
            <w:tcBorders>
              <w:right w:val="single" w:sz="8" w:color="auto"/>
            </w:tcBorders>
            <w:shd w:val="clear" w:color="auto" w:fill="D9D9D9"/>
          </w:tcPr>
          <w:p>
            <w:pPr>
              <w:jc w:val="right"/>
              <w:ind w:right="581"/>
              <w:spacing w:after="0"/>
              <w:rPr>
                <w:sz w:val="20"/>
                <w:szCs w:val="20"/>
                <w:color w:val="auto"/>
              </w:rPr>
            </w:pPr>
            <w:r>
              <w:rPr>
                <w:rFonts w:ascii="Arial" w:cs="Arial" w:eastAsia="Arial" w:hAnsi="Arial"/>
                <w:sz w:val="20"/>
                <w:szCs w:val="20"/>
                <w:color w:val="auto"/>
              </w:rPr>
              <w:t>1,386,000</w:t>
            </w:r>
          </w:p>
        </w:tc>
      </w:tr>
      <w:tr>
        <w:trPr>
          <w:trHeight w:val="91"/>
        </w:trPr>
        <w:tc>
          <w:tcPr>
            <w:tcW w:w="4340" w:type="dxa"/>
            <w:vAlign w:val="bottom"/>
            <w:tcBorders>
              <w:left w:val="single" w:sz="8" w:color="auto"/>
              <w:bottom w:val="single" w:sz="8" w:color="auto"/>
              <w:right w:val="single" w:sz="8" w:color="auto"/>
            </w:tcBorders>
            <w:shd w:val="clear" w:color="auto" w:fill="D9D9D9"/>
          </w:tcPr>
          <w:p>
            <w:pPr>
              <w:spacing w:after="0"/>
              <w:rPr>
                <w:sz w:val="7"/>
                <w:szCs w:val="7"/>
                <w:color w:val="auto"/>
              </w:rPr>
            </w:pPr>
          </w:p>
        </w:tc>
        <w:tc>
          <w:tcPr>
            <w:tcW w:w="3520" w:type="dxa"/>
            <w:vAlign w:val="bottom"/>
            <w:tcBorders>
              <w:bottom w:val="single" w:sz="8" w:color="auto"/>
              <w:right w:val="single" w:sz="8" w:color="auto"/>
            </w:tcBorders>
            <w:shd w:val="clear" w:color="auto" w:fill="D9D9D9"/>
          </w:tcPr>
          <w:p>
            <w:pPr>
              <w:spacing w:after="0"/>
              <w:rPr>
                <w:sz w:val="7"/>
                <w:szCs w:val="7"/>
                <w:color w:val="auto"/>
              </w:rPr>
            </w:pPr>
          </w:p>
        </w:tc>
      </w:tr>
      <w:tr>
        <w:trPr>
          <w:trHeight w:val="323"/>
        </w:trPr>
        <w:tc>
          <w:tcPr>
            <w:tcW w:w="43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Target Long-Term Equity Incentive</w:t>
            </w:r>
          </w:p>
        </w:tc>
        <w:tc>
          <w:tcPr>
            <w:tcW w:w="3520" w:type="dxa"/>
            <w:vAlign w:val="bottom"/>
            <w:tcBorders>
              <w:right w:val="single" w:sz="8" w:color="auto"/>
            </w:tcBorders>
          </w:tcPr>
          <w:p>
            <w:pPr>
              <w:jc w:val="right"/>
              <w:ind w:right="581"/>
              <w:spacing w:after="0"/>
              <w:rPr>
                <w:sz w:val="20"/>
                <w:szCs w:val="20"/>
                <w:color w:val="auto"/>
              </w:rPr>
            </w:pPr>
            <w:r>
              <w:rPr>
                <w:rFonts w:ascii="Arial" w:cs="Arial" w:eastAsia="Arial" w:hAnsi="Arial"/>
                <w:sz w:val="20"/>
                <w:szCs w:val="20"/>
                <w:color w:val="auto"/>
              </w:rPr>
              <w:t>6,005,970</w:t>
            </w:r>
          </w:p>
        </w:tc>
      </w:tr>
      <w:tr>
        <w:trPr>
          <w:trHeight w:val="91"/>
        </w:trPr>
        <w:tc>
          <w:tcPr>
            <w:tcW w:w="4340" w:type="dxa"/>
            <w:vAlign w:val="bottom"/>
            <w:tcBorders>
              <w:left w:val="single" w:sz="8" w:color="auto"/>
              <w:bottom w:val="single" w:sz="8" w:color="auto"/>
              <w:right w:val="single" w:sz="8" w:color="auto"/>
            </w:tcBorders>
          </w:tcPr>
          <w:p>
            <w:pPr>
              <w:spacing w:after="0"/>
              <w:rPr>
                <w:sz w:val="7"/>
                <w:szCs w:val="7"/>
                <w:color w:val="auto"/>
              </w:rPr>
            </w:pPr>
          </w:p>
        </w:tc>
        <w:tc>
          <w:tcPr>
            <w:tcW w:w="3520" w:type="dxa"/>
            <w:vAlign w:val="bottom"/>
            <w:tcBorders>
              <w:bottom w:val="single" w:sz="8" w:color="auto"/>
              <w:right w:val="single" w:sz="8" w:color="auto"/>
            </w:tcBorders>
          </w:tcPr>
          <w:p>
            <w:pPr>
              <w:spacing w:after="0"/>
              <w:rPr>
                <w:sz w:val="7"/>
                <w:szCs w:val="7"/>
                <w:color w:val="auto"/>
              </w:rPr>
            </w:pPr>
          </w:p>
        </w:tc>
      </w:tr>
      <w:tr>
        <w:trPr>
          <w:trHeight w:val="323"/>
        </w:trPr>
        <w:tc>
          <w:tcPr>
            <w:tcW w:w="4340" w:type="dxa"/>
            <w:vAlign w:val="bottom"/>
            <w:tcBorders>
              <w:left w:val="single" w:sz="8" w:color="auto"/>
              <w:right w:val="single" w:sz="8" w:color="auto"/>
            </w:tcBorders>
            <w:shd w:val="clear" w:color="auto" w:fill="D9D9D9"/>
          </w:tcPr>
          <w:p>
            <w:pPr>
              <w:ind w:left="100"/>
              <w:spacing w:after="0"/>
              <w:rPr>
                <w:sz w:val="20"/>
                <w:szCs w:val="20"/>
                <w:color w:val="auto"/>
              </w:rPr>
            </w:pPr>
            <w:r>
              <w:rPr>
                <w:rFonts w:ascii="Arial" w:cs="Arial" w:eastAsia="Arial" w:hAnsi="Arial"/>
                <w:sz w:val="20"/>
                <w:szCs w:val="20"/>
                <w:color w:val="auto"/>
              </w:rPr>
              <w:t>Target Total Direct Compensation</w:t>
            </w:r>
          </w:p>
        </w:tc>
        <w:tc>
          <w:tcPr>
            <w:tcW w:w="3520" w:type="dxa"/>
            <w:vAlign w:val="bottom"/>
            <w:tcBorders>
              <w:right w:val="single" w:sz="8" w:color="auto"/>
            </w:tcBorders>
            <w:shd w:val="clear" w:color="auto" w:fill="D9D9D9"/>
          </w:tcPr>
          <w:p>
            <w:pPr>
              <w:jc w:val="right"/>
              <w:ind w:right="581"/>
              <w:spacing w:after="0"/>
              <w:rPr>
                <w:sz w:val="20"/>
                <w:szCs w:val="20"/>
                <w:color w:val="auto"/>
              </w:rPr>
            </w:pPr>
            <w:r>
              <w:rPr>
                <w:rFonts w:ascii="Arial" w:cs="Arial" w:eastAsia="Arial" w:hAnsi="Arial"/>
                <w:sz w:val="20"/>
                <w:szCs w:val="20"/>
                <w:color w:val="auto"/>
              </w:rPr>
              <w:t>8,546,970</w:t>
            </w:r>
          </w:p>
        </w:tc>
      </w:tr>
      <w:tr>
        <w:trPr>
          <w:trHeight w:val="91"/>
        </w:trPr>
        <w:tc>
          <w:tcPr>
            <w:tcW w:w="4340" w:type="dxa"/>
            <w:vAlign w:val="bottom"/>
            <w:tcBorders>
              <w:left w:val="single" w:sz="8" w:color="auto"/>
              <w:bottom w:val="single" w:sz="8" w:color="auto"/>
              <w:right w:val="single" w:sz="8" w:color="auto"/>
            </w:tcBorders>
            <w:shd w:val="clear" w:color="auto" w:fill="D9D9D9"/>
          </w:tcPr>
          <w:p>
            <w:pPr>
              <w:spacing w:after="0"/>
              <w:rPr>
                <w:sz w:val="7"/>
                <w:szCs w:val="7"/>
                <w:color w:val="auto"/>
              </w:rPr>
            </w:pPr>
          </w:p>
        </w:tc>
        <w:tc>
          <w:tcPr>
            <w:tcW w:w="3520" w:type="dxa"/>
            <w:vAlign w:val="bottom"/>
            <w:tcBorders>
              <w:bottom w:val="single" w:sz="8" w:color="auto"/>
              <w:right w:val="single" w:sz="8" w:color="auto"/>
            </w:tcBorders>
            <w:shd w:val="clear" w:color="auto" w:fill="D9D9D9"/>
          </w:tcPr>
          <w:p>
            <w:pPr>
              <w:spacing w:after="0"/>
              <w:rPr>
                <w:sz w:val="7"/>
                <w:szCs w:val="7"/>
                <w:color w:val="auto"/>
              </w:rPr>
            </w:pPr>
          </w:p>
        </w:tc>
      </w:tr>
    </w:tbl>
    <w:p>
      <w:pPr>
        <w:spacing w:after="0" w:line="303" w:lineRule="exact"/>
        <w:rPr>
          <w:sz w:val="20"/>
          <w:szCs w:val="20"/>
          <w:color w:val="auto"/>
        </w:rPr>
      </w:pPr>
    </w:p>
    <w:p>
      <w:pPr>
        <w:ind w:firstLine="595"/>
        <w:spacing w:after="0" w:line="254" w:lineRule="auto"/>
        <w:rPr>
          <w:sz w:val="20"/>
          <w:szCs w:val="20"/>
          <w:color w:val="auto"/>
        </w:rPr>
      </w:pPr>
      <w:r>
        <w:rPr>
          <w:rFonts w:ascii="Arial" w:cs="Arial" w:eastAsia="Arial" w:hAnsi="Arial"/>
          <w:sz w:val="20"/>
          <w:szCs w:val="20"/>
          <w:color w:val="auto"/>
        </w:rPr>
        <w:t>In conjunction with the Committee’s emphasis on stock-based compensation, a majority of the CEO’s 2019 target total direct compensation was in the form of Company Common Stock.</w:t>
      </w:r>
    </w:p>
    <w:p>
      <w:pPr>
        <w:spacing w:after="0" w:line="152" w:lineRule="exact"/>
        <w:rPr>
          <w:sz w:val="20"/>
          <w:szCs w:val="20"/>
          <w:color w:val="auto"/>
        </w:rPr>
      </w:pPr>
    </w:p>
    <w:p>
      <w:pPr>
        <w:ind w:firstLine="595"/>
        <w:spacing w:after="0" w:line="260" w:lineRule="auto"/>
        <w:rPr>
          <w:sz w:val="20"/>
          <w:szCs w:val="20"/>
          <w:color w:val="auto"/>
        </w:rPr>
      </w:pPr>
      <w:r>
        <w:rPr>
          <w:rFonts w:ascii="Arial" w:cs="Arial" w:eastAsia="Arial" w:hAnsi="Arial"/>
          <w:sz w:val="20"/>
          <w:szCs w:val="20"/>
          <w:b w:val="1"/>
          <w:bCs w:val="1"/>
          <w:color w:val="auto"/>
        </w:rPr>
        <w:t xml:space="preserve">Compensation Strategy for NEOs other than the CEO. </w:t>
      </w:r>
      <w:r>
        <w:rPr>
          <w:rFonts w:ascii="Arial" w:cs="Arial" w:eastAsia="Arial" w:hAnsi="Arial"/>
          <w:sz w:val="20"/>
          <w:szCs w:val="20"/>
          <w:color w:val="auto"/>
        </w:rPr>
        <w:t>For 2019, the Committee generally continued following its market-based</w:t>
      </w:r>
      <w:r>
        <w:rPr>
          <w:rFonts w:ascii="Arial" w:cs="Arial" w:eastAsia="Arial" w:hAnsi="Arial"/>
          <w:sz w:val="20"/>
          <w:szCs w:val="20"/>
          <w:b w:val="1"/>
          <w:bCs w:val="1"/>
          <w:color w:val="auto"/>
        </w:rPr>
        <w:t xml:space="preserve"> </w:t>
      </w:r>
      <w:r>
        <w:rPr>
          <w:rFonts w:ascii="Arial" w:cs="Arial" w:eastAsia="Arial" w:hAnsi="Arial"/>
          <w:sz w:val="20"/>
          <w:szCs w:val="20"/>
          <w:color w:val="auto"/>
        </w:rPr>
        <w:t>compensation strategy for the NEOs other than the CEO:</w:t>
      </w:r>
    </w:p>
    <w:p>
      <w:pPr>
        <w:spacing w:after="0" w:line="153" w:lineRule="exact"/>
        <w:rPr>
          <w:sz w:val="20"/>
          <w:szCs w:val="20"/>
          <w:color w:val="auto"/>
        </w:rPr>
      </w:pPr>
    </w:p>
    <w:p>
      <w:pPr>
        <w:ind w:left="1120" w:right="80" w:hanging="439"/>
        <w:spacing w:after="0" w:line="254" w:lineRule="auto"/>
        <w:tabs>
          <w:tab w:leader="none" w:pos="1120" w:val="left"/>
        </w:tabs>
        <w:numPr>
          <w:ilvl w:val="0"/>
          <w:numId w:val="27"/>
        </w:numPr>
        <w:rPr>
          <w:rFonts w:ascii="Arial" w:cs="Arial" w:eastAsia="Arial" w:hAnsi="Arial"/>
          <w:sz w:val="20"/>
          <w:szCs w:val="20"/>
          <w:color w:val="auto"/>
        </w:rPr>
      </w:pPr>
      <w:r>
        <w:rPr>
          <w:rFonts w:ascii="Arial" w:cs="Arial" w:eastAsia="Arial" w:hAnsi="Arial"/>
          <w:sz w:val="20"/>
          <w:szCs w:val="20"/>
          <w:color w:val="auto"/>
        </w:rPr>
        <w:t>Pay levels were evaluated relative to the Peer Group as the primary market reference point. In addition, general industry data was reviewed as an additional market reference and to ensure robust competitive data.</w:t>
      </w:r>
    </w:p>
    <w:p>
      <w:pPr>
        <w:spacing w:after="0" w:line="58" w:lineRule="exact"/>
        <w:rPr>
          <w:rFonts w:ascii="Arial" w:cs="Arial" w:eastAsia="Arial" w:hAnsi="Arial"/>
          <w:sz w:val="20"/>
          <w:szCs w:val="20"/>
          <w:color w:val="auto"/>
        </w:rPr>
      </w:pPr>
    </w:p>
    <w:p>
      <w:pPr>
        <w:jc w:val="both"/>
        <w:ind w:left="1120" w:hanging="439"/>
        <w:spacing w:after="0" w:line="200" w:lineRule="auto"/>
        <w:tabs>
          <w:tab w:leader="none" w:pos="1120" w:val="left"/>
        </w:tabs>
        <w:numPr>
          <w:ilvl w:val="0"/>
          <w:numId w:val="27"/>
        </w:numPr>
        <w:rPr>
          <w:rFonts w:ascii="Arial" w:cs="Arial" w:eastAsia="Arial" w:hAnsi="Arial"/>
          <w:sz w:val="20"/>
          <w:szCs w:val="20"/>
          <w:color w:val="auto"/>
        </w:rPr>
      </w:pPr>
      <w:r>
        <w:rPr>
          <w:rFonts w:ascii="Arial" w:cs="Arial" w:eastAsia="Arial" w:hAnsi="Arial"/>
          <w:sz w:val="20"/>
          <w:szCs w:val="20"/>
          <w:color w:val="auto"/>
        </w:rPr>
        <w:t>Target total cash compensation and target total direct compensation levels were set towards the middle range of the Peer Group. The Committee used the 50</w:t>
      </w:r>
      <w:r>
        <w:rPr>
          <w:rFonts w:ascii="Arial" w:cs="Arial" w:eastAsia="Arial" w:hAnsi="Arial"/>
          <w:sz w:val="33"/>
          <w:szCs w:val="33"/>
          <w:color w:val="auto"/>
          <w:vertAlign w:val="superscript"/>
        </w:rPr>
        <w:t>th</w:t>
      </w:r>
      <w:r>
        <w:rPr>
          <w:rFonts w:ascii="Arial" w:cs="Arial" w:eastAsia="Arial" w:hAnsi="Arial"/>
          <w:sz w:val="20"/>
          <w:szCs w:val="20"/>
          <w:color w:val="auto"/>
        </w:rPr>
        <w:t xml:space="preserve"> percentile of the Peer Group’s target total cash compensation and target total direct compensation as a market check in determining compensation. However, the 50</w:t>
      </w:r>
      <w:r>
        <w:rPr>
          <w:rFonts w:ascii="Arial" w:cs="Arial" w:eastAsia="Arial" w:hAnsi="Arial"/>
          <w:sz w:val="33"/>
          <w:szCs w:val="33"/>
          <w:color w:val="auto"/>
          <w:vertAlign w:val="superscript"/>
        </w:rPr>
        <w:t>th</w:t>
      </w:r>
      <w:r>
        <w:rPr>
          <w:rFonts w:ascii="Arial" w:cs="Arial" w:eastAsia="Arial" w:hAnsi="Arial"/>
          <w:sz w:val="20"/>
          <w:szCs w:val="20"/>
          <w:color w:val="auto"/>
        </w:rPr>
        <w:t xml:space="preserve"> percentile is a guidepost and not an absolute target.</w:t>
      </w:r>
    </w:p>
    <w:p>
      <w:pPr>
        <w:spacing w:after="0" w:line="169" w:lineRule="exact"/>
        <w:rPr>
          <w:sz w:val="20"/>
          <w:szCs w:val="20"/>
          <w:color w:val="auto"/>
        </w:rPr>
      </w:pPr>
    </w:p>
    <w:p>
      <w:pPr>
        <w:jc w:val="both"/>
        <w:ind w:firstLine="595"/>
        <w:spacing w:after="0" w:line="260" w:lineRule="auto"/>
        <w:rPr>
          <w:sz w:val="20"/>
          <w:szCs w:val="20"/>
          <w:color w:val="auto"/>
        </w:rPr>
      </w:pPr>
      <w:r>
        <w:rPr>
          <w:rFonts w:ascii="Arial" w:cs="Arial" w:eastAsia="Arial" w:hAnsi="Arial"/>
          <w:sz w:val="20"/>
          <w:szCs w:val="20"/>
          <w:b w:val="1"/>
          <w:bCs w:val="1"/>
          <w:color w:val="auto"/>
        </w:rPr>
        <w:t xml:space="preserve">Components of Compensation. </w:t>
      </w:r>
      <w:r>
        <w:rPr>
          <w:rFonts w:ascii="Arial" w:cs="Arial" w:eastAsia="Arial" w:hAnsi="Arial"/>
          <w:sz w:val="20"/>
          <w:szCs w:val="20"/>
          <w:color w:val="auto"/>
        </w:rPr>
        <w:t>For 2019, the principal components of compensation for NEOs were base salary, annual incentive</w:t>
      </w:r>
      <w:r>
        <w:rPr>
          <w:rFonts w:ascii="Arial" w:cs="Arial" w:eastAsia="Arial" w:hAnsi="Arial"/>
          <w:sz w:val="20"/>
          <w:szCs w:val="20"/>
          <w:b w:val="1"/>
          <w:bCs w:val="1"/>
          <w:color w:val="auto"/>
        </w:rPr>
        <w:t xml:space="preserve"> </w:t>
      </w:r>
      <w:r>
        <w:rPr>
          <w:rFonts w:ascii="Arial" w:cs="Arial" w:eastAsia="Arial" w:hAnsi="Arial"/>
          <w:sz w:val="20"/>
          <w:szCs w:val="20"/>
          <w:color w:val="auto"/>
        </w:rPr>
        <w:t>bonus, long-term equity incentives, retirement benefits and perquisites.</w:t>
      </w:r>
    </w:p>
    <w:p>
      <w:pPr>
        <w:spacing w:after="0" w:line="147" w:lineRule="exact"/>
        <w:rPr>
          <w:sz w:val="20"/>
          <w:szCs w:val="20"/>
          <w:color w:val="auto"/>
        </w:rPr>
      </w:pPr>
    </w:p>
    <w:p>
      <w:pPr>
        <w:jc w:val="both"/>
        <w:ind w:firstLine="595"/>
        <w:spacing w:after="0" w:line="239" w:lineRule="auto"/>
        <w:rPr>
          <w:sz w:val="20"/>
          <w:szCs w:val="20"/>
          <w:color w:val="auto"/>
        </w:rPr>
      </w:pPr>
      <w:r>
        <w:rPr>
          <w:rFonts w:ascii="Arial" w:cs="Arial" w:eastAsia="Arial" w:hAnsi="Arial"/>
          <w:sz w:val="20"/>
          <w:szCs w:val="20"/>
          <w:b w:val="1"/>
          <w:bCs w:val="1"/>
          <w:color w:val="auto"/>
        </w:rPr>
        <w:t xml:space="preserve">Base Salary. </w:t>
      </w:r>
      <w:r>
        <w:rPr>
          <w:rFonts w:ascii="Arial" w:cs="Arial" w:eastAsia="Arial" w:hAnsi="Arial"/>
          <w:sz w:val="20"/>
          <w:szCs w:val="20"/>
          <w:color w:val="auto"/>
        </w:rPr>
        <w:t>The Company provides NEOs with base salaries to compensate them for services rendered during the year. The</w:t>
      </w:r>
      <w:r>
        <w:rPr>
          <w:rFonts w:ascii="Arial" w:cs="Arial" w:eastAsia="Arial" w:hAnsi="Arial"/>
          <w:sz w:val="20"/>
          <w:szCs w:val="20"/>
          <w:b w:val="1"/>
          <w:bCs w:val="1"/>
          <w:color w:val="auto"/>
        </w:rPr>
        <w:t xml:space="preserve"> </w:t>
      </w:r>
      <w:r>
        <w:rPr>
          <w:rFonts w:ascii="Arial" w:cs="Arial" w:eastAsia="Arial" w:hAnsi="Arial"/>
          <w:sz w:val="20"/>
          <w:szCs w:val="20"/>
          <w:color w:val="auto"/>
        </w:rPr>
        <w:t>Committee recognizes that competitive salaries must be paid in order to attract and retain high-quality executives. Normally, the Committee reviews NEO salaries at the end of each year, with any adjustments to base salary becoming effective on January 1 of the succeeding year. However, in special circumstances, such as a promotion or increased responsibilities, the Committee may act to increase an NEO’s salary during the year.</w:t>
      </w:r>
    </w:p>
    <w:p>
      <w:pPr>
        <w:spacing w:after="0" w:line="188" w:lineRule="exact"/>
        <w:rPr>
          <w:sz w:val="20"/>
          <w:szCs w:val="20"/>
          <w:color w:val="auto"/>
        </w:rPr>
      </w:pPr>
    </w:p>
    <w:p>
      <w:pPr>
        <w:jc w:val="both"/>
        <w:ind w:firstLine="595"/>
        <w:spacing w:after="0"/>
        <w:rPr>
          <w:sz w:val="20"/>
          <w:szCs w:val="20"/>
          <w:color w:val="auto"/>
        </w:rPr>
      </w:pPr>
      <w:r>
        <w:rPr>
          <w:rFonts w:ascii="Arial" w:cs="Arial" w:eastAsia="Arial" w:hAnsi="Arial"/>
          <w:sz w:val="20"/>
          <w:szCs w:val="20"/>
          <w:i w:val="1"/>
          <w:iCs w:val="1"/>
          <w:color w:val="auto"/>
        </w:rPr>
        <w:t>2019 Base Salaries</w:t>
      </w:r>
      <w:r>
        <w:rPr>
          <w:rFonts w:ascii="Arial" w:cs="Arial" w:eastAsia="Arial" w:hAnsi="Arial"/>
          <w:sz w:val="20"/>
          <w:szCs w:val="20"/>
          <w:color w:val="auto"/>
        </w:rPr>
        <w:t>. The Committee has determined that base salary levels for the NEOs should be targeted towards the middle range</w:t>
      </w:r>
      <w:r>
        <w:rPr>
          <w:rFonts w:ascii="Arial" w:cs="Arial" w:eastAsia="Arial" w:hAnsi="Arial"/>
          <w:sz w:val="20"/>
          <w:szCs w:val="20"/>
          <w:i w:val="1"/>
          <w:iCs w:val="1"/>
          <w:color w:val="auto"/>
        </w:rPr>
        <w:t xml:space="preserve"> </w:t>
      </w:r>
      <w:r>
        <w:rPr>
          <w:rFonts w:ascii="Arial" w:cs="Arial" w:eastAsia="Arial" w:hAnsi="Arial"/>
          <w:sz w:val="20"/>
          <w:szCs w:val="20"/>
          <w:color w:val="auto"/>
        </w:rPr>
        <w:t>of the Peer Group. Consistent with this market-based pay strategy, the Committee approved increases in the base salaries of the NEOs in order to move them in line with the middle range of the Peer Group. Base salaries for each of the NEOs for 2019 were as set forth in the following table.</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37</w:t>
      </w:r>
    </w:p>
    <w:p>
      <w:pPr>
        <w:sectPr>
          <w:pgSz w:w="11900" w:h="16838" w:orient="portrait"/>
          <w:cols w:equalWidth="0" w:num="1">
            <w:col w:w="11240"/>
          </w:cols>
          <w:pgMar w:left="320" w:top="673" w:right="339" w:bottom="1440" w:gutter="0" w:footer="0" w:header="0"/>
        </w:sectPr>
      </w:pPr>
    </w:p>
    <w:bookmarkStart w:id="41" w:name="page42"/>
    <w:bookmarkEnd w:id="41"/>
    <w:tbl>
      <w:tblPr>
        <w:tblLayout w:type="fixed"/>
        <w:tblInd w:w="2270" w:type="dxa"/>
        <w:tblCellMar>
          <w:top w:w="0" w:type="dxa"/>
          <w:left w:w="0" w:type="dxa"/>
          <w:bottom w:w="0" w:type="dxa"/>
          <w:right w:w="0" w:type="dxa"/>
        </w:tblCellMar>
      </w:tblPr>
      <w:tr>
        <w:trPr>
          <w:trHeight w:val="318"/>
        </w:trPr>
        <w:tc>
          <w:tcPr>
            <w:tcW w:w="3460" w:type="dxa"/>
            <w:vAlign w:val="bottom"/>
            <w:tcBorders>
              <w:top w:val="single" w:sz="8" w:color="auto"/>
              <w:left w:val="single" w:sz="8" w:color="auto"/>
              <w:right w:val="single" w:sz="8" w:color="auto"/>
            </w:tcBorders>
            <w:shd w:val="clear" w:color="auto" w:fill="29650B"/>
          </w:tcPr>
          <w:p>
            <w:pPr>
              <w:ind w:left="1460"/>
              <w:spacing w:after="0"/>
              <w:rPr>
                <w:sz w:val="20"/>
                <w:szCs w:val="20"/>
                <w:color w:val="auto"/>
              </w:rPr>
            </w:pPr>
            <w:r>
              <w:rPr>
                <w:rFonts w:ascii="Arial" w:cs="Arial" w:eastAsia="Arial" w:hAnsi="Arial"/>
                <w:sz w:val="20"/>
                <w:szCs w:val="20"/>
                <w:b w:val="1"/>
                <w:bCs w:val="1"/>
                <w:color w:val="FFFFFF"/>
              </w:rPr>
              <w:t>Name</w:t>
            </w:r>
          </w:p>
        </w:tc>
        <w:tc>
          <w:tcPr>
            <w:tcW w:w="3300" w:type="dxa"/>
            <w:vAlign w:val="bottom"/>
            <w:tcBorders>
              <w:top w:val="single" w:sz="8" w:color="auto"/>
              <w:right w:val="single" w:sz="8" w:color="auto"/>
            </w:tcBorders>
            <w:shd w:val="clear" w:color="auto" w:fill="29650B"/>
          </w:tcPr>
          <w:p>
            <w:pPr>
              <w:jc w:val="right"/>
              <w:ind w:right="861"/>
              <w:spacing w:after="0"/>
              <w:rPr>
                <w:sz w:val="20"/>
                <w:szCs w:val="20"/>
                <w:color w:val="auto"/>
              </w:rPr>
            </w:pPr>
            <w:r>
              <w:rPr>
                <w:rFonts w:ascii="Arial" w:cs="Arial" w:eastAsia="Arial" w:hAnsi="Arial"/>
                <w:sz w:val="20"/>
                <w:szCs w:val="20"/>
                <w:b w:val="1"/>
                <w:bCs w:val="1"/>
                <w:color w:val="FFFFFF"/>
              </w:rPr>
              <w:t>2019 Base Salary</w:t>
            </w:r>
          </w:p>
        </w:tc>
      </w:tr>
      <w:tr>
        <w:trPr>
          <w:trHeight w:val="78"/>
        </w:trPr>
        <w:tc>
          <w:tcPr>
            <w:tcW w:w="3460" w:type="dxa"/>
            <w:vAlign w:val="bottom"/>
            <w:tcBorders>
              <w:left w:val="single" w:sz="8" w:color="auto"/>
              <w:bottom w:val="single" w:sz="8" w:color="auto"/>
              <w:right w:val="single" w:sz="8" w:color="auto"/>
            </w:tcBorders>
            <w:shd w:val="clear" w:color="auto" w:fill="29650B"/>
          </w:tcPr>
          <w:p>
            <w:pPr>
              <w:spacing w:after="0"/>
              <w:rPr>
                <w:sz w:val="6"/>
                <w:szCs w:val="6"/>
                <w:color w:val="auto"/>
              </w:rPr>
            </w:pPr>
          </w:p>
        </w:tc>
        <w:tc>
          <w:tcPr>
            <w:tcW w:w="3300" w:type="dxa"/>
            <w:vAlign w:val="bottom"/>
            <w:tcBorders>
              <w:bottom w:val="single" w:sz="8" w:color="auto"/>
              <w:right w:val="single" w:sz="8" w:color="auto"/>
            </w:tcBorders>
            <w:shd w:val="clear" w:color="auto" w:fill="29650B"/>
          </w:tcPr>
          <w:p>
            <w:pPr>
              <w:spacing w:after="0"/>
              <w:rPr>
                <w:sz w:val="6"/>
                <w:szCs w:val="6"/>
                <w:color w:val="auto"/>
              </w:rPr>
            </w:pPr>
          </w:p>
        </w:tc>
      </w:tr>
      <w:tr>
        <w:trPr>
          <w:trHeight w:val="323"/>
        </w:trPr>
        <w:tc>
          <w:tcPr>
            <w:tcW w:w="34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Timothy Donahue</w:t>
            </w:r>
          </w:p>
        </w:tc>
        <w:tc>
          <w:tcPr>
            <w:tcW w:w="3300" w:type="dxa"/>
            <w:vAlign w:val="bottom"/>
            <w:tcBorders>
              <w:right w:val="single" w:sz="8" w:color="auto"/>
            </w:tcBorders>
          </w:tcPr>
          <w:p>
            <w:pPr>
              <w:jc w:val="right"/>
              <w:ind w:right="601"/>
              <w:spacing w:after="0"/>
              <w:rPr>
                <w:sz w:val="20"/>
                <w:szCs w:val="20"/>
                <w:color w:val="auto"/>
              </w:rPr>
            </w:pPr>
            <w:r>
              <w:rPr>
                <w:rFonts w:ascii="Arial" w:cs="Arial" w:eastAsia="Arial" w:hAnsi="Arial"/>
                <w:sz w:val="20"/>
                <w:szCs w:val="20"/>
                <w:color w:val="auto"/>
              </w:rPr>
              <w:t>$1,155,000</w:t>
            </w:r>
          </w:p>
        </w:tc>
      </w:tr>
      <w:tr>
        <w:trPr>
          <w:trHeight w:val="91"/>
        </w:trPr>
        <w:tc>
          <w:tcPr>
            <w:tcW w:w="3460" w:type="dxa"/>
            <w:vAlign w:val="bottom"/>
            <w:tcBorders>
              <w:left w:val="single" w:sz="8" w:color="auto"/>
              <w:bottom w:val="single" w:sz="8" w:color="auto"/>
              <w:right w:val="single" w:sz="8" w:color="auto"/>
            </w:tcBorders>
          </w:tcPr>
          <w:p>
            <w:pPr>
              <w:spacing w:after="0"/>
              <w:rPr>
                <w:sz w:val="7"/>
                <w:szCs w:val="7"/>
                <w:color w:val="auto"/>
              </w:rPr>
            </w:pPr>
          </w:p>
        </w:tc>
        <w:tc>
          <w:tcPr>
            <w:tcW w:w="3300" w:type="dxa"/>
            <w:vAlign w:val="bottom"/>
            <w:tcBorders>
              <w:bottom w:val="single" w:sz="8" w:color="auto"/>
              <w:right w:val="single" w:sz="8" w:color="auto"/>
            </w:tcBorders>
          </w:tcPr>
          <w:p>
            <w:pPr>
              <w:spacing w:after="0"/>
              <w:rPr>
                <w:sz w:val="7"/>
                <w:szCs w:val="7"/>
                <w:color w:val="auto"/>
              </w:rPr>
            </w:pPr>
          </w:p>
        </w:tc>
      </w:tr>
      <w:tr>
        <w:trPr>
          <w:trHeight w:val="323"/>
        </w:trPr>
        <w:tc>
          <w:tcPr>
            <w:tcW w:w="3460" w:type="dxa"/>
            <w:vAlign w:val="bottom"/>
            <w:tcBorders>
              <w:left w:val="single" w:sz="8" w:color="auto"/>
              <w:right w:val="single" w:sz="8" w:color="auto"/>
            </w:tcBorders>
            <w:shd w:val="clear" w:color="auto" w:fill="D9D9D9"/>
          </w:tcPr>
          <w:p>
            <w:pPr>
              <w:ind w:left="100"/>
              <w:spacing w:after="0"/>
              <w:rPr>
                <w:sz w:val="20"/>
                <w:szCs w:val="20"/>
                <w:color w:val="auto"/>
              </w:rPr>
            </w:pPr>
            <w:r>
              <w:rPr>
                <w:rFonts w:ascii="Arial" w:cs="Arial" w:eastAsia="Arial" w:hAnsi="Arial"/>
                <w:sz w:val="20"/>
                <w:szCs w:val="20"/>
                <w:color w:val="auto"/>
              </w:rPr>
              <w:t>Thomas Kelly</w:t>
            </w:r>
          </w:p>
        </w:tc>
        <w:tc>
          <w:tcPr>
            <w:tcW w:w="3300" w:type="dxa"/>
            <w:vAlign w:val="bottom"/>
            <w:tcBorders>
              <w:right w:val="single" w:sz="8" w:color="auto"/>
            </w:tcBorders>
            <w:shd w:val="clear" w:color="auto" w:fill="D9D9D9"/>
          </w:tcPr>
          <w:p>
            <w:pPr>
              <w:jc w:val="right"/>
              <w:ind w:right="601"/>
              <w:spacing w:after="0"/>
              <w:rPr>
                <w:sz w:val="20"/>
                <w:szCs w:val="20"/>
                <w:color w:val="auto"/>
              </w:rPr>
            </w:pPr>
            <w:r>
              <w:rPr>
                <w:rFonts w:ascii="Arial" w:cs="Arial" w:eastAsia="Arial" w:hAnsi="Arial"/>
                <w:sz w:val="20"/>
                <w:szCs w:val="20"/>
                <w:color w:val="auto"/>
              </w:rPr>
              <w:t>685,000</w:t>
            </w:r>
          </w:p>
        </w:tc>
      </w:tr>
      <w:tr>
        <w:trPr>
          <w:trHeight w:val="91"/>
        </w:trPr>
        <w:tc>
          <w:tcPr>
            <w:tcW w:w="3460" w:type="dxa"/>
            <w:vAlign w:val="bottom"/>
            <w:tcBorders>
              <w:left w:val="single" w:sz="8" w:color="auto"/>
              <w:bottom w:val="single" w:sz="8" w:color="auto"/>
              <w:right w:val="single" w:sz="8" w:color="auto"/>
            </w:tcBorders>
            <w:shd w:val="clear" w:color="auto" w:fill="D9D9D9"/>
          </w:tcPr>
          <w:p>
            <w:pPr>
              <w:spacing w:after="0"/>
              <w:rPr>
                <w:sz w:val="7"/>
                <w:szCs w:val="7"/>
                <w:color w:val="auto"/>
              </w:rPr>
            </w:pPr>
          </w:p>
        </w:tc>
        <w:tc>
          <w:tcPr>
            <w:tcW w:w="3300" w:type="dxa"/>
            <w:vAlign w:val="bottom"/>
            <w:tcBorders>
              <w:bottom w:val="single" w:sz="8" w:color="auto"/>
              <w:right w:val="single" w:sz="8" w:color="auto"/>
            </w:tcBorders>
            <w:shd w:val="clear" w:color="auto" w:fill="D9D9D9"/>
          </w:tcPr>
          <w:p>
            <w:pPr>
              <w:spacing w:after="0"/>
              <w:rPr>
                <w:sz w:val="7"/>
                <w:szCs w:val="7"/>
                <w:color w:val="auto"/>
              </w:rPr>
            </w:pPr>
          </w:p>
        </w:tc>
      </w:tr>
      <w:tr>
        <w:trPr>
          <w:trHeight w:val="323"/>
        </w:trPr>
        <w:tc>
          <w:tcPr>
            <w:tcW w:w="34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Gerard Gifford</w:t>
            </w:r>
          </w:p>
        </w:tc>
        <w:tc>
          <w:tcPr>
            <w:tcW w:w="3300" w:type="dxa"/>
            <w:vAlign w:val="bottom"/>
            <w:tcBorders>
              <w:right w:val="single" w:sz="8" w:color="auto"/>
            </w:tcBorders>
          </w:tcPr>
          <w:p>
            <w:pPr>
              <w:jc w:val="right"/>
              <w:ind w:right="601"/>
              <w:spacing w:after="0"/>
              <w:rPr>
                <w:sz w:val="20"/>
                <w:szCs w:val="20"/>
                <w:color w:val="auto"/>
              </w:rPr>
            </w:pPr>
            <w:r>
              <w:rPr>
                <w:rFonts w:ascii="Arial" w:cs="Arial" w:eastAsia="Arial" w:hAnsi="Arial"/>
                <w:sz w:val="20"/>
                <w:szCs w:val="20"/>
                <w:color w:val="auto"/>
              </w:rPr>
              <w:t>715,000</w:t>
            </w:r>
          </w:p>
        </w:tc>
      </w:tr>
      <w:tr>
        <w:trPr>
          <w:trHeight w:val="91"/>
        </w:trPr>
        <w:tc>
          <w:tcPr>
            <w:tcW w:w="3460" w:type="dxa"/>
            <w:vAlign w:val="bottom"/>
            <w:tcBorders>
              <w:left w:val="single" w:sz="8" w:color="auto"/>
              <w:bottom w:val="single" w:sz="8" w:color="auto"/>
              <w:right w:val="single" w:sz="8" w:color="auto"/>
            </w:tcBorders>
          </w:tcPr>
          <w:p>
            <w:pPr>
              <w:spacing w:after="0"/>
              <w:rPr>
                <w:sz w:val="7"/>
                <w:szCs w:val="7"/>
                <w:color w:val="auto"/>
              </w:rPr>
            </w:pPr>
          </w:p>
        </w:tc>
        <w:tc>
          <w:tcPr>
            <w:tcW w:w="3300" w:type="dxa"/>
            <w:vAlign w:val="bottom"/>
            <w:tcBorders>
              <w:bottom w:val="single" w:sz="8" w:color="auto"/>
              <w:right w:val="single" w:sz="8" w:color="auto"/>
            </w:tcBorders>
          </w:tcPr>
          <w:p>
            <w:pPr>
              <w:spacing w:after="0"/>
              <w:rPr>
                <w:sz w:val="7"/>
                <w:szCs w:val="7"/>
                <w:color w:val="auto"/>
              </w:rPr>
            </w:pPr>
          </w:p>
        </w:tc>
      </w:tr>
      <w:tr>
        <w:trPr>
          <w:trHeight w:val="323"/>
        </w:trPr>
        <w:tc>
          <w:tcPr>
            <w:tcW w:w="3460" w:type="dxa"/>
            <w:vAlign w:val="bottom"/>
            <w:tcBorders>
              <w:left w:val="single" w:sz="8" w:color="auto"/>
              <w:right w:val="single" w:sz="8" w:color="auto"/>
            </w:tcBorders>
            <w:shd w:val="clear" w:color="auto" w:fill="D9D9D9"/>
          </w:tcPr>
          <w:p>
            <w:pPr>
              <w:ind w:left="100"/>
              <w:spacing w:after="0"/>
              <w:rPr>
                <w:sz w:val="20"/>
                <w:szCs w:val="20"/>
                <w:color w:val="auto"/>
              </w:rPr>
            </w:pPr>
            <w:r>
              <w:rPr>
                <w:rFonts w:ascii="Arial" w:cs="Arial" w:eastAsia="Arial" w:hAnsi="Arial"/>
                <w:sz w:val="20"/>
                <w:szCs w:val="20"/>
                <w:color w:val="auto"/>
              </w:rPr>
              <w:t>Djalma Novaes</w:t>
            </w:r>
          </w:p>
        </w:tc>
        <w:tc>
          <w:tcPr>
            <w:tcW w:w="3300" w:type="dxa"/>
            <w:vAlign w:val="bottom"/>
            <w:tcBorders>
              <w:right w:val="single" w:sz="8" w:color="auto"/>
            </w:tcBorders>
            <w:shd w:val="clear" w:color="auto" w:fill="D9D9D9"/>
          </w:tcPr>
          <w:p>
            <w:pPr>
              <w:jc w:val="right"/>
              <w:ind w:right="601"/>
              <w:spacing w:after="0"/>
              <w:rPr>
                <w:sz w:val="20"/>
                <w:szCs w:val="20"/>
                <w:color w:val="auto"/>
              </w:rPr>
            </w:pPr>
            <w:r>
              <w:rPr>
                <w:rFonts w:ascii="Arial" w:cs="Arial" w:eastAsia="Arial" w:hAnsi="Arial"/>
                <w:sz w:val="20"/>
                <w:szCs w:val="20"/>
                <w:color w:val="auto"/>
              </w:rPr>
              <w:t>575,000</w:t>
            </w:r>
          </w:p>
        </w:tc>
      </w:tr>
      <w:tr>
        <w:trPr>
          <w:trHeight w:val="91"/>
        </w:trPr>
        <w:tc>
          <w:tcPr>
            <w:tcW w:w="3460" w:type="dxa"/>
            <w:vAlign w:val="bottom"/>
            <w:tcBorders>
              <w:left w:val="single" w:sz="8" w:color="auto"/>
              <w:bottom w:val="single" w:sz="8" w:color="auto"/>
              <w:right w:val="single" w:sz="8" w:color="auto"/>
            </w:tcBorders>
            <w:shd w:val="clear" w:color="auto" w:fill="D9D9D9"/>
          </w:tcPr>
          <w:p>
            <w:pPr>
              <w:spacing w:after="0"/>
              <w:rPr>
                <w:sz w:val="7"/>
                <w:szCs w:val="7"/>
                <w:color w:val="auto"/>
              </w:rPr>
            </w:pPr>
          </w:p>
        </w:tc>
        <w:tc>
          <w:tcPr>
            <w:tcW w:w="3300" w:type="dxa"/>
            <w:vAlign w:val="bottom"/>
            <w:tcBorders>
              <w:bottom w:val="single" w:sz="8" w:color="auto"/>
              <w:right w:val="single" w:sz="8" w:color="auto"/>
            </w:tcBorders>
            <w:shd w:val="clear" w:color="auto" w:fill="D9D9D9"/>
          </w:tcPr>
          <w:p>
            <w:pPr>
              <w:spacing w:after="0"/>
              <w:rPr>
                <w:sz w:val="7"/>
                <w:szCs w:val="7"/>
                <w:color w:val="auto"/>
              </w:rPr>
            </w:pPr>
          </w:p>
        </w:tc>
      </w:tr>
      <w:tr>
        <w:trPr>
          <w:trHeight w:val="323"/>
        </w:trPr>
        <w:tc>
          <w:tcPr>
            <w:tcW w:w="34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Robert Bourque</w:t>
            </w:r>
          </w:p>
        </w:tc>
        <w:tc>
          <w:tcPr>
            <w:tcW w:w="3300" w:type="dxa"/>
            <w:vAlign w:val="bottom"/>
            <w:tcBorders>
              <w:right w:val="single" w:sz="8" w:color="auto"/>
            </w:tcBorders>
          </w:tcPr>
          <w:p>
            <w:pPr>
              <w:jc w:val="right"/>
              <w:ind w:right="601"/>
              <w:spacing w:after="0"/>
              <w:rPr>
                <w:sz w:val="20"/>
                <w:szCs w:val="20"/>
                <w:color w:val="auto"/>
              </w:rPr>
            </w:pPr>
            <w:r>
              <w:rPr>
                <w:rFonts w:ascii="Arial" w:cs="Arial" w:eastAsia="Arial" w:hAnsi="Arial"/>
                <w:sz w:val="20"/>
                <w:szCs w:val="20"/>
                <w:color w:val="auto"/>
              </w:rPr>
              <w:t>525,000</w:t>
            </w:r>
          </w:p>
        </w:tc>
      </w:tr>
      <w:tr>
        <w:trPr>
          <w:trHeight w:val="91"/>
        </w:trPr>
        <w:tc>
          <w:tcPr>
            <w:tcW w:w="3460" w:type="dxa"/>
            <w:vAlign w:val="bottom"/>
            <w:tcBorders>
              <w:left w:val="single" w:sz="8" w:color="auto"/>
              <w:bottom w:val="single" w:sz="8" w:color="auto"/>
              <w:right w:val="single" w:sz="8" w:color="auto"/>
            </w:tcBorders>
          </w:tcPr>
          <w:p>
            <w:pPr>
              <w:spacing w:after="0"/>
              <w:rPr>
                <w:sz w:val="7"/>
                <w:szCs w:val="7"/>
                <w:color w:val="auto"/>
              </w:rPr>
            </w:pPr>
          </w:p>
        </w:tc>
        <w:tc>
          <w:tcPr>
            <w:tcW w:w="3300" w:type="dxa"/>
            <w:vAlign w:val="bottom"/>
            <w:tcBorders>
              <w:bottom w:val="single" w:sz="8" w:color="auto"/>
              <w:right w:val="single" w:sz="8" w:color="auto"/>
            </w:tcBorders>
          </w:tcPr>
          <w:p>
            <w:pPr>
              <w:spacing w:after="0"/>
              <w:rPr>
                <w:sz w:val="7"/>
                <w:szCs w:val="7"/>
                <w:color w:val="auto"/>
              </w:rPr>
            </w:pPr>
          </w:p>
        </w:tc>
      </w:tr>
    </w:tbl>
    <w:p>
      <w:pPr>
        <w:spacing w:after="0" w:line="272" w:lineRule="exact"/>
        <w:rPr>
          <w:sz w:val="20"/>
          <w:szCs w:val="20"/>
          <w:color w:val="auto"/>
        </w:rPr>
      </w:pPr>
    </w:p>
    <w:p>
      <w:pPr>
        <w:jc w:val="both"/>
        <w:ind w:firstLine="595"/>
        <w:spacing w:after="0" w:line="251" w:lineRule="auto"/>
        <w:rPr>
          <w:sz w:val="20"/>
          <w:szCs w:val="20"/>
          <w:color w:val="auto"/>
        </w:rPr>
      </w:pPr>
      <w:r>
        <w:rPr>
          <w:rFonts w:ascii="Arial" w:cs="Arial" w:eastAsia="Arial" w:hAnsi="Arial"/>
          <w:sz w:val="19"/>
          <w:szCs w:val="19"/>
          <w:b w:val="1"/>
          <w:bCs w:val="1"/>
          <w:color w:val="auto"/>
        </w:rPr>
        <w:t xml:space="preserve">Annual Incentive Bonus. </w:t>
      </w:r>
      <w:r>
        <w:rPr>
          <w:rFonts w:ascii="Arial" w:cs="Arial" w:eastAsia="Arial" w:hAnsi="Arial"/>
          <w:sz w:val="19"/>
          <w:szCs w:val="19"/>
          <w:color w:val="auto"/>
        </w:rPr>
        <w:t>Annual cash bonuses are included as part of the executive compensation program because, consistent with</w:t>
      </w:r>
      <w:r>
        <w:rPr>
          <w:rFonts w:ascii="Arial" w:cs="Arial" w:eastAsia="Arial" w:hAnsi="Arial"/>
          <w:sz w:val="19"/>
          <w:szCs w:val="19"/>
          <w:b w:val="1"/>
          <w:bCs w:val="1"/>
          <w:color w:val="auto"/>
        </w:rPr>
        <w:t xml:space="preserve"> </w:t>
      </w:r>
      <w:r>
        <w:rPr>
          <w:rFonts w:ascii="Arial" w:cs="Arial" w:eastAsia="Arial" w:hAnsi="Arial"/>
          <w:sz w:val="19"/>
          <w:szCs w:val="19"/>
          <w:color w:val="auto"/>
        </w:rPr>
        <w:t>our “pay-for-performance” philosophy, the Committee believes that a significant portion of each NEO’s compensation should be contingent on success in achieving annual goals that drive the long-term operating performance of the Company. NEOs are eligible for annual cash bonuses under our Annual Incentive Bonus Plan (the “AIB Plan”). For 2019, our NEOs were eligible to receive annual incentive bonuses under the AIB Plan upon the achievement of specified levels of economic profit and modified operating cash flow. The Committee believes the use of economic profit and modified operating cash flow as key performance measures under the AIB Plan drives the Company’s long-term operating performance and is closely correlated with long-term increase in Shareholder value. The maximum payout under the AIB Plan is limited to two times the target bonus.</w:t>
      </w:r>
    </w:p>
    <w:p>
      <w:pPr>
        <w:spacing w:after="0" w:line="162" w:lineRule="exact"/>
        <w:rPr>
          <w:sz w:val="20"/>
          <w:szCs w:val="20"/>
          <w:color w:val="auto"/>
        </w:rPr>
      </w:pPr>
    </w:p>
    <w:p>
      <w:pPr>
        <w:jc w:val="both"/>
        <w:ind w:firstLine="595"/>
        <w:spacing w:after="0" w:line="254" w:lineRule="auto"/>
        <w:rPr>
          <w:sz w:val="20"/>
          <w:szCs w:val="20"/>
          <w:color w:val="auto"/>
        </w:rPr>
      </w:pPr>
      <w:r>
        <w:rPr>
          <w:rFonts w:ascii="Arial" w:cs="Arial" w:eastAsia="Arial" w:hAnsi="Arial"/>
          <w:sz w:val="19"/>
          <w:szCs w:val="19"/>
          <w:i w:val="1"/>
          <w:iCs w:val="1"/>
          <w:color w:val="auto"/>
        </w:rPr>
        <w:t>2019 Bonus Opportunities and Results</w:t>
      </w:r>
      <w:r>
        <w:rPr>
          <w:rFonts w:ascii="Arial" w:cs="Arial" w:eastAsia="Arial" w:hAnsi="Arial"/>
          <w:sz w:val="19"/>
          <w:szCs w:val="19"/>
          <w:color w:val="auto"/>
        </w:rPr>
        <w:t>. For 2019, the Committee assigned each NEO an annual target level under the AIB Plan</w:t>
      </w:r>
      <w:r>
        <w:rPr>
          <w:rFonts w:ascii="Arial" w:cs="Arial" w:eastAsia="Arial" w:hAnsi="Arial"/>
          <w:sz w:val="19"/>
          <w:szCs w:val="19"/>
          <w:i w:val="1"/>
          <w:iCs w:val="1"/>
          <w:color w:val="auto"/>
        </w:rPr>
        <w:t xml:space="preserve"> </w:t>
      </w:r>
      <w:r>
        <w:rPr>
          <w:rFonts w:ascii="Arial" w:cs="Arial" w:eastAsia="Arial" w:hAnsi="Arial"/>
          <w:sz w:val="19"/>
          <w:szCs w:val="19"/>
          <w:color w:val="auto"/>
        </w:rPr>
        <w:t>together with a maximum annual bonus opportunity as a percentage of each NEO’s base salary. Based upon the Peer Group information provided by Pay Governance and the consideration of Officer performance and internal equity, the Committee determined that the target and maximum bonus opportunities for the NEOs for 2019 should be the same as in 2018. The 2019 minimum, maximum and target bonus opportunities together with actual bonuses paid to the NEOs were as follows:</w:t>
      </w:r>
    </w:p>
    <w:p>
      <w:pPr>
        <w:spacing w:after="0" w:line="257" w:lineRule="exact"/>
        <w:rPr>
          <w:sz w:val="20"/>
          <w:szCs w:val="20"/>
          <w:color w:val="auto"/>
        </w:rPr>
      </w:pPr>
    </w:p>
    <w:tbl>
      <w:tblPr>
        <w:tblLayout w:type="fixed"/>
        <w:tblInd w:w="570" w:type="dxa"/>
        <w:tblCellMar>
          <w:top w:w="0" w:type="dxa"/>
          <w:left w:w="0" w:type="dxa"/>
          <w:bottom w:w="0" w:type="dxa"/>
          <w:right w:w="0" w:type="dxa"/>
        </w:tblCellMar>
      </w:tblPr>
      <w:tr>
        <w:trPr>
          <w:trHeight w:val="210"/>
        </w:trPr>
        <w:tc>
          <w:tcPr>
            <w:tcW w:w="2660" w:type="dxa"/>
            <w:vAlign w:val="bottom"/>
            <w:tcBorders>
              <w:top w:val="single" w:sz="8" w:color="auto"/>
              <w:left w:val="single" w:sz="8" w:color="auto"/>
              <w:right w:val="single" w:sz="8" w:color="auto"/>
            </w:tcBorders>
            <w:shd w:val="clear" w:color="auto" w:fill="29650B"/>
          </w:tcPr>
          <w:p>
            <w:pPr>
              <w:spacing w:after="0"/>
              <w:rPr>
                <w:sz w:val="18"/>
                <w:szCs w:val="18"/>
                <w:color w:val="auto"/>
              </w:rPr>
            </w:pPr>
          </w:p>
        </w:tc>
        <w:tc>
          <w:tcPr>
            <w:tcW w:w="1420" w:type="dxa"/>
            <w:vAlign w:val="bottom"/>
            <w:tcBorders>
              <w:top w:val="single" w:sz="8" w:color="auto"/>
              <w:right w:val="single" w:sz="8" w:color="auto"/>
            </w:tcBorders>
            <w:shd w:val="clear" w:color="auto" w:fill="29650B"/>
          </w:tcPr>
          <w:p>
            <w:pPr>
              <w:jc w:val="center"/>
              <w:spacing w:after="0" w:line="210" w:lineRule="exact"/>
              <w:rPr>
                <w:sz w:val="20"/>
                <w:szCs w:val="20"/>
                <w:color w:val="auto"/>
              </w:rPr>
            </w:pPr>
            <w:r>
              <w:rPr>
                <w:rFonts w:ascii="Arial" w:cs="Arial" w:eastAsia="Arial" w:hAnsi="Arial"/>
                <w:sz w:val="20"/>
                <w:szCs w:val="20"/>
                <w:b w:val="1"/>
                <w:bCs w:val="1"/>
                <w:color w:val="FFFFFF"/>
                <w:w w:val="97"/>
              </w:rPr>
              <w:t>Minimum</w:t>
            </w:r>
          </w:p>
        </w:tc>
        <w:tc>
          <w:tcPr>
            <w:tcW w:w="1420" w:type="dxa"/>
            <w:vAlign w:val="bottom"/>
            <w:tcBorders>
              <w:top w:val="single" w:sz="8" w:color="auto"/>
              <w:right w:val="single" w:sz="8" w:color="auto"/>
            </w:tcBorders>
            <w:shd w:val="clear" w:color="auto" w:fill="29650B"/>
          </w:tcPr>
          <w:p>
            <w:pPr>
              <w:jc w:val="center"/>
              <w:spacing w:after="0" w:line="210" w:lineRule="exact"/>
              <w:rPr>
                <w:sz w:val="20"/>
                <w:szCs w:val="20"/>
                <w:color w:val="auto"/>
              </w:rPr>
            </w:pPr>
            <w:r>
              <w:rPr>
                <w:rFonts w:ascii="Arial" w:cs="Arial" w:eastAsia="Arial" w:hAnsi="Arial"/>
                <w:sz w:val="20"/>
                <w:szCs w:val="20"/>
                <w:b w:val="1"/>
                <w:bCs w:val="1"/>
                <w:color w:val="FFFFFF"/>
                <w:w w:val="95"/>
              </w:rPr>
              <w:t>Maximum</w:t>
            </w:r>
          </w:p>
        </w:tc>
        <w:tc>
          <w:tcPr>
            <w:tcW w:w="1420" w:type="dxa"/>
            <w:vAlign w:val="bottom"/>
            <w:tcBorders>
              <w:top w:val="single" w:sz="8" w:color="auto"/>
              <w:right w:val="single" w:sz="8" w:color="auto"/>
            </w:tcBorders>
            <w:shd w:val="clear" w:color="auto" w:fill="29650B"/>
          </w:tcPr>
          <w:p>
            <w:pPr>
              <w:jc w:val="center"/>
              <w:spacing w:after="0" w:line="210" w:lineRule="exact"/>
              <w:rPr>
                <w:sz w:val="20"/>
                <w:szCs w:val="20"/>
                <w:color w:val="auto"/>
              </w:rPr>
            </w:pPr>
            <w:r>
              <w:rPr>
                <w:rFonts w:ascii="Arial" w:cs="Arial" w:eastAsia="Arial" w:hAnsi="Arial"/>
                <w:sz w:val="20"/>
                <w:szCs w:val="20"/>
                <w:b w:val="1"/>
                <w:bCs w:val="1"/>
                <w:color w:val="FFFFFF"/>
                <w:w w:val="88"/>
              </w:rPr>
              <w:t>Target Bonus</w:t>
            </w:r>
          </w:p>
        </w:tc>
        <w:tc>
          <w:tcPr>
            <w:tcW w:w="1600" w:type="dxa"/>
            <w:vAlign w:val="bottom"/>
            <w:tcBorders>
              <w:top w:val="single" w:sz="8" w:color="auto"/>
              <w:right w:val="single" w:sz="8" w:color="auto"/>
            </w:tcBorders>
            <w:vMerge w:val="restart"/>
            <w:shd w:val="clear" w:color="auto" w:fill="29650B"/>
          </w:tcPr>
          <w:p>
            <w:pPr>
              <w:jc w:val="center"/>
              <w:spacing w:after="0"/>
              <w:rPr>
                <w:sz w:val="20"/>
                <w:szCs w:val="20"/>
                <w:color w:val="auto"/>
              </w:rPr>
            </w:pPr>
            <w:r>
              <w:rPr>
                <w:rFonts w:ascii="Arial" w:cs="Arial" w:eastAsia="Arial" w:hAnsi="Arial"/>
                <w:sz w:val="20"/>
                <w:szCs w:val="20"/>
                <w:b w:val="1"/>
                <w:bCs w:val="1"/>
                <w:color w:val="FFFFFF"/>
                <w:w w:val="91"/>
              </w:rPr>
              <w:t>Target</w:t>
            </w:r>
          </w:p>
        </w:tc>
        <w:tc>
          <w:tcPr>
            <w:tcW w:w="1620" w:type="dxa"/>
            <w:vAlign w:val="bottom"/>
            <w:tcBorders>
              <w:top w:val="single" w:sz="8" w:color="auto"/>
              <w:right w:val="single" w:sz="8" w:color="auto"/>
            </w:tcBorders>
            <w:vMerge w:val="restart"/>
            <w:shd w:val="clear" w:color="auto" w:fill="29650B"/>
          </w:tcPr>
          <w:p>
            <w:pPr>
              <w:jc w:val="center"/>
              <w:spacing w:after="0"/>
              <w:rPr>
                <w:sz w:val="20"/>
                <w:szCs w:val="20"/>
                <w:color w:val="auto"/>
              </w:rPr>
            </w:pPr>
            <w:r>
              <w:rPr>
                <w:rFonts w:ascii="Arial" w:cs="Arial" w:eastAsia="Arial" w:hAnsi="Arial"/>
                <w:sz w:val="20"/>
                <w:szCs w:val="20"/>
                <w:b w:val="1"/>
                <w:bCs w:val="1"/>
                <w:color w:val="FFFFFF"/>
                <w:w w:val="91"/>
              </w:rPr>
              <w:t>Actual</w:t>
            </w:r>
          </w:p>
        </w:tc>
        <w:tc>
          <w:tcPr>
            <w:tcW w:w="0" w:type="dxa"/>
            <w:vAlign w:val="bottom"/>
          </w:tcPr>
          <w:p>
            <w:pPr>
              <w:spacing w:after="0"/>
              <w:rPr>
                <w:sz w:val="1"/>
                <w:szCs w:val="1"/>
                <w:color w:val="auto"/>
              </w:rPr>
            </w:pPr>
          </w:p>
        </w:tc>
      </w:tr>
      <w:tr>
        <w:trPr>
          <w:trHeight w:val="112"/>
        </w:trPr>
        <w:tc>
          <w:tcPr>
            <w:tcW w:w="2660" w:type="dxa"/>
            <w:vAlign w:val="bottom"/>
            <w:tcBorders>
              <w:left w:val="single" w:sz="8" w:color="auto"/>
              <w:right w:val="single" w:sz="8" w:color="auto"/>
            </w:tcBorders>
            <w:shd w:val="clear" w:color="auto" w:fill="29650B"/>
          </w:tcPr>
          <w:p>
            <w:pPr>
              <w:spacing w:after="0"/>
              <w:rPr>
                <w:sz w:val="9"/>
                <w:szCs w:val="9"/>
                <w:color w:val="auto"/>
              </w:rPr>
            </w:pPr>
          </w:p>
        </w:tc>
        <w:tc>
          <w:tcPr>
            <w:tcW w:w="1420" w:type="dxa"/>
            <w:vAlign w:val="bottom"/>
            <w:tcBorders>
              <w:right w:val="single" w:sz="8" w:color="auto"/>
            </w:tcBorders>
            <w:vMerge w:val="restart"/>
            <w:shd w:val="clear" w:color="auto" w:fill="29650B"/>
          </w:tcPr>
          <w:p>
            <w:pPr>
              <w:jc w:val="center"/>
              <w:spacing w:after="0" w:line="223" w:lineRule="exact"/>
              <w:rPr>
                <w:sz w:val="20"/>
                <w:szCs w:val="20"/>
                <w:color w:val="auto"/>
              </w:rPr>
            </w:pPr>
            <w:r>
              <w:rPr>
                <w:rFonts w:ascii="Arial" w:cs="Arial" w:eastAsia="Arial" w:hAnsi="Arial"/>
                <w:sz w:val="20"/>
                <w:szCs w:val="20"/>
                <w:b w:val="1"/>
                <w:bCs w:val="1"/>
                <w:color w:val="FFFFFF"/>
                <w:w w:val="84"/>
              </w:rPr>
              <w:t>Bonus as a</w:t>
            </w:r>
          </w:p>
        </w:tc>
        <w:tc>
          <w:tcPr>
            <w:tcW w:w="1420" w:type="dxa"/>
            <w:vAlign w:val="bottom"/>
            <w:tcBorders>
              <w:right w:val="single" w:sz="8" w:color="auto"/>
            </w:tcBorders>
            <w:vMerge w:val="restart"/>
            <w:shd w:val="clear" w:color="auto" w:fill="29650B"/>
          </w:tcPr>
          <w:p>
            <w:pPr>
              <w:jc w:val="center"/>
              <w:spacing w:after="0" w:line="223" w:lineRule="exact"/>
              <w:rPr>
                <w:sz w:val="20"/>
                <w:szCs w:val="20"/>
                <w:color w:val="auto"/>
              </w:rPr>
            </w:pPr>
            <w:r>
              <w:rPr>
                <w:rFonts w:ascii="Arial" w:cs="Arial" w:eastAsia="Arial" w:hAnsi="Arial"/>
                <w:sz w:val="20"/>
                <w:szCs w:val="20"/>
                <w:b w:val="1"/>
                <w:bCs w:val="1"/>
                <w:color w:val="FFFFFF"/>
                <w:w w:val="84"/>
              </w:rPr>
              <w:t>Bonus as a</w:t>
            </w:r>
          </w:p>
        </w:tc>
        <w:tc>
          <w:tcPr>
            <w:tcW w:w="1420" w:type="dxa"/>
            <w:vAlign w:val="bottom"/>
            <w:tcBorders>
              <w:right w:val="single" w:sz="8" w:color="auto"/>
            </w:tcBorders>
            <w:vMerge w:val="restart"/>
            <w:shd w:val="clear" w:color="auto" w:fill="29650B"/>
          </w:tcPr>
          <w:p>
            <w:pPr>
              <w:jc w:val="center"/>
              <w:spacing w:after="0" w:line="223" w:lineRule="exact"/>
              <w:rPr>
                <w:sz w:val="20"/>
                <w:szCs w:val="20"/>
                <w:color w:val="auto"/>
              </w:rPr>
            </w:pPr>
            <w:r>
              <w:rPr>
                <w:rFonts w:ascii="Arial" w:cs="Arial" w:eastAsia="Arial" w:hAnsi="Arial"/>
                <w:sz w:val="20"/>
                <w:szCs w:val="20"/>
                <w:b w:val="1"/>
                <w:bCs w:val="1"/>
                <w:color w:val="FFFFFF"/>
                <w:w w:val="82"/>
              </w:rPr>
              <w:t>as a</w:t>
            </w:r>
          </w:p>
        </w:tc>
        <w:tc>
          <w:tcPr>
            <w:tcW w:w="1600" w:type="dxa"/>
            <w:vAlign w:val="bottom"/>
            <w:tcBorders>
              <w:right w:val="single" w:sz="8" w:color="auto"/>
            </w:tcBorders>
            <w:vMerge w:val="continue"/>
            <w:shd w:val="clear" w:color="auto" w:fill="29650B"/>
          </w:tcPr>
          <w:p>
            <w:pPr>
              <w:spacing w:after="0"/>
              <w:rPr>
                <w:sz w:val="9"/>
                <w:szCs w:val="9"/>
                <w:color w:val="auto"/>
              </w:rPr>
            </w:pPr>
          </w:p>
        </w:tc>
        <w:tc>
          <w:tcPr>
            <w:tcW w:w="1620" w:type="dxa"/>
            <w:vAlign w:val="bottom"/>
            <w:tcBorders>
              <w:right w:val="single" w:sz="8" w:color="auto"/>
            </w:tcBorders>
            <w:vMerge w:val="continue"/>
            <w:shd w:val="clear" w:color="auto" w:fill="29650B"/>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660" w:type="dxa"/>
            <w:vAlign w:val="bottom"/>
            <w:tcBorders>
              <w:left w:val="single" w:sz="8" w:color="auto"/>
              <w:right w:val="single" w:sz="8" w:color="auto"/>
            </w:tcBorders>
            <w:shd w:val="clear" w:color="auto" w:fill="29650B"/>
          </w:tcPr>
          <w:p>
            <w:pPr>
              <w:spacing w:after="0"/>
              <w:rPr>
                <w:sz w:val="9"/>
                <w:szCs w:val="9"/>
                <w:color w:val="auto"/>
              </w:rPr>
            </w:pPr>
          </w:p>
        </w:tc>
        <w:tc>
          <w:tcPr>
            <w:tcW w:w="1420" w:type="dxa"/>
            <w:vAlign w:val="bottom"/>
            <w:tcBorders>
              <w:right w:val="single" w:sz="8" w:color="auto"/>
            </w:tcBorders>
            <w:vMerge w:val="continue"/>
            <w:shd w:val="clear" w:color="auto" w:fill="29650B"/>
          </w:tcPr>
          <w:p>
            <w:pPr>
              <w:spacing w:after="0"/>
              <w:rPr>
                <w:sz w:val="9"/>
                <w:szCs w:val="9"/>
                <w:color w:val="auto"/>
              </w:rPr>
            </w:pPr>
          </w:p>
        </w:tc>
        <w:tc>
          <w:tcPr>
            <w:tcW w:w="1420" w:type="dxa"/>
            <w:vAlign w:val="bottom"/>
            <w:tcBorders>
              <w:right w:val="single" w:sz="8" w:color="auto"/>
            </w:tcBorders>
            <w:vMerge w:val="continue"/>
            <w:shd w:val="clear" w:color="auto" w:fill="29650B"/>
          </w:tcPr>
          <w:p>
            <w:pPr>
              <w:spacing w:after="0"/>
              <w:rPr>
                <w:sz w:val="9"/>
                <w:szCs w:val="9"/>
                <w:color w:val="auto"/>
              </w:rPr>
            </w:pPr>
          </w:p>
        </w:tc>
        <w:tc>
          <w:tcPr>
            <w:tcW w:w="1420" w:type="dxa"/>
            <w:vAlign w:val="bottom"/>
            <w:tcBorders>
              <w:right w:val="single" w:sz="8" w:color="auto"/>
            </w:tcBorders>
            <w:vMerge w:val="continue"/>
            <w:shd w:val="clear" w:color="auto" w:fill="29650B"/>
          </w:tcPr>
          <w:p>
            <w:pPr>
              <w:spacing w:after="0"/>
              <w:rPr>
                <w:sz w:val="9"/>
                <w:szCs w:val="9"/>
                <w:color w:val="auto"/>
              </w:rPr>
            </w:pPr>
          </w:p>
        </w:tc>
        <w:tc>
          <w:tcPr>
            <w:tcW w:w="1600" w:type="dxa"/>
            <w:vAlign w:val="bottom"/>
            <w:tcBorders>
              <w:right w:val="single" w:sz="8" w:color="auto"/>
            </w:tcBorders>
            <w:vMerge w:val="restart"/>
            <w:shd w:val="clear" w:color="auto" w:fill="29650B"/>
          </w:tcPr>
          <w:p>
            <w:pPr>
              <w:jc w:val="center"/>
              <w:spacing w:after="0" w:line="223" w:lineRule="exact"/>
              <w:rPr>
                <w:sz w:val="20"/>
                <w:szCs w:val="20"/>
                <w:color w:val="auto"/>
              </w:rPr>
            </w:pPr>
            <w:r>
              <w:rPr>
                <w:rFonts w:ascii="Arial" w:cs="Arial" w:eastAsia="Arial" w:hAnsi="Arial"/>
                <w:sz w:val="20"/>
                <w:szCs w:val="20"/>
                <w:b w:val="1"/>
                <w:bCs w:val="1"/>
                <w:color w:val="FFFFFF"/>
                <w:w w:val="83"/>
              </w:rPr>
              <w:t>Bonus</w:t>
            </w:r>
          </w:p>
        </w:tc>
        <w:tc>
          <w:tcPr>
            <w:tcW w:w="1620" w:type="dxa"/>
            <w:vAlign w:val="bottom"/>
            <w:tcBorders>
              <w:right w:val="single" w:sz="8" w:color="auto"/>
            </w:tcBorders>
            <w:vMerge w:val="restart"/>
            <w:shd w:val="clear" w:color="auto" w:fill="29650B"/>
          </w:tcPr>
          <w:p>
            <w:pPr>
              <w:jc w:val="center"/>
              <w:spacing w:after="0" w:line="223" w:lineRule="exact"/>
              <w:rPr>
                <w:sz w:val="20"/>
                <w:szCs w:val="20"/>
                <w:color w:val="auto"/>
              </w:rPr>
            </w:pPr>
            <w:r>
              <w:rPr>
                <w:rFonts w:ascii="Arial" w:cs="Arial" w:eastAsia="Arial" w:hAnsi="Arial"/>
                <w:sz w:val="20"/>
                <w:szCs w:val="20"/>
                <w:b w:val="1"/>
                <w:bCs w:val="1"/>
                <w:color w:val="FFFFFF"/>
                <w:w w:val="86"/>
              </w:rPr>
              <w:t>Bonus</w:t>
            </w:r>
          </w:p>
        </w:tc>
        <w:tc>
          <w:tcPr>
            <w:tcW w:w="0" w:type="dxa"/>
            <w:vAlign w:val="bottom"/>
          </w:tcPr>
          <w:p>
            <w:pPr>
              <w:spacing w:after="0"/>
              <w:rPr>
                <w:sz w:val="1"/>
                <w:szCs w:val="1"/>
                <w:color w:val="auto"/>
              </w:rPr>
            </w:pPr>
          </w:p>
        </w:tc>
      </w:tr>
      <w:tr>
        <w:trPr>
          <w:trHeight w:val="112"/>
        </w:trPr>
        <w:tc>
          <w:tcPr>
            <w:tcW w:w="2660" w:type="dxa"/>
            <w:vAlign w:val="bottom"/>
            <w:tcBorders>
              <w:left w:val="single" w:sz="8" w:color="auto"/>
              <w:right w:val="single" w:sz="8" w:color="auto"/>
            </w:tcBorders>
            <w:vMerge w:val="restart"/>
            <w:shd w:val="clear" w:color="auto" w:fill="29650B"/>
          </w:tcPr>
          <w:p>
            <w:pPr>
              <w:ind w:left="1080"/>
              <w:spacing w:after="0" w:line="223" w:lineRule="exact"/>
              <w:rPr>
                <w:sz w:val="20"/>
                <w:szCs w:val="20"/>
                <w:color w:val="auto"/>
              </w:rPr>
            </w:pPr>
            <w:r>
              <w:rPr>
                <w:rFonts w:ascii="Arial" w:cs="Arial" w:eastAsia="Arial" w:hAnsi="Arial"/>
                <w:sz w:val="20"/>
                <w:szCs w:val="20"/>
                <w:b w:val="1"/>
                <w:bCs w:val="1"/>
                <w:color w:val="FFFFFF"/>
              </w:rPr>
              <w:t>Name</w:t>
            </w:r>
          </w:p>
        </w:tc>
        <w:tc>
          <w:tcPr>
            <w:tcW w:w="1420" w:type="dxa"/>
            <w:vAlign w:val="bottom"/>
            <w:tcBorders>
              <w:right w:val="single" w:sz="8" w:color="auto"/>
            </w:tcBorders>
            <w:vMerge w:val="restart"/>
            <w:shd w:val="clear" w:color="auto" w:fill="29650B"/>
          </w:tcPr>
          <w:p>
            <w:pPr>
              <w:jc w:val="center"/>
              <w:spacing w:after="0" w:line="223" w:lineRule="exact"/>
              <w:rPr>
                <w:sz w:val="20"/>
                <w:szCs w:val="20"/>
                <w:color w:val="auto"/>
              </w:rPr>
            </w:pPr>
            <w:r>
              <w:rPr>
                <w:rFonts w:ascii="Arial" w:cs="Arial" w:eastAsia="Arial" w:hAnsi="Arial"/>
                <w:sz w:val="20"/>
                <w:szCs w:val="20"/>
                <w:b w:val="1"/>
                <w:bCs w:val="1"/>
                <w:color w:val="FFFFFF"/>
                <w:w w:val="86"/>
              </w:rPr>
              <w:t>Percentage of</w:t>
            </w:r>
          </w:p>
        </w:tc>
        <w:tc>
          <w:tcPr>
            <w:tcW w:w="1420" w:type="dxa"/>
            <w:vAlign w:val="bottom"/>
            <w:tcBorders>
              <w:right w:val="single" w:sz="8" w:color="auto"/>
            </w:tcBorders>
            <w:vMerge w:val="restart"/>
            <w:shd w:val="clear" w:color="auto" w:fill="29650B"/>
          </w:tcPr>
          <w:p>
            <w:pPr>
              <w:jc w:val="center"/>
              <w:spacing w:after="0" w:line="223" w:lineRule="exact"/>
              <w:rPr>
                <w:sz w:val="20"/>
                <w:szCs w:val="20"/>
                <w:color w:val="auto"/>
              </w:rPr>
            </w:pPr>
            <w:r>
              <w:rPr>
                <w:rFonts w:ascii="Arial" w:cs="Arial" w:eastAsia="Arial" w:hAnsi="Arial"/>
                <w:sz w:val="20"/>
                <w:szCs w:val="20"/>
                <w:b w:val="1"/>
                <w:bCs w:val="1"/>
                <w:color w:val="FFFFFF"/>
                <w:w w:val="86"/>
              </w:rPr>
              <w:t>Percentage of</w:t>
            </w:r>
          </w:p>
        </w:tc>
        <w:tc>
          <w:tcPr>
            <w:tcW w:w="1420" w:type="dxa"/>
            <w:vAlign w:val="bottom"/>
            <w:tcBorders>
              <w:right w:val="single" w:sz="8" w:color="auto"/>
            </w:tcBorders>
            <w:vMerge w:val="restart"/>
            <w:shd w:val="clear" w:color="auto" w:fill="29650B"/>
          </w:tcPr>
          <w:p>
            <w:pPr>
              <w:jc w:val="center"/>
              <w:spacing w:after="0" w:line="223" w:lineRule="exact"/>
              <w:rPr>
                <w:sz w:val="20"/>
                <w:szCs w:val="20"/>
                <w:color w:val="auto"/>
              </w:rPr>
            </w:pPr>
            <w:r>
              <w:rPr>
                <w:rFonts w:ascii="Arial" w:cs="Arial" w:eastAsia="Arial" w:hAnsi="Arial"/>
                <w:sz w:val="20"/>
                <w:szCs w:val="20"/>
                <w:b w:val="1"/>
                <w:bCs w:val="1"/>
                <w:color w:val="FFFFFF"/>
                <w:w w:val="86"/>
              </w:rPr>
              <w:t>Percentage of</w:t>
            </w:r>
          </w:p>
        </w:tc>
        <w:tc>
          <w:tcPr>
            <w:tcW w:w="1600" w:type="dxa"/>
            <w:vAlign w:val="bottom"/>
            <w:tcBorders>
              <w:right w:val="single" w:sz="8" w:color="auto"/>
            </w:tcBorders>
            <w:vMerge w:val="continue"/>
            <w:shd w:val="clear" w:color="auto" w:fill="29650B"/>
          </w:tcPr>
          <w:p>
            <w:pPr>
              <w:spacing w:after="0"/>
              <w:rPr>
                <w:sz w:val="9"/>
                <w:szCs w:val="9"/>
                <w:color w:val="auto"/>
              </w:rPr>
            </w:pPr>
          </w:p>
        </w:tc>
        <w:tc>
          <w:tcPr>
            <w:tcW w:w="1620" w:type="dxa"/>
            <w:vAlign w:val="bottom"/>
            <w:tcBorders>
              <w:right w:val="single" w:sz="8" w:color="auto"/>
            </w:tcBorders>
            <w:vMerge w:val="continue"/>
            <w:shd w:val="clear" w:color="auto" w:fill="29650B"/>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660" w:type="dxa"/>
            <w:vAlign w:val="bottom"/>
            <w:tcBorders>
              <w:left w:val="single" w:sz="8" w:color="auto"/>
              <w:right w:val="single" w:sz="8" w:color="auto"/>
            </w:tcBorders>
            <w:vMerge w:val="continue"/>
            <w:shd w:val="clear" w:color="auto" w:fill="29650B"/>
          </w:tcPr>
          <w:p>
            <w:pPr>
              <w:spacing w:after="0"/>
              <w:rPr>
                <w:sz w:val="9"/>
                <w:szCs w:val="9"/>
                <w:color w:val="auto"/>
              </w:rPr>
            </w:pPr>
          </w:p>
        </w:tc>
        <w:tc>
          <w:tcPr>
            <w:tcW w:w="1420" w:type="dxa"/>
            <w:vAlign w:val="bottom"/>
            <w:tcBorders>
              <w:right w:val="single" w:sz="8" w:color="auto"/>
            </w:tcBorders>
            <w:vMerge w:val="continue"/>
            <w:shd w:val="clear" w:color="auto" w:fill="29650B"/>
          </w:tcPr>
          <w:p>
            <w:pPr>
              <w:spacing w:after="0"/>
              <w:rPr>
                <w:sz w:val="9"/>
                <w:szCs w:val="9"/>
                <w:color w:val="auto"/>
              </w:rPr>
            </w:pPr>
          </w:p>
        </w:tc>
        <w:tc>
          <w:tcPr>
            <w:tcW w:w="1420" w:type="dxa"/>
            <w:vAlign w:val="bottom"/>
            <w:tcBorders>
              <w:right w:val="single" w:sz="8" w:color="auto"/>
            </w:tcBorders>
            <w:vMerge w:val="continue"/>
            <w:shd w:val="clear" w:color="auto" w:fill="29650B"/>
          </w:tcPr>
          <w:p>
            <w:pPr>
              <w:spacing w:after="0"/>
              <w:rPr>
                <w:sz w:val="9"/>
                <w:szCs w:val="9"/>
                <w:color w:val="auto"/>
              </w:rPr>
            </w:pPr>
          </w:p>
        </w:tc>
        <w:tc>
          <w:tcPr>
            <w:tcW w:w="1420" w:type="dxa"/>
            <w:vAlign w:val="bottom"/>
            <w:tcBorders>
              <w:right w:val="single" w:sz="8" w:color="auto"/>
            </w:tcBorders>
            <w:vMerge w:val="continue"/>
            <w:shd w:val="clear" w:color="auto" w:fill="29650B"/>
          </w:tcPr>
          <w:p>
            <w:pPr>
              <w:spacing w:after="0"/>
              <w:rPr>
                <w:sz w:val="9"/>
                <w:szCs w:val="9"/>
                <w:color w:val="auto"/>
              </w:rPr>
            </w:pPr>
          </w:p>
        </w:tc>
        <w:tc>
          <w:tcPr>
            <w:tcW w:w="1600" w:type="dxa"/>
            <w:vAlign w:val="bottom"/>
            <w:tcBorders>
              <w:right w:val="single" w:sz="8" w:color="auto"/>
            </w:tcBorders>
            <w:vMerge w:val="restart"/>
            <w:shd w:val="clear" w:color="auto" w:fill="29650B"/>
          </w:tcPr>
          <w:p>
            <w:pPr>
              <w:jc w:val="center"/>
              <w:spacing w:after="0"/>
              <w:rPr>
                <w:sz w:val="20"/>
                <w:szCs w:val="20"/>
                <w:color w:val="auto"/>
              </w:rPr>
            </w:pPr>
            <w:r>
              <w:rPr>
                <w:rFonts w:ascii="Arial" w:cs="Arial" w:eastAsia="Arial" w:hAnsi="Arial"/>
                <w:sz w:val="20"/>
                <w:szCs w:val="20"/>
                <w:b w:val="1"/>
                <w:bCs w:val="1"/>
                <w:color w:val="FFFFFF"/>
                <w:w w:val="89"/>
              </w:rPr>
              <w:t>Amount</w:t>
            </w:r>
          </w:p>
        </w:tc>
        <w:tc>
          <w:tcPr>
            <w:tcW w:w="1620" w:type="dxa"/>
            <w:vAlign w:val="bottom"/>
            <w:tcBorders>
              <w:right w:val="single" w:sz="8" w:color="auto"/>
            </w:tcBorders>
            <w:vMerge w:val="restart"/>
            <w:shd w:val="clear" w:color="auto" w:fill="29650B"/>
          </w:tcPr>
          <w:p>
            <w:pPr>
              <w:jc w:val="center"/>
              <w:spacing w:after="0"/>
              <w:rPr>
                <w:sz w:val="20"/>
                <w:szCs w:val="20"/>
                <w:color w:val="auto"/>
              </w:rPr>
            </w:pPr>
            <w:r>
              <w:rPr>
                <w:rFonts w:ascii="Arial" w:cs="Arial" w:eastAsia="Arial" w:hAnsi="Arial"/>
                <w:sz w:val="20"/>
                <w:szCs w:val="20"/>
                <w:b w:val="1"/>
                <w:bCs w:val="1"/>
                <w:color w:val="FFFFFF"/>
                <w:w w:val="92"/>
              </w:rPr>
              <w:t>Amount</w:t>
            </w:r>
          </w:p>
        </w:tc>
        <w:tc>
          <w:tcPr>
            <w:tcW w:w="0" w:type="dxa"/>
            <w:vAlign w:val="bottom"/>
          </w:tcPr>
          <w:p>
            <w:pPr>
              <w:spacing w:after="0"/>
              <w:rPr>
                <w:sz w:val="1"/>
                <w:szCs w:val="1"/>
                <w:color w:val="auto"/>
              </w:rPr>
            </w:pPr>
          </w:p>
        </w:tc>
      </w:tr>
      <w:tr>
        <w:trPr>
          <w:trHeight w:val="145"/>
        </w:trPr>
        <w:tc>
          <w:tcPr>
            <w:tcW w:w="2660" w:type="dxa"/>
            <w:vAlign w:val="bottom"/>
            <w:tcBorders>
              <w:left w:val="single" w:sz="8" w:color="auto"/>
              <w:right w:val="single" w:sz="8" w:color="auto"/>
            </w:tcBorders>
            <w:shd w:val="clear" w:color="auto" w:fill="29650B"/>
          </w:tcPr>
          <w:p>
            <w:pPr>
              <w:spacing w:after="0"/>
              <w:rPr>
                <w:sz w:val="12"/>
                <w:szCs w:val="12"/>
                <w:color w:val="auto"/>
              </w:rPr>
            </w:pPr>
          </w:p>
        </w:tc>
        <w:tc>
          <w:tcPr>
            <w:tcW w:w="1420" w:type="dxa"/>
            <w:vAlign w:val="bottom"/>
            <w:tcBorders>
              <w:right w:val="single" w:sz="8" w:color="auto"/>
            </w:tcBorders>
            <w:vMerge w:val="restart"/>
            <w:shd w:val="clear" w:color="auto" w:fill="29650B"/>
          </w:tcPr>
          <w:p>
            <w:pPr>
              <w:jc w:val="center"/>
              <w:spacing w:after="0"/>
              <w:rPr>
                <w:sz w:val="20"/>
                <w:szCs w:val="20"/>
                <w:color w:val="auto"/>
              </w:rPr>
            </w:pPr>
            <w:r>
              <w:rPr>
                <w:rFonts w:ascii="Arial" w:cs="Arial" w:eastAsia="Arial" w:hAnsi="Arial"/>
                <w:sz w:val="20"/>
                <w:szCs w:val="20"/>
                <w:b w:val="1"/>
                <w:bCs w:val="1"/>
                <w:color w:val="FFFFFF"/>
                <w:w w:val="88"/>
              </w:rPr>
              <w:t>Base Salary</w:t>
            </w:r>
          </w:p>
        </w:tc>
        <w:tc>
          <w:tcPr>
            <w:tcW w:w="1420" w:type="dxa"/>
            <w:vAlign w:val="bottom"/>
            <w:tcBorders>
              <w:right w:val="single" w:sz="8" w:color="auto"/>
            </w:tcBorders>
            <w:vMerge w:val="restart"/>
            <w:shd w:val="clear" w:color="auto" w:fill="29650B"/>
          </w:tcPr>
          <w:p>
            <w:pPr>
              <w:jc w:val="center"/>
              <w:spacing w:after="0"/>
              <w:rPr>
                <w:sz w:val="20"/>
                <w:szCs w:val="20"/>
                <w:color w:val="auto"/>
              </w:rPr>
            </w:pPr>
            <w:r>
              <w:rPr>
                <w:rFonts w:ascii="Arial" w:cs="Arial" w:eastAsia="Arial" w:hAnsi="Arial"/>
                <w:sz w:val="20"/>
                <w:szCs w:val="20"/>
                <w:b w:val="1"/>
                <w:bCs w:val="1"/>
                <w:color w:val="FFFFFF"/>
                <w:w w:val="88"/>
              </w:rPr>
              <w:t>Base Salary</w:t>
            </w:r>
          </w:p>
        </w:tc>
        <w:tc>
          <w:tcPr>
            <w:tcW w:w="1420" w:type="dxa"/>
            <w:vAlign w:val="bottom"/>
            <w:tcBorders>
              <w:right w:val="single" w:sz="8" w:color="auto"/>
            </w:tcBorders>
            <w:vMerge w:val="restart"/>
            <w:shd w:val="clear" w:color="auto" w:fill="29650B"/>
          </w:tcPr>
          <w:p>
            <w:pPr>
              <w:jc w:val="center"/>
              <w:spacing w:after="0"/>
              <w:rPr>
                <w:sz w:val="20"/>
                <w:szCs w:val="20"/>
                <w:color w:val="auto"/>
              </w:rPr>
            </w:pPr>
            <w:r>
              <w:rPr>
                <w:rFonts w:ascii="Arial" w:cs="Arial" w:eastAsia="Arial" w:hAnsi="Arial"/>
                <w:sz w:val="20"/>
                <w:szCs w:val="20"/>
                <w:b w:val="1"/>
                <w:bCs w:val="1"/>
                <w:color w:val="FFFFFF"/>
                <w:w w:val="88"/>
              </w:rPr>
              <w:t>Base Salary</w:t>
            </w:r>
          </w:p>
        </w:tc>
        <w:tc>
          <w:tcPr>
            <w:tcW w:w="1600" w:type="dxa"/>
            <w:vAlign w:val="bottom"/>
            <w:tcBorders>
              <w:right w:val="single" w:sz="8" w:color="auto"/>
            </w:tcBorders>
            <w:vMerge w:val="continue"/>
            <w:shd w:val="clear" w:color="auto" w:fill="29650B"/>
          </w:tcPr>
          <w:p>
            <w:pPr>
              <w:spacing w:after="0"/>
              <w:rPr>
                <w:sz w:val="12"/>
                <w:szCs w:val="12"/>
                <w:color w:val="auto"/>
              </w:rPr>
            </w:pPr>
          </w:p>
        </w:tc>
        <w:tc>
          <w:tcPr>
            <w:tcW w:w="1620" w:type="dxa"/>
            <w:vAlign w:val="bottom"/>
            <w:tcBorders>
              <w:right w:val="single" w:sz="8" w:color="auto"/>
            </w:tcBorders>
            <w:vMerge w:val="continue"/>
            <w:shd w:val="clear" w:color="auto" w:fill="29650B"/>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2660" w:type="dxa"/>
            <w:vAlign w:val="bottom"/>
            <w:tcBorders>
              <w:left w:val="single" w:sz="8" w:color="auto"/>
              <w:bottom w:val="single" w:sz="8" w:color="auto"/>
              <w:right w:val="single" w:sz="8" w:color="auto"/>
            </w:tcBorders>
            <w:shd w:val="clear" w:color="auto" w:fill="29650B"/>
          </w:tcPr>
          <w:p>
            <w:pPr>
              <w:spacing w:after="0"/>
              <w:rPr>
                <w:sz w:val="8"/>
                <w:szCs w:val="8"/>
                <w:color w:val="auto"/>
              </w:rPr>
            </w:pPr>
          </w:p>
        </w:tc>
        <w:tc>
          <w:tcPr>
            <w:tcW w:w="1420" w:type="dxa"/>
            <w:vAlign w:val="bottom"/>
            <w:tcBorders>
              <w:bottom w:val="single" w:sz="8" w:color="auto"/>
              <w:right w:val="single" w:sz="8" w:color="auto"/>
            </w:tcBorders>
            <w:vMerge w:val="continue"/>
            <w:shd w:val="clear" w:color="auto" w:fill="29650B"/>
          </w:tcPr>
          <w:p>
            <w:pPr>
              <w:spacing w:after="0"/>
              <w:rPr>
                <w:sz w:val="8"/>
                <w:szCs w:val="8"/>
                <w:color w:val="auto"/>
              </w:rPr>
            </w:pPr>
          </w:p>
        </w:tc>
        <w:tc>
          <w:tcPr>
            <w:tcW w:w="1420" w:type="dxa"/>
            <w:vAlign w:val="bottom"/>
            <w:tcBorders>
              <w:bottom w:val="single" w:sz="8" w:color="auto"/>
              <w:right w:val="single" w:sz="8" w:color="auto"/>
            </w:tcBorders>
            <w:vMerge w:val="continue"/>
            <w:shd w:val="clear" w:color="auto" w:fill="29650B"/>
          </w:tcPr>
          <w:p>
            <w:pPr>
              <w:spacing w:after="0"/>
              <w:rPr>
                <w:sz w:val="8"/>
                <w:szCs w:val="8"/>
                <w:color w:val="auto"/>
              </w:rPr>
            </w:pPr>
          </w:p>
        </w:tc>
        <w:tc>
          <w:tcPr>
            <w:tcW w:w="1420" w:type="dxa"/>
            <w:vAlign w:val="bottom"/>
            <w:tcBorders>
              <w:bottom w:val="single" w:sz="8" w:color="auto"/>
              <w:right w:val="single" w:sz="8" w:color="auto"/>
            </w:tcBorders>
            <w:vMerge w:val="continue"/>
            <w:shd w:val="clear" w:color="auto" w:fill="29650B"/>
          </w:tcPr>
          <w:p>
            <w:pPr>
              <w:spacing w:after="0"/>
              <w:rPr>
                <w:sz w:val="8"/>
                <w:szCs w:val="8"/>
                <w:color w:val="auto"/>
              </w:rPr>
            </w:pPr>
          </w:p>
        </w:tc>
        <w:tc>
          <w:tcPr>
            <w:tcW w:w="1600" w:type="dxa"/>
            <w:vAlign w:val="bottom"/>
            <w:tcBorders>
              <w:bottom w:val="single" w:sz="8" w:color="auto"/>
              <w:right w:val="single" w:sz="8" w:color="auto"/>
            </w:tcBorders>
            <w:shd w:val="clear" w:color="auto" w:fill="29650B"/>
          </w:tcPr>
          <w:p>
            <w:pPr>
              <w:spacing w:after="0"/>
              <w:rPr>
                <w:sz w:val="8"/>
                <w:szCs w:val="8"/>
                <w:color w:val="auto"/>
              </w:rPr>
            </w:pPr>
          </w:p>
        </w:tc>
        <w:tc>
          <w:tcPr>
            <w:tcW w:w="1620" w:type="dxa"/>
            <w:vAlign w:val="bottom"/>
            <w:tcBorders>
              <w:bottom w:val="single" w:sz="8" w:color="auto"/>
              <w:right w:val="single" w:sz="8" w:color="auto"/>
            </w:tcBorders>
            <w:shd w:val="clear" w:color="auto" w:fill="29650B"/>
          </w:tcPr>
          <w:p>
            <w:pPr>
              <w:spacing w:after="0"/>
              <w:rPr>
                <w:sz w:val="8"/>
                <w:szCs w:val="8"/>
                <w:color w:val="auto"/>
              </w:rPr>
            </w:pPr>
          </w:p>
        </w:tc>
        <w:tc>
          <w:tcPr>
            <w:tcW w:w="0" w:type="dxa"/>
            <w:vAlign w:val="bottom"/>
          </w:tcPr>
          <w:p>
            <w:pPr>
              <w:spacing w:after="0"/>
              <w:rPr>
                <w:sz w:val="1"/>
                <w:szCs w:val="1"/>
                <w:color w:val="auto"/>
              </w:rPr>
            </w:pPr>
          </w:p>
        </w:tc>
      </w:tr>
      <w:tr>
        <w:trPr>
          <w:trHeight w:val="373"/>
        </w:trPr>
        <w:tc>
          <w:tcPr>
            <w:tcW w:w="26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Timothy Donahue</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0%</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240%</w:t>
            </w:r>
          </w:p>
        </w:tc>
        <w:tc>
          <w:tcPr>
            <w:tcW w:w="1420" w:type="dxa"/>
            <w:vAlign w:val="bottom"/>
            <w:tcBorders>
              <w:right w:val="single" w:sz="8" w:color="auto"/>
            </w:tcBorders>
          </w:tcPr>
          <w:p>
            <w:pPr>
              <w:jc w:val="right"/>
              <w:ind w:right="201"/>
              <w:spacing w:after="0"/>
              <w:rPr>
                <w:sz w:val="20"/>
                <w:szCs w:val="20"/>
                <w:color w:val="auto"/>
              </w:rPr>
            </w:pPr>
            <w:r>
              <w:rPr>
                <w:rFonts w:ascii="Arial" w:cs="Arial" w:eastAsia="Arial" w:hAnsi="Arial"/>
                <w:sz w:val="20"/>
                <w:szCs w:val="20"/>
                <w:color w:val="auto"/>
              </w:rPr>
              <w:t>120%</w:t>
            </w:r>
          </w:p>
        </w:tc>
        <w:tc>
          <w:tcPr>
            <w:tcW w:w="1600" w:type="dxa"/>
            <w:vAlign w:val="bottom"/>
            <w:tcBorders>
              <w:right w:val="single" w:sz="8" w:color="auto"/>
            </w:tcBorders>
          </w:tcPr>
          <w:p>
            <w:pPr>
              <w:jc w:val="right"/>
              <w:ind w:right="121"/>
              <w:spacing w:after="0"/>
              <w:rPr>
                <w:sz w:val="20"/>
                <w:szCs w:val="20"/>
                <w:color w:val="auto"/>
              </w:rPr>
            </w:pPr>
            <w:r>
              <w:rPr>
                <w:rFonts w:ascii="Arial" w:cs="Arial" w:eastAsia="Arial" w:hAnsi="Arial"/>
                <w:sz w:val="20"/>
                <w:szCs w:val="20"/>
                <w:color w:val="auto"/>
              </w:rPr>
              <w:t>$1,386,000</w:t>
            </w:r>
          </w:p>
        </w:tc>
        <w:tc>
          <w:tcPr>
            <w:tcW w:w="1620" w:type="dxa"/>
            <w:vAlign w:val="bottom"/>
            <w:tcBorders>
              <w:right w:val="single" w:sz="8" w:color="auto"/>
            </w:tcBorders>
          </w:tcPr>
          <w:p>
            <w:pPr>
              <w:jc w:val="right"/>
              <w:ind w:right="141"/>
              <w:spacing w:after="0"/>
              <w:rPr>
                <w:sz w:val="20"/>
                <w:szCs w:val="20"/>
                <w:color w:val="auto"/>
              </w:rPr>
            </w:pPr>
            <w:r>
              <w:rPr>
                <w:rFonts w:ascii="Arial" w:cs="Arial" w:eastAsia="Arial" w:hAnsi="Arial"/>
                <w:sz w:val="20"/>
                <w:szCs w:val="20"/>
                <w:color w:val="auto"/>
              </w:rPr>
              <w:t>$1,711,710</w:t>
            </w:r>
          </w:p>
        </w:tc>
        <w:tc>
          <w:tcPr>
            <w:tcW w:w="0" w:type="dxa"/>
            <w:vAlign w:val="bottom"/>
          </w:tcPr>
          <w:p>
            <w:pPr>
              <w:spacing w:after="0"/>
              <w:rPr>
                <w:sz w:val="1"/>
                <w:szCs w:val="1"/>
                <w:color w:val="auto"/>
              </w:rPr>
            </w:pPr>
          </w:p>
        </w:tc>
      </w:tr>
      <w:tr>
        <w:trPr>
          <w:trHeight w:val="140"/>
        </w:trPr>
        <w:tc>
          <w:tcPr>
            <w:tcW w:w="2660" w:type="dxa"/>
            <w:vAlign w:val="bottom"/>
            <w:tcBorders>
              <w:left w:val="single" w:sz="8" w:color="auto"/>
              <w:bottom w:val="single" w:sz="8" w:color="auto"/>
              <w:right w:val="single" w:sz="8" w:color="auto"/>
            </w:tcBorders>
          </w:tcPr>
          <w:p>
            <w:pPr>
              <w:spacing w:after="0"/>
              <w:rPr>
                <w:sz w:val="12"/>
                <w:szCs w:val="12"/>
                <w:color w:val="auto"/>
              </w:rPr>
            </w:pPr>
          </w:p>
        </w:tc>
        <w:tc>
          <w:tcPr>
            <w:tcW w:w="1420" w:type="dxa"/>
            <w:vAlign w:val="bottom"/>
            <w:tcBorders>
              <w:bottom w:val="single" w:sz="8" w:color="auto"/>
              <w:right w:val="single" w:sz="8" w:color="auto"/>
            </w:tcBorders>
          </w:tcPr>
          <w:p>
            <w:pPr>
              <w:spacing w:after="0"/>
              <w:rPr>
                <w:sz w:val="12"/>
                <w:szCs w:val="12"/>
                <w:color w:val="auto"/>
              </w:rPr>
            </w:pPr>
          </w:p>
        </w:tc>
        <w:tc>
          <w:tcPr>
            <w:tcW w:w="1420" w:type="dxa"/>
            <w:vAlign w:val="bottom"/>
            <w:tcBorders>
              <w:bottom w:val="single" w:sz="8" w:color="auto"/>
              <w:right w:val="single" w:sz="8" w:color="auto"/>
            </w:tcBorders>
          </w:tcPr>
          <w:p>
            <w:pPr>
              <w:spacing w:after="0"/>
              <w:rPr>
                <w:sz w:val="12"/>
                <w:szCs w:val="12"/>
                <w:color w:val="auto"/>
              </w:rPr>
            </w:pPr>
          </w:p>
        </w:tc>
        <w:tc>
          <w:tcPr>
            <w:tcW w:w="1420" w:type="dxa"/>
            <w:vAlign w:val="bottom"/>
            <w:tcBorders>
              <w:bottom w:val="single" w:sz="8" w:color="auto"/>
              <w:right w:val="single" w:sz="8" w:color="auto"/>
            </w:tcBorders>
          </w:tcPr>
          <w:p>
            <w:pPr>
              <w:spacing w:after="0"/>
              <w:rPr>
                <w:sz w:val="12"/>
                <w:szCs w:val="12"/>
                <w:color w:val="auto"/>
              </w:rPr>
            </w:pPr>
          </w:p>
        </w:tc>
        <w:tc>
          <w:tcPr>
            <w:tcW w:w="1600" w:type="dxa"/>
            <w:vAlign w:val="bottom"/>
            <w:tcBorders>
              <w:bottom w:val="single" w:sz="8" w:color="auto"/>
              <w:right w:val="single" w:sz="8" w:color="auto"/>
            </w:tcBorders>
          </w:tcPr>
          <w:p>
            <w:pPr>
              <w:spacing w:after="0"/>
              <w:rPr>
                <w:sz w:val="12"/>
                <w:szCs w:val="12"/>
                <w:color w:val="auto"/>
              </w:rPr>
            </w:pPr>
          </w:p>
        </w:tc>
        <w:tc>
          <w:tcPr>
            <w:tcW w:w="16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73"/>
        </w:trPr>
        <w:tc>
          <w:tcPr>
            <w:tcW w:w="2660" w:type="dxa"/>
            <w:vAlign w:val="bottom"/>
            <w:tcBorders>
              <w:left w:val="single" w:sz="8" w:color="auto"/>
              <w:right w:val="single" w:sz="8" w:color="auto"/>
            </w:tcBorders>
            <w:shd w:val="clear" w:color="auto" w:fill="D9D9D9"/>
          </w:tcPr>
          <w:p>
            <w:pPr>
              <w:ind w:left="120"/>
              <w:spacing w:after="0"/>
              <w:rPr>
                <w:sz w:val="20"/>
                <w:szCs w:val="20"/>
                <w:color w:val="auto"/>
              </w:rPr>
            </w:pPr>
            <w:r>
              <w:rPr>
                <w:rFonts w:ascii="Arial" w:cs="Arial" w:eastAsia="Arial" w:hAnsi="Arial"/>
                <w:sz w:val="20"/>
                <w:szCs w:val="20"/>
                <w:color w:val="auto"/>
              </w:rPr>
              <w:t>Thomas Kelly</w:t>
            </w:r>
          </w:p>
        </w:tc>
        <w:tc>
          <w:tcPr>
            <w:tcW w:w="142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20"/>
                <w:szCs w:val="20"/>
                <w:color w:val="auto"/>
                <w:w w:val="89"/>
              </w:rPr>
              <w:t>0%</w:t>
            </w:r>
          </w:p>
        </w:tc>
        <w:tc>
          <w:tcPr>
            <w:tcW w:w="142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20"/>
                <w:szCs w:val="20"/>
                <w:color w:val="auto"/>
                <w:w w:val="89"/>
              </w:rPr>
              <w:t>160%</w:t>
            </w:r>
          </w:p>
        </w:tc>
        <w:tc>
          <w:tcPr>
            <w:tcW w:w="1420" w:type="dxa"/>
            <w:vAlign w:val="bottom"/>
            <w:tcBorders>
              <w:right w:val="single" w:sz="8" w:color="auto"/>
            </w:tcBorders>
            <w:shd w:val="clear" w:color="auto" w:fill="D9D9D9"/>
          </w:tcPr>
          <w:p>
            <w:pPr>
              <w:jc w:val="right"/>
              <w:ind w:right="201"/>
              <w:spacing w:after="0"/>
              <w:rPr>
                <w:sz w:val="20"/>
                <w:szCs w:val="20"/>
                <w:color w:val="auto"/>
              </w:rPr>
            </w:pPr>
            <w:r>
              <w:rPr>
                <w:rFonts w:ascii="Arial" w:cs="Arial" w:eastAsia="Arial" w:hAnsi="Arial"/>
                <w:sz w:val="20"/>
                <w:szCs w:val="20"/>
                <w:color w:val="auto"/>
              </w:rPr>
              <w:t>80%</w:t>
            </w:r>
          </w:p>
        </w:tc>
        <w:tc>
          <w:tcPr>
            <w:tcW w:w="1600" w:type="dxa"/>
            <w:vAlign w:val="bottom"/>
            <w:tcBorders>
              <w:right w:val="single" w:sz="8" w:color="auto"/>
            </w:tcBorders>
            <w:shd w:val="clear" w:color="auto" w:fill="D9D9D9"/>
          </w:tcPr>
          <w:p>
            <w:pPr>
              <w:jc w:val="right"/>
              <w:ind w:right="121"/>
              <w:spacing w:after="0"/>
              <w:rPr>
                <w:sz w:val="20"/>
                <w:szCs w:val="20"/>
                <w:color w:val="auto"/>
              </w:rPr>
            </w:pPr>
            <w:r>
              <w:rPr>
                <w:rFonts w:ascii="Arial" w:cs="Arial" w:eastAsia="Arial" w:hAnsi="Arial"/>
                <w:sz w:val="20"/>
                <w:szCs w:val="20"/>
                <w:color w:val="auto"/>
              </w:rPr>
              <w:t>548,000</w:t>
            </w:r>
          </w:p>
        </w:tc>
        <w:tc>
          <w:tcPr>
            <w:tcW w:w="1620" w:type="dxa"/>
            <w:vAlign w:val="bottom"/>
            <w:tcBorders>
              <w:right w:val="single" w:sz="8" w:color="auto"/>
            </w:tcBorders>
            <w:shd w:val="clear" w:color="auto" w:fill="D9D9D9"/>
          </w:tcPr>
          <w:p>
            <w:pPr>
              <w:jc w:val="right"/>
              <w:ind w:right="141"/>
              <w:spacing w:after="0"/>
              <w:rPr>
                <w:sz w:val="20"/>
                <w:szCs w:val="20"/>
                <w:color w:val="auto"/>
              </w:rPr>
            </w:pPr>
            <w:r>
              <w:rPr>
                <w:rFonts w:ascii="Arial" w:cs="Arial" w:eastAsia="Arial" w:hAnsi="Arial"/>
                <w:sz w:val="20"/>
                <w:szCs w:val="20"/>
                <w:color w:val="auto"/>
              </w:rPr>
              <w:t>676,780</w:t>
            </w:r>
          </w:p>
        </w:tc>
        <w:tc>
          <w:tcPr>
            <w:tcW w:w="0" w:type="dxa"/>
            <w:vAlign w:val="bottom"/>
          </w:tcPr>
          <w:p>
            <w:pPr>
              <w:spacing w:after="0"/>
              <w:rPr>
                <w:sz w:val="1"/>
                <w:szCs w:val="1"/>
                <w:color w:val="auto"/>
              </w:rPr>
            </w:pPr>
          </w:p>
        </w:tc>
      </w:tr>
      <w:tr>
        <w:trPr>
          <w:trHeight w:val="140"/>
        </w:trPr>
        <w:tc>
          <w:tcPr>
            <w:tcW w:w="2660" w:type="dxa"/>
            <w:vAlign w:val="bottom"/>
            <w:tcBorders>
              <w:left w:val="single" w:sz="8" w:color="auto"/>
              <w:bottom w:val="single" w:sz="8" w:color="auto"/>
              <w:right w:val="single" w:sz="8" w:color="auto"/>
            </w:tcBorders>
            <w:shd w:val="clear" w:color="auto" w:fill="D9D9D9"/>
          </w:tcPr>
          <w:p>
            <w:pPr>
              <w:spacing w:after="0"/>
              <w:rPr>
                <w:sz w:val="12"/>
                <w:szCs w:val="12"/>
                <w:color w:val="auto"/>
              </w:rPr>
            </w:pPr>
          </w:p>
        </w:tc>
        <w:tc>
          <w:tcPr>
            <w:tcW w:w="1420" w:type="dxa"/>
            <w:vAlign w:val="bottom"/>
            <w:tcBorders>
              <w:bottom w:val="single" w:sz="8" w:color="auto"/>
              <w:right w:val="single" w:sz="8" w:color="auto"/>
            </w:tcBorders>
            <w:shd w:val="clear" w:color="auto" w:fill="D9D9D9"/>
          </w:tcPr>
          <w:p>
            <w:pPr>
              <w:spacing w:after="0"/>
              <w:rPr>
                <w:sz w:val="12"/>
                <w:szCs w:val="12"/>
                <w:color w:val="auto"/>
              </w:rPr>
            </w:pPr>
          </w:p>
        </w:tc>
        <w:tc>
          <w:tcPr>
            <w:tcW w:w="1420" w:type="dxa"/>
            <w:vAlign w:val="bottom"/>
            <w:tcBorders>
              <w:bottom w:val="single" w:sz="8" w:color="auto"/>
              <w:right w:val="single" w:sz="8" w:color="auto"/>
            </w:tcBorders>
            <w:shd w:val="clear" w:color="auto" w:fill="D9D9D9"/>
          </w:tcPr>
          <w:p>
            <w:pPr>
              <w:spacing w:after="0"/>
              <w:rPr>
                <w:sz w:val="12"/>
                <w:szCs w:val="12"/>
                <w:color w:val="auto"/>
              </w:rPr>
            </w:pPr>
          </w:p>
        </w:tc>
        <w:tc>
          <w:tcPr>
            <w:tcW w:w="1420" w:type="dxa"/>
            <w:vAlign w:val="bottom"/>
            <w:tcBorders>
              <w:bottom w:val="single" w:sz="8" w:color="auto"/>
              <w:right w:val="single" w:sz="8" w:color="auto"/>
            </w:tcBorders>
            <w:shd w:val="clear" w:color="auto" w:fill="D9D9D9"/>
          </w:tcPr>
          <w:p>
            <w:pPr>
              <w:spacing w:after="0"/>
              <w:rPr>
                <w:sz w:val="12"/>
                <w:szCs w:val="12"/>
                <w:color w:val="auto"/>
              </w:rPr>
            </w:pPr>
          </w:p>
        </w:tc>
        <w:tc>
          <w:tcPr>
            <w:tcW w:w="1600" w:type="dxa"/>
            <w:vAlign w:val="bottom"/>
            <w:tcBorders>
              <w:bottom w:val="single" w:sz="8" w:color="auto"/>
              <w:right w:val="single" w:sz="8" w:color="auto"/>
            </w:tcBorders>
            <w:shd w:val="clear" w:color="auto" w:fill="D9D9D9"/>
          </w:tcPr>
          <w:p>
            <w:pPr>
              <w:spacing w:after="0"/>
              <w:rPr>
                <w:sz w:val="12"/>
                <w:szCs w:val="12"/>
                <w:color w:val="auto"/>
              </w:rPr>
            </w:pPr>
          </w:p>
        </w:tc>
        <w:tc>
          <w:tcPr>
            <w:tcW w:w="1620" w:type="dxa"/>
            <w:vAlign w:val="bottom"/>
            <w:tcBorders>
              <w:bottom w:val="single" w:sz="8" w:color="auto"/>
              <w:right w:val="single" w:sz="8" w:color="auto"/>
            </w:tcBorders>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373"/>
        </w:trPr>
        <w:tc>
          <w:tcPr>
            <w:tcW w:w="26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Gerard Gifford</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0%</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190%</w:t>
            </w:r>
          </w:p>
        </w:tc>
        <w:tc>
          <w:tcPr>
            <w:tcW w:w="1420" w:type="dxa"/>
            <w:vAlign w:val="bottom"/>
            <w:tcBorders>
              <w:right w:val="single" w:sz="8" w:color="auto"/>
            </w:tcBorders>
          </w:tcPr>
          <w:p>
            <w:pPr>
              <w:jc w:val="right"/>
              <w:ind w:right="181"/>
              <w:spacing w:after="0"/>
              <w:rPr>
                <w:sz w:val="20"/>
                <w:szCs w:val="20"/>
                <w:color w:val="auto"/>
              </w:rPr>
            </w:pPr>
            <w:r>
              <w:rPr>
                <w:rFonts w:ascii="Arial" w:cs="Arial" w:eastAsia="Arial" w:hAnsi="Arial"/>
                <w:sz w:val="20"/>
                <w:szCs w:val="20"/>
                <w:color w:val="auto"/>
              </w:rPr>
              <w:t>95%</w:t>
            </w:r>
          </w:p>
        </w:tc>
        <w:tc>
          <w:tcPr>
            <w:tcW w:w="1600" w:type="dxa"/>
            <w:vAlign w:val="bottom"/>
            <w:tcBorders>
              <w:right w:val="single" w:sz="8" w:color="auto"/>
            </w:tcBorders>
          </w:tcPr>
          <w:p>
            <w:pPr>
              <w:jc w:val="right"/>
              <w:ind w:right="121"/>
              <w:spacing w:after="0"/>
              <w:rPr>
                <w:sz w:val="20"/>
                <w:szCs w:val="20"/>
                <w:color w:val="auto"/>
              </w:rPr>
            </w:pPr>
            <w:r>
              <w:rPr>
                <w:rFonts w:ascii="Arial" w:cs="Arial" w:eastAsia="Arial" w:hAnsi="Arial"/>
                <w:sz w:val="20"/>
                <w:szCs w:val="20"/>
                <w:color w:val="auto"/>
              </w:rPr>
              <w:t>679,250</w:t>
            </w:r>
          </w:p>
        </w:tc>
        <w:tc>
          <w:tcPr>
            <w:tcW w:w="1620" w:type="dxa"/>
            <w:vAlign w:val="bottom"/>
            <w:tcBorders>
              <w:right w:val="single" w:sz="8" w:color="auto"/>
            </w:tcBorders>
          </w:tcPr>
          <w:p>
            <w:pPr>
              <w:jc w:val="right"/>
              <w:ind w:right="141"/>
              <w:spacing w:after="0"/>
              <w:rPr>
                <w:sz w:val="20"/>
                <w:szCs w:val="20"/>
                <w:color w:val="auto"/>
              </w:rPr>
            </w:pPr>
            <w:r>
              <w:rPr>
                <w:rFonts w:ascii="Arial" w:cs="Arial" w:eastAsia="Arial" w:hAnsi="Arial"/>
                <w:sz w:val="20"/>
                <w:szCs w:val="20"/>
                <w:color w:val="auto"/>
              </w:rPr>
              <w:t>838,874</w:t>
            </w:r>
          </w:p>
        </w:tc>
        <w:tc>
          <w:tcPr>
            <w:tcW w:w="0" w:type="dxa"/>
            <w:vAlign w:val="bottom"/>
          </w:tcPr>
          <w:p>
            <w:pPr>
              <w:spacing w:after="0"/>
              <w:rPr>
                <w:sz w:val="1"/>
                <w:szCs w:val="1"/>
                <w:color w:val="auto"/>
              </w:rPr>
            </w:pPr>
          </w:p>
        </w:tc>
      </w:tr>
      <w:tr>
        <w:trPr>
          <w:trHeight w:val="140"/>
        </w:trPr>
        <w:tc>
          <w:tcPr>
            <w:tcW w:w="2660" w:type="dxa"/>
            <w:vAlign w:val="bottom"/>
            <w:tcBorders>
              <w:left w:val="single" w:sz="8" w:color="auto"/>
              <w:bottom w:val="single" w:sz="8" w:color="auto"/>
              <w:right w:val="single" w:sz="8" w:color="auto"/>
            </w:tcBorders>
          </w:tcPr>
          <w:p>
            <w:pPr>
              <w:spacing w:after="0"/>
              <w:rPr>
                <w:sz w:val="12"/>
                <w:szCs w:val="12"/>
                <w:color w:val="auto"/>
              </w:rPr>
            </w:pPr>
          </w:p>
        </w:tc>
        <w:tc>
          <w:tcPr>
            <w:tcW w:w="1420" w:type="dxa"/>
            <w:vAlign w:val="bottom"/>
            <w:tcBorders>
              <w:bottom w:val="single" w:sz="8" w:color="auto"/>
              <w:right w:val="single" w:sz="8" w:color="auto"/>
            </w:tcBorders>
          </w:tcPr>
          <w:p>
            <w:pPr>
              <w:spacing w:after="0"/>
              <w:rPr>
                <w:sz w:val="12"/>
                <w:szCs w:val="12"/>
                <w:color w:val="auto"/>
              </w:rPr>
            </w:pPr>
          </w:p>
        </w:tc>
        <w:tc>
          <w:tcPr>
            <w:tcW w:w="1420" w:type="dxa"/>
            <w:vAlign w:val="bottom"/>
            <w:tcBorders>
              <w:bottom w:val="single" w:sz="8" w:color="auto"/>
              <w:right w:val="single" w:sz="8" w:color="auto"/>
            </w:tcBorders>
          </w:tcPr>
          <w:p>
            <w:pPr>
              <w:spacing w:after="0"/>
              <w:rPr>
                <w:sz w:val="12"/>
                <w:szCs w:val="12"/>
                <w:color w:val="auto"/>
              </w:rPr>
            </w:pPr>
          </w:p>
        </w:tc>
        <w:tc>
          <w:tcPr>
            <w:tcW w:w="1420" w:type="dxa"/>
            <w:vAlign w:val="bottom"/>
            <w:tcBorders>
              <w:bottom w:val="single" w:sz="8" w:color="auto"/>
              <w:right w:val="single" w:sz="8" w:color="auto"/>
            </w:tcBorders>
          </w:tcPr>
          <w:p>
            <w:pPr>
              <w:spacing w:after="0"/>
              <w:rPr>
                <w:sz w:val="12"/>
                <w:szCs w:val="12"/>
                <w:color w:val="auto"/>
              </w:rPr>
            </w:pPr>
          </w:p>
        </w:tc>
        <w:tc>
          <w:tcPr>
            <w:tcW w:w="1600" w:type="dxa"/>
            <w:vAlign w:val="bottom"/>
            <w:tcBorders>
              <w:bottom w:val="single" w:sz="8" w:color="auto"/>
              <w:right w:val="single" w:sz="8" w:color="auto"/>
            </w:tcBorders>
          </w:tcPr>
          <w:p>
            <w:pPr>
              <w:spacing w:after="0"/>
              <w:rPr>
                <w:sz w:val="12"/>
                <w:szCs w:val="12"/>
                <w:color w:val="auto"/>
              </w:rPr>
            </w:pPr>
          </w:p>
        </w:tc>
        <w:tc>
          <w:tcPr>
            <w:tcW w:w="16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73"/>
        </w:trPr>
        <w:tc>
          <w:tcPr>
            <w:tcW w:w="2660" w:type="dxa"/>
            <w:vAlign w:val="bottom"/>
            <w:tcBorders>
              <w:left w:val="single" w:sz="8" w:color="auto"/>
              <w:right w:val="single" w:sz="8" w:color="auto"/>
            </w:tcBorders>
            <w:shd w:val="clear" w:color="auto" w:fill="D9D9D9"/>
          </w:tcPr>
          <w:p>
            <w:pPr>
              <w:ind w:left="120"/>
              <w:spacing w:after="0"/>
              <w:rPr>
                <w:sz w:val="20"/>
                <w:szCs w:val="20"/>
                <w:color w:val="auto"/>
              </w:rPr>
            </w:pPr>
            <w:r>
              <w:rPr>
                <w:rFonts w:ascii="Arial" w:cs="Arial" w:eastAsia="Arial" w:hAnsi="Arial"/>
                <w:sz w:val="20"/>
                <w:szCs w:val="20"/>
                <w:color w:val="auto"/>
              </w:rPr>
              <w:t>Djalma Novaes</w:t>
            </w:r>
          </w:p>
        </w:tc>
        <w:tc>
          <w:tcPr>
            <w:tcW w:w="142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20"/>
                <w:szCs w:val="20"/>
                <w:color w:val="auto"/>
                <w:w w:val="89"/>
              </w:rPr>
              <w:t>0%</w:t>
            </w:r>
          </w:p>
        </w:tc>
        <w:tc>
          <w:tcPr>
            <w:tcW w:w="142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20"/>
                <w:szCs w:val="20"/>
                <w:color w:val="auto"/>
                <w:w w:val="89"/>
              </w:rPr>
              <w:t>160%</w:t>
            </w:r>
          </w:p>
        </w:tc>
        <w:tc>
          <w:tcPr>
            <w:tcW w:w="1420" w:type="dxa"/>
            <w:vAlign w:val="bottom"/>
            <w:tcBorders>
              <w:right w:val="single" w:sz="8" w:color="auto"/>
            </w:tcBorders>
            <w:shd w:val="clear" w:color="auto" w:fill="D9D9D9"/>
          </w:tcPr>
          <w:p>
            <w:pPr>
              <w:jc w:val="right"/>
              <w:ind w:right="181"/>
              <w:spacing w:after="0"/>
              <w:rPr>
                <w:sz w:val="20"/>
                <w:szCs w:val="20"/>
                <w:color w:val="auto"/>
              </w:rPr>
            </w:pPr>
            <w:r>
              <w:rPr>
                <w:rFonts w:ascii="Arial" w:cs="Arial" w:eastAsia="Arial" w:hAnsi="Arial"/>
                <w:sz w:val="20"/>
                <w:szCs w:val="20"/>
                <w:color w:val="auto"/>
              </w:rPr>
              <w:t>80%</w:t>
            </w:r>
          </w:p>
        </w:tc>
        <w:tc>
          <w:tcPr>
            <w:tcW w:w="1600" w:type="dxa"/>
            <w:vAlign w:val="bottom"/>
            <w:tcBorders>
              <w:right w:val="single" w:sz="8" w:color="auto"/>
            </w:tcBorders>
            <w:shd w:val="clear" w:color="auto" w:fill="D9D9D9"/>
          </w:tcPr>
          <w:p>
            <w:pPr>
              <w:jc w:val="right"/>
              <w:ind w:right="121"/>
              <w:spacing w:after="0"/>
              <w:rPr>
                <w:sz w:val="20"/>
                <w:szCs w:val="20"/>
                <w:color w:val="auto"/>
              </w:rPr>
            </w:pPr>
            <w:r>
              <w:rPr>
                <w:rFonts w:ascii="Arial" w:cs="Arial" w:eastAsia="Arial" w:hAnsi="Arial"/>
                <w:sz w:val="20"/>
                <w:szCs w:val="20"/>
                <w:color w:val="auto"/>
              </w:rPr>
              <w:t>460,000</w:t>
            </w:r>
          </w:p>
        </w:tc>
        <w:tc>
          <w:tcPr>
            <w:tcW w:w="1620" w:type="dxa"/>
            <w:vAlign w:val="bottom"/>
            <w:tcBorders>
              <w:right w:val="single" w:sz="8" w:color="auto"/>
            </w:tcBorders>
            <w:shd w:val="clear" w:color="auto" w:fill="D9D9D9"/>
          </w:tcPr>
          <w:p>
            <w:pPr>
              <w:jc w:val="right"/>
              <w:ind w:right="141"/>
              <w:spacing w:after="0"/>
              <w:rPr>
                <w:sz w:val="20"/>
                <w:szCs w:val="20"/>
                <w:color w:val="auto"/>
              </w:rPr>
            </w:pPr>
            <w:r>
              <w:rPr>
                <w:rFonts w:ascii="Arial" w:cs="Arial" w:eastAsia="Arial" w:hAnsi="Arial"/>
                <w:sz w:val="20"/>
                <w:szCs w:val="20"/>
                <w:color w:val="auto"/>
              </w:rPr>
              <w:t>887,340</w:t>
            </w:r>
          </w:p>
        </w:tc>
        <w:tc>
          <w:tcPr>
            <w:tcW w:w="0" w:type="dxa"/>
            <w:vAlign w:val="bottom"/>
          </w:tcPr>
          <w:p>
            <w:pPr>
              <w:spacing w:after="0"/>
              <w:rPr>
                <w:sz w:val="1"/>
                <w:szCs w:val="1"/>
                <w:color w:val="auto"/>
              </w:rPr>
            </w:pPr>
          </w:p>
        </w:tc>
      </w:tr>
      <w:tr>
        <w:trPr>
          <w:trHeight w:val="140"/>
        </w:trPr>
        <w:tc>
          <w:tcPr>
            <w:tcW w:w="2660" w:type="dxa"/>
            <w:vAlign w:val="bottom"/>
            <w:tcBorders>
              <w:left w:val="single" w:sz="8" w:color="auto"/>
              <w:bottom w:val="single" w:sz="8" w:color="auto"/>
              <w:right w:val="single" w:sz="8" w:color="auto"/>
            </w:tcBorders>
            <w:shd w:val="clear" w:color="auto" w:fill="D9D9D9"/>
          </w:tcPr>
          <w:p>
            <w:pPr>
              <w:spacing w:after="0"/>
              <w:rPr>
                <w:sz w:val="12"/>
                <w:szCs w:val="12"/>
                <w:color w:val="auto"/>
              </w:rPr>
            </w:pPr>
          </w:p>
        </w:tc>
        <w:tc>
          <w:tcPr>
            <w:tcW w:w="1420" w:type="dxa"/>
            <w:vAlign w:val="bottom"/>
            <w:tcBorders>
              <w:bottom w:val="single" w:sz="8" w:color="auto"/>
              <w:right w:val="single" w:sz="8" w:color="auto"/>
            </w:tcBorders>
            <w:shd w:val="clear" w:color="auto" w:fill="D9D9D9"/>
          </w:tcPr>
          <w:p>
            <w:pPr>
              <w:spacing w:after="0"/>
              <w:rPr>
                <w:sz w:val="12"/>
                <w:szCs w:val="12"/>
                <w:color w:val="auto"/>
              </w:rPr>
            </w:pPr>
          </w:p>
        </w:tc>
        <w:tc>
          <w:tcPr>
            <w:tcW w:w="1420" w:type="dxa"/>
            <w:vAlign w:val="bottom"/>
            <w:tcBorders>
              <w:bottom w:val="single" w:sz="8" w:color="auto"/>
              <w:right w:val="single" w:sz="8" w:color="auto"/>
            </w:tcBorders>
            <w:shd w:val="clear" w:color="auto" w:fill="D9D9D9"/>
          </w:tcPr>
          <w:p>
            <w:pPr>
              <w:spacing w:after="0"/>
              <w:rPr>
                <w:sz w:val="12"/>
                <w:szCs w:val="12"/>
                <w:color w:val="auto"/>
              </w:rPr>
            </w:pPr>
          </w:p>
        </w:tc>
        <w:tc>
          <w:tcPr>
            <w:tcW w:w="1420" w:type="dxa"/>
            <w:vAlign w:val="bottom"/>
            <w:tcBorders>
              <w:bottom w:val="single" w:sz="8" w:color="auto"/>
              <w:right w:val="single" w:sz="8" w:color="auto"/>
            </w:tcBorders>
            <w:shd w:val="clear" w:color="auto" w:fill="D9D9D9"/>
          </w:tcPr>
          <w:p>
            <w:pPr>
              <w:spacing w:after="0"/>
              <w:rPr>
                <w:sz w:val="12"/>
                <w:szCs w:val="12"/>
                <w:color w:val="auto"/>
              </w:rPr>
            </w:pPr>
          </w:p>
        </w:tc>
        <w:tc>
          <w:tcPr>
            <w:tcW w:w="1600" w:type="dxa"/>
            <w:vAlign w:val="bottom"/>
            <w:tcBorders>
              <w:bottom w:val="single" w:sz="8" w:color="auto"/>
              <w:right w:val="single" w:sz="8" w:color="auto"/>
            </w:tcBorders>
            <w:shd w:val="clear" w:color="auto" w:fill="D9D9D9"/>
          </w:tcPr>
          <w:p>
            <w:pPr>
              <w:spacing w:after="0"/>
              <w:rPr>
                <w:sz w:val="12"/>
                <w:szCs w:val="12"/>
                <w:color w:val="auto"/>
              </w:rPr>
            </w:pPr>
          </w:p>
        </w:tc>
        <w:tc>
          <w:tcPr>
            <w:tcW w:w="1620" w:type="dxa"/>
            <w:vAlign w:val="bottom"/>
            <w:tcBorders>
              <w:bottom w:val="single" w:sz="8" w:color="auto"/>
              <w:right w:val="single" w:sz="8" w:color="auto"/>
            </w:tcBorders>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373"/>
        </w:trPr>
        <w:tc>
          <w:tcPr>
            <w:tcW w:w="26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Robert Bourque</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0%</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160%</w:t>
            </w:r>
          </w:p>
        </w:tc>
        <w:tc>
          <w:tcPr>
            <w:tcW w:w="1420" w:type="dxa"/>
            <w:vAlign w:val="bottom"/>
            <w:tcBorders>
              <w:right w:val="single" w:sz="8" w:color="auto"/>
            </w:tcBorders>
          </w:tcPr>
          <w:p>
            <w:pPr>
              <w:jc w:val="right"/>
              <w:ind w:right="181"/>
              <w:spacing w:after="0"/>
              <w:rPr>
                <w:sz w:val="20"/>
                <w:szCs w:val="20"/>
                <w:color w:val="auto"/>
              </w:rPr>
            </w:pPr>
            <w:r>
              <w:rPr>
                <w:rFonts w:ascii="Arial" w:cs="Arial" w:eastAsia="Arial" w:hAnsi="Arial"/>
                <w:sz w:val="20"/>
                <w:szCs w:val="20"/>
                <w:color w:val="auto"/>
              </w:rPr>
              <w:t>80%</w:t>
            </w:r>
          </w:p>
        </w:tc>
        <w:tc>
          <w:tcPr>
            <w:tcW w:w="1600" w:type="dxa"/>
            <w:vAlign w:val="bottom"/>
            <w:tcBorders>
              <w:right w:val="single" w:sz="8" w:color="auto"/>
            </w:tcBorders>
          </w:tcPr>
          <w:p>
            <w:pPr>
              <w:jc w:val="right"/>
              <w:ind w:right="121"/>
              <w:spacing w:after="0"/>
              <w:rPr>
                <w:sz w:val="20"/>
                <w:szCs w:val="20"/>
                <w:color w:val="auto"/>
              </w:rPr>
            </w:pPr>
            <w:r>
              <w:rPr>
                <w:rFonts w:ascii="Arial" w:cs="Arial" w:eastAsia="Arial" w:hAnsi="Arial"/>
                <w:sz w:val="20"/>
                <w:szCs w:val="20"/>
                <w:color w:val="auto"/>
              </w:rPr>
              <w:t>420,000</w:t>
            </w:r>
          </w:p>
        </w:tc>
        <w:tc>
          <w:tcPr>
            <w:tcW w:w="1620" w:type="dxa"/>
            <w:vAlign w:val="bottom"/>
            <w:tcBorders>
              <w:right w:val="single" w:sz="8" w:color="auto"/>
            </w:tcBorders>
          </w:tcPr>
          <w:p>
            <w:pPr>
              <w:jc w:val="right"/>
              <w:ind w:right="141"/>
              <w:spacing w:after="0"/>
              <w:rPr>
                <w:sz w:val="20"/>
                <w:szCs w:val="20"/>
                <w:color w:val="auto"/>
              </w:rPr>
            </w:pPr>
            <w:r>
              <w:rPr>
                <w:rFonts w:ascii="Arial" w:cs="Arial" w:eastAsia="Arial" w:hAnsi="Arial"/>
                <w:sz w:val="20"/>
                <w:szCs w:val="20"/>
                <w:color w:val="auto"/>
              </w:rPr>
              <w:t>632,940</w:t>
            </w:r>
          </w:p>
        </w:tc>
        <w:tc>
          <w:tcPr>
            <w:tcW w:w="0" w:type="dxa"/>
            <w:vAlign w:val="bottom"/>
          </w:tcPr>
          <w:p>
            <w:pPr>
              <w:spacing w:after="0"/>
              <w:rPr>
                <w:sz w:val="1"/>
                <w:szCs w:val="1"/>
                <w:color w:val="auto"/>
              </w:rPr>
            </w:pPr>
          </w:p>
        </w:tc>
      </w:tr>
      <w:tr>
        <w:trPr>
          <w:trHeight w:val="140"/>
        </w:trPr>
        <w:tc>
          <w:tcPr>
            <w:tcW w:w="2660" w:type="dxa"/>
            <w:vAlign w:val="bottom"/>
            <w:tcBorders>
              <w:left w:val="single" w:sz="8" w:color="auto"/>
              <w:bottom w:val="single" w:sz="8" w:color="auto"/>
              <w:right w:val="single" w:sz="8" w:color="auto"/>
            </w:tcBorders>
          </w:tcPr>
          <w:p>
            <w:pPr>
              <w:spacing w:after="0"/>
              <w:rPr>
                <w:sz w:val="12"/>
                <w:szCs w:val="12"/>
                <w:color w:val="auto"/>
              </w:rPr>
            </w:pPr>
          </w:p>
        </w:tc>
        <w:tc>
          <w:tcPr>
            <w:tcW w:w="1420" w:type="dxa"/>
            <w:vAlign w:val="bottom"/>
            <w:tcBorders>
              <w:bottom w:val="single" w:sz="8" w:color="auto"/>
              <w:right w:val="single" w:sz="8" w:color="auto"/>
            </w:tcBorders>
          </w:tcPr>
          <w:p>
            <w:pPr>
              <w:spacing w:after="0"/>
              <w:rPr>
                <w:sz w:val="12"/>
                <w:szCs w:val="12"/>
                <w:color w:val="auto"/>
              </w:rPr>
            </w:pPr>
          </w:p>
        </w:tc>
        <w:tc>
          <w:tcPr>
            <w:tcW w:w="1420" w:type="dxa"/>
            <w:vAlign w:val="bottom"/>
            <w:tcBorders>
              <w:bottom w:val="single" w:sz="8" w:color="auto"/>
              <w:right w:val="single" w:sz="8" w:color="auto"/>
            </w:tcBorders>
          </w:tcPr>
          <w:p>
            <w:pPr>
              <w:spacing w:after="0"/>
              <w:rPr>
                <w:sz w:val="12"/>
                <w:szCs w:val="12"/>
                <w:color w:val="auto"/>
              </w:rPr>
            </w:pPr>
          </w:p>
        </w:tc>
        <w:tc>
          <w:tcPr>
            <w:tcW w:w="1420" w:type="dxa"/>
            <w:vAlign w:val="bottom"/>
            <w:tcBorders>
              <w:bottom w:val="single" w:sz="8" w:color="auto"/>
              <w:right w:val="single" w:sz="8" w:color="auto"/>
            </w:tcBorders>
          </w:tcPr>
          <w:p>
            <w:pPr>
              <w:spacing w:after="0"/>
              <w:rPr>
                <w:sz w:val="12"/>
                <w:szCs w:val="12"/>
                <w:color w:val="auto"/>
              </w:rPr>
            </w:pPr>
          </w:p>
        </w:tc>
        <w:tc>
          <w:tcPr>
            <w:tcW w:w="1600" w:type="dxa"/>
            <w:vAlign w:val="bottom"/>
            <w:tcBorders>
              <w:bottom w:val="single" w:sz="8" w:color="auto"/>
              <w:right w:val="single" w:sz="8" w:color="auto"/>
            </w:tcBorders>
          </w:tcPr>
          <w:p>
            <w:pPr>
              <w:spacing w:after="0"/>
              <w:rPr>
                <w:sz w:val="12"/>
                <w:szCs w:val="12"/>
                <w:color w:val="auto"/>
              </w:rPr>
            </w:pPr>
          </w:p>
        </w:tc>
        <w:tc>
          <w:tcPr>
            <w:tcW w:w="16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71"/>
        </w:trPr>
        <w:tc>
          <w:tcPr>
            <w:tcW w:w="26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20" w:type="dxa"/>
            <w:vAlign w:val="bottom"/>
          </w:tcPr>
          <w:p>
            <w:pPr>
              <w:jc w:val="right"/>
              <w:ind w:right="241"/>
              <w:spacing w:after="0"/>
              <w:rPr>
                <w:sz w:val="20"/>
                <w:szCs w:val="20"/>
                <w:color w:val="auto"/>
              </w:rPr>
            </w:pPr>
            <w:r>
              <w:rPr>
                <w:rFonts w:ascii="Arial" w:cs="Arial" w:eastAsia="Arial" w:hAnsi="Arial"/>
                <w:sz w:val="20"/>
                <w:szCs w:val="20"/>
                <w:color w:val="auto"/>
              </w:rPr>
              <w:t>38</w:t>
            </w:r>
          </w:p>
        </w:tc>
        <w:tc>
          <w:tcPr>
            <w:tcW w:w="14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5" w:right="339" w:bottom="1440" w:gutter="0" w:footer="0" w:header="0"/>
        </w:sectPr>
      </w:pPr>
    </w:p>
    <w:bookmarkStart w:id="42" w:name="page43"/>
    <w:bookmarkEnd w:id="42"/>
    <w:p>
      <w:pPr>
        <w:ind w:left="600"/>
        <w:spacing w:after="0"/>
        <w:rPr>
          <w:sz w:val="20"/>
          <w:szCs w:val="20"/>
          <w:color w:val="auto"/>
        </w:rPr>
      </w:pPr>
      <w:r>
        <w:rPr>
          <w:rFonts w:ascii="Arial" w:cs="Arial" w:eastAsia="Arial" w:hAnsi="Arial"/>
          <w:sz w:val="20"/>
          <w:szCs w:val="20"/>
          <w:i w:val="1"/>
          <w:iCs w:val="1"/>
          <w:color w:val="auto"/>
        </w:rPr>
        <w:t>Performance Measures</w:t>
      </w:r>
      <w:r>
        <w:rPr>
          <w:rFonts w:ascii="Arial" w:cs="Arial" w:eastAsia="Arial" w:hAnsi="Arial"/>
          <w:sz w:val="20"/>
          <w:szCs w:val="20"/>
          <w:color w:val="auto"/>
        </w:rPr>
        <w:t>. Bonus amounts under the AIB Plan were based on the following performance measures:</w:t>
      </w:r>
    </w:p>
    <w:p>
      <w:pPr>
        <w:spacing w:after="0" w:line="266" w:lineRule="exact"/>
        <w:rPr>
          <w:sz w:val="20"/>
          <w:szCs w:val="20"/>
          <w:color w:val="auto"/>
        </w:rPr>
      </w:pPr>
    </w:p>
    <w:p>
      <w:pPr>
        <w:ind w:left="1100" w:hanging="441"/>
        <w:spacing w:after="0" w:line="186" w:lineRule="auto"/>
        <w:tabs>
          <w:tab w:leader="none" w:pos="1100" w:val="left"/>
        </w:tabs>
        <w:numPr>
          <w:ilvl w:val="0"/>
          <w:numId w:val="28"/>
        </w:numPr>
        <w:rPr>
          <w:rFonts w:ascii="Arial" w:cs="Arial" w:eastAsia="Arial" w:hAnsi="Arial"/>
          <w:sz w:val="35"/>
          <w:szCs w:val="35"/>
          <w:color w:val="auto"/>
          <w:vertAlign w:val="superscript"/>
        </w:rPr>
      </w:pPr>
      <w:r>
        <w:rPr>
          <w:rFonts w:ascii="Arial" w:cs="Arial" w:eastAsia="Arial" w:hAnsi="Arial"/>
          <w:sz w:val="18"/>
          <w:szCs w:val="18"/>
          <w:i w:val="1"/>
          <w:iCs w:val="1"/>
          <w:color w:val="auto"/>
        </w:rPr>
        <w:t xml:space="preserve">economic profit </w:t>
      </w:r>
      <w:r>
        <w:rPr>
          <w:rFonts w:ascii="Arial" w:cs="Arial" w:eastAsia="Arial" w:hAnsi="Arial"/>
          <w:sz w:val="18"/>
          <w:szCs w:val="18"/>
          <w:color w:val="auto"/>
        </w:rPr>
        <w:t>– defined generally as net operating profit after tax less cost of capital employed as adjusted for certain items,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currency exchange rates and acquisitions/divestitures</w:t>
      </w:r>
    </w:p>
    <w:p>
      <w:pPr>
        <w:spacing w:after="0" w:line="73" w:lineRule="exact"/>
        <w:rPr>
          <w:rFonts w:ascii="Arial" w:cs="Arial" w:eastAsia="Arial" w:hAnsi="Arial"/>
          <w:sz w:val="35"/>
          <w:szCs w:val="35"/>
          <w:color w:val="auto"/>
          <w:vertAlign w:val="superscript"/>
        </w:rPr>
      </w:pPr>
    </w:p>
    <w:p>
      <w:pPr>
        <w:ind w:left="1100" w:hanging="441"/>
        <w:spacing w:after="0" w:line="186" w:lineRule="auto"/>
        <w:tabs>
          <w:tab w:leader="none" w:pos="1100" w:val="left"/>
        </w:tabs>
        <w:numPr>
          <w:ilvl w:val="0"/>
          <w:numId w:val="28"/>
        </w:numPr>
        <w:rPr>
          <w:rFonts w:ascii="Arial" w:cs="Arial" w:eastAsia="Arial" w:hAnsi="Arial"/>
          <w:sz w:val="35"/>
          <w:szCs w:val="35"/>
          <w:color w:val="auto"/>
          <w:vertAlign w:val="superscript"/>
        </w:rPr>
      </w:pPr>
      <w:r>
        <w:rPr>
          <w:rFonts w:ascii="Arial" w:cs="Arial" w:eastAsia="Arial" w:hAnsi="Arial"/>
          <w:sz w:val="18"/>
          <w:szCs w:val="18"/>
          <w:i w:val="1"/>
          <w:iCs w:val="1"/>
          <w:color w:val="auto"/>
        </w:rPr>
        <w:t xml:space="preserve">modified operating cash flow </w:t>
      </w:r>
      <w:r>
        <w:rPr>
          <w:rFonts w:ascii="Arial" w:cs="Arial" w:eastAsia="Arial" w:hAnsi="Arial"/>
          <w:sz w:val="18"/>
          <w:szCs w:val="18"/>
          <w:color w:val="auto"/>
        </w:rPr>
        <w:t>– defined generally as earnings before interest, taxes, depreciation and amortization reduced by</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spending and adjusted for certain items, including changes in year-end trade working capital</w:t>
      </w:r>
    </w:p>
    <w:p>
      <w:pPr>
        <w:spacing w:after="0" w:line="247" w:lineRule="exact"/>
        <w:rPr>
          <w:sz w:val="20"/>
          <w:szCs w:val="20"/>
          <w:color w:val="auto"/>
        </w:rPr>
      </w:pPr>
    </w:p>
    <w:p>
      <w:pPr>
        <w:jc w:val="both"/>
        <w:ind w:firstLine="595"/>
        <w:spacing w:after="0" w:line="252" w:lineRule="auto"/>
        <w:rPr>
          <w:sz w:val="20"/>
          <w:szCs w:val="20"/>
          <w:color w:val="auto"/>
        </w:rPr>
      </w:pPr>
      <w:r>
        <w:rPr>
          <w:rFonts w:ascii="Arial" w:cs="Arial" w:eastAsia="Arial" w:hAnsi="Arial"/>
          <w:sz w:val="19"/>
          <w:szCs w:val="19"/>
          <w:i w:val="1"/>
          <w:iCs w:val="1"/>
          <w:color w:val="auto"/>
        </w:rPr>
        <w:t>Cost of Capital</w:t>
      </w:r>
      <w:r>
        <w:rPr>
          <w:rFonts w:ascii="Arial" w:cs="Arial" w:eastAsia="Arial" w:hAnsi="Arial"/>
          <w:sz w:val="19"/>
          <w:szCs w:val="19"/>
          <w:color w:val="auto"/>
        </w:rPr>
        <w:t>. For purposes of calculating economic profit under the AIB Plan, cost of capital employed was defined as the average</w:t>
      </w:r>
      <w:r>
        <w:rPr>
          <w:rFonts w:ascii="Arial" w:cs="Arial" w:eastAsia="Arial" w:hAnsi="Arial"/>
          <w:sz w:val="19"/>
          <w:szCs w:val="19"/>
          <w:i w:val="1"/>
          <w:iCs w:val="1"/>
          <w:color w:val="auto"/>
        </w:rPr>
        <w:t xml:space="preserve"> </w:t>
      </w:r>
      <w:r>
        <w:rPr>
          <w:rFonts w:ascii="Arial" w:cs="Arial" w:eastAsia="Arial" w:hAnsi="Arial"/>
          <w:sz w:val="19"/>
          <w:szCs w:val="19"/>
          <w:color w:val="auto"/>
        </w:rPr>
        <w:t>capital employed multiplied by the average cost of capital. Capital employed was generally defined as total assets less non-interest bearing liabilities and is adjusted for certain items. The following items were excluded from capital employed: investments, net goodwill and intangibles, pension and post-employment assets and liabilities and deferred tax assets and liabilities. Invested capital may also be adjusted for additional capital employed at the direction of the Company’s corporate office or in accordance with overall corporate objectives. For 2019, the AIB Plan used a cost of capital of 9%, which is higher than the Company’s actual cost of capital.</w:t>
      </w:r>
    </w:p>
    <w:p>
      <w:pPr>
        <w:spacing w:after="0" w:line="186" w:lineRule="exact"/>
        <w:rPr>
          <w:sz w:val="20"/>
          <w:szCs w:val="20"/>
          <w:color w:val="auto"/>
        </w:rPr>
      </w:pPr>
    </w:p>
    <w:p>
      <w:pPr>
        <w:jc w:val="both"/>
        <w:ind w:firstLine="595"/>
        <w:spacing w:after="0" w:line="284" w:lineRule="auto"/>
        <w:rPr>
          <w:sz w:val="20"/>
          <w:szCs w:val="20"/>
          <w:color w:val="auto"/>
        </w:rPr>
      </w:pPr>
      <w:r>
        <w:rPr>
          <w:rFonts w:ascii="Arial" w:cs="Arial" w:eastAsia="Arial" w:hAnsi="Arial"/>
          <w:sz w:val="18"/>
          <w:szCs w:val="18"/>
          <w:i w:val="1"/>
          <w:iCs w:val="1"/>
          <w:color w:val="auto"/>
        </w:rPr>
        <w:t>Weighting of Performance Measures</w:t>
      </w:r>
      <w:r>
        <w:rPr>
          <w:rFonts w:ascii="Arial" w:cs="Arial" w:eastAsia="Arial" w:hAnsi="Arial"/>
          <w:sz w:val="18"/>
          <w:szCs w:val="18"/>
          <w:color w:val="auto"/>
        </w:rPr>
        <w:t>. At the beginning of 2019, the Committee determined target levels of performance for each</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measure. At year-end, the Committee assessed the actual results versus the original goals in determining awards. The Committee must approve all awards, and all awards are subject to review and downward discretionary adjustment by the Committee.</w:t>
      </w:r>
    </w:p>
    <w:p>
      <w:pPr>
        <w:spacing w:after="0" w:line="158" w:lineRule="exact"/>
        <w:rPr>
          <w:sz w:val="20"/>
          <w:szCs w:val="20"/>
          <w:color w:val="auto"/>
        </w:rPr>
      </w:pPr>
    </w:p>
    <w:p>
      <w:pPr>
        <w:jc w:val="both"/>
        <w:ind w:firstLine="595"/>
        <w:spacing w:after="0"/>
        <w:rPr>
          <w:sz w:val="20"/>
          <w:szCs w:val="20"/>
          <w:color w:val="auto"/>
        </w:rPr>
      </w:pPr>
      <w:r>
        <w:rPr>
          <w:rFonts w:ascii="Arial" w:cs="Arial" w:eastAsia="Arial" w:hAnsi="Arial"/>
          <w:sz w:val="20"/>
          <w:szCs w:val="20"/>
          <w:color w:val="auto"/>
        </w:rPr>
        <w:t>An NEO’s actual bonus amount was determined by: (i) multiplying the NEO’s target bonus amount by the actual percentage earned for each of the two performance measures, (ii) weighting each performance measure in accordance with a pre-specified formula, (iii) adding the results together to determine the overall payout factor and (iv) if applicable, reducing the overall payout to the maximum of 200% of the target bonus amount.</w:t>
      </w:r>
    </w:p>
    <w:p>
      <w:pPr>
        <w:spacing w:after="0" w:line="196" w:lineRule="exact"/>
        <w:rPr>
          <w:sz w:val="20"/>
          <w:szCs w:val="20"/>
          <w:color w:val="auto"/>
        </w:rPr>
      </w:pPr>
    </w:p>
    <w:p>
      <w:pPr>
        <w:jc w:val="both"/>
        <w:ind w:firstLine="595"/>
        <w:spacing w:after="0" w:line="267" w:lineRule="auto"/>
        <w:rPr>
          <w:sz w:val="20"/>
          <w:szCs w:val="20"/>
          <w:color w:val="auto"/>
        </w:rPr>
      </w:pPr>
      <w:r>
        <w:rPr>
          <w:rFonts w:ascii="Arial" w:cs="Arial" w:eastAsia="Arial" w:hAnsi="Arial"/>
          <w:sz w:val="18"/>
          <w:szCs w:val="18"/>
          <w:color w:val="auto"/>
        </w:rPr>
        <w:t>As the achievement of each of economic profit and modified operating cash flow increases in excess of respective performance targets, the percentage of each NEO’s target bonus payable with respect to such performance measure also increases. In the case of modified operating cash flow, up to 125% of the target bonus amount will be paid, in incremental increases, as the achievement level increases from 100% to 110% of the performance target. Conversely, the percentage of the target bonus amount payable with respect to modified operating cash flow decreases as achievement falls below 100% of the applicable performance target, with no amount being payable for achievement levels below the threshold of 80% of the applicable performance target. The modified operating cash flow component of the AIB Plan was determined based upon actual performance compared to a budgeted modified operating cash flow amount.</w:t>
      </w:r>
    </w:p>
    <w:p>
      <w:pPr>
        <w:spacing w:after="0" w:line="174" w:lineRule="exact"/>
        <w:rPr>
          <w:sz w:val="20"/>
          <w:szCs w:val="20"/>
          <w:color w:val="auto"/>
        </w:rPr>
      </w:pPr>
    </w:p>
    <w:p>
      <w:pPr>
        <w:jc w:val="both"/>
        <w:ind w:firstLine="595"/>
        <w:spacing w:after="0" w:line="269" w:lineRule="auto"/>
        <w:rPr>
          <w:sz w:val="20"/>
          <w:szCs w:val="20"/>
          <w:color w:val="auto"/>
        </w:rPr>
      </w:pPr>
      <w:r>
        <w:rPr>
          <w:rFonts w:ascii="Arial" w:cs="Arial" w:eastAsia="Arial" w:hAnsi="Arial"/>
          <w:sz w:val="18"/>
          <w:szCs w:val="18"/>
          <w:color w:val="auto"/>
        </w:rPr>
        <w:t>The economic profit component of the AIB Plan was determined by relating current-year economic profit to prior years economic profit, adjusted for currency fluctuations. In the case of economic profit, up to 125% of the target bonus amount will be paid, in incremental increases, as the achievement level increases from 100% to 110% of the performance target. Conversely, the percentage of the target bonus amount payable with respect to economic profit decreases as achievement falls below 100% of the applicable performance target, with no amount being payable for achievement levels below the threshold of 80% of the applicable performance target. No portion of the target bonus amount will be paid for economic profit arising from accounting changes or similar non-cash items.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39</w:t>
      </w:r>
    </w:p>
    <w:p>
      <w:pPr>
        <w:sectPr>
          <w:pgSz w:w="11900" w:h="16838" w:orient="portrait"/>
          <w:cols w:equalWidth="0" w:num="1">
            <w:col w:w="11240"/>
          </w:cols>
          <w:pgMar w:left="320" w:top="443" w:right="339" w:bottom="1440" w:gutter="0" w:footer="0" w:header="0"/>
        </w:sectPr>
      </w:pPr>
    </w:p>
    <w:bookmarkStart w:id="43" w:name="page44"/>
    <w:bookmarkEnd w:id="43"/>
    <w:p>
      <w:pPr>
        <w:jc w:val="both"/>
        <w:ind w:left="1" w:firstLine="595"/>
        <w:spacing w:after="0" w:line="280" w:lineRule="auto"/>
        <w:rPr>
          <w:sz w:val="20"/>
          <w:szCs w:val="20"/>
          <w:color w:val="auto"/>
        </w:rPr>
      </w:pPr>
      <w:r>
        <w:rPr>
          <w:rFonts w:ascii="Arial" w:cs="Arial" w:eastAsia="Arial" w:hAnsi="Arial"/>
          <w:sz w:val="19"/>
          <w:szCs w:val="19"/>
          <w:color w:val="auto"/>
        </w:rPr>
        <w:t>Notwithstanding the ability to earn up to 125% of the target bonus amount under each of the tests (modified operating cash flow and economic profit), the maximum aggregate bonus opportunity is capped at 200% of the target bonus amount for all NEOs.</w:t>
      </w:r>
    </w:p>
    <w:p>
      <w:pPr>
        <w:spacing w:after="0" w:line="160" w:lineRule="exact"/>
        <w:rPr>
          <w:sz w:val="20"/>
          <w:szCs w:val="20"/>
          <w:color w:val="auto"/>
        </w:rPr>
      </w:pPr>
    </w:p>
    <w:p>
      <w:pPr>
        <w:jc w:val="both"/>
        <w:ind w:left="1" w:firstLine="595"/>
        <w:spacing w:after="0" w:line="267" w:lineRule="auto"/>
        <w:rPr>
          <w:sz w:val="20"/>
          <w:szCs w:val="20"/>
          <w:color w:val="auto"/>
        </w:rPr>
      </w:pPr>
      <w:r>
        <w:rPr>
          <w:rFonts w:ascii="Arial" w:cs="Arial" w:eastAsia="Arial" w:hAnsi="Arial"/>
          <w:sz w:val="18"/>
          <w:szCs w:val="18"/>
          <w:i w:val="1"/>
          <w:iCs w:val="1"/>
          <w:color w:val="auto"/>
        </w:rPr>
        <w:t>Setting of Target Performance Levels</w:t>
      </w:r>
      <w:r>
        <w:rPr>
          <w:rFonts w:ascii="Arial" w:cs="Arial" w:eastAsia="Arial" w:hAnsi="Arial"/>
          <w:sz w:val="18"/>
          <w:szCs w:val="18"/>
          <w:color w:val="auto"/>
        </w:rPr>
        <w:t>. Generally, the Committee attempts to set the target performance levels so that the relative</w:t>
      </w:r>
      <w:r>
        <w:rPr>
          <w:rFonts w:ascii="Arial" w:cs="Arial" w:eastAsia="Arial" w:hAnsi="Arial"/>
          <w:sz w:val="18"/>
          <w:szCs w:val="18"/>
          <w:i w:val="1"/>
          <w:iCs w:val="1"/>
          <w:color w:val="auto"/>
        </w:rPr>
        <w:t xml:space="preserve"> </w:t>
      </w:r>
      <w:r>
        <w:rPr>
          <w:rFonts w:ascii="Arial" w:cs="Arial" w:eastAsia="Arial" w:hAnsi="Arial"/>
          <w:sz w:val="18"/>
          <w:szCs w:val="18"/>
          <w:color w:val="auto"/>
        </w:rPr>
        <w:t>difficulty of achieving the targets is consistent among the NEOs in any one year and for each NEO from year to year. In making this determination the Committee may consider specific circumstances experienced by the Company in prior years or that the Company expects to face in the coming year. For example, with respect to modified operating cash flow, targets may be set below prior year actual results due to the forecasted increases in capital investment required for the Company’s expansion in growth markets, forecasted increases in working capital, higher input costs due to price increases by suppliers and variances in average trade working capital. In addition, target performance levels are subject to adjustment for special circumstances such as currency exchange rate fluctuations, acquisitions and divestitures.</w:t>
      </w:r>
    </w:p>
    <w:p>
      <w:pPr>
        <w:spacing w:after="0" w:line="174" w:lineRule="exact"/>
        <w:rPr>
          <w:sz w:val="20"/>
          <w:szCs w:val="20"/>
          <w:color w:val="auto"/>
        </w:rPr>
      </w:pPr>
    </w:p>
    <w:p>
      <w:pPr>
        <w:jc w:val="both"/>
        <w:ind w:left="1" w:firstLine="595"/>
        <w:spacing w:after="0"/>
        <w:rPr>
          <w:sz w:val="20"/>
          <w:szCs w:val="20"/>
          <w:color w:val="auto"/>
        </w:rPr>
      </w:pPr>
      <w:r>
        <w:rPr>
          <w:rFonts w:ascii="Arial" w:cs="Arial" w:eastAsia="Arial" w:hAnsi="Arial"/>
          <w:sz w:val="20"/>
          <w:szCs w:val="20"/>
          <w:color w:val="auto"/>
        </w:rPr>
        <w:t>The economic profit and modified operating cash flow thresholds and targets for 2019 were set at the Company level for the CEO, Chief Operating Officer and Chief Financial Officer. For division-level NEOs (Messrs. Novaes and Bourque), economic profit and modified operating cash flow thresholds and targets include both division-level and Company-level metrics. The applicable thresholds, targets and actual achievement levels for 2019 are set forth for each NEO in the following table.</w:t>
      </w:r>
    </w:p>
    <w:p>
      <w:pPr>
        <w:spacing w:after="0" w:line="357" w:lineRule="exact"/>
        <w:rPr>
          <w:sz w:val="20"/>
          <w:szCs w:val="20"/>
          <w:color w:val="auto"/>
        </w:rPr>
      </w:pPr>
    </w:p>
    <w:tbl>
      <w:tblPr>
        <w:tblLayout w:type="fixed"/>
        <w:tblInd w:w="11" w:type="dxa"/>
        <w:tblCellMar>
          <w:top w:w="0" w:type="dxa"/>
          <w:left w:w="0" w:type="dxa"/>
          <w:bottom w:w="0" w:type="dxa"/>
          <w:right w:w="0" w:type="dxa"/>
        </w:tblCellMar>
      </w:tblPr>
      <w:tr>
        <w:trPr>
          <w:trHeight w:val="248"/>
        </w:trPr>
        <w:tc>
          <w:tcPr>
            <w:tcW w:w="2160" w:type="dxa"/>
            <w:vAlign w:val="bottom"/>
            <w:tcBorders>
              <w:top w:val="single" w:sz="8" w:color="auto"/>
              <w:left w:val="single" w:sz="8" w:color="auto"/>
              <w:right w:val="single" w:sz="8" w:color="auto"/>
            </w:tcBorders>
            <w:shd w:val="clear" w:color="auto" w:fill="29650B"/>
          </w:tcPr>
          <w:p>
            <w:pPr>
              <w:spacing w:after="0"/>
              <w:rPr>
                <w:sz w:val="21"/>
                <w:szCs w:val="21"/>
                <w:color w:val="auto"/>
              </w:rPr>
            </w:pPr>
          </w:p>
        </w:tc>
        <w:tc>
          <w:tcPr>
            <w:tcW w:w="3560" w:type="dxa"/>
            <w:vAlign w:val="bottom"/>
            <w:tcBorders>
              <w:top w:val="single" w:sz="8" w:color="auto"/>
            </w:tcBorders>
            <w:gridSpan w:val="3"/>
            <w:vMerge w:val="restart"/>
            <w:shd w:val="clear" w:color="auto" w:fill="29650B"/>
          </w:tcPr>
          <w:p>
            <w:pPr>
              <w:ind w:left="1080"/>
              <w:spacing w:after="0"/>
              <w:rPr>
                <w:sz w:val="20"/>
                <w:szCs w:val="20"/>
                <w:color w:val="auto"/>
              </w:rPr>
            </w:pPr>
            <w:r>
              <w:rPr>
                <w:rFonts w:ascii="Arial" w:cs="Arial" w:eastAsia="Arial" w:hAnsi="Arial"/>
                <w:sz w:val="20"/>
                <w:szCs w:val="20"/>
                <w:b w:val="1"/>
                <w:bCs w:val="1"/>
                <w:color w:val="FFFFFF"/>
                <w:w w:val="90"/>
              </w:rPr>
              <w:t>Economic Profit (in millions)</w:t>
            </w:r>
          </w:p>
        </w:tc>
        <w:tc>
          <w:tcPr>
            <w:tcW w:w="1060" w:type="dxa"/>
            <w:vAlign w:val="bottom"/>
            <w:tcBorders>
              <w:top w:val="single" w:sz="8" w:color="auto"/>
              <w:right w:val="single" w:sz="8" w:color="auto"/>
            </w:tcBorders>
            <w:shd w:val="clear" w:color="auto" w:fill="29650B"/>
          </w:tcPr>
          <w:p>
            <w:pPr>
              <w:spacing w:after="0"/>
              <w:rPr>
                <w:sz w:val="21"/>
                <w:szCs w:val="21"/>
                <w:color w:val="auto"/>
              </w:rPr>
            </w:pPr>
          </w:p>
        </w:tc>
        <w:tc>
          <w:tcPr>
            <w:tcW w:w="4480" w:type="dxa"/>
            <w:vAlign w:val="bottom"/>
            <w:tcBorders>
              <w:top w:val="single" w:sz="8" w:color="auto"/>
              <w:right w:val="single" w:sz="8" w:color="auto"/>
            </w:tcBorders>
            <w:gridSpan w:val="3"/>
            <w:shd w:val="clear" w:color="auto" w:fill="29650B"/>
          </w:tcPr>
          <w:p>
            <w:pPr>
              <w:jc w:val="right"/>
              <w:ind w:right="841"/>
              <w:spacing w:after="0"/>
              <w:rPr>
                <w:sz w:val="20"/>
                <w:szCs w:val="20"/>
                <w:color w:val="auto"/>
              </w:rPr>
            </w:pPr>
            <w:r>
              <w:rPr>
                <w:rFonts w:ascii="Arial" w:cs="Arial" w:eastAsia="Arial" w:hAnsi="Arial"/>
                <w:sz w:val="20"/>
                <w:szCs w:val="20"/>
                <w:b w:val="1"/>
                <w:bCs w:val="1"/>
                <w:color w:val="FFFFFF"/>
              </w:rPr>
              <w:t>Modified Operating Cash Flow</w:t>
            </w:r>
          </w:p>
        </w:tc>
        <w:tc>
          <w:tcPr>
            <w:tcW w:w="0" w:type="dxa"/>
            <w:vAlign w:val="bottom"/>
          </w:tcPr>
          <w:p>
            <w:pPr>
              <w:spacing w:after="0"/>
              <w:rPr>
                <w:sz w:val="1"/>
                <w:szCs w:val="1"/>
                <w:color w:val="auto"/>
              </w:rPr>
            </w:pPr>
          </w:p>
        </w:tc>
      </w:tr>
      <w:tr>
        <w:trPr>
          <w:trHeight w:val="145"/>
        </w:trPr>
        <w:tc>
          <w:tcPr>
            <w:tcW w:w="2160" w:type="dxa"/>
            <w:vAlign w:val="bottom"/>
            <w:tcBorders>
              <w:left w:val="single" w:sz="8" w:color="auto"/>
              <w:right w:val="single" w:sz="8" w:color="auto"/>
            </w:tcBorders>
            <w:shd w:val="clear" w:color="auto" w:fill="29650B"/>
          </w:tcPr>
          <w:p>
            <w:pPr>
              <w:spacing w:after="0"/>
              <w:rPr>
                <w:sz w:val="12"/>
                <w:szCs w:val="12"/>
                <w:color w:val="auto"/>
              </w:rPr>
            </w:pPr>
          </w:p>
        </w:tc>
        <w:tc>
          <w:tcPr>
            <w:tcW w:w="3560" w:type="dxa"/>
            <w:vAlign w:val="bottom"/>
            <w:gridSpan w:val="3"/>
            <w:vMerge w:val="continue"/>
            <w:shd w:val="clear" w:color="auto" w:fill="29650B"/>
          </w:tcPr>
          <w:p>
            <w:pPr>
              <w:spacing w:after="0"/>
              <w:rPr>
                <w:sz w:val="12"/>
                <w:szCs w:val="12"/>
                <w:color w:val="auto"/>
              </w:rPr>
            </w:pPr>
          </w:p>
        </w:tc>
        <w:tc>
          <w:tcPr>
            <w:tcW w:w="1060" w:type="dxa"/>
            <w:vAlign w:val="bottom"/>
            <w:tcBorders>
              <w:right w:val="single" w:sz="8" w:color="auto"/>
            </w:tcBorders>
            <w:shd w:val="clear" w:color="auto" w:fill="29650B"/>
          </w:tcPr>
          <w:p>
            <w:pPr>
              <w:spacing w:after="0"/>
              <w:rPr>
                <w:sz w:val="12"/>
                <w:szCs w:val="12"/>
                <w:color w:val="auto"/>
              </w:rPr>
            </w:pPr>
          </w:p>
        </w:tc>
        <w:tc>
          <w:tcPr>
            <w:tcW w:w="1360" w:type="dxa"/>
            <w:vAlign w:val="bottom"/>
            <w:tcBorders>
              <w:right w:val="single" w:sz="8" w:color="29650B"/>
            </w:tcBorders>
            <w:shd w:val="clear" w:color="auto" w:fill="29650B"/>
          </w:tcPr>
          <w:p>
            <w:pPr>
              <w:spacing w:after="0"/>
              <w:rPr>
                <w:sz w:val="12"/>
                <w:szCs w:val="12"/>
                <w:color w:val="auto"/>
              </w:rPr>
            </w:pPr>
          </w:p>
        </w:tc>
        <w:tc>
          <w:tcPr>
            <w:tcW w:w="1560" w:type="dxa"/>
            <w:vAlign w:val="bottom"/>
            <w:tcBorders>
              <w:right w:val="single" w:sz="8" w:color="29650B"/>
            </w:tcBorders>
            <w:vMerge w:val="restart"/>
            <w:shd w:val="clear" w:color="auto" w:fill="29650B"/>
          </w:tcPr>
          <w:p>
            <w:pPr>
              <w:jc w:val="right"/>
              <w:ind w:right="81"/>
              <w:spacing w:after="0"/>
              <w:rPr>
                <w:sz w:val="20"/>
                <w:szCs w:val="20"/>
                <w:color w:val="auto"/>
              </w:rPr>
            </w:pPr>
            <w:r>
              <w:rPr>
                <w:rFonts w:ascii="Arial" w:cs="Arial" w:eastAsia="Arial" w:hAnsi="Arial"/>
                <w:sz w:val="20"/>
                <w:szCs w:val="20"/>
                <w:b w:val="1"/>
                <w:bCs w:val="1"/>
                <w:color w:val="FFFFFF"/>
              </w:rPr>
              <w:t>(in millions)</w:t>
            </w:r>
          </w:p>
        </w:tc>
        <w:tc>
          <w:tcPr>
            <w:tcW w:w="1560" w:type="dxa"/>
            <w:vAlign w:val="bottom"/>
            <w:tcBorders>
              <w:right w:val="single" w:sz="8" w:color="auto"/>
            </w:tcBorders>
            <w:shd w:val="clear" w:color="auto" w:fill="29650B"/>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160" w:type="dxa"/>
            <w:vAlign w:val="bottom"/>
            <w:tcBorders>
              <w:left w:val="single" w:sz="8" w:color="auto"/>
              <w:bottom w:val="single" w:sz="8" w:color="29650B"/>
              <w:right w:val="single" w:sz="8" w:color="auto"/>
            </w:tcBorders>
            <w:shd w:val="clear" w:color="auto" w:fill="29650B"/>
          </w:tcPr>
          <w:p>
            <w:pPr>
              <w:spacing w:after="0"/>
              <w:rPr>
                <w:sz w:val="12"/>
                <w:szCs w:val="12"/>
                <w:color w:val="auto"/>
              </w:rPr>
            </w:pPr>
          </w:p>
        </w:tc>
        <w:tc>
          <w:tcPr>
            <w:tcW w:w="1580" w:type="dxa"/>
            <w:vAlign w:val="bottom"/>
            <w:tcBorders>
              <w:bottom w:val="single" w:sz="8" w:color="29650B"/>
              <w:right w:val="single" w:sz="8" w:color="29650B"/>
            </w:tcBorders>
            <w:shd w:val="clear" w:color="auto" w:fill="29650B"/>
          </w:tcPr>
          <w:p>
            <w:pPr>
              <w:spacing w:after="0"/>
              <w:rPr>
                <w:sz w:val="12"/>
                <w:szCs w:val="12"/>
                <w:color w:val="auto"/>
              </w:rPr>
            </w:pPr>
          </w:p>
        </w:tc>
        <w:tc>
          <w:tcPr>
            <w:tcW w:w="1580" w:type="dxa"/>
            <w:vAlign w:val="bottom"/>
            <w:tcBorders>
              <w:bottom w:val="single" w:sz="8" w:color="29650B"/>
              <w:right w:val="single" w:sz="8" w:color="29650B"/>
            </w:tcBorders>
            <w:shd w:val="clear" w:color="auto" w:fill="29650B"/>
          </w:tcPr>
          <w:p>
            <w:pPr>
              <w:spacing w:after="0"/>
              <w:rPr>
                <w:sz w:val="12"/>
                <w:szCs w:val="12"/>
                <w:color w:val="auto"/>
              </w:rPr>
            </w:pPr>
          </w:p>
        </w:tc>
        <w:tc>
          <w:tcPr>
            <w:tcW w:w="400" w:type="dxa"/>
            <w:vAlign w:val="bottom"/>
            <w:tcBorders>
              <w:bottom w:val="single" w:sz="8" w:color="29650B"/>
            </w:tcBorders>
            <w:shd w:val="clear" w:color="auto" w:fill="29650B"/>
          </w:tcPr>
          <w:p>
            <w:pPr>
              <w:spacing w:after="0"/>
              <w:rPr>
                <w:sz w:val="12"/>
                <w:szCs w:val="12"/>
                <w:color w:val="auto"/>
              </w:rPr>
            </w:pPr>
          </w:p>
        </w:tc>
        <w:tc>
          <w:tcPr>
            <w:tcW w:w="1060" w:type="dxa"/>
            <w:vAlign w:val="bottom"/>
            <w:tcBorders>
              <w:bottom w:val="single" w:sz="8" w:color="29650B"/>
              <w:right w:val="single" w:sz="8" w:color="auto"/>
            </w:tcBorders>
            <w:shd w:val="clear" w:color="auto" w:fill="29650B"/>
          </w:tcPr>
          <w:p>
            <w:pPr>
              <w:spacing w:after="0"/>
              <w:rPr>
                <w:sz w:val="12"/>
                <w:szCs w:val="12"/>
                <w:color w:val="auto"/>
              </w:rPr>
            </w:pPr>
          </w:p>
        </w:tc>
        <w:tc>
          <w:tcPr>
            <w:tcW w:w="1360" w:type="dxa"/>
            <w:vAlign w:val="bottom"/>
            <w:tcBorders>
              <w:bottom w:val="single" w:sz="8" w:color="29650B"/>
              <w:right w:val="single" w:sz="8" w:color="29650B"/>
            </w:tcBorders>
            <w:shd w:val="clear" w:color="auto" w:fill="29650B"/>
          </w:tcPr>
          <w:p>
            <w:pPr>
              <w:spacing w:after="0"/>
              <w:rPr>
                <w:sz w:val="12"/>
                <w:szCs w:val="12"/>
                <w:color w:val="auto"/>
              </w:rPr>
            </w:pPr>
          </w:p>
        </w:tc>
        <w:tc>
          <w:tcPr>
            <w:tcW w:w="1560" w:type="dxa"/>
            <w:vAlign w:val="bottom"/>
            <w:tcBorders>
              <w:bottom w:val="single" w:sz="8" w:color="29650B"/>
              <w:right w:val="single" w:sz="8" w:color="29650B"/>
            </w:tcBorders>
            <w:vMerge w:val="continue"/>
            <w:shd w:val="clear" w:color="auto" w:fill="29650B"/>
          </w:tcPr>
          <w:p>
            <w:pPr>
              <w:spacing w:after="0"/>
              <w:rPr>
                <w:sz w:val="12"/>
                <w:szCs w:val="12"/>
                <w:color w:val="auto"/>
              </w:rPr>
            </w:pPr>
          </w:p>
        </w:tc>
        <w:tc>
          <w:tcPr>
            <w:tcW w:w="1560" w:type="dxa"/>
            <w:vAlign w:val="bottom"/>
            <w:tcBorders>
              <w:bottom w:val="single" w:sz="8" w:color="29650B"/>
              <w:right w:val="single" w:sz="8" w:color="auto"/>
            </w:tcBorders>
            <w:shd w:val="clear" w:color="auto" w:fill="29650B"/>
          </w:tcPr>
          <w:p>
            <w:pPr>
              <w:spacing w:after="0"/>
              <w:rPr>
                <w:sz w:val="12"/>
                <w:szCs w:val="12"/>
                <w:color w:val="auto"/>
              </w:rPr>
            </w:pPr>
          </w:p>
        </w:tc>
        <w:tc>
          <w:tcPr>
            <w:tcW w:w="0" w:type="dxa"/>
            <w:vAlign w:val="bottom"/>
          </w:tcPr>
          <w:p>
            <w:pPr>
              <w:spacing w:after="0"/>
              <w:rPr>
                <w:sz w:val="1"/>
                <w:szCs w:val="1"/>
                <w:color w:val="auto"/>
              </w:rPr>
            </w:pPr>
          </w:p>
        </w:tc>
      </w:tr>
      <w:tr>
        <w:trPr>
          <w:trHeight w:val="373"/>
        </w:trPr>
        <w:tc>
          <w:tcPr>
            <w:tcW w:w="2160" w:type="dxa"/>
            <w:vAlign w:val="bottom"/>
            <w:tcBorders>
              <w:top w:val="single" w:sz="8" w:color="29650B"/>
              <w:left w:val="single" w:sz="8" w:color="auto"/>
              <w:right w:val="single" w:sz="8" w:color="auto"/>
            </w:tcBorders>
            <w:shd w:val="clear" w:color="auto" w:fill="29650B"/>
          </w:tcPr>
          <w:p>
            <w:pPr>
              <w:ind w:left="100"/>
              <w:spacing w:after="0"/>
              <w:rPr>
                <w:sz w:val="20"/>
                <w:szCs w:val="20"/>
                <w:color w:val="auto"/>
              </w:rPr>
            </w:pPr>
            <w:r>
              <w:rPr>
                <w:rFonts w:ascii="Arial" w:cs="Arial" w:eastAsia="Arial" w:hAnsi="Arial"/>
                <w:sz w:val="20"/>
                <w:szCs w:val="20"/>
                <w:b w:val="1"/>
                <w:bCs w:val="1"/>
                <w:color w:val="FFFFFF"/>
              </w:rPr>
              <w:t>Name</w:t>
            </w:r>
          </w:p>
        </w:tc>
        <w:tc>
          <w:tcPr>
            <w:tcW w:w="1580" w:type="dxa"/>
            <w:vAlign w:val="bottom"/>
            <w:tcBorders>
              <w:top w:val="single" w:sz="8" w:color="auto"/>
              <w:right w:val="single" w:sz="8" w:color="auto"/>
            </w:tcBorders>
            <w:shd w:val="clear" w:color="auto" w:fill="29650B"/>
          </w:tcPr>
          <w:p>
            <w:pPr>
              <w:jc w:val="right"/>
              <w:ind w:right="261"/>
              <w:spacing w:after="0"/>
              <w:rPr>
                <w:sz w:val="20"/>
                <w:szCs w:val="20"/>
                <w:color w:val="auto"/>
              </w:rPr>
            </w:pPr>
            <w:r>
              <w:rPr>
                <w:rFonts w:ascii="Arial" w:cs="Arial" w:eastAsia="Arial" w:hAnsi="Arial"/>
                <w:sz w:val="20"/>
                <w:szCs w:val="20"/>
                <w:b w:val="1"/>
                <w:bCs w:val="1"/>
                <w:color w:val="FFFFFF"/>
              </w:rPr>
              <w:t>Threshold</w:t>
            </w:r>
          </w:p>
        </w:tc>
        <w:tc>
          <w:tcPr>
            <w:tcW w:w="1580" w:type="dxa"/>
            <w:vAlign w:val="bottom"/>
            <w:tcBorders>
              <w:top w:val="single" w:sz="8" w:color="auto"/>
              <w:right w:val="single" w:sz="8" w:color="auto"/>
            </w:tcBorders>
            <w:shd w:val="clear" w:color="auto" w:fill="29650B"/>
          </w:tcPr>
          <w:p>
            <w:pPr>
              <w:jc w:val="right"/>
              <w:ind w:right="421"/>
              <w:spacing w:after="0"/>
              <w:rPr>
                <w:sz w:val="20"/>
                <w:szCs w:val="20"/>
                <w:color w:val="auto"/>
              </w:rPr>
            </w:pPr>
            <w:r>
              <w:rPr>
                <w:rFonts w:ascii="Arial" w:cs="Arial" w:eastAsia="Arial" w:hAnsi="Arial"/>
                <w:sz w:val="20"/>
                <w:szCs w:val="20"/>
                <w:b w:val="1"/>
                <w:bCs w:val="1"/>
                <w:color w:val="FFFFFF"/>
              </w:rPr>
              <w:t>Target</w:t>
            </w:r>
          </w:p>
        </w:tc>
        <w:tc>
          <w:tcPr>
            <w:tcW w:w="400" w:type="dxa"/>
            <w:vAlign w:val="bottom"/>
            <w:tcBorders>
              <w:top w:val="single" w:sz="8" w:color="auto"/>
            </w:tcBorders>
            <w:shd w:val="clear" w:color="auto" w:fill="29650B"/>
          </w:tcPr>
          <w:p>
            <w:pPr>
              <w:spacing w:after="0"/>
              <w:rPr>
                <w:sz w:val="24"/>
                <w:szCs w:val="24"/>
                <w:color w:val="auto"/>
              </w:rPr>
            </w:pPr>
          </w:p>
        </w:tc>
        <w:tc>
          <w:tcPr>
            <w:tcW w:w="1060" w:type="dxa"/>
            <w:vAlign w:val="bottom"/>
            <w:tcBorders>
              <w:top w:val="single" w:sz="8" w:color="auto"/>
              <w:right w:val="single" w:sz="8" w:color="auto"/>
            </w:tcBorders>
            <w:shd w:val="clear" w:color="auto" w:fill="29650B"/>
          </w:tcPr>
          <w:p>
            <w:pPr>
              <w:jc w:val="right"/>
              <w:ind w:right="361"/>
              <w:spacing w:after="0"/>
              <w:rPr>
                <w:sz w:val="20"/>
                <w:szCs w:val="20"/>
                <w:color w:val="auto"/>
              </w:rPr>
            </w:pPr>
            <w:r>
              <w:rPr>
                <w:rFonts w:ascii="Arial" w:cs="Arial" w:eastAsia="Arial" w:hAnsi="Arial"/>
                <w:sz w:val="20"/>
                <w:szCs w:val="20"/>
                <w:b w:val="1"/>
                <w:bCs w:val="1"/>
                <w:color w:val="FFFFFF"/>
                <w:w w:val="94"/>
              </w:rPr>
              <w:t>Actual</w:t>
            </w:r>
          </w:p>
        </w:tc>
        <w:tc>
          <w:tcPr>
            <w:tcW w:w="1360" w:type="dxa"/>
            <w:vAlign w:val="bottom"/>
            <w:tcBorders>
              <w:top w:val="single" w:sz="8" w:color="auto"/>
              <w:right w:val="single" w:sz="8" w:color="auto"/>
            </w:tcBorders>
            <w:shd w:val="clear" w:color="auto" w:fill="29650B"/>
          </w:tcPr>
          <w:p>
            <w:pPr>
              <w:jc w:val="right"/>
              <w:ind w:right="161"/>
              <w:spacing w:after="0"/>
              <w:rPr>
                <w:sz w:val="20"/>
                <w:szCs w:val="20"/>
                <w:color w:val="auto"/>
              </w:rPr>
            </w:pPr>
            <w:r>
              <w:rPr>
                <w:rFonts w:ascii="Arial" w:cs="Arial" w:eastAsia="Arial" w:hAnsi="Arial"/>
                <w:sz w:val="20"/>
                <w:szCs w:val="20"/>
                <w:b w:val="1"/>
                <w:bCs w:val="1"/>
                <w:color w:val="FFFFFF"/>
              </w:rPr>
              <w:t>Threshold</w:t>
            </w:r>
          </w:p>
        </w:tc>
        <w:tc>
          <w:tcPr>
            <w:tcW w:w="1560" w:type="dxa"/>
            <w:vAlign w:val="bottom"/>
            <w:tcBorders>
              <w:top w:val="single" w:sz="8" w:color="auto"/>
              <w:right w:val="single" w:sz="8" w:color="auto"/>
            </w:tcBorders>
            <w:shd w:val="clear" w:color="auto" w:fill="29650B"/>
          </w:tcPr>
          <w:p>
            <w:pPr>
              <w:jc w:val="right"/>
              <w:ind w:right="421"/>
              <w:spacing w:after="0"/>
              <w:rPr>
                <w:sz w:val="20"/>
                <w:szCs w:val="20"/>
                <w:color w:val="auto"/>
              </w:rPr>
            </w:pPr>
            <w:r>
              <w:rPr>
                <w:rFonts w:ascii="Arial" w:cs="Arial" w:eastAsia="Arial" w:hAnsi="Arial"/>
                <w:sz w:val="20"/>
                <w:szCs w:val="20"/>
                <w:b w:val="1"/>
                <w:bCs w:val="1"/>
                <w:color w:val="FFFFFF"/>
              </w:rPr>
              <w:t>Target</w:t>
            </w:r>
          </w:p>
        </w:tc>
        <w:tc>
          <w:tcPr>
            <w:tcW w:w="1560" w:type="dxa"/>
            <w:vAlign w:val="bottom"/>
            <w:tcBorders>
              <w:top w:val="single" w:sz="8" w:color="auto"/>
              <w:right w:val="single" w:sz="8" w:color="auto"/>
            </w:tcBorders>
            <w:shd w:val="clear" w:color="auto" w:fill="29650B"/>
          </w:tcPr>
          <w:p>
            <w:pPr>
              <w:jc w:val="right"/>
              <w:ind w:right="421"/>
              <w:spacing w:after="0"/>
              <w:rPr>
                <w:sz w:val="20"/>
                <w:szCs w:val="20"/>
                <w:color w:val="auto"/>
              </w:rPr>
            </w:pPr>
            <w:r>
              <w:rPr>
                <w:rFonts w:ascii="Arial" w:cs="Arial" w:eastAsia="Arial" w:hAnsi="Arial"/>
                <w:sz w:val="20"/>
                <w:szCs w:val="20"/>
                <w:b w:val="1"/>
                <w:bCs w:val="1"/>
                <w:color w:val="FFFFFF"/>
              </w:rPr>
              <w:t>Actual</w:t>
            </w:r>
          </w:p>
        </w:tc>
        <w:tc>
          <w:tcPr>
            <w:tcW w:w="0" w:type="dxa"/>
            <w:vAlign w:val="bottom"/>
          </w:tcPr>
          <w:p>
            <w:pPr>
              <w:spacing w:after="0"/>
              <w:rPr>
                <w:sz w:val="1"/>
                <w:szCs w:val="1"/>
                <w:color w:val="auto"/>
              </w:rPr>
            </w:pPr>
          </w:p>
        </w:tc>
      </w:tr>
      <w:tr>
        <w:trPr>
          <w:trHeight w:val="140"/>
        </w:trPr>
        <w:tc>
          <w:tcPr>
            <w:tcW w:w="2160" w:type="dxa"/>
            <w:vAlign w:val="bottom"/>
            <w:tcBorders>
              <w:left w:val="single" w:sz="8" w:color="auto"/>
              <w:bottom w:val="single" w:sz="8" w:color="auto"/>
              <w:right w:val="single" w:sz="8" w:color="auto"/>
            </w:tcBorders>
            <w:shd w:val="clear" w:color="auto" w:fill="29650B"/>
          </w:tcPr>
          <w:p>
            <w:pPr>
              <w:spacing w:after="0"/>
              <w:rPr>
                <w:sz w:val="12"/>
                <w:szCs w:val="12"/>
                <w:color w:val="auto"/>
              </w:rPr>
            </w:pPr>
          </w:p>
        </w:tc>
        <w:tc>
          <w:tcPr>
            <w:tcW w:w="1580" w:type="dxa"/>
            <w:vAlign w:val="bottom"/>
            <w:tcBorders>
              <w:bottom w:val="single" w:sz="8" w:color="auto"/>
              <w:right w:val="single" w:sz="8" w:color="auto"/>
            </w:tcBorders>
            <w:shd w:val="clear" w:color="auto" w:fill="29650B"/>
          </w:tcPr>
          <w:p>
            <w:pPr>
              <w:spacing w:after="0"/>
              <w:rPr>
                <w:sz w:val="12"/>
                <w:szCs w:val="12"/>
                <w:color w:val="auto"/>
              </w:rPr>
            </w:pPr>
          </w:p>
        </w:tc>
        <w:tc>
          <w:tcPr>
            <w:tcW w:w="1580" w:type="dxa"/>
            <w:vAlign w:val="bottom"/>
            <w:tcBorders>
              <w:bottom w:val="single" w:sz="8" w:color="auto"/>
              <w:right w:val="single" w:sz="8" w:color="auto"/>
            </w:tcBorders>
            <w:shd w:val="clear" w:color="auto" w:fill="29650B"/>
          </w:tcPr>
          <w:p>
            <w:pPr>
              <w:spacing w:after="0"/>
              <w:rPr>
                <w:sz w:val="12"/>
                <w:szCs w:val="12"/>
                <w:color w:val="auto"/>
              </w:rPr>
            </w:pPr>
          </w:p>
        </w:tc>
        <w:tc>
          <w:tcPr>
            <w:tcW w:w="400" w:type="dxa"/>
            <w:vAlign w:val="bottom"/>
            <w:tcBorders>
              <w:bottom w:val="single" w:sz="8" w:color="auto"/>
            </w:tcBorders>
            <w:shd w:val="clear" w:color="auto" w:fill="29650B"/>
          </w:tcPr>
          <w:p>
            <w:pPr>
              <w:spacing w:after="0"/>
              <w:rPr>
                <w:sz w:val="12"/>
                <w:szCs w:val="12"/>
                <w:color w:val="auto"/>
              </w:rPr>
            </w:pPr>
          </w:p>
        </w:tc>
        <w:tc>
          <w:tcPr>
            <w:tcW w:w="1060" w:type="dxa"/>
            <w:vAlign w:val="bottom"/>
            <w:tcBorders>
              <w:bottom w:val="single" w:sz="8" w:color="auto"/>
              <w:right w:val="single" w:sz="8" w:color="auto"/>
            </w:tcBorders>
            <w:shd w:val="clear" w:color="auto" w:fill="29650B"/>
          </w:tcPr>
          <w:p>
            <w:pPr>
              <w:spacing w:after="0"/>
              <w:rPr>
                <w:sz w:val="12"/>
                <w:szCs w:val="12"/>
                <w:color w:val="auto"/>
              </w:rPr>
            </w:pPr>
          </w:p>
        </w:tc>
        <w:tc>
          <w:tcPr>
            <w:tcW w:w="1360" w:type="dxa"/>
            <w:vAlign w:val="bottom"/>
            <w:tcBorders>
              <w:bottom w:val="single" w:sz="8" w:color="auto"/>
              <w:right w:val="single" w:sz="8" w:color="auto"/>
            </w:tcBorders>
            <w:shd w:val="clear" w:color="auto" w:fill="29650B"/>
          </w:tcPr>
          <w:p>
            <w:pPr>
              <w:spacing w:after="0"/>
              <w:rPr>
                <w:sz w:val="12"/>
                <w:szCs w:val="12"/>
                <w:color w:val="auto"/>
              </w:rPr>
            </w:pPr>
          </w:p>
        </w:tc>
        <w:tc>
          <w:tcPr>
            <w:tcW w:w="1560" w:type="dxa"/>
            <w:vAlign w:val="bottom"/>
            <w:tcBorders>
              <w:bottom w:val="single" w:sz="8" w:color="auto"/>
              <w:right w:val="single" w:sz="8" w:color="auto"/>
            </w:tcBorders>
            <w:shd w:val="clear" w:color="auto" w:fill="29650B"/>
          </w:tcPr>
          <w:p>
            <w:pPr>
              <w:spacing w:after="0"/>
              <w:rPr>
                <w:sz w:val="12"/>
                <w:szCs w:val="12"/>
                <w:color w:val="auto"/>
              </w:rPr>
            </w:pPr>
          </w:p>
        </w:tc>
        <w:tc>
          <w:tcPr>
            <w:tcW w:w="1560" w:type="dxa"/>
            <w:vAlign w:val="bottom"/>
            <w:tcBorders>
              <w:bottom w:val="single" w:sz="8" w:color="auto"/>
              <w:right w:val="single" w:sz="8" w:color="auto"/>
            </w:tcBorders>
            <w:shd w:val="clear" w:color="auto" w:fill="29650B"/>
          </w:tcPr>
          <w:p>
            <w:pPr>
              <w:spacing w:after="0"/>
              <w:rPr>
                <w:sz w:val="12"/>
                <w:szCs w:val="12"/>
                <w:color w:val="auto"/>
              </w:rPr>
            </w:pPr>
          </w:p>
        </w:tc>
        <w:tc>
          <w:tcPr>
            <w:tcW w:w="0" w:type="dxa"/>
            <w:vAlign w:val="bottom"/>
          </w:tcPr>
          <w:p>
            <w:pPr>
              <w:spacing w:after="0"/>
              <w:rPr>
                <w:sz w:val="1"/>
                <w:szCs w:val="1"/>
                <w:color w:val="auto"/>
              </w:rPr>
            </w:pPr>
          </w:p>
        </w:tc>
      </w:tr>
      <w:tr>
        <w:trPr>
          <w:trHeight w:val="373"/>
        </w:trPr>
        <w:tc>
          <w:tcPr>
            <w:tcW w:w="21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Timothy Donahue</w:t>
            </w:r>
          </w:p>
        </w:tc>
        <w:tc>
          <w:tcPr>
            <w:tcW w:w="1580" w:type="dxa"/>
            <w:vAlign w:val="bottom"/>
            <w:tcBorders>
              <w:right w:val="single" w:sz="8" w:color="auto"/>
            </w:tcBorders>
          </w:tcPr>
          <w:p>
            <w:pPr>
              <w:jc w:val="right"/>
              <w:ind w:right="1"/>
              <w:spacing w:after="0"/>
              <w:rPr>
                <w:sz w:val="20"/>
                <w:szCs w:val="20"/>
                <w:color w:val="auto"/>
              </w:rPr>
            </w:pPr>
            <w:r>
              <w:rPr>
                <w:rFonts w:ascii="Arial" w:cs="Arial" w:eastAsia="Arial" w:hAnsi="Arial"/>
                <w:sz w:val="20"/>
                <w:szCs w:val="20"/>
                <w:color w:val="auto"/>
              </w:rPr>
              <w:t>$503.9</w:t>
            </w:r>
          </w:p>
        </w:tc>
        <w:tc>
          <w:tcPr>
            <w:tcW w:w="1580" w:type="dxa"/>
            <w:vAlign w:val="bottom"/>
            <w:tcBorders>
              <w:right w:val="single" w:sz="8" w:color="auto"/>
            </w:tcBorders>
          </w:tcPr>
          <w:p>
            <w:pPr>
              <w:jc w:val="right"/>
              <w:ind w:right="21"/>
              <w:spacing w:after="0"/>
              <w:rPr>
                <w:sz w:val="20"/>
                <w:szCs w:val="20"/>
                <w:color w:val="auto"/>
              </w:rPr>
            </w:pPr>
            <w:r>
              <w:rPr>
                <w:rFonts w:ascii="Arial" w:cs="Arial" w:eastAsia="Arial" w:hAnsi="Arial"/>
                <w:sz w:val="20"/>
                <w:szCs w:val="20"/>
                <w:color w:val="auto"/>
              </w:rPr>
              <w:t>$629.9</w:t>
            </w:r>
          </w:p>
        </w:tc>
        <w:tc>
          <w:tcPr>
            <w:tcW w:w="400" w:type="dxa"/>
            <w:vAlign w:val="bottom"/>
          </w:tcPr>
          <w:p>
            <w:pPr>
              <w:spacing w:after="0"/>
              <w:rPr>
                <w:sz w:val="24"/>
                <w:szCs w:val="24"/>
                <w:color w:val="auto"/>
              </w:rPr>
            </w:pPr>
          </w:p>
        </w:tc>
        <w:tc>
          <w:tcPr>
            <w:tcW w:w="1060" w:type="dxa"/>
            <w:vAlign w:val="bottom"/>
            <w:tcBorders>
              <w:right w:val="single" w:sz="8" w:color="auto"/>
            </w:tcBorders>
          </w:tcPr>
          <w:p>
            <w:pPr>
              <w:jc w:val="right"/>
              <w:ind w:right="21"/>
              <w:spacing w:after="0"/>
              <w:rPr>
                <w:sz w:val="20"/>
                <w:szCs w:val="20"/>
                <w:color w:val="auto"/>
              </w:rPr>
            </w:pPr>
            <w:r>
              <w:rPr>
                <w:rFonts w:ascii="Arial" w:cs="Arial" w:eastAsia="Arial" w:hAnsi="Arial"/>
                <w:sz w:val="20"/>
                <w:szCs w:val="20"/>
                <w:color w:val="auto"/>
              </w:rPr>
              <w:t>$596.7</w:t>
            </w:r>
          </w:p>
        </w:tc>
        <w:tc>
          <w:tcPr>
            <w:tcW w:w="1360" w:type="dxa"/>
            <w:vAlign w:val="bottom"/>
            <w:tcBorders>
              <w:right w:val="single" w:sz="8" w:color="auto"/>
            </w:tcBorders>
          </w:tcPr>
          <w:p>
            <w:pPr>
              <w:jc w:val="right"/>
              <w:ind w:right="21"/>
              <w:spacing w:after="0"/>
              <w:rPr>
                <w:sz w:val="20"/>
                <w:szCs w:val="20"/>
                <w:color w:val="auto"/>
              </w:rPr>
            </w:pPr>
            <w:r>
              <w:rPr>
                <w:rFonts w:ascii="Arial" w:cs="Arial" w:eastAsia="Arial" w:hAnsi="Arial"/>
                <w:sz w:val="20"/>
                <w:szCs w:val="20"/>
                <w:color w:val="auto"/>
              </w:rPr>
              <w:t>$1,037.7</w:t>
            </w:r>
          </w:p>
        </w:tc>
        <w:tc>
          <w:tcPr>
            <w:tcW w:w="1560" w:type="dxa"/>
            <w:vAlign w:val="bottom"/>
            <w:tcBorders>
              <w:right w:val="single" w:sz="8" w:color="auto"/>
            </w:tcBorders>
          </w:tcPr>
          <w:p>
            <w:pPr>
              <w:jc w:val="right"/>
              <w:ind w:right="21"/>
              <w:spacing w:after="0"/>
              <w:rPr>
                <w:sz w:val="20"/>
                <w:szCs w:val="20"/>
                <w:color w:val="auto"/>
              </w:rPr>
            </w:pPr>
            <w:r>
              <w:rPr>
                <w:rFonts w:ascii="Arial" w:cs="Arial" w:eastAsia="Arial" w:hAnsi="Arial"/>
                <w:sz w:val="20"/>
                <w:szCs w:val="20"/>
                <w:color w:val="auto"/>
              </w:rPr>
              <w:t>$1,297.1</w:t>
            </w:r>
          </w:p>
        </w:tc>
        <w:tc>
          <w:tcPr>
            <w:tcW w:w="1560" w:type="dxa"/>
            <w:vAlign w:val="bottom"/>
            <w:tcBorders>
              <w:right w:val="single" w:sz="8" w:color="auto"/>
            </w:tcBorders>
          </w:tcPr>
          <w:p>
            <w:pPr>
              <w:jc w:val="right"/>
              <w:ind w:right="21"/>
              <w:spacing w:after="0"/>
              <w:rPr>
                <w:sz w:val="20"/>
                <w:szCs w:val="20"/>
                <w:color w:val="auto"/>
              </w:rPr>
            </w:pPr>
            <w:r>
              <w:rPr>
                <w:rFonts w:ascii="Arial" w:cs="Arial" w:eastAsia="Arial" w:hAnsi="Arial"/>
                <w:sz w:val="20"/>
                <w:szCs w:val="20"/>
                <w:color w:val="auto"/>
              </w:rPr>
              <w:t>$1,360.7</w:t>
            </w:r>
          </w:p>
        </w:tc>
        <w:tc>
          <w:tcPr>
            <w:tcW w:w="0" w:type="dxa"/>
            <w:vAlign w:val="bottom"/>
          </w:tcPr>
          <w:p>
            <w:pPr>
              <w:spacing w:after="0"/>
              <w:rPr>
                <w:sz w:val="1"/>
                <w:szCs w:val="1"/>
                <w:color w:val="auto"/>
              </w:rPr>
            </w:pPr>
          </w:p>
        </w:tc>
      </w:tr>
      <w:tr>
        <w:trPr>
          <w:trHeight w:val="140"/>
        </w:trPr>
        <w:tc>
          <w:tcPr>
            <w:tcW w:w="2160" w:type="dxa"/>
            <w:vAlign w:val="bottom"/>
            <w:tcBorders>
              <w:left w:val="single" w:sz="8" w:color="auto"/>
              <w:bottom w:val="single" w:sz="8" w:color="auto"/>
              <w:right w:val="single" w:sz="8" w:color="auto"/>
            </w:tcBorders>
          </w:tcPr>
          <w:p>
            <w:pPr>
              <w:spacing w:after="0"/>
              <w:rPr>
                <w:sz w:val="12"/>
                <w:szCs w:val="12"/>
                <w:color w:val="auto"/>
              </w:rPr>
            </w:pPr>
          </w:p>
        </w:tc>
        <w:tc>
          <w:tcPr>
            <w:tcW w:w="1580" w:type="dxa"/>
            <w:vAlign w:val="bottom"/>
            <w:tcBorders>
              <w:bottom w:val="single" w:sz="8" w:color="auto"/>
              <w:right w:val="single" w:sz="8" w:color="auto"/>
            </w:tcBorders>
          </w:tcPr>
          <w:p>
            <w:pPr>
              <w:spacing w:after="0"/>
              <w:rPr>
                <w:sz w:val="12"/>
                <w:szCs w:val="12"/>
                <w:color w:val="auto"/>
              </w:rPr>
            </w:pPr>
          </w:p>
        </w:tc>
        <w:tc>
          <w:tcPr>
            <w:tcW w:w="1580" w:type="dxa"/>
            <w:vAlign w:val="bottom"/>
            <w:tcBorders>
              <w:bottom w:val="single" w:sz="8" w:color="auto"/>
              <w:right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060" w:type="dxa"/>
            <w:vAlign w:val="bottom"/>
            <w:tcBorders>
              <w:bottom w:val="single" w:sz="8" w:color="auto"/>
              <w:right w:val="single" w:sz="8" w:color="auto"/>
            </w:tcBorders>
          </w:tcPr>
          <w:p>
            <w:pPr>
              <w:spacing w:after="0"/>
              <w:rPr>
                <w:sz w:val="12"/>
                <w:szCs w:val="12"/>
                <w:color w:val="auto"/>
              </w:rPr>
            </w:pPr>
          </w:p>
        </w:tc>
        <w:tc>
          <w:tcPr>
            <w:tcW w:w="1360" w:type="dxa"/>
            <w:vAlign w:val="bottom"/>
            <w:tcBorders>
              <w:bottom w:val="single" w:sz="8" w:color="auto"/>
              <w:right w:val="single" w:sz="8" w:color="auto"/>
            </w:tcBorders>
          </w:tcPr>
          <w:p>
            <w:pPr>
              <w:spacing w:after="0"/>
              <w:rPr>
                <w:sz w:val="12"/>
                <w:szCs w:val="12"/>
                <w:color w:val="auto"/>
              </w:rPr>
            </w:pPr>
          </w:p>
        </w:tc>
        <w:tc>
          <w:tcPr>
            <w:tcW w:w="1560" w:type="dxa"/>
            <w:vAlign w:val="bottom"/>
            <w:tcBorders>
              <w:bottom w:val="single" w:sz="8" w:color="auto"/>
              <w:right w:val="single" w:sz="8" w:color="auto"/>
            </w:tcBorders>
          </w:tcPr>
          <w:p>
            <w:pPr>
              <w:spacing w:after="0"/>
              <w:rPr>
                <w:sz w:val="12"/>
                <w:szCs w:val="12"/>
                <w:color w:val="auto"/>
              </w:rPr>
            </w:pPr>
          </w:p>
        </w:tc>
        <w:tc>
          <w:tcPr>
            <w:tcW w:w="15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73"/>
        </w:trPr>
        <w:tc>
          <w:tcPr>
            <w:tcW w:w="2160" w:type="dxa"/>
            <w:vAlign w:val="bottom"/>
            <w:tcBorders>
              <w:left w:val="single" w:sz="8" w:color="auto"/>
              <w:right w:val="single" w:sz="8" w:color="auto"/>
            </w:tcBorders>
            <w:shd w:val="clear" w:color="auto" w:fill="D9D9D9"/>
          </w:tcPr>
          <w:p>
            <w:pPr>
              <w:ind w:left="100"/>
              <w:spacing w:after="0"/>
              <w:rPr>
                <w:sz w:val="20"/>
                <w:szCs w:val="20"/>
                <w:color w:val="auto"/>
              </w:rPr>
            </w:pPr>
            <w:r>
              <w:rPr>
                <w:rFonts w:ascii="Arial" w:cs="Arial" w:eastAsia="Arial" w:hAnsi="Arial"/>
                <w:sz w:val="20"/>
                <w:szCs w:val="20"/>
                <w:color w:val="auto"/>
              </w:rPr>
              <w:t>Thomas Kelly</w:t>
            </w:r>
          </w:p>
        </w:tc>
        <w:tc>
          <w:tcPr>
            <w:tcW w:w="1580" w:type="dxa"/>
            <w:vAlign w:val="bottom"/>
            <w:tcBorders>
              <w:right w:val="single" w:sz="8" w:color="auto"/>
            </w:tcBorders>
            <w:shd w:val="clear" w:color="auto" w:fill="D9D9D9"/>
          </w:tcPr>
          <w:p>
            <w:pPr>
              <w:jc w:val="right"/>
              <w:ind w:right="1"/>
              <w:spacing w:after="0"/>
              <w:rPr>
                <w:sz w:val="20"/>
                <w:szCs w:val="20"/>
                <w:color w:val="auto"/>
              </w:rPr>
            </w:pPr>
            <w:r>
              <w:rPr>
                <w:rFonts w:ascii="Arial" w:cs="Arial" w:eastAsia="Arial" w:hAnsi="Arial"/>
                <w:sz w:val="20"/>
                <w:szCs w:val="20"/>
                <w:color w:val="auto"/>
              </w:rPr>
              <w:t>503.9</w:t>
            </w:r>
          </w:p>
        </w:tc>
        <w:tc>
          <w:tcPr>
            <w:tcW w:w="1580" w:type="dxa"/>
            <w:vAlign w:val="bottom"/>
            <w:tcBorders>
              <w:right w:val="single" w:sz="8" w:color="auto"/>
            </w:tcBorders>
            <w:shd w:val="clear" w:color="auto" w:fill="D9D9D9"/>
          </w:tcPr>
          <w:p>
            <w:pPr>
              <w:jc w:val="right"/>
              <w:ind w:right="21"/>
              <w:spacing w:after="0"/>
              <w:rPr>
                <w:sz w:val="20"/>
                <w:szCs w:val="20"/>
                <w:color w:val="auto"/>
              </w:rPr>
            </w:pPr>
            <w:r>
              <w:rPr>
                <w:rFonts w:ascii="Arial" w:cs="Arial" w:eastAsia="Arial" w:hAnsi="Arial"/>
                <w:sz w:val="20"/>
                <w:szCs w:val="20"/>
                <w:color w:val="auto"/>
              </w:rPr>
              <w:t>629.9</w:t>
            </w:r>
          </w:p>
        </w:tc>
        <w:tc>
          <w:tcPr>
            <w:tcW w:w="400" w:type="dxa"/>
            <w:vAlign w:val="bottom"/>
            <w:shd w:val="clear" w:color="auto" w:fill="D9D9D9"/>
          </w:tcPr>
          <w:p>
            <w:pPr>
              <w:spacing w:after="0"/>
              <w:rPr>
                <w:sz w:val="24"/>
                <w:szCs w:val="24"/>
                <w:color w:val="auto"/>
              </w:rPr>
            </w:pPr>
          </w:p>
        </w:tc>
        <w:tc>
          <w:tcPr>
            <w:tcW w:w="1060" w:type="dxa"/>
            <w:vAlign w:val="bottom"/>
            <w:tcBorders>
              <w:right w:val="single" w:sz="8" w:color="auto"/>
            </w:tcBorders>
            <w:shd w:val="clear" w:color="auto" w:fill="D9D9D9"/>
          </w:tcPr>
          <w:p>
            <w:pPr>
              <w:jc w:val="right"/>
              <w:ind w:right="21"/>
              <w:spacing w:after="0"/>
              <w:rPr>
                <w:sz w:val="20"/>
                <w:szCs w:val="20"/>
                <w:color w:val="auto"/>
              </w:rPr>
            </w:pPr>
            <w:r>
              <w:rPr>
                <w:rFonts w:ascii="Arial" w:cs="Arial" w:eastAsia="Arial" w:hAnsi="Arial"/>
                <w:sz w:val="20"/>
                <w:szCs w:val="20"/>
                <w:color w:val="auto"/>
              </w:rPr>
              <w:t>596.7</w:t>
            </w:r>
          </w:p>
        </w:tc>
        <w:tc>
          <w:tcPr>
            <w:tcW w:w="1360" w:type="dxa"/>
            <w:vAlign w:val="bottom"/>
            <w:tcBorders>
              <w:right w:val="single" w:sz="8" w:color="auto"/>
            </w:tcBorders>
            <w:shd w:val="clear" w:color="auto" w:fill="D9D9D9"/>
          </w:tcPr>
          <w:p>
            <w:pPr>
              <w:jc w:val="right"/>
              <w:ind w:right="21"/>
              <w:spacing w:after="0"/>
              <w:rPr>
                <w:sz w:val="20"/>
                <w:szCs w:val="20"/>
                <w:color w:val="auto"/>
              </w:rPr>
            </w:pPr>
            <w:r>
              <w:rPr>
                <w:rFonts w:ascii="Arial" w:cs="Arial" w:eastAsia="Arial" w:hAnsi="Arial"/>
                <w:sz w:val="20"/>
                <w:szCs w:val="20"/>
                <w:color w:val="auto"/>
              </w:rPr>
              <w:t>1,037.7</w:t>
            </w:r>
          </w:p>
        </w:tc>
        <w:tc>
          <w:tcPr>
            <w:tcW w:w="1560" w:type="dxa"/>
            <w:vAlign w:val="bottom"/>
            <w:tcBorders>
              <w:right w:val="single" w:sz="8" w:color="auto"/>
            </w:tcBorders>
            <w:shd w:val="clear" w:color="auto" w:fill="D9D9D9"/>
          </w:tcPr>
          <w:p>
            <w:pPr>
              <w:jc w:val="right"/>
              <w:ind w:right="21"/>
              <w:spacing w:after="0"/>
              <w:rPr>
                <w:sz w:val="20"/>
                <w:szCs w:val="20"/>
                <w:color w:val="auto"/>
              </w:rPr>
            </w:pPr>
            <w:r>
              <w:rPr>
                <w:rFonts w:ascii="Arial" w:cs="Arial" w:eastAsia="Arial" w:hAnsi="Arial"/>
                <w:sz w:val="20"/>
                <w:szCs w:val="20"/>
                <w:color w:val="auto"/>
              </w:rPr>
              <w:t>1,297.1</w:t>
            </w:r>
          </w:p>
        </w:tc>
        <w:tc>
          <w:tcPr>
            <w:tcW w:w="1560" w:type="dxa"/>
            <w:vAlign w:val="bottom"/>
            <w:tcBorders>
              <w:right w:val="single" w:sz="8" w:color="auto"/>
            </w:tcBorders>
            <w:shd w:val="clear" w:color="auto" w:fill="D9D9D9"/>
          </w:tcPr>
          <w:p>
            <w:pPr>
              <w:jc w:val="right"/>
              <w:ind w:right="21"/>
              <w:spacing w:after="0"/>
              <w:rPr>
                <w:sz w:val="20"/>
                <w:szCs w:val="20"/>
                <w:color w:val="auto"/>
              </w:rPr>
            </w:pPr>
            <w:r>
              <w:rPr>
                <w:rFonts w:ascii="Arial" w:cs="Arial" w:eastAsia="Arial" w:hAnsi="Arial"/>
                <w:sz w:val="20"/>
                <w:szCs w:val="20"/>
                <w:color w:val="auto"/>
              </w:rPr>
              <w:t>1,360.7</w:t>
            </w:r>
          </w:p>
        </w:tc>
        <w:tc>
          <w:tcPr>
            <w:tcW w:w="0" w:type="dxa"/>
            <w:vAlign w:val="bottom"/>
          </w:tcPr>
          <w:p>
            <w:pPr>
              <w:spacing w:after="0"/>
              <w:rPr>
                <w:sz w:val="1"/>
                <w:szCs w:val="1"/>
                <w:color w:val="auto"/>
              </w:rPr>
            </w:pPr>
          </w:p>
        </w:tc>
      </w:tr>
      <w:tr>
        <w:trPr>
          <w:trHeight w:val="140"/>
        </w:trPr>
        <w:tc>
          <w:tcPr>
            <w:tcW w:w="2160" w:type="dxa"/>
            <w:vAlign w:val="bottom"/>
            <w:tcBorders>
              <w:left w:val="single" w:sz="8" w:color="auto"/>
              <w:bottom w:val="single" w:sz="8" w:color="auto"/>
              <w:right w:val="single" w:sz="8" w:color="auto"/>
            </w:tcBorders>
            <w:shd w:val="clear" w:color="auto" w:fill="D9D9D9"/>
          </w:tcPr>
          <w:p>
            <w:pPr>
              <w:spacing w:after="0"/>
              <w:rPr>
                <w:sz w:val="12"/>
                <w:szCs w:val="12"/>
                <w:color w:val="auto"/>
              </w:rPr>
            </w:pPr>
          </w:p>
        </w:tc>
        <w:tc>
          <w:tcPr>
            <w:tcW w:w="1580" w:type="dxa"/>
            <w:vAlign w:val="bottom"/>
            <w:tcBorders>
              <w:bottom w:val="single" w:sz="8" w:color="auto"/>
              <w:right w:val="single" w:sz="8" w:color="auto"/>
            </w:tcBorders>
            <w:shd w:val="clear" w:color="auto" w:fill="D9D9D9"/>
          </w:tcPr>
          <w:p>
            <w:pPr>
              <w:spacing w:after="0"/>
              <w:rPr>
                <w:sz w:val="12"/>
                <w:szCs w:val="12"/>
                <w:color w:val="auto"/>
              </w:rPr>
            </w:pPr>
          </w:p>
        </w:tc>
        <w:tc>
          <w:tcPr>
            <w:tcW w:w="1580" w:type="dxa"/>
            <w:vAlign w:val="bottom"/>
            <w:tcBorders>
              <w:bottom w:val="single" w:sz="8" w:color="auto"/>
              <w:right w:val="single" w:sz="8" w:color="auto"/>
            </w:tcBorders>
            <w:shd w:val="clear" w:color="auto" w:fill="D9D9D9"/>
          </w:tcPr>
          <w:p>
            <w:pPr>
              <w:spacing w:after="0"/>
              <w:rPr>
                <w:sz w:val="12"/>
                <w:szCs w:val="12"/>
                <w:color w:val="auto"/>
              </w:rPr>
            </w:pPr>
          </w:p>
        </w:tc>
        <w:tc>
          <w:tcPr>
            <w:tcW w:w="400" w:type="dxa"/>
            <w:vAlign w:val="bottom"/>
            <w:tcBorders>
              <w:bottom w:val="single" w:sz="8" w:color="auto"/>
            </w:tcBorders>
            <w:shd w:val="clear" w:color="auto" w:fill="D9D9D9"/>
          </w:tcPr>
          <w:p>
            <w:pPr>
              <w:spacing w:after="0"/>
              <w:rPr>
                <w:sz w:val="12"/>
                <w:szCs w:val="12"/>
                <w:color w:val="auto"/>
              </w:rPr>
            </w:pPr>
          </w:p>
        </w:tc>
        <w:tc>
          <w:tcPr>
            <w:tcW w:w="1060" w:type="dxa"/>
            <w:vAlign w:val="bottom"/>
            <w:tcBorders>
              <w:bottom w:val="single" w:sz="8" w:color="auto"/>
              <w:right w:val="single" w:sz="8" w:color="auto"/>
            </w:tcBorders>
            <w:shd w:val="clear" w:color="auto" w:fill="D9D9D9"/>
          </w:tcPr>
          <w:p>
            <w:pPr>
              <w:spacing w:after="0"/>
              <w:rPr>
                <w:sz w:val="12"/>
                <w:szCs w:val="12"/>
                <w:color w:val="auto"/>
              </w:rPr>
            </w:pPr>
          </w:p>
        </w:tc>
        <w:tc>
          <w:tcPr>
            <w:tcW w:w="1360" w:type="dxa"/>
            <w:vAlign w:val="bottom"/>
            <w:tcBorders>
              <w:bottom w:val="single" w:sz="8" w:color="auto"/>
              <w:right w:val="single" w:sz="8" w:color="auto"/>
            </w:tcBorders>
            <w:shd w:val="clear" w:color="auto" w:fill="D9D9D9"/>
          </w:tcPr>
          <w:p>
            <w:pPr>
              <w:spacing w:after="0"/>
              <w:rPr>
                <w:sz w:val="12"/>
                <w:szCs w:val="12"/>
                <w:color w:val="auto"/>
              </w:rPr>
            </w:pPr>
          </w:p>
        </w:tc>
        <w:tc>
          <w:tcPr>
            <w:tcW w:w="1560" w:type="dxa"/>
            <w:vAlign w:val="bottom"/>
            <w:tcBorders>
              <w:bottom w:val="single" w:sz="8" w:color="auto"/>
              <w:right w:val="single" w:sz="8" w:color="auto"/>
            </w:tcBorders>
            <w:shd w:val="clear" w:color="auto" w:fill="D9D9D9"/>
          </w:tcPr>
          <w:p>
            <w:pPr>
              <w:spacing w:after="0"/>
              <w:rPr>
                <w:sz w:val="12"/>
                <w:szCs w:val="12"/>
                <w:color w:val="auto"/>
              </w:rPr>
            </w:pPr>
          </w:p>
        </w:tc>
        <w:tc>
          <w:tcPr>
            <w:tcW w:w="1560" w:type="dxa"/>
            <w:vAlign w:val="bottom"/>
            <w:tcBorders>
              <w:bottom w:val="single" w:sz="8" w:color="auto"/>
              <w:right w:val="single" w:sz="8" w:color="auto"/>
            </w:tcBorders>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373"/>
        </w:trPr>
        <w:tc>
          <w:tcPr>
            <w:tcW w:w="21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Gerard Gifford</w:t>
            </w:r>
          </w:p>
        </w:tc>
        <w:tc>
          <w:tcPr>
            <w:tcW w:w="1580" w:type="dxa"/>
            <w:vAlign w:val="bottom"/>
            <w:tcBorders>
              <w:right w:val="single" w:sz="8" w:color="auto"/>
            </w:tcBorders>
          </w:tcPr>
          <w:p>
            <w:pPr>
              <w:jc w:val="right"/>
              <w:ind w:right="1"/>
              <w:spacing w:after="0"/>
              <w:rPr>
                <w:sz w:val="20"/>
                <w:szCs w:val="20"/>
                <w:color w:val="auto"/>
              </w:rPr>
            </w:pPr>
            <w:r>
              <w:rPr>
                <w:rFonts w:ascii="Arial" w:cs="Arial" w:eastAsia="Arial" w:hAnsi="Arial"/>
                <w:sz w:val="20"/>
                <w:szCs w:val="20"/>
                <w:color w:val="auto"/>
              </w:rPr>
              <w:t>503.9</w:t>
            </w:r>
          </w:p>
        </w:tc>
        <w:tc>
          <w:tcPr>
            <w:tcW w:w="1580" w:type="dxa"/>
            <w:vAlign w:val="bottom"/>
            <w:tcBorders>
              <w:right w:val="single" w:sz="8" w:color="auto"/>
            </w:tcBorders>
          </w:tcPr>
          <w:p>
            <w:pPr>
              <w:jc w:val="right"/>
              <w:ind w:right="21"/>
              <w:spacing w:after="0"/>
              <w:rPr>
                <w:sz w:val="20"/>
                <w:szCs w:val="20"/>
                <w:color w:val="auto"/>
              </w:rPr>
            </w:pPr>
            <w:r>
              <w:rPr>
                <w:rFonts w:ascii="Arial" w:cs="Arial" w:eastAsia="Arial" w:hAnsi="Arial"/>
                <w:sz w:val="20"/>
                <w:szCs w:val="20"/>
                <w:color w:val="auto"/>
              </w:rPr>
              <w:t>629.9</w:t>
            </w:r>
          </w:p>
        </w:tc>
        <w:tc>
          <w:tcPr>
            <w:tcW w:w="400" w:type="dxa"/>
            <w:vAlign w:val="bottom"/>
          </w:tcPr>
          <w:p>
            <w:pPr>
              <w:spacing w:after="0"/>
              <w:rPr>
                <w:sz w:val="24"/>
                <w:szCs w:val="24"/>
                <w:color w:val="auto"/>
              </w:rPr>
            </w:pPr>
          </w:p>
        </w:tc>
        <w:tc>
          <w:tcPr>
            <w:tcW w:w="1060" w:type="dxa"/>
            <w:vAlign w:val="bottom"/>
            <w:tcBorders>
              <w:right w:val="single" w:sz="8" w:color="auto"/>
            </w:tcBorders>
          </w:tcPr>
          <w:p>
            <w:pPr>
              <w:jc w:val="right"/>
              <w:ind w:right="21"/>
              <w:spacing w:after="0"/>
              <w:rPr>
                <w:sz w:val="20"/>
                <w:szCs w:val="20"/>
                <w:color w:val="auto"/>
              </w:rPr>
            </w:pPr>
            <w:r>
              <w:rPr>
                <w:rFonts w:ascii="Arial" w:cs="Arial" w:eastAsia="Arial" w:hAnsi="Arial"/>
                <w:sz w:val="20"/>
                <w:szCs w:val="20"/>
                <w:color w:val="auto"/>
              </w:rPr>
              <w:t>596.7</w:t>
            </w:r>
          </w:p>
        </w:tc>
        <w:tc>
          <w:tcPr>
            <w:tcW w:w="1360" w:type="dxa"/>
            <w:vAlign w:val="bottom"/>
            <w:tcBorders>
              <w:right w:val="single" w:sz="8" w:color="auto"/>
            </w:tcBorders>
          </w:tcPr>
          <w:p>
            <w:pPr>
              <w:jc w:val="right"/>
              <w:ind w:right="21"/>
              <w:spacing w:after="0"/>
              <w:rPr>
                <w:sz w:val="20"/>
                <w:szCs w:val="20"/>
                <w:color w:val="auto"/>
              </w:rPr>
            </w:pPr>
            <w:r>
              <w:rPr>
                <w:rFonts w:ascii="Arial" w:cs="Arial" w:eastAsia="Arial" w:hAnsi="Arial"/>
                <w:sz w:val="20"/>
                <w:szCs w:val="20"/>
                <w:color w:val="auto"/>
              </w:rPr>
              <w:t>1,037.7</w:t>
            </w:r>
          </w:p>
        </w:tc>
        <w:tc>
          <w:tcPr>
            <w:tcW w:w="1560" w:type="dxa"/>
            <w:vAlign w:val="bottom"/>
            <w:tcBorders>
              <w:right w:val="single" w:sz="8" w:color="auto"/>
            </w:tcBorders>
          </w:tcPr>
          <w:p>
            <w:pPr>
              <w:jc w:val="right"/>
              <w:ind w:right="21"/>
              <w:spacing w:after="0"/>
              <w:rPr>
                <w:sz w:val="20"/>
                <w:szCs w:val="20"/>
                <w:color w:val="auto"/>
              </w:rPr>
            </w:pPr>
            <w:r>
              <w:rPr>
                <w:rFonts w:ascii="Arial" w:cs="Arial" w:eastAsia="Arial" w:hAnsi="Arial"/>
                <w:sz w:val="20"/>
                <w:szCs w:val="20"/>
                <w:color w:val="auto"/>
              </w:rPr>
              <w:t>1,297.1</w:t>
            </w:r>
          </w:p>
        </w:tc>
        <w:tc>
          <w:tcPr>
            <w:tcW w:w="1560" w:type="dxa"/>
            <w:vAlign w:val="bottom"/>
            <w:tcBorders>
              <w:right w:val="single" w:sz="8" w:color="auto"/>
            </w:tcBorders>
          </w:tcPr>
          <w:p>
            <w:pPr>
              <w:jc w:val="right"/>
              <w:ind w:right="21"/>
              <w:spacing w:after="0"/>
              <w:rPr>
                <w:sz w:val="20"/>
                <w:szCs w:val="20"/>
                <w:color w:val="auto"/>
              </w:rPr>
            </w:pPr>
            <w:r>
              <w:rPr>
                <w:rFonts w:ascii="Arial" w:cs="Arial" w:eastAsia="Arial" w:hAnsi="Arial"/>
                <w:sz w:val="20"/>
                <w:szCs w:val="20"/>
                <w:color w:val="auto"/>
              </w:rPr>
              <w:t>1,360.7</w:t>
            </w:r>
          </w:p>
        </w:tc>
        <w:tc>
          <w:tcPr>
            <w:tcW w:w="0" w:type="dxa"/>
            <w:vAlign w:val="bottom"/>
          </w:tcPr>
          <w:p>
            <w:pPr>
              <w:spacing w:after="0"/>
              <w:rPr>
                <w:sz w:val="1"/>
                <w:szCs w:val="1"/>
                <w:color w:val="auto"/>
              </w:rPr>
            </w:pPr>
          </w:p>
        </w:tc>
      </w:tr>
      <w:tr>
        <w:trPr>
          <w:trHeight w:val="140"/>
        </w:trPr>
        <w:tc>
          <w:tcPr>
            <w:tcW w:w="2160" w:type="dxa"/>
            <w:vAlign w:val="bottom"/>
            <w:tcBorders>
              <w:left w:val="single" w:sz="8" w:color="auto"/>
              <w:bottom w:val="single" w:sz="8" w:color="auto"/>
              <w:right w:val="single" w:sz="8" w:color="auto"/>
            </w:tcBorders>
          </w:tcPr>
          <w:p>
            <w:pPr>
              <w:spacing w:after="0"/>
              <w:rPr>
                <w:sz w:val="12"/>
                <w:szCs w:val="12"/>
                <w:color w:val="auto"/>
              </w:rPr>
            </w:pPr>
          </w:p>
        </w:tc>
        <w:tc>
          <w:tcPr>
            <w:tcW w:w="1580" w:type="dxa"/>
            <w:vAlign w:val="bottom"/>
            <w:tcBorders>
              <w:bottom w:val="single" w:sz="8" w:color="auto"/>
              <w:right w:val="single" w:sz="8" w:color="auto"/>
            </w:tcBorders>
          </w:tcPr>
          <w:p>
            <w:pPr>
              <w:spacing w:after="0"/>
              <w:rPr>
                <w:sz w:val="12"/>
                <w:szCs w:val="12"/>
                <w:color w:val="auto"/>
              </w:rPr>
            </w:pPr>
          </w:p>
        </w:tc>
        <w:tc>
          <w:tcPr>
            <w:tcW w:w="1580" w:type="dxa"/>
            <w:vAlign w:val="bottom"/>
            <w:tcBorders>
              <w:bottom w:val="single" w:sz="8" w:color="auto"/>
              <w:right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060" w:type="dxa"/>
            <w:vAlign w:val="bottom"/>
            <w:tcBorders>
              <w:bottom w:val="single" w:sz="8" w:color="auto"/>
              <w:right w:val="single" w:sz="8" w:color="auto"/>
            </w:tcBorders>
          </w:tcPr>
          <w:p>
            <w:pPr>
              <w:spacing w:after="0"/>
              <w:rPr>
                <w:sz w:val="12"/>
                <w:szCs w:val="12"/>
                <w:color w:val="auto"/>
              </w:rPr>
            </w:pPr>
          </w:p>
        </w:tc>
        <w:tc>
          <w:tcPr>
            <w:tcW w:w="1360" w:type="dxa"/>
            <w:vAlign w:val="bottom"/>
            <w:tcBorders>
              <w:bottom w:val="single" w:sz="8" w:color="auto"/>
              <w:right w:val="single" w:sz="8" w:color="auto"/>
            </w:tcBorders>
          </w:tcPr>
          <w:p>
            <w:pPr>
              <w:spacing w:after="0"/>
              <w:rPr>
                <w:sz w:val="12"/>
                <w:szCs w:val="12"/>
                <w:color w:val="auto"/>
              </w:rPr>
            </w:pPr>
          </w:p>
        </w:tc>
        <w:tc>
          <w:tcPr>
            <w:tcW w:w="1560" w:type="dxa"/>
            <w:vAlign w:val="bottom"/>
            <w:tcBorders>
              <w:bottom w:val="single" w:sz="8" w:color="auto"/>
              <w:right w:val="single" w:sz="8" w:color="auto"/>
            </w:tcBorders>
          </w:tcPr>
          <w:p>
            <w:pPr>
              <w:spacing w:after="0"/>
              <w:rPr>
                <w:sz w:val="12"/>
                <w:szCs w:val="12"/>
                <w:color w:val="auto"/>
              </w:rPr>
            </w:pPr>
          </w:p>
        </w:tc>
        <w:tc>
          <w:tcPr>
            <w:tcW w:w="15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73"/>
        </w:trPr>
        <w:tc>
          <w:tcPr>
            <w:tcW w:w="2160" w:type="dxa"/>
            <w:vAlign w:val="bottom"/>
            <w:tcBorders>
              <w:left w:val="single" w:sz="8" w:color="auto"/>
              <w:right w:val="single" w:sz="8" w:color="auto"/>
            </w:tcBorders>
            <w:shd w:val="clear" w:color="auto" w:fill="D9D9D9"/>
          </w:tcPr>
          <w:p>
            <w:pPr>
              <w:ind w:left="100"/>
              <w:spacing w:after="0"/>
              <w:rPr>
                <w:sz w:val="20"/>
                <w:szCs w:val="20"/>
                <w:color w:val="auto"/>
              </w:rPr>
            </w:pPr>
            <w:r>
              <w:rPr>
                <w:rFonts w:ascii="Arial" w:cs="Arial" w:eastAsia="Arial" w:hAnsi="Arial"/>
                <w:sz w:val="20"/>
                <w:szCs w:val="20"/>
                <w:color w:val="auto"/>
              </w:rPr>
              <w:t>Djalma Novaes (1)</w:t>
            </w:r>
          </w:p>
        </w:tc>
        <w:tc>
          <w:tcPr>
            <w:tcW w:w="1580" w:type="dxa"/>
            <w:vAlign w:val="bottom"/>
            <w:tcBorders>
              <w:right w:val="single" w:sz="8" w:color="auto"/>
            </w:tcBorders>
            <w:shd w:val="clear" w:color="auto" w:fill="D9D9D9"/>
          </w:tcPr>
          <w:p>
            <w:pPr>
              <w:jc w:val="right"/>
              <w:ind w:right="1"/>
              <w:spacing w:after="0"/>
              <w:rPr>
                <w:sz w:val="20"/>
                <w:szCs w:val="20"/>
                <w:color w:val="auto"/>
              </w:rPr>
            </w:pPr>
            <w:r>
              <w:rPr>
                <w:rFonts w:ascii="Arial" w:cs="Arial" w:eastAsia="Arial" w:hAnsi="Arial"/>
                <w:sz w:val="20"/>
                <w:szCs w:val="20"/>
                <w:color w:val="auto"/>
              </w:rPr>
              <w:t>153.1</w:t>
            </w:r>
          </w:p>
        </w:tc>
        <w:tc>
          <w:tcPr>
            <w:tcW w:w="1580" w:type="dxa"/>
            <w:vAlign w:val="bottom"/>
            <w:tcBorders>
              <w:right w:val="single" w:sz="8" w:color="auto"/>
            </w:tcBorders>
            <w:shd w:val="clear" w:color="auto" w:fill="D9D9D9"/>
          </w:tcPr>
          <w:p>
            <w:pPr>
              <w:jc w:val="right"/>
              <w:ind w:right="21"/>
              <w:spacing w:after="0"/>
              <w:rPr>
                <w:sz w:val="20"/>
                <w:szCs w:val="20"/>
                <w:color w:val="auto"/>
              </w:rPr>
            </w:pPr>
            <w:r>
              <w:rPr>
                <w:rFonts w:ascii="Arial" w:cs="Arial" w:eastAsia="Arial" w:hAnsi="Arial"/>
                <w:sz w:val="20"/>
                <w:szCs w:val="20"/>
                <w:color w:val="auto"/>
              </w:rPr>
              <w:t>191.4</w:t>
            </w:r>
          </w:p>
        </w:tc>
        <w:tc>
          <w:tcPr>
            <w:tcW w:w="400" w:type="dxa"/>
            <w:vAlign w:val="bottom"/>
            <w:shd w:val="clear" w:color="auto" w:fill="D9D9D9"/>
          </w:tcPr>
          <w:p>
            <w:pPr>
              <w:spacing w:after="0"/>
              <w:rPr>
                <w:sz w:val="24"/>
                <w:szCs w:val="24"/>
                <w:color w:val="auto"/>
              </w:rPr>
            </w:pPr>
          </w:p>
        </w:tc>
        <w:tc>
          <w:tcPr>
            <w:tcW w:w="1060" w:type="dxa"/>
            <w:vAlign w:val="bottom"/>
            <w:tcBorders>
              <w:right w:val="single" w:sz="8" w:color="auto"/>
            </w:tcBorders>
            <w:shd w:val="clear" w:color="auto" w:fill="D9D9D9"/>
          </w:tcPr>
          <w:p>
            <w:pPr>
              <w:jc w:val="right"/>
              <w:ind w:right="21"/>
              <w:spacing w:after="0"/>
              <w:rPr>
                <w:sz w:val="20"/>
                <w:szCs w:val="20"/>
                <w:color w:val="auto"/>
              </w:rPr>
            </w:pPr>
            <w:r>
              <w:rPr>
                <w:rFonts w:ascii="Arial" w:cs="Arial" w:eastAsia="Arial" w:hAnsi="Arial"/>
                <w:sz w:val="20"/>
                <w:szCs w:val="20"/>
                <w:color w:val="auto"/>
              </w:rPr>
              <w:t>221.5</w:t>
            </w:r>
          </w:p>
        </w:tc>
        <w:tc>
          <w:tcPr>
            <w:tcW w:w="1360" w:type="dxa"/>
            <w:vAlign w:val="bottom"/>
            <w:tcBorders>
              <w:right w:val="single" w:sz="8" w:color="auto"/>
            </w:tcBorders>
            <w:shd w:val="clear" w:color="auto" w:fill="D9D9D9"/>
          </w:tcPr>
          <w:p>
            <w:pPr>
              <w:jc w:val="right"/>
              <w:ind w:right="21"/>
              <w:spacing w:after="0"/>
              <w:rPr>
                <w:sz w:val="20"/>
                <w:szCs w:val="20"/>
                <w:color w:val="auto"/>
              </w:rPr>
            </w:pPr>
            <w:r>
              <w:rPr>
                <w:rFonts w:ascii="Arial" w:cs="Arial" w:eastAsia="Arial" w:hAnsi="Arial"/>
                <w:sz w:val="20"/>
                <w:szCs w:val="20"/>
                <w:color w:val="auto"/>
              </w:rPr>
              <w:t>383.6</w:t>
            </w:r>
          </w:p>
        </w:tc>
        <w:tc>
          <w:tcPr>
            <w:tcW w:w="1560" w:type="dxa"/>
            <w:vAlign w:val="bottom"/>
            <w:tcBorders>
              <w:right w:val="single" w:sz="8" w:color="auto"/>
            </w:tcBorders>
            <w:shd w:val="clear" w:color="auto" w:fill="D9D9D9"/>
          </w:tcPr>
          <w:p>
            <w:pPr>
              <w:jc w:val="right"/>
              <w:ind w:right="21"/>
              <w:spacing w:after="0"/>
              <w:rPr>
                <w:sz w:val="20"/>
                <w:szCs w:val="20"/>
                <w:color w:val="auto"/>
              </w:rPr>
            </w:pPr>
            <w:r>
              <w:rPr>
                <w:rFonts w:ascii="Arial" w:cs="Arial" w:eastAsia="Arial" w:hAnsi="Arial"/>
                <w:sz w:val="20"/>
                <w:szCs w:val="20"/>
                <w:color w:val="auto"/>
              </w:rPr>
              <w:t>479.5</w:t>
            </w:r>
          </w:p>
        </w:tc>
        <w:tc>
          <w:tcPr>
            <w:tcW w:w="1560" w:type="dxa"/>
            <w:vAlign w:val="bottom"/>
            <w:tcBorders>
              <w:right w:val="single" w:sz="8" w:color="auto"/>
            </w:tcBorders>
            <w:shd w:val="clear" w:color="auto" w:fill="D9D9D9"/>
          </w:tcPr>
          <w:p>
            <w:pPr>
              <w:jc w:val="right"/>
              <w:ind w:right="21"/>
              <w:spacing w:after="0"/>
              <w:rPr>
                <w:sz w:val="20"/>
                <w:szCs w:val="20"/>
                <w:color w:val="auto"/>
              </w:rPr>
            </w:pPr>
            <w:r>
              <w:rPr>
                <w:rFonts w:ascii="Arial" w:cs="Arial" w:eastAsia="Arial" w:hAnsi="Arial"/>
                <w:sz w:val="20"/>
                <w:szCs w:val="20"/>
                <w:color w:val="auto"/>
              </w:rPr>
              <w:t>501.9</w:t>
            </w:r>
          </w:p>
        </w:tc>
        <w:tc>
          <w:tcPr>
            <w:tcW w:w="0" w:type="dxa"/>
            <w:vAlign w:val="bottom"/>
          </w:tcPr>
          <w:p>
            <w:pPr>
              <w:spacing w:after="0"/>
              <w:rPr>
                <w:sz w:val="1"/>
                <w:szCs w:val="1"/>
                <w:color w:val="auto"/>
              </w:rPr>
            </w:pPr>
          </w:p>
        </w:tc>
      </w:tr>
      <w:tr>
        <w:trPr>
          <w:trHeight w:val="140"/>
        </w:trPr>
        <w:tc>
          <w:tcPr>
            <w:tcW w:w="2160" w:type="dxa"/>
            <w:vAlign w:val="bottom"/>
            <w:tcBorders>
              <w:left w:val="single" w:sz="8" w:color="auto"/>
              <w:bottom w:val="single" w:sz="8" w:color="auto"/>
              <w:right w:val="single" w:sz="8" w:color="auto"/>
            </w:tcBorders>
            <w:shd w:val="clear" w:color="auto" w:fill="D9D9D9"/>
          </w:tcPr>
          <w:p>
            <w:pPr>
              <w:spacing w:after="0"/>
              <w:rPr>
                <w:sz w:val="12"/>
                <w:szCs w:val="12"/>
                <w:color w:val="auto"/>
              </w:rPr>
            </w:pPr>
          </w:p>
        </w:tc>
        <w:tc>
          <w:tcPr>
            <w:tcW w:w="1580" w:type="dxa"/>
            <w:vAlign w:val="bottom"/>
            <w:tcBorders>
              <w:bottom w:val="single" w:sz="8" w:color="auto"/>
              <w:right w:val="single" w:sz="8" w:color="auto"/>
            </w:tcBorders>
            <w:shd w:val="clear" w:color="auto" w:fill="D9D9D9"/>
          </w:tcPr>
          <w:p>
            <w:pPr>
              <w:spacing w:after="0"/>
              <w:rPr>
                <w:sz w:val="12"/>
                <w:szCs w:val="12"/>
                <w:color w:val="auto"/>
              </w:rPr>
            </w:pPr>
          </w:p>
        </w:tc>
        <w:tc>
          <w:tcPr>
            <w:tcW w:w="1580" w:type="dxa"/>
            <w:vAlign w:val="bottom"/>
            <w:tcBorders>
              <w:bottom w:val="single" w:sz="8" w:color="auto"/>
              <w:right w:val="single" w:sz="8" w:color="auto"/>
            </w:tcBorders>
            <w:shd w:val="clear" w:color="auto" w:fill="D9D9D9"/>
          </w:tcPr>
          <w:p>
            <w:pPr>
              <w:spacing w:after="0"/>
              <w:rPr>
                <w:sz w:val="12"/>
                <w:szCs w:val="12"/>
                <w:color w:val="auto"/>
              </w:rPr>
            </w:pPr>
          </w:p>
        </w:tc>
        <w:tc>
          <w:tcPr>
            <w:tcW w:w="400" w:type="dxa"/>
            <w:vAlign w:val="bottom"/>
            <w:tcBorders>
              <w:bottom w:val="single" w:sz="8" w:color="auto"/>
            </w:tcBorders>
            <w:shd w:val="clear" w:color="auto" w:fill="D9D9D9"/>
          </w:tcPr>
          <w:p>
            <w:pPr>
              <w:spacing w:after="0"/>
              <w:rPr>
                <w:sz w:val="12"/>
                <w:szCs w:val="12"/>
                <w:color w:val="auto"/>
              </w:rPr>
            </w:pPr>
          </w:p>
        </w:tc>
        <w:tc>
          <w:tcPr>
            <w:tcW w:w="1060" w:type="dxa"/>
            <w:vAlign w:val="bottom"/>
            <w:tcBorders>
              <w:bottom w:val="single" w:sz="8" w:color="auto"/>
              <w:right w:val="single" w:sz="8" w:color="auto"/>
            </w:tcBorders>
            <w:shd w:val="clear" w:color="auto" w:fill="D9D9D9"/>
          </w:tcPr>
          <w:p>
            <w:pPr>
              <w:spacing w:after="0"/>
              <w:rPr>
                <w:sz w:val="12"/>
                <w:szCs w:val="12"/>
                <w:color w:val="auto"/>
              </w:rPr>
            </w:pPr>
          </w:p>
        </w:tc>
        <w:tc>
          <w:tcPr>
            <w:tcW w:w="1360" w:type="dxa"/>
            <w:vAlign w:val="bottom"/>
            <w:tcBorders>
              <w:bottom w:val="single" w:sz="8" w:color="auto"/>
              <w:right w:val="single" w:sz="8" w:color="auto"/>
            </w:tcBorders>
            <w:shd w:val="clear" w:color="auto" w:fill="D9D9D9"/>
          </w:tcPr>
          <w:p>
            <w:pPr>
              <w:spacing w:after="0"/>
              <w:rPr>
                <w:sz w:val="12"/>
                <w:szCs w:val="12"/>
                <w:color w:val="auto"/>
              </w:rPr>
            </w:pPr>
          </w:p>
        </w:tc>
        <w:tc>
          <w:tcPr>
            <w:tcW w:w="1560" w:type="dxa"/>
            <w:vAlign w:val="bottom"/>
            <w:tcBorders>
              <w:bottom w:val="single" w:sz="8" w:color="auto"/>
              <w:right w:val="single" w:sz="8" w:color="auto"/>
            </w:tcBorders>
            <w:shd w:val="clear" w:color="auto" w:fill="D9D9D9"/>
          </w:tcPr>
          <w:p>
            <w:pPr>
              <w:spacing w:after="0"/>
              <w:rPr>
                <w:sz w:val="12"/>
                <w:szCs w:val="12"/>
                <w:color w:val="auto"/>
              </w:rPr>
            </w:pPr>
          </w:p>
        </w:tc>
        <w:tc>
          <w:tcPr>
            <w:tcW w:w="1560" w:type="dxa"/>
            <w:vAlign w:val="bottom"/>
            <w:tcBorders>
              <w:bottom w:val="single" w:sz="8" w:color="auto"/>
              <w:right w:val="single" w:sz="8" w:color="auto"/>
            </w:tcBorders>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373"/>
        </w:trPr>
        <w:tc>
          <w:tcPr>
            <w:tcW w:w="21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 xml:space="preserve">Robert Bourque </w:t>
            </w:r>
            <w:r>
              <w:rPr>
                <w:rFonts w:ascii="Arial" w:cs="Arial" w:eastAsia="Arial" w:hAnsi="Arial"/>
                <w:sz w:val="18"/>
                <w:szCs w:val="18"/>
                <w:color w:val="auto"/>
              </w:rPr>
              <w:t>(1)</w:t>
            </w:r>
          </w:p>
        </w:tc>
        <w:tc>
          <w:tcPr>
            <w:tcW w:w="1580" w:type="dxa"/>
            <w:vAlign w:val="bottom"/>
            <w:tcBorders>
              <w:right w:val="single" w:sz="8" w:color="auto"/>
            </w:tcBorders>
          </w:tcPr>
          <w:p>
            <w:pPr>
              <w:jc w:val="right"/>
              <w:ind w:right="1"/>
              <w:spacing w:after="0"/>
              <w:rPr>
                <w:sz w:val="20"/>
                <w:szCs w:val="20"/>
                <w:color w:val="auto"/>
              </w:rPr>
            </w:pPr>
            <w:r>
              <w:rPr>
                <w:rFonts w:ascii="Arial" w:cs="Arial" w:eastAsia="Arial" w:hAnsi="Arial"/>
                <w:sz w:val="20"/>
                <w:szCs w:val="20"/>
                <w:color w:val="auto"/>
              </w:rPr>
              <w:t>133.4</w:t>
            </w:r>
          </w:p>
        </w:tc>
        <w:tc>
          <w:tcPr>
            <w:tcW w:w="1580" w:type="dxa"/>
            <w:vAlign w:val="bottom"/>
            <w:tcBorders>
              <w:right w:val="single" w:sz="8" w:color="auto"/>
            </w:tcBorders>
          </w:tcPr>
          <w:p>
            <w:pPr>
              <w:jc w:val="right"/>
              <w:ind w:right="21"/>
              <w:spacing w:after="0"/>
              <w:rPr>
                <w:sz w:val="20"/>
                <w:szCs w:val="20"/>
                <w:color w:val="auto"/>
              </w:rPr>
            </w:pPr>
            <w:r>
              <w:rPr>
                <w:rFonts w:ascii="Arial" w:cs="Arial" w:eastAsia="Arial" w:hAnsi="Arial"/>
                <w:sz w:val="20"/>
                <w:szCs w:val="20"/>
                <w:color w:val="auto"/>
              </w:rPr>
              <w:t>166.7</w:t>
            </w:r>
          </w:p>
        </w:tc>
        <w:tc>
          <w:tcPr>
            <w:tcW w:w="400" w:type="dxa"/>
            <w:vAlign w:val="bottom"/>
          </w:tcPr>
          <w:p>
            <w:pPr>
              <w:spacing w:after="0"/>
              <w:rPr>
                <w:sz w:val="24"/>
                <w:szCs w:val="24"/>
                <w:color w:val="auto"/>
              </w:rPr>
            </w:pPr>
          </w:p>
        </w:tc>
        <w:tc>
          <w:tcPr>
            <w:tcW w:w="1060" w:type="dxa"/>
            <w:vAlign w:val="bottom"/>
            <w:tcBorders>
              <w:right w:val="single" w:sz="8" w:color="auto"/>
            </w:tcBorders>
          </w:tcPr>
          <w:p>
            <w:pPr>
              <w:jc w:val="right"/>
              <w:ind w:right="21"/>
              <w:spacing w:after="0"/>
              <w:rPr>
                <w:sz w:val="20"/>
                <w:szCs w:val="20"/>
                <w:color w:val="auto"/>
              </w:rPr>
            </w:pPr>
            <w:r>
              <w:rPr>
                <w:rFonts w:ascii="Arial" w:cs="Arial" w:eastAsia="Arial" w:hAnsi="Arial"/>
                <w:sz w:val="20"/>
                <w:szCs w:val="20"/>
                <w:color w:val="auto"/>
              </w:rPr>
              <w:t>155.0</w:t>
            </w:r>
          </w:p>
        </w:tc>
        <w:tc>
          <w:tcPr>
            <w:tcW w:w="1360" w:type="dxa"/>
            <w:vAlign w:val="bottom"/>
            <w:tcBorders>
              <w:right w:val="single" w:sz="8" w:color="auto"/>
            </w:tcBorders>
          </w:tcPr>
          <w:p>
            <w:pPr>
              <w:jc w:val="right"/>
              <w:ind w:right="21"/>
              <w:spacing w:after="0"/>
              <w:rPr>
                <w:sz w:val="20"/>
                <w:szCs w:val="20"/>
                <w:color w:val="auto"/>
              </w:rPr>
            </w:pPr>
            <w:r>
              <w:rPr>
                <w:rFonts w:ascii="Arial" w:cs="Arial" w:eastAsia="Arial" w:hAnsi="Arial"/>
                <w:sz w:val="20"/>
                <w:szCs w:val="20"/>
                <w:color w:val="auto"/>
              </w:rPr>
              <w:t>300.0</w:t>
            </w:r>
          </w:p>
        </w:tc>
        <w:tc>
          <w:tcPr>
            <w:tcW w:w="1560" w:type="dxa"/>
            <w:vAlign w:val="bottom"/>
            <w:tcBorders>
              <w:right w:val="single" w:sz="8" w:color="auto"/>
            </w:tcBorders>
          </w:tcPr>
          <w:p>
            <w:pPr>
              <w:jc w:val="right"/>
              <w:ind w:right="21"/>
              <w:spacing w:after="0"/>
              <w:rPr>
                <w:sz w:val="20"/>
                <w:szCs w:val="20"/>
                <w:color w:val="auto"/>
              </w:rPr>
            </w:pPr>
            <w:r>
              <w:rPr>
                <w:rFonts w:ascii="Arial" w:cs="Arial" w:eastAsia="Arial" w:hAnsi="Arial"/>
                <w:sz w:val="20"/>
                <w:szCs w:val="20"/>
                <w:color w:val="auto"/>
              </w:rPr>
              <w:t>375.0</w:t>
            </w:r>
          </w:p>
        </w:tc>
        <w:tc>
          <w:tcPr>
            <w:tcW w:w="1560" w:type="dxa"/>
            <w:vAlign w:val="bottom"/>
            <w:tcBorders>
              <w:right w:val="single" w:sz="8" w:color="auto"/>
            </w:tcBorders>
          </w:tcPr>
          <w:p>
            <w:pPr>
              <w:jc w:val="right"/>
              <w:ind w:right="21"/>
              <w:spacing w:after="0"/>
              <w:rPr>
                <w:sz w:val="20"/>
                <w:szCs w:val="20"/>
                <w:color w:val="auto"/>
              </w:rPr>
            </w:pPr>
            <w:r>
              <w:rPr>
                <w:rFonts w:ascii="Arial" w:cs="Arial" w:eastAsia="Arial" w:hAnsi="Arial"/>
                <w:sz w:val="20"/>
                <w:szCs w:val="20"/>
                <w:color w:val="auto"/>
              </w:rPr>
              <w:t>443.6</w:t>
            </w:r>
          </w:p>
        </w:tc>
        <w:tc>
          <w:tcPr>
            <w:tcW w:w="0" w:type="dxa"/>
            <w:vAlign w:val="bottom"/>
          </w:tcPr>
          <w:p>
            <w:pPr>
              <w:spacing w:after="0"/>
              <w:rPr>
                <w:sz w:val="1"/>
                <w:szCs w:val="1"/>
                <w:color w:val="auto"/>
              </w:rPr>
            </w:pPr>
          </w:p>
        </w:tc>
      </w:tr>
      <w:tr>
        <w:trPr>
          <w:trHeight w:val="140"/>
        </w:trPr>
        <w:tc>
          <w:tcPr>
            <w:tcW w:w="2160" w:type="dxa"/>
            <w:vAlign w:val="bottom"/>
            <w:tcBorders>
              <w:left w:val="single" w:sz="8" w:color="auto"/>
              <w:bottom w:val="single" w:sz="8" w:color="auto"/>
              <w:right w:val="single" w:sz="8" w:color="auto"/>
            </w:tcBorders>
          </w:tcPr>
          <w:p>
            <w:pPr>
              <w:spacing w:after="0"/>
              <w:rPr>
                <w:sz w:val="12"/>
                <w:szCs w:val="12"/>
                <w:color w:val="auto"/>
              </w:rPr>
            </w:pPr>
          </w:p>
        </w:tc>
        <w:tc>
          <w:tcPr>
            <w:tcW w:w="1580" w:type="dxa"/>
            <w:vAlign w:val="bottom"/>
            <w:tcBorders>
              <w:bottom w:val="single" w:sz="8" w:color="auto"/>
              <w:right w:val="single" w:sz="8" w:color="auto"/>
            </w:tcBorders>
          </w:tcPr>
          <w:p>
            <w:pPr>
              <w:spacing w:after="0"/>
              <w:rPr>
                <w:sz w:val="12"/>
                <w:szCs w:val="12"/>
                <w:color w:val="auto"/>
              </w:rPr>
            </w:pPr>
          </w:p>
        </w:tc>
        <w:tc>
          <w:tcPr>
            <w:tcW w:w="1580" w:type="dxa"/>
            <w:vAlign w:val="bottom"/>
            <w:tcBorders>
              <w:bottom w:val="single" w:sz="8" w:color="auto"/>
              <w:right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060" w:type="dxa"/>
            <w:vAlign w:val="bottom"/>
            <w:tcBorders>
              <w:bottom w:val="single" w:sz="8" w:color="auto"/>
              <w:right w:val="single" w:sz="8" w:color="auto"/>
            </w:tcBorders>
          </w:tcPr>
          <w:p>
            <w:pPr>
              <w:spacing w:after="0"/>
              <w:rPr>
                <w:sz w:val="12"/>
                <w:szCs w:val="12"/>
                <w:color w:val="auto"/>
              </w:rPr>
            </w:pPr>
          </w:p>
        </w:tc>
        <w:tc>
          <w:tcPr>
            <w:tcW w:w="1360" w:type="dxa"/>
            <w:vAlign w:val="bottom"/>
            <w:tcBorders>
              <w:bottom w:val="single" w:sz="8" w:color="auto"/>
              <w:right w:val="single" w:sz="8" w:color="auto"/>
            </w:tcBorders>
          </w:tcPr>
          <w:p>
            <w:pPr>
              <w:spacing w:after="0"/>
              <w:rPr>
                <w:sz w:val="12"/>
                <w:szCs w:val="12"/>
                <w:color w:val="auto"/>
              </w:rPr>
            </w:pPr>
          </w:p>
        </w:tc>
        <w:tc>
          <w:tcPr>
            <w:tcW w:w="1560" w:type="dxa"/>
            <w:vAlign w:val="bottom"/>
            <w:tcBorders>
              <w:bottom w:val="single" w:sz="8" w:color="auto"/>
              <w:right w:val="single" w:sz="8" w:color="auto"/>
            </w:tcBorders>
          </w:tcPr>
          <w:p>
            <w:pPr>
              <w:spacing w:after="0"/>
              <w:rPr>
                <w:sz w:val="12"/>
                <w:szCs w:val="12"/>
                <w:color w:val="auto"/>
              </w:rPr>
            </w:pPr>
          </w:p>
        </w:tc>
        <w:tc>
          <w:tcPr>
            <w:tcW w:w="15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314960</wp:posOffset>
            </wp:positionV>
            <wp:extent cx="1787525"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787525" cy="7620"/>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jc w:val="both"/>
        <w:ind w:left="601" w:hanging="601"/>
        <w:spacing w:after="0" w:line="284" w:lineRule="auto"/>
        <w:tabs>
          <w:tab w:leader="none" w:pos="601"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threshold and target numbers for Messrs. Novaes and Bourque are their respective division-level numbers. To the extent that Company-level performance is included in computing their actual bonuses as explained above, the applicable threshold and target numbers with respect to Company-level performance are the same as set forth for Messrs. Donahue, Kelly and Gifford.</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40</w:t>
      </w:r>
    </w:p>
    <w:p>
      <w:pPr>
        <w:sectPr>
          <w:pgSz w:w="11900" w:h="16838" w:orient="portrait"/>
          <w:cols w:equalWidth="0" w:num="1">
            <w:col w:w="11241"/>
          </w:cols>
          <w:pgMar w:left="319" w:top="443" w:right="339" w:bottom="1440" w:gutter="0" w:footer="0" w:header="0"/>
        </w:sectPr>
      </w:pPr>
    </w:p>
    <w:bookmarkStart w:id="44" w:name="page45"/>
    <w:bookmarkEnd w:id="44"/>
    <w:p>
      <w:pPr>
        <w:jc w:val="both"/>
        <w:ind w:firstLine="595"/>
        <w:spacing w:after="0" w:line="254" w:lineRule="auto"/>
        <w:rPr>
          <w:sz w:val="20"/>
          <w:szCs w:val="20"/>
          <w:color w:val="auto"/>
        </w:rPr>
      </w:pPr>
      <w:r>
        <w:rPr>
          <w:rFonts w:ascii="Arial" w:cs="Arial" w:eastAsia="Arial" w:hAnsi="Arial"/>
          <w:sz w:val="19"/>
          <w:szCs w:val="19"/>
          <w:i w:val="1"/>
          <w:iCs w:val="1"/>
          <w:color w:val="auto"/>
        </w:rPr>
        <w:t>2019 Bonus Calculations</w:t>
      </w:r>
      <w:r>
        <w:rPr>
          <w:rFonts w:ascii="Arial" w:cs="Arial" w:eastAsia="Arial" w:hAnsi="Arial"/>
          <w:sz w:val="19"/>
          <w:szCs w:val="19"/>
          <w:color w:val="auto"/>
        </w:rPr>
        <w:t>. Messrs. Donahue, Gifford and Kelly received bonuses under the AIB Plan equal to 123.5% of their</w:t>
      </w:r>
      <w:r>
        <w:rPr>
          <w:rFonts w:ascii="Arial" w:cs="Arial" w:eastAsia="Arial" w:hAnsi="Arial"/>
          <w:sz w:val="19"/>
          <w:szCs w:val="19"/>
          <w:i w:val="1"/>
          <w:iCs w:val="1"/>
          <w:color w:val="auto"/>
        </w:rPr>
        <w:t xml:space="preserve"> </w:t>
      </w:r>
      <w:r>
        <w:rPr>
          <w:rFonts w:ascii="Arial" w:cs="Arial" w:eastAsia="Arial" w:hAnsi="Arial"/>
          <w:sz w:val="19"/>
          <w:szCs w:val="19"/>
          <w:color w:val="auto"/>
        </w:rPr>
        <w:t>respective target bonus amounts. For Messrs. Donahue, Gifford and Kelly, 86.8% was attributable to modified operating cash flow and 36.7% to economic profit. Mr. Novaes received a bonus under the AIB Plan equal to 192.9% of his target bonus amount, 85.6% attributable to modified operating cash flow and 107.3% to economic profit. Mr. Bourque received a bonus under the AIB Plan equal to 150.7% of his target bonus amount, 117.4% attributable to modified operating cash flow and 33.3% to economic profit.</w:t>
      </w:r>
    </w:p>
    <w:p>
      <w:pPr>
        <w:spacing w:after="0" w:line="177" w:lineRule="exact"/>
        <w:rPr>
          <w:sz w:val="20"/>
          <w:szCs w:val="20"/>
          <w:color w:val="auto"/>
        </w:rPr>
      </w:pPr>
    </w:p>
    <w:p>
      <w:pPr>
        <w:jc w:val="both"/>
        <w:ind w:firstLine="595"/>
        <w:spacing w:after="0" w:line="264" w:lineRule="auto"/>
        <w:rPr>
          <w:sz w:val="20"/>
          <w:szCs w:val="20"/>
          <w:color w:val="auto"/>
        </w:rPr>
      </w:pPr>
      <w:r>
        <w:rPr>
          <w:rFonts w:ascii="Arial" w:cs="Arial" w:eastAsia="Arial" w:hAnsi="Arial"/>
          <w:sz w:val="18"/>
          <w:szCs w:val="18"/>
          <w:b w:val="1"/>
          <w:bCs w:val="1"/>
          <w:color w:val="auto"/>
        </w:rPr>
        <w:t xml:space="preserve">Long-Term Equity Incentives. </w:t>
      </w:r>
      <w:r>
        <w:rPr>
          <w:rFonts w:ascii="Arial" w:cs="Arial" w:eastAsia="Arial" w:hAnsi="Arial"/>
          <w:sz w:val="18"/>
          <w:szCs w:val="18"/>
          <w:color w:val="auto"/>
        </w:rPr>
        <w:t>The Committee believes that equity-based incentives, delivered through annual grants of time-based</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restricted stock and performance-based restricted stock, are an important link between executive and Shareholder interests. Because the Committee believes that a significant portion of the benefits realized from long-term equity-based incentive grants should require continuous improvement in value created for the Shareholders, approximately two-thirds of the targeted value of stock awards to NEOs is performance-based. In the 2019 grants, the Company used total shareholder return (“TSR”) and return on invested capital (“ROIC”) as the two performance metrics for purposes of vesting performance-based shares. The Committee believes that the use of TSR and ROIC aligns the Company’s long-term incentive plan with its peers and with current market practice. Although the Committee may vary the size of annual grants based on the Company’s and executive’s performance, the total annual equity award granted to each NEO is generally determined based upon the difference between the total direct compensation target established by the Committee, using the competitive market benchmarking and internal factors described above, and the sum of the NEO’s base salary and target annual incentive bonus. See “Compensation Strategy for CEO” and “Compensation Strategy for NEOs other than the CEO.”</w:t>
      </w:r>
    </w:p>
    <w:p>
      <w:pPr>
        <w:spacing w:after="0" w:line="181" w:lineRule="exact"/>
        <w:rPr>
          <w:sz w:val="20"/>
          <w:szCs w:val="20"/>
          <w:color w:val="auto"/>
        </w:rPr>
      </w:pPr>
    </w:p>
    <w:p>
      <w:pPr>
        <w:jc w:val="both"/>
        <w:ind w:firstLine="595"/>
        <w:spacing w:after="0" w:line="284" w:lineRule="auto"/>
        <w:rPr>
          <w:sz w:val="20"/>
          <w:szCs w:val="20"/>
          <w:color w:val="auto"/>
        </w:rPr>
      </w:pPr>
      <w:r>
        <w:rPr>
          <w:rFonts w:ascii="Arial" w:cs="Arial" w:eastAsia="Arial" w:hAnsi="Arial"/>
          <w:sz w:val="18"/>
          <w:szCs w:val="18"/>
          <w:color w:val="auto"/>
        </w:rPr>
        <w:t>Equity awards to NEOs are generally made by the Committee each year in the form of restricted stock as part of the normal annual compensation review cycle. The awards for a particular year generally occur in January or February. In addition, the Committee may approve equity awards for newly-hired executives or in recognition of an executive’s promotion or expansion of responsibilities.</w:t>
      </w:r>
    </w:p>
    <w:p>
      <w:pPr>
        <w:spacing w:after="0" w:line="71" w:lineRule="exact"/>
        <w:rPr>
          <w:sz w:val="20"/>
          <w:szCs w:val="20"/>
          <w:color w:val="auto"/>
        </w:rPr>
      </w:pPr>
    </w:p>
    <w:p>
      <w:pPr>
        <w:ind w:left="600"/>
        <w:spacing w:after="0"/>
        <w:rPr>
          <w:sz w:val="20"/>
          <w:szCs w:val="20"/>
          <w:color w:val="auto"/>
        </w:rPr>
      </w:pPr>
      <w:r>
        <w:rPr>
          <w:rFonts w:ascii="Arial" w:cs="Arial" w:eastAsia="Arial" w:hAnsi="Arial"/>
          <w:sz w:val="20"/>
          <w:szCs w:val="20"/>
          <w:color w:val="auto"/>
        </w:rPr>
        <w:t>The Committee approved the following award structure for 2019:</w:t>
      </w:r>
    </w:p>
    <w:p>
      <w:pPr>
        <w:spacing w:after="0" w:line="155" w:lineRule="exact"/>
        <w:rPr>
          <w:sz w:val="20"/>
          <w:szCs w:val="20"/>
          <w:color w:val="auto"/>
        </w:rPr>
      </w:pPr>
    </w:p>
    <w:p>
      <w:pPr>
        <w:jc w:val="both"/>
        <w:ind w:left="1120" w:hanging="439"/>
        <w:spacing w:after="0" w:line="243" w:lineRule="auto"/>
        <w:tabs>
          <w:tab w:leader="none" w:pos="1120" w:val="left"/>
        </w:tabs>
        <w:numPr>
          <w:ilvl w:val="0"/>
          <w:numId w:val="30"/>
        </w:numPr>
        <w:rPr>
          <w:rFonts w:ascii="Arial" w:cs="Arial" w:eastAsia="Arial" w:hAnsi="Arial"/>
          <w:sz w:val="20"/>
          <w:szCs w:val="20"/>
          <w:color w:val="auto"/>
        </w:rPr>
      </w:pPr>
      <w:r>
        <w:rPr>
          <w:rFonts w:ascii="Arial" w:cs="Arial" w:eastAsia="Arial" w:hAnsi="Arial"/>
          <w:sz w:val="20"/>
          <w:szCs w:val="20"/>
          <w:i w:val="1"/>
          <w:iCs w:val="1"/>
          <w:color w:val="auto"/>
        </w:rPr>
        <w:t>Target Award Levels</w:t>
      </w:r>
      <w:r>
        <w:rPr>
          <w:rFonts w:ascii="Arial" w:cs="Arial" w:eastAsia="Arial" w:hAnsi="Arial"/>
          <w:sz w:val="20"/>
          <w:szCs w:val="20"/>
          <w:color w:val="auto"/>
        </w:rPr>
        <w:t>. Award levels were generally set to deliver target total direct compensation (sum of base salary, annual</w:t>
      </w:r>
      <w:r>
        <w:rPr>
          <w:rFonts w:ascii="Arial" w:cs="Arial" w:eastAsia="Arial" w:hAnsi="Arial"/>
          <w:sz w:val="20"/>
          <w:szCs w:val="20"/>
          <w:i w:val="1"/>
          <w:iCs w:val="1"/>
          <w:color w:val="auto"/>
        </w:rPr>
        <w:t xml:space="preserve"> </w:t>
      </w:r>
      <w:r>
        <w:rPr>
          <w:rFonts w:ascii="Arial" w:cs="Arial" w:eastAsia="Arial" w:hAnsi="Arial"/>
          <w:sz w:val="20"/>
          <w:szCs w:val="20"/>
          <w:color w:val="auto"/>
        </w:rPr>
        <w:t>and long-term equity incentives) in the middle range of the Peer Group after taking into account the competitive positioning of the executives’ target total cash compensation.</w:t>
      </w:r>
    </w:p>
    <w:p>
      <w:pPr>
        <w:spacing w:after="0" w:line="70" w:lineRule="exact"/>
        <w:rPr>
          <w:rFonts w:ascii="Arial" w:cs="Arial" w:eastAsia="Arial" w:hAnsi="Arial"/>
          <w:sz w:val="20"/>
          <w:szCs w:val="20"/>
          <w:color w:val="auto"/>
        </w:rPr>
      </w:pPr>
    </w:p>
    <w:p>
      <w:pPr>
        <w:jc w:val="both"/>
        <w:ind w:left="1120" w:hanging="439"/>
        <w:spacing w:after="0" w:line="249" w:lineRule="auto"/>
        <w:tabs>
          <w:tab w:leader="none" w:pos="1120" w:val="left"/>
        </w:tabs>
        <w:numPr>
          <w:ilvl w:val="0"/>
          <w:numId w:val="30"/>
        </w:numPr>
        <w:rPr>
          <w:rFonts w:ascii="Arial" w:cs="Arial" w:eastAsia="Arial" w:hAnsi="Arial"/>
          <w:sz w:val="19"/>
          <w:szCs w:val="19"/>
          <w:color w:val="auto"/>
        </w:rPr>
      </w:pPr>
      <w:r>
        <w:rPr>
          <w:rFonts w:ascii="Arial" w:cs="Arial" w:eastAsia="Arial" w:hAnsi="Arial"/>
          <w:sz w:val="19"/>
          <w:szCs w:val="19"/>
          <w:i w:val="1"/>
          <w:iCs w:val="1"/>
          <w:color w:val="auto"/>
        </w:rPr>
        <w:t>Performance-Based Restricted Stock</w:t>
      </w:r>
      <w:r>
        <w:rPr>
          <w:rFonts w:ascii="Arial" w:cs="Arial" w:eastAsia="Arial" w:hAnsi="Arial"/>
          <w:sz w:val="19"/>
          <w:szCs w:val="19"/>
          <w:color w:val="auto"/>
        </w:rPr>
        <w:t>. Approximately two-thirds of an NEO’s targeted long-term equity incentive was</w:t>
      </w:r>
      <w:r>
        <w:rPr>
          <w:rFonts w:ascii="Arial" w:cs="Arial" w:eastAsia="Arial" w:hAnsi="Arial"/>
          <w:sz w:val="19"/>
          <w:szCs w:val="19"/>
          <w:i w:val="1"/>
          <w:iCs w:val="1"/>
          <w:color w:val="auto"/>
        </w:rPr>
        <w:t xml:space="preserve"> </w:t>
      </w:r>
      <w:r>
        <w:rPr>
          <w:rFonts w:ascii="Arial" w:cs="Arial" w:eastAsia="Arial" w:hAnsi="Arial"/>
          <w:sz w:val="19"/>
          <w:szCs w:val="19"/>
          <w:color w:val="auto"/>
        </w:rPr>
        <w:t>delivered in performance-based restricted stock, approximately half of which may be earned based on the Company’s TSR relative to a group of industry peers over a three-year performance period and approximately half of which may be earned based on ROIC over the same three-year performance period relative to the Company’s projected three-year average of return on invested capital. A target number of shares was established for 2019 for each NEO, as set forth in the “Grants of Plan-Based Awards” table in the Executive Compensation section below. Actual vesting of performance-based share awards generally will not occur until the third anniversary of the grant date, if at all. The Committee believes that, in addition to linking a substantial portion of our NEOs’ compensation to the long-term performance of the Company, the three-year vesting structure provides a strong retention element because an NEO terminating employment (other than for retirement with Committee approval, disability or death) will leave behind unvested awards.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41</w:t>
      </w:r>
    </w:p>
    <w:p>
      <w:pPr>
        <w:sectPr>
          <w:pgSz w:w="11900" w:h="16838" w:orient="portrait"/>
          <w:cols w:equalWidth="0" w:num="1">
            <w:col w:w="11240"/>
          </w:cols>
          <w:pgMar w:left="320" w:top="753" w:right="339" w:bottom="1440" w:gutter="0" w:footer="0" w:header="0"/>
        </w:sectPr>
      </w:pPr>
    </w:p>
    <w:bookmarkStart w:id="45" w:name="page46"/>
    <w:bookmarkEnd w:id="45"/>
    <w:p>
      <w:pPr>
        <w:jc w:val="both"/>
        <w:ind w:left="1120" w:hanging="439"/>
        <w:spacing w:after="0" w:line="262" w:lineRule="auto"/>
        <w:tabs>
          <w:tab w:leader="none" w:pos="1120" w:val="left"/>
        </w:tabs>
        <w:numPr>
          <w:ilvl w:val="0"/>
          <w:numId w:val="31"/>
        </w:numPr>
        <w:rPr>
          <w:rFonts w:ascii="Arial" w:cs="Arial" w:eastAsia="Arial" w:hAnsi="Arial"/>
          <w:sz w:val="19"/>
          <w:szCs w:val="19"/>
          <w:color w:val="auto"/>
        </w:rPr>
      </w:pPr>
      <w:r>
        <w:rPr>
          <w:rFonts w:ascii="Arial" w:cs="Arial" w:eastAsia="Arial" w:hAnsi="Arial"/>
          <w:sz w:val="19"/>
          <w:szCs w:val="19"/>
          <w:i w:val="1"/>
          <w:iCs w:val="1"/>
          <w:color w:val="auto"/>
        </w:rPr>
        <w:t>Time-Based Restricted Stock</w:t>
      </w:r>
      <w:r>
        <w:rPr>
          <w:rFonts w:ascii="Arial" w:cs="Arial" w:eastAsia="Arial" w:hAnsi="Arial"/>
          <w:sz w:val="19"/>
          <w:szCs w:val="19"/>
          <w:color w:val="auto"/>
        </w:rPr>
        <w:t>. Approximately one-third of an NEO’s targeted long-term equity incentive was delivered in time-based restricted stock that vests in equal annual installments over three years from the date of the award in the amounts set forth in the “Grants of Plan-Based Awards” table in the Executive Compensation section below.</w:t>
      </w:r>
    </w:p>
    <w:p>
      <w:pPr>
        <w:spacing w:after="0" w:line="177" w:lineRule="exact"/>
        <w:rPr>
          <w:sz w:val="20"/>
          <w:szCs w:val="20"/>
          <w:color w:val="auto"/>
        </w:rPr>
      </w:pPr>
    </w:p>
    <w:p>
      <w:pPr>
        <w:jc w:val="both"/>
        <w:ind w:firstLine="595"/>
        <w:spacing w:after="0"/>
        <w:rPr>
          <w:sz w:val="20"/>
          <w:szCs w:val="20"/>
          <w:color w:val="auto"/>
        </w:rPr>
      </w:pPr>
      <w:r>
        <w:rPr>
          <w:rFonts w:ascii="Arial" w:cs="Arial" w:eastAsia="Arial" w:hAnsi="Arial"/>
          <w:sz w:val="20"/>
          <w:szCs w:val="20"/>
          <w:i w:val="1"/>
          <w:iCs w:val="1"/>
          <w:color w:val="auto"/>
        </w:rPr>
        <w:t>Industry Peer Group Composition</w:t>
      </w:r>
      <w:r>
        <w:rPr>
          <w:rFonts w:ascii="Arial" w:cs="Arial" w:eastAsia="Arial" w:hAnsi="Arial"/>
          <w:sz w:val="20"/>
          <w:szCs w:val="20"/>
          <w:color w:val="auto"/>
        </w:rPr>
        <w:t>. The Committee believes that for purposes of comparing TSR it is appropriate to utilize a</w:t>
      </w:r>
      <w:r>
        <w:rPr>
          <w:rFonts w:ascii="Arial" w:cs="Arial" w:eastAsia="Arial" w:hAnsi="Arial"/>
          <w:sz w:val="20"/>
          <w:szCs w:val="20"/>
          <w:i w:val="1"/>
          <w:iCs w:val="1"/>
          <w:color w:val="auto"/>
        </w:rPr>
        <w:t xml:space="preserve"> </w:t>
      </w:r>
      <w:r>
        <w:rPr>
          <w:rFonts w:ascii="Arial" w:cs="Arial" w:eastAsia="Arial" w:hAnsi="Arial"/>
          <w:sz w:val="20"/>
          <w:szCs w:val="20"/>
          <w:color w:val="auto"/>
        </w:rPr>
        <w:t>recognized publicly available index of container and packaging industry companies as the peer group. As a result, with respect to determining shareholder return for 2019 grants, the Committee will use the Dow Jones U.S. Containers &amp; Packaging Index, currently comprising the Company and the following other companies:</w:t>
      </w:r>
    </w:p>
    <w:p>
      <w:pPr>
        <w:spacing w:after="0" w:line="165"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360" w:type="dxa"/>
            <w:vAlign w:val="bottom"/>
          </w:tcPr>
          <w:p>
            <w:pPr>
              <w:jc w:val="right"/>
              <w:ind w:right="281"/>
              <w:spacing w:after="0"/>
              <w:rPr>
                <w:sz w:val="20"/>
                <w:szCs w:val="20"/>
                <w:color w:val="auto"/>
              </w:rPr>
            </w:pPr>
            <w:r>
              <w:rPr>
                <w:rFonts w:ascii="Arial" w:cs="Arial" w:eastAsia="Arial" w:hAnsi="Arial"/>
                <w:sz w:val="8"/>
                <w:szCs w:val="8"/>
                <w:color w:val="auto"/>
                <w:w w:val="73"/>
              </w:rPr>
              <w:t>·</w:t>
            </w:r>
          </w:p>
        </w:tc>
        <w:tc>
          <w:tcPr>
            <w:tcW w:w="3540" w:type="dxa"/>
            <w:vAlign w:val="bottom"/>
          </w:tcPr>
          <w:p>
            <w:pPr>
              <w:ind w:left="320"/>
              <w:spacing w:after="0"/>
              <w:rPr>
                <w:sz w:val="20"/>
                <w:szCs w:val="20"/>
                <w:color w:val="auto"/>
              </w:rPr>
            </w:pPr>
            <w:r>
              <w:rPr>
                <w:rFonts w:ascii="Arial" w:cs="Arial" w:eastAsia="Arial" w:hAnsi="Arial"/>
                <w:sz w:val="20"/>
                <w:szCs w:val="20"/>
                <w:color w:val="auto"/>
              </w:rPr>
              <w:t>AptarGroup</w:t>
            </w:r>
          </w:p>
        </w:tc>
        <w:tc>
          <w:tcPr>
            <w:tcW w:w="1300" w:type="dxa"/>
            <w:vAlign w:val="bottom"/>
          </w:tcPr>
          <w:p>
            <w:pPr>
              <w:jc w:val="right"/>
              <w:ind w:right="221"/>
              <w:spacing w:after="0"/>
              <w:rPr>
                <w:sz w:val="20"/>
                <w:szCs w:val="20"/>
                <w:color w:val="auto"/>
              </w:rPr>
            </w:pPr>
            <w:r>
              <w:rPr>
                <w:rFonts w:ascii="Arial" w:cs="Arial" w:eastAsia="Arial" w:hAnsi="Arial"/>
                <w:sz w:val="20"/>
                <w:szCs w:val="20"/>
                <w:color w:val="auto"/>
              </w:rPr>
              <w:t>·</w:t>
            </w:r>
          </w:p>
        </w:tc>
        <w:tc>
          <w:tcPr>
            <w:tcW w:w="3080" w:type="dxa"/>
            <w:vAlign w:val="bottom"/>
          </w:tcPr>
          <w:p>
            <w:pPr>
              <w:ind w:left="300"/>
              <w:spacing w:after="0"/>
              <w:rPr>
                <w:sz w:val="20"/>
                <w:szCs w:val="20"/>
                <w:color w:val="auto"/>
              </w:rPr>
            </w:pPr>
            <w:r>
              <w:rPr>
                <w:rFonts w:ascii="Arial" w:cs="Arial" w:eastAsia="Arial" w:hAnsi="Arial"/>
                <w:sz w:val="20"/>
                <w:szCs w:val="20"/>
                <w:color w:val="auto"/>
              </w:rPr>
              <w:t>O-I Glass</w:t>
            </w:r>
          </w:p>
        </w:tc>
      </w:tr>
      <w:tr>
        <w:trPr>
          <w:trHeight w:val="223"/>
        </w:trPr>
        <w:tc>
          <w:tcPr>
            <w:tcW w:w="360" w:type="dxa"/>
            <w:vAlign w:val="bottom"/>
          </w:tcPr>
          <w:p>
            <w:pPr>
              <w:jc w:val="right"/>
              <w:ind w:right="281"/>
              <w:spacing w:after="0"/>
              <w:rPr>
                <w:sz w:val="20"/>
                <w:szCs w:val="20"/>
                <w:color w:val="auto"/>
              </w:rPr>
            </w:pPr>
            <w:r>
              <w:rPr>
                <w:rFonts w:ascii="Arial" w:cs="Arial" w:eastAsia="Arial" w:hAnsi="Arial"/>
                <w:sz w:val="8"/>
                <w:szCs w:val="8"/>
                <w:color w:val="auto"/>
                <w:w w:val="73"/>
              </w:rPr>
              <w:t>·</w:t>
            </w:r>
          </w:p>
        </w:tc>
        <w:tc>
          <w:tcPr>
            <w:tcW w:w="3540" w:type="dxa"/>
            <w:vAlign w:val="bottom"/>
          </w:tcPr>
          <w:p>
            <w:pPr>
              <w:ind w:left="320"/>
              <w:spacing w:after="0" w:line="223" w:lineRule="exact"/>
              <w:rPr>
                <w:sz w:val="20"/>
                <w:szCs w:val="20"/>
                <w:color w:val="auto"/>
              </w:rPr>
            </w:pPr>
            <w:r>
              <w:rPr>
                <w:rFonts w:ascii="Arial" w:cs="Arial" w:eastAsia="Arial" w:hAnsi="Arial"/>
                <w:sz w:val="20"/>
                <w:szCs w:val="20"/>
                <w:color w:val="auto"/>
              </w:rPr>
              <w:t>Avery Dennison Corporation</w:t>
            </w:r>
          </w:p>
        </w:tc>
        <w:tc>
          <w:tcPr>
            <w:tcW w:w="1300" w:type="dxa"/>
            <w:vAlign w:val="bottom"/>
          </w:tcPr>
          <w:p>
            <w:pPr>
              <w:jc w:val="right"/>
              <w:ind w:right="221"/>
              <w:spacing w:after="0" w:line="223" w:lineRule="exact"/>
              <w:rPr>
                <w:sz w:val="20"/>
                <w:szCs w:val="20"/>
                <w:color w:val="auto"/>
              </w:rPr>
            </w:pPr>
            <w:r>
              <w:rPr>
                <w:rFonts w:ascii="Arial" w:cs="Arial" w:eastAsia="Arial" w:hAnsi="Arial"/>
                <w:sz w:val="20"/>
                <w:szCs w:val="20"/>
                <w:color w:val="auto"/>
              </w:rPr>
              <w:t>·</w:t>
            </w:r>
          </w:p>
        </w:tc>
        <w:tc>
          <w:tcPr>
            <w:tcW w:w="3080" w:type="dxa"/>
            <w:vAlign w:val="bottom"/>
          </w:tcPr>
          <w:p>
            <w:pPr>
              <w:ind w:left="300"/>
              <w:spacing w:after="0" w:line="223" w:lineRule="exact"/>
              <w:rPr>
                <w:sz w:val="20"/>
                <w:szCs w:val="20"/>
                <w:color w:val="auto"/>
              </w:rPr>
            </w:pPr>
            <w:r>
              <w:rPr>
                <w:rFonts w:ascii="Arial" w:cs="Arial" w:eastAsia="Arial" w:hAnsi="Arial"/>
                <w:sz w:val="20"/>
                <w:szCs w:val="20"/>
                <w:color w:val="auto"/>
                <w:w w:val="90"/>
              </w:rPr>
              <w:t>Packaging Corporation of America</w:t>
            </w:r>
          </w:p>
        </w:tc>
      </w:tr>
      <w:tr>
        <w:trPr>
          <w:trHeight w:val="223"/>
        </w:trPr>
        <w:tc>
          <w:tcPr>
            <w:tcW w:w="360" w:type="dxa"/>
            <w:vAlign w:val="bottom"/>
          </w:tcPr>
          <w:p>
            <w:pPr>
              <w:jc w:val="right"/>
              <w:ind w:right="281"/>
              <w:spacing w:after="0"/>
              <w:rPr>
                <w:sz w:val="20"/>
                <w:szCs w:val="20"/>
                <w:color w:val="auto"/>
              </w:rPr>
            </w:pPr>
            <w:r>
              <w:rPr>
                <w:rFonts w:ascii="Arial" w:cs="Arial" w:eastAsia="Arial" w:hAnsi="Arial"/>
                <w:sz w:val="8"/>
                <w:szCs w:val="8"/>
                <w:color w:val="auto"/>
                <w:w w:val="73"/>
              </w:rPr>
              <w:t>·</w:t>
            </w:r>
          </w:p>
        </w:tc>
        <w:tc>
          <w:tcPr>
            <w:tcW w:w="3540" w:type="dxa"/>
            <w:vAlign w:val="bottom"/>
          </w:tcPr>
          <w:p>
            <w:pPr>
              <w:ind w:left="320"/>
              <w:spacing w:after="0" w:line="223" w:lineRule="exact"/>
              <w:rPr>
                <w:sz w:val="20"/>
                <w:szCs w:val="20"/>
                <w:color w:val="auto"/>
              </w:rPr>
            </w:pPr>
            <w:r>
              <w:rPr>
                <w:rFonts w:ascii="Arial" w:cs="Arial" w:eastAsia="Arial" w:hAnsi="Arial"/>
                <w:sz w:val="20"/>
                <w:szCs w:val="20"/>
                <w:color w:val="auto"/>
              </w:rPr>
              <w:t>Ball Corporation</w:t>
            </w:r>
          </w:p>
        </w:tc>
        <w:tc>
          <w:tcPr>
            <w:tcW w:w="1300" w:type="dxa"/>
            <w:vAlign w:val="bottom"/>
          </w:tcPr>
          <w:p>
            <w:pPr>
              <w:jc w:val="right"/>
              <w:ind w:right="221"/>
              <w:spacing w:after="0" w:line="223" w:lineRule="exact"/>
              <w:rPr>
                <w:sz w:val="20"/>
                <w:szCs w:val="20"/>
                <w:color w:val="auto"/>
              </w:rPr>
            </w:pPr>
            <w:r>
              <w:rPr>
                <w:rFonts w:ascii="Arial" w:cs="Arial" w:eastAsia="Arial" w:hAnsi="Arial"/>
                <w:sz w:val="20"/>
                <w:szCs w:val="20"/>
                <w:color w:val="auto"/>
              </w:rPr>
              <w:t>·</w:t>
            </w:r>
          </w:p>
        </w:tc>
        <w:tc>
          <w:tcPr>
            <w:tcW w:w="3080" w:type="dxa"/>
            <w:vAlign w:val="bottom"/>
          </w:tcPr>
          <w:p>
            <w:pPr>
              <w:ind w:left="300"/>
              <w:spacing w:after="0" w:line="223" w:lineRule="exact"/>
              <w:rPr>
                <w:sz w:val="20"/>
                <w:szCs w:val="20"/>
                <w:color w:val="auto"/>
              </w:rPr>
            </w:pPr>
            <w:r>
              <w:rPr>
                <w:rFonts w:ascii="Arial" w:cs="Arial" w:eastAsia="Arial" w:hAnsi="Arial"/>
                <w:sz w:val="20"/>
                <w:szCs w:val="20"/>
                <w:color w:val="auto"/>
              </w:rPr>
              <w:t>Sealed Air Corporation</w:t>
            </w:r>
          </w:p>
        </w:tc>
      </w:tr>
      <w:tr>
        <w:trPr>
          <w:trHeight w:val="223"/>
        </w:trPr>
        <w:tc>
          <w:tcPr>
            <w:tcW w:w="360" w:type="dxa"/>
            <w:vAlign w:val="bottom"/>
          </w:tcPr>
          <w:p>
            <w:pPr>
              <w:jc w:val="right"/>
              <w:ind w:right="281"/>
              <w:spacing w:after="0"/>
              <w:rPr>
                <w:sz w:val="20"/>
                <w:szCs w:val="20"/>
                <w:color w:val="auto"/>
              </w:rPr>
            </w:pPr>
            <w:r>
              <w:rPr>
                <w:rFonts w:ascii="Arial" w:cs="Arial" w:eastAsia="Arial" w:hAnsi="Arial"/>
                <w:sz w:val="8"/>
                <w:szCs w:val="8"/>
                <w:color w:val="auto"/>
                <w:w w:val="73"/>
              </w:rPr>
              <w:t>·</w:t>
            </w:r>
          </w:p>
        </w:tc>
        <w:tc>
          <w:tcPr>
            <w:tcW w:w="3540" w:type="dxa"/>
            <w:vAlign w:val="bottom"/>
          </w:tcPr>
          <w:p>
            <w:pPr>
              <w:ind w:left="320"/>
              <w:spacing w:after="0" w:line="223" w:lineRule="exact"/>
              <w:rPr>
                <w:sz w:val="20"/>
                <w:szCs w:val="20"/>
                <w:color w:val="auto"/>
              </w:rPr>
            </w:pPr>
            <w:r>
              <w:rPr>
                <w:rFonts w:ascii="Arial" w:cs="Arial" w:eastAsia="Arial" w:hAnsi="Arial"/>
                <w:sz w:val="20"/>
                <w:szCs w:val="20"/>
                <w:color w:val="auto"/>
              </w:rPr>
              <w:t>Berry Global Group</w:t>
            </w:r>
          </w:p>
        </w:tc>
        <w:tc>
          <w:tcPr>
            <w:tcW w:w="1300" w:type="dxa"/>
            <w:vAlign w:val="bottom"/>
          </w:tcPr>
          <w:p>
            <w:pPr>
              <w:jc w:val="right"/>
              <w:ind w:right="221"/>
              <w:spacing w:after="0" w:line="223" w:lineRule="exact"/>
              <w:rPr>
                <w:sz w:val="20"/>
                <w:szCs w:val="20"/>
                <w:color w:val="auto"/>
              </w:rPr>
            </w:pPr>
            <w:r>
              <w:rPr>
                <w:rFonts w:ascii="Arial" w:cs="Arial" w:eastAsia="Arial" w:hAnsi="Arial"/>
                <w:sz w:val="20"/>
                <w:szCs w:val="20"/>
                <w:color w:val="auto"/>
              </w:rPr>
              <w:t>·</w:t>
            </w:r>
          </w:p>
        </w:tc>
        <w:tc>
          <w:tcPr>
            <w:tcW w:w="3080" w:type="dxa"/>
            <w:vAlign w:val="bottom"/>
          </w:tcPr>
          <w:p>
            <w:pPr>
              <w:ind w:left="300"/>
              <w:spacing w:after="0" w:line="223" w:lineRule="exact"/>
              <w:rPr>
                <w:sz w:val="20"/>
                <w:szCs w:val="20"/>
                <w:color w:val="auto"/>
              </w:rPr>
            </w:pPr>
            <w:r>
              <w:rPr>
                <w:rFonts w:ascii="Arial" w:cs="Arial" w:eastAsia="Arial" w:hAnsi="Arial"/>
                <w:sz w:val="20"/>
                <w:szCs w:val="20"/>
                <w:color w:val="auto"/>
              </w:rPr>
              <w:t>Silgan Holdings</w:t>
            </w:r>
          </w:p>
        </w:tc>
      </w:tr>
      <w:tr>
        <w:trPr>
          <w:trHeight w:val="223"/>
        </w:trPr>
        <w:tc>
          <w:tcPr>
            <w:tcW w:w="360" w:type="dxa"/>
            <w:vAlign w:val="bottom"/>
          </w:tcPr>
          <w:p>
            <w:pPr>
              <w:jc w:val="right"/>
              <w:ind w:right="281"/>
              <w:spacing w:after="0"/>
              <w:rPr>
                <w:sz w:val="20"/>
                <w:szCs w:val="20"/>
                <w:color w:val="auto"/>
              </w:rPr>
            </w:pPr>
            <w:r>
              <w:rPr>
                <w:rFonts w:ascii="Arial" w:cs="Arial" w:eastAsia="Arial" w:hAnsi="Arial"/>
                <w:sz w:val="8"/>
                <w:szCs w:val="8"/>
                <w:color w:val="auto"/>
                <w:w w:val="73"/>
              </w:rPr>
              <w:t>·</w:t>
            </w:r>
          </w:p>
        </w:tc>
        <w:tc>
          <w:tcPr>
            <w:tcW w:w="3540" w:type="dxa"/>
            <w:vAlign w:val="bottom"/>
          </w:tcPr>
          <w:p>
            <w:pPr>
              <w:ind w:left="320"/>
              <w:spacing w:after="0" w:line="223" w:lineRule="exact"/>
              <w:rPr>
                <w:sz w:val="20"/>
                <w:szCs w:val="20"/>
                <w:color w:val="auto"/>
              </w:rPr>
            </w:pPr>
            <w:r>
              <w:rPr>
                <w:rFonts w:ascii="Arial" w:cs="Arial" w:eastAsia="Arial" w:hAnsi="Arial"/>
                <w:sz w:val="20"/>
                <w:szCs w:val="20"/>
                <w:color w:val="auto"/>
              </w:rPr>
              <w:t>Graphic Packaging</w:t>
            </w:r>
          </w:p>
        </w:tc>
        <w:tc>
          <w:tcPr>
            <w:tcW w:w="1300" w:type="dxa"/>
            <w:vAlign w:val="bottom"/>
          </w:tcPr>
          <w:p>
            <w:pPr>
              <w:jc w:val="right"/>
              <w:ind w:right="221"/>
              <w:spacing w:after="0" w:line="223" w:lineRule="exact"/>
              <w:rPr>
                <w:sz w:val="20"/>
                <w:szCs w:val="20"/>
                <w:color w:val="auto"/>
              </w:rPr>
            </w:pPr>
            <w:r>
              <w:rPr>
                <w:rFonts w:ascii="Arial" w:cs="Arial" w:eastAsia="Arial" w:hAnsi="Arial"/>
                <w:sz w:val="20"/>
                <w:szCs w:val="20"/>
                <w:color w:val="auto"/>
              </w:rPr>
              <w:t>·</w:t>
            </w:r>
          </w:p>
        </w:tc>
        <w:tc>
          <w:tcPr>
            <w:tcW w:w="3080" w:type="dxa"/>
            <w:vAlign w:val="bottom"/>
          </w:tcPr>
          <w:p>
            <w:pPr>
              <w:ind w:left="300"/>
              <w:spacing w:after="0" w:line="223" w:lineRule="exact"/>
              <w:rPr>
                <w:sz w:val="20"/>
                <w:szCs w:val="20"/>
                <w:color w:val="auto"/>
              </w:rPr>
            </w:pPr>
            <w:r>
              <w:rPr>
                <w:rFonts w:ascii="Arial" w:cs="Arial" w:eastAsia="Arial" w:hAnsi="Arial"/>
                <w:sz w:val="20"/>
                <w:szCs w:val="20"/>
                <w:color w:val="auto"/>
              </w:rPr>
              <w:t>Sonoco Products Company</w:t>
            </w:r>
          </w:p>
        </w:tc>
      </w:tr>
      <w:tr>
        <w:trPr>
          <w:trHeight w:val="251"/>
        </w:trPr>
        <w:tc>
          <w:tcPr>
            <w:tcW w:w="360" w:type="dxa"/>
            <w:vAlign w:val="bottom"/>
          </w:tcPr>
          <w:p>
            <w:pPr>
              <w:jc w:val="right"/>
              <w:ind w:right="281"/>
              <w:spacing w:after="0"/>
              <w:rPr>
                <w:sz w:val="20"/>
                <w:szCs w:val="20"/>
                <w:color w:val="auto"/>
              </w:rPr>
            </w:pPr>
            <w:r>
              <w:rPr>
                <w:rFonts w:ascii="Arial" w:cs="Arial" w:eastAsia="Arial" w:hAnsi="Arial"/>
                <w:sz w:val="8"/>
                <w:szCs w:val="8"/>
                <w:color w:val="auto"/>
                <w:w w:val="73"/>
              </w:rPr>
              <w:t>·</w:t>
            </w:r>
          </w:p>
        </w:tc>
        <w:tc>
          <w:tcPr>
            <w:tcW w:w="3540" w:type="dxa"/>
            <w:vAlign w:val="bottom"/>
          </w:tcPr>
          <w:p>
            <w:pPr>
              <w:ind w:left="320"/>
              <w:spacing w:after="0"/>
              <w:rPr>
                <w:sz w:val="20"/>
                <w:szCs w:val="20"/>
                <w:color w:val="auto"/>
              </w:rPr>
            </w:pPr>
            <w:r>
              <w:rPr>
                <w:rFonts w:ascii="Arial" w:cs="Arial" w:eastAsia="Arial" w:hAnsi="Arial"/>
                <w:sz w:val="20"/>
                <w:szCs w:val="20"/>
                <w:color w:val="auto"/>
              </w:rPr>
              <w:t>International Paper</w:t>
            </w:r>
          </w:p>
        </w:tc>
        <w:tc>
          <w:tcPr>
            <w:tcW w:w="1300" w:type="dxa"/>
            <w:vAlign w:val="bottom"/>
          </w:tcPr>
          <w:p>
            <w:pPr>
              <w:jc w:val="right"/>
              <w:ind w:right="221"/>
              <w:spacing w:after="0"/>
              <w:rPr>
                <w:sz w:val="20"/>
                <w:szCs w:val="20"/>
                <w:color w:val="auto"/>
              </w:rPr>
            </w:pPr>
            <w:r>
              <w:rPr>
                <w:rFonts w:ascii="Arial" w:cs="Arial" w:eastAsia="Arial" w:hAnsi="Arial"/>
                <w:sz w:val="20"/>
                <w:szCs w:val="20"/>
                <w:color w:val="auto"/>
              </w:rPr>
              <w:t>·</w:t>
            </w:r>
          </w:p>
        </w:tc>
        <w:tc>
          <w:tcPr>
            <w:tcW w:w="3080" w:type="dxa"/>
            <w:vAlign w:val="bottom"/>
          </w:tcPr>
          <w:p>
            <w:pPr>
              <w:ind w:left="300"/>
              <w:spacing w:after="0"/>
              <w:rPr>
                <w:sz w:val="20"/>
                <w:szCs w:val="20"/>
                <w:color w:val="auto"/>
              </w:rPr>
            </w:pPr>
            <w:r>
              <w:rPr>
                <w:rFonts w:ascii="Arial" w:cs="Arial" w:eastAsia="Arial" w:hAnsi="Arial"/>
                <w:sz w:val="20"/>
                <w:szCs w:val="20"/>
                <w:color w:val="auto"/>
              </w:rPr>
              <w:t>WestRock</w:t>
            </w:r>
          </w:p>
        </w:tc>
      </w:tr>
    </w:tbl>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160" w:firstLine="595"/>
        <w:spacing w:after="0" w:line="254" w:lineRule="auto"/>
        <w:rPr>
          <w:sz w:val="20"/>
          <w:szCs w:val="20"/>
          <w:color w:val="auto"/>
        </w:rPr>
      </w:pPr>
      <w:r>
        <w:rPr>
          <w:rFonts w:ascii="Arial" w:cs="Arial" w:eastAsia="Arial" w:hAnsi="Arial"/>
          <w:sz w:val="20"/>
          <w:szCs w:val="20"/>
          <w:i w:val="1"/>
          <w:iCs w:val="1"/>
          <w:color w:val="auto"/>
        </w:rPr>
        <w:t>Performance Vesting Schedule for TSR-Based Awards</w:t>
      </w:r>
      <w:r>
        <w:rPr>
          <w:rFonts w:ascii="Arial" w:cs="Arial" w:eastAsia="Arial" w:hAnsi="Arial"/>
          <w:sz w:val="20"/>
          <w:szCs w:val="20"/>
          <w:color w:val="auto"/>
        </w:rPr>
        <w:t>. The Committee determined that, for the portion of performance-based shares</w:t>
      </w:r>
      <w:r>
        <w:rPr>
          <w:rFonts w:ascii="Arial" w:cs="Arial" w:eastAsia="Arial" w:hAnsi="Arial"/>
          <w:sz w:val="20"/>
          <w:szCs w:val="20"/>
          <w:i w:val="1"/>
          <w:iCs w:val="1"/>
          <w:color w:val="auto"/>
        </w:rPr>
        <w:t xml:space="preserve"> </w:t>
      </w:r>
      <w:r>
        <w:rPr>
          <w:rFonts w:ascii="Arial" w:cs="Arial" w:eastAsia="Arial" w:hAnsi="Arial"/>
          <w:sz w:val="20"/>
          <w:szCs w:val="20"/>
          <w:color w:val="auto"/>
        </w:rPr>
        <w:t>vesting on the basis of TSR, such shares would vest based on the following schedule.</w:t>
      </w:r>
    </w:p>
    <w:p>
      <w:pPr>
        <w:spacing w:after="0" w:line="257" w:lineRule="exact"/>
        <w:rPr>
          <w:sz w:val="20"/>
          <w:szCs w:val="20"/>
          <w:color w:val="auto"/>
        </w:rPr>
      </w:pPr>
    </w:p>
    <w:tbl>
      <w:tblPr>
        <w:tblLayout w:type="fixed"/>
        <w:tblInd w:w="1710" w:type="dxa"/>
        <w:tblCellMar>
          <w:top w:w="0" w:type="dxa"/>
          <w:left w:w="0" w:type="dxa"/>
          <w:bottom w:w="0" w:type="dxa"/>
          <w:right w:w="0" w:type="dxa"/>
        </w:tblCellMar>
      </w:tblPr>
      <w:tr>
        <w:trPr>
          <w:trHeight w:val="210"/>
        </w:trPr>
        <w:tc>
          <w:tcPr>
            <w:tcW w:w="3320" w:type="dxa"/>
            <w:vAlign w:val="bottom"/>
            <w:tcBorders>
              <w:top w:val="single" w:sz="8" w:color="auto"/>
              <w:left w:val="single" w:sz="8" w:color="auto"/>
              <w:right w:val="single" w:sz="8" w:color="auto"/>
            </w:tcBorders>
            <w:shd w:val="clear" w:color="auto" w:fill="29650B"/>
          </w:tcPr>
          <w:p>
            <w:pPr>
              <w:jc w:val="center"/>
              <w:spacing w:after="0" w:line="210" w:lineRule="exact"/>
              <w:rPr>
                <w:sz w:val="20"/>
                <w:szCs w:val="20"/>
                <w:color w:val="auto"/>
              </w:rPr>
            </w:pPr>
            <w:r>
              <w:rPr>
                <w:rFonts w:ascii="Arial" w:cs="Arial" w:eastAsia="Arial" w:hAnsi="Arial"/>
                <w:sz w:val="20"/>
                <w:szCs w:val="20"/>
                <w:b w:val="1"/>
                <w:bCs w:val="1"/>
                <w:color w:val="FFFFFF"/>
                <w:w w:val="91"/>
              </w:rPr>
              <w:t>TSR Percentile Ranking</w:t>
            </w:r>
          </w:p>
        </w:tc>
        <w:tc>
          <w:tcPr>
            <w:tcW w:w="4540" w:type="dxa"/>
            <w:vAlign w:val="bottom"/>
            <w:tcBorders>
              <w:top w:val="single" w:sz="8" w:color="auto"/>
              <w:right w:val="single" w:sz="8" w:color="auto"/>
            </w:tcBorders>
            <w:vMerge w:val="restart"/>
            <w:shd w:val="clear" w:color="auto" w:fill="29650B"/>
          </w:tcPr>
          <w:p>
            <w:pPr>
              <w:ind w:left="1040"/>
              <w:spacing w:after="0"/>
              <w:rPr>
                <w:sz w:val="20"/>
                <w:szCs w:val="20"/>
                <w:color w:val="auto"/>
              </w:rPr>
            </w:pPr>
            <w:r>
              <w:rPr>
                <w:rFonts w:ascii="Arial" w:cs="Arial" w:eastAsia="Arial" w:hAnsi="Arial"/>
                <w:sz w:val="20"/>
                <w:szCs w:val="20"/>
                <w:b w:val="1"/>
                <w:bCs w:val="1"/>
                <w:color w:val="FFFFFF"/>
              </w:rPr>
              <w:t>Percentage of Shares Vesting</w:t>
            </w:r>
          </w:p>
        </w:tc>
        <w:tc>
          <w:tcPr>
            <w:tcW w:w="0" w:type="dxa"/>
            <w:vAlign w:val="bottom"/>
          </w:tcPr>
          <w:p>
            <w:pPr>
              <w:spacing w:after="0"/>
              <w:rPr>
                <w:sz w:val="1"/>
                <w:szCs w:val="1"/>
                <w:color w:val="auto"/>
              </w:rPr>
            </w:pPr>
          </w:p>
        </w:tc>
      </w:tr>
      <w:tr>
        <w:trPr>
          <w:trHeight w:val="145"/>
        </w:trPr>
        <w:tc>
          <w:tcPr>
            <w:tcW w:w="3320" w:type="dxa"/>
            <w:vAlign w:val="bottom"/>
            <w:tcBorders>
              <w:left w:val="single" w:sz="8" w:color="auto"/>
              <w:right w:val="single" w:sz="8" w:color="auto"/>
            </w:tcBorders>
            <w:vMerge w:val="restart"/>
            <w:shd w:val="clear" w:color="auto" w:fill="29650B"/>
          </w:tcPr>
          <w:p>
            <w:pPr>
              <w:jc w:val="center"/>
              <w:spacing w:after="0"/>
              <w:rPr>
                <w:sz w:val="20"/>
                <w:szCs w:val="20"/>
                <w:color w:val="auto"/>
              </w:rPr>
            </w:pPr>
            <w:r>
              <w:rPr>
                <w:rFonts w:ascii="Arial" w:cs="Arial" w:eastAsia="Arial" w:hAnsi="Arial"/>
                <w:sz w:val="20"/>
                <w:szCs w:val="20"/>
                <w:b w:val="1"/>
                <w:bCs w:val="1"/>
                <w:color w:val="FFFFFF"/>
                <w:w w:val="85"/>
              </w:rPr>
              <w:t>Versus Peers</w:t>
            </w:r>
          </w:p>
        </w:tc>
        <w:tc>
          <w:tcPr>
            <w:tcW w:w="4540" w:type="dxa"/>
            <w:vAlign w:val="bottom"/>
            <w:tcBorders>
              <w:right w:val="single" w:sz="8" w:color="auto"/>
            </w:tcBorders>
            <w:vMerge w:val="continue"/>
            <w:shd w:val="clear" w:color="auto" w:fill="29650B"/>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3320" w:type="dxa"/>
            <w:vAlign w:val="bottom"/>
            <w:tcBorders>
              <w:left w:val="single" w:sz="8" w:color="auto"/>
              <w:bottom w:val="single" w:sz="8" w:color="auto"/>
              <w:right w:val="single" w:sz="8" w:color="auto"/>
            </w:tcBorders>
            <w:vMerge w:val="continue"/>
            <w:shd w:val="clear" w:color="auto" w:fill="29650B"/>
          </w:tcPr>
          <w:p>
            <w:pPr>
              <w:spacing w:after="0"/>
              <w:rPr>
                <w:sz w:val="8"/>
                <w:szCs w:val="8"/>
                <w:color w:val="auto"/>
              </w:rPr>
            </w:pPr>
          </w:p>
        </w:tc>
        <w:tc>
          <w:tcPr>
            <w:tcW w:w="4540" w:type="dxa"/>
            <w:vAlign w:val="bottom"/>
            <w:tcBorders>
              <w:bottom w:val="single" w:sz="8" w:color="auto"/>
              <w:right w:val="single" w:sz="8" w:color="auto"/>
            </w:tcBorders>
            <w:shd w:val="clear" w:color="auto" w:fill="29650B"/>
          </w:tcPr>
          <w:p>
            <w:pPr>
              <w:spacing w:after="0"/>
              <w:rPr>
                <w:sz w:val="8"/>
                <w:szCs w:val="8"/>
                <w:color w:val="auto"/>
              </w:rPr>
            </w:pPr>
          </w:p>
        </w:tc>
        <w:tc>
          <w:tcPr>
            <w:tcW w:w="0" w:type="dxa"/>
            <w:vAlign w:val="bottom"/>
          </w:tcPr>
          <w:p>
            <w:pPr>
              <w:spacing w:after="0"/>
              <w:rPr>
                <w:sz w:val="1"/>
                <w:szCs w:val="1"/>
                <w:color w:val="auto"/>
              </w:rPr>
            </w:pPr>
          </w:p>
        </w:tc>
      </w:tr>
      <w:tr>
        <w:trPr>
          <w:trHeight w:val="377"/>
        </w:trPr>
        <w:tc>
          <w:tcPr>
            <w:tcW w:w="3320" w:type="dxa"/>
            <w:vAlign w:val="bottom"/>
            <w:tcBorders>
              <w:left w:val="single" w:sz="8" w:color="auto"/>
              <w:bottom w:val="single" w:sz="8" w:color="auto"/>
              <w:right w:val="single" w:sz="8" w:color="auto"/>
            </w:tcBorders>
          </w:tcPr>
          <w:p>
            <w:pPr>
              <w:jc w:val="center"/>
              <w:spacing w:after="0" w:line="377" w:lineRule="exact"/>
              <w:rPr>
                <w:sz w:val="20"/>
                <w:szCs w:val="20"/>
                <w:color w:val="auto"/>
              </w:rPr>
            </w:pPr>
            <w:r>
              <w:rPr>
                <w:rFonts w:ascii="Arial" w:cs="Arial" w:eastAsia="Arial" w:hAnsi="Arial"/>
                <w:sz w:val="20"/>
                <w:szCs w:val="20"/>
                <w:color w:val="auto"/>
                <w:w w:val="88"/>
              </w:rPr>
              <w:t>90</w:t>
            </w:r>
            <w:r>
              <w:rPr>
                <w:rFonts w:ascii="Arial" w:cs="Arial" w:eastAsia="Arial" w:hAnsi="Arial"/>
                <w:sz w:val="33"/>
                <w:szCs w:val="33"/>
                <w:color w:val="auto"/>
                <w:w w:val="88"/>
                <w:vertAlign w:val="superscript"/>
              </w:rPr>
              <w:t>th</w:t>
            </w:r>
            <w:r>
              <w:rPr>
                <w:rFonts w:ascii="Arial" w:cs="Arial" w:eastAsia="Arial" w:hAnsi="Arial"/>
                <w:sz w:val="20"/>
                <w:szCs w:val="20"/>
                <w:color w:val="auto"/>
                <w:w w:val="88"/>
              </w:rPr>
              <w:t xml:space="preserve"> or Above</w:t>
            </w:r>
          </w:p>
        </w:tc>
        <w:tc>
          <w:tcPr>
            <w:tcW w:w="4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200%</w:t>
            </w:r>
          </w:p>
        </w:tc>
        <w:tc>
          <w:tcPr>
            <w:tcW w:w="0" w:type="dxa"/>
            <w:vAlign w:val="bottom"/>
          </w:tcPr>
          <w:p>
            <w:pPr>
              <w:spacing w:after="0"/>
              <w:rPr>
                <w:sz w:val="1"/>
                <w:szCs w:val="1"/>
                <w:color w:val="auto"/>
              </w:rPr>
            </w:pPr>
          </w:p>
        </w:tc>
      </w:tr>
      <w:tr>
        <w:trPr>
          <w:trHeight w:val="377"/>
        </w:trPr>
        <w:tc>
          <w:tcPr>
            <w:tcW w:w="3320" w:type="dxa"/>
            <w:vAlign w:val="bottom"/>
            <w:tcBorders>
              <w:left w:val="single" w:sz="8" w:color="auto"/>
              <w:bottom w:val="single" w:sz="8" w:color="auto"/>
              <w:right w:val="single" w:sz="8" w:color="auto"/>
            </w:tcBorders>
            <w:shd w:val="clear" w:color="auto" w:fill="D9D9D9"/>
          </w:tcPr>
          <w:p>
            <w:pPr>
              <w:jc w:val="center"/>
              <w:spacing w:after="0" w:line="377" w:lineRule="exact"/>
              <w:rPr>
                <w:sz w:val="20"/>
                <w:szCs w:val="20"/>
                <w:color w:val="auto"/>
              </w:rPr>
            </w:pPr>
            <w:r>
              <w:rPr>
                <w:rFonts w:ascii="Arial" w:cs="Arial" w:eastAsia="Arial" w:hAnsi="Arial"/>
                <w:sz w:val="20"/>
                <w:szCs w:val="20"/>
                <w:color w:val="auto"/>
                <w:w w:val="83"/>
              </w:rPr>
              <w:t>75</w:t>
            </w:r>
            <w:r>
              <w:rPr>
                <w:rFonts w:ascii="Arial" w:cs="Arial" w:eastAsia="Arial" w:hAnsi="Arial"/>
                <w:sz w:val="33"/>
                <w:szCs w:val="33"/>
                <w:color w:val="auto"/>
                <w:w w:val="83"/>
                <w:vertAlign w:val="superscript"/>
              </w:rPr>
              <w:t>th</w:t>
            </w:r>
            <w:r>
              <w:rPr>
                <w:rFonts w:ascii="Arial" w:cs="Arial" w:eastAsia="Arial" w:hAnsi="Arial"/>
                <w:sz w:val="20"/>
                <w:szCs w:val="20"/>
                <w:color w:val="auto"/>
                <w:w w:val="83"/>
              </w:rPr>
              <w:t xml:space="preserve"> – 89</w:t>
            </w:r>
            <w:r>
              <w:rPr>
                <w:rFonts w:ascii="Arial" w:cs="Arial" w:eastAsia="Arial" w:hAnsi="Arial"/>
                <w:sz w:val="33"/>
                <w:szCs w:val="33"/>
                <w:color w:val="auto"/>
                <w:w w:val="83"/>
                <w:vertAlign w:val="superscript"/>
              </w:rPr>
              <w:t>th</w:t>
            </w:r>
          </w:p>
        </w:tc>
        <w:tc>
          <w:tcPr>
            <w:tcW w:w="45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20"/>
                <w:szCs w:val="20"/>
                <w:color w:val="auto"/>
                <w:w w:val="89"/>
              </w:rPr>
              <w:t>150-199%</w:t>
            </w:r>
          </w:p>
        </w:tc>
        <w:tc>
          <w:tcPr>
            <w:tcW w:w="0" w:type="dxa"/>
            <w:vAlign w:val="bottom"/>
          </w:tcPr>
          <w:p>
            <w:pPr>
              <w:spacing w:after="0"/>
              <w:rPr>
                <w:sz w:val="1"/>
                <w:szCs w:val="1"/>
                <w:color w:val="auto"/>
              </w:rPr>
            </w:pPr>
          </w:p>
        </w:tc>
      </w:tr>
      <w:tr>
        <w:trPr>
          <w:trHeight w:val="377"/>
        </w:trPr>
        <w:tc>
          <w:tcPr>
            <w:tcW w:w="3320" w:type="dxa"/>
            <w:vAlign w:val="bottom"/>
            <w:tcBorders>
              <w:left w:val="single" w:sz="8" w:color="auto"/>
              <w:bottom w:val="single" w:sz="8" w:color="auto"/>
              <w:right w:val="single" w:sz="8" w:color="auto"/>
            </w:tcBorders>
          </w:tcPr>
          <w:p>
            <w:pPr>
              <w:jc w:val="center"/>
              <w:spacing w:after="0" w:line="377" w:lineRule="exact"/>
              <w:rPr>
                <w:sz w:val="20"/>
                <w:szCs w:val="20"/>
                <w:color w:val="auto"/>
              </w:rPr>
            </w:pPr>
            <w:r>
              <w:rPr>
                <w:rFonts w:ascii="Arial" w:cs="Arial" w:eastAsia="Arial" w:hAnsi="Arial"/>
                <w:sz w:val="20"/>
                <w:szCs w:val="20"/>
                <w:color w:val="auto"/>
                <w:w w:val="83"/>
              </w:rPr>
              <w:t>50</w:t>
            </w:r>
            <w:r>
              <w:rPr>
                <w:rFonts w:ascii="Arial" w:cs="Arial" w:eastAsia="Arial" w:hAnsi="Arial"/>
                <w:sz w:val="33"/>
                <w:szCs w:val="33"/>
                <w:color w:val="auto"/>
                <w:w w:val="83"/>
                <w:vertAlign w:val="superscript"/>
              </w:rPr>
              <w:t>th</w:t>
            </w:r>
            <w:r>
              <w:rPr>
                <w:rFonts w:ascii="Arial" w:cs="Arial" w:eastAsia="Arial" w:hAnsi="Arial"/>
                <w:sz w:val="20"/>
                <w:szCs w:val="20"/>
                <w:color w:val="auto"/>
                <w:w w:val="83"/>
              </w:rPr>
              <w:t xml:space="preserve"> – 74</w:t>
            </w:r>
            <w:r>
              <w:rPr>
                <w:rFonts w:ascii="Arial" w:cs="Arial" w:eastAsia="Arial" w:hAnsi="Arial"/>
                <w:sz w:val="33"/>
                <w:szCs w:val="33"/>
                <w:color w:val="auto"/>
                <w:w w:val="83"/>
                <w:vertAlign w:val="superscript"/>
              </w:rPr>
              <w:t>th</w:t>
            </w:r>
          </w:p>
        </w:tc>
        <w:tc>
          <w:tcPr>
            <w:tcW w:w="4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100-149%</w:t>
            </w:r>
          </w:p>
        </w:tc>
        <w:tc>
          <w:tcPr>
            <w:tcW w:w="0" w:type="dxa"/>
            <w:vAlign w:val="bottom"/>
          </w:tcPr>
          <w:p>
            <w:pPr>
              <w:spacing w:after="0"/>
              <w:rPr>
                <w:sz w:val="1"/>
                <w:szCs w:val="1"/>
                <w:color w:val="auto"/>
              </w:rPr>
            </w:pPr>
          </w:p>
        </w:tc>
      </w:tr>
      <w:tr>
        <w:trPr>
          <w:trHeight w:val="377"/>
        </w:trPr>
        <w:tc>
          <w:tcPr>
            <w:tcW w:w="3320" w:type="dxa"/>
            <w:vAlign w:val="bottom"/>
            <w:tcBorders>
              <w:left w:val="single" w:sz="8" w:color="auto"/>
              <w:bottom w:val="single" w:sz="8" w:color="auto"/>
              <w:right w:val="single" w:sz="8" w:color="auto"/>
            </w:tcBorders>
            <w:shd w:val="clear" w:color="auto" w:fill="D9D9D9"/>
          </w:tcPr>
          <w:p>
            <w:pPr>
              <w:jc w:val="center"/>
              <w:spacing w:after="0" w:line="377" w:lineRule="exact"/>
              <w:rPr>
                <w:sz w:val="20"/>
                <w:szCs w:val="20"/>
                <w:color w:val="auto"/>
              </w:rPr>
            </w:pPr>
            <w:r>
              <w:rPr>
                <w:rFonts w:ascii="Arial" w:cs="Arial" w:eastAsia="Arial" w:hAnsi="Arial"/>
                <w:sz w:val="20"/>
                <w:szCs w:val="20"/>
                <w:color w:val="auto"/>
                <w:w w:val="83"/>
              </w:rPr>
              <w:t>40</w:t>
            </w:r>
            <w:r>
              <w:rPr>
                <w:rFonts w:ascii="Arial" w:cs="Arial" w:eastAsia="Arial" w:hAnsi="Arial"/>
                <w:sz w:val="33"/>
                <w:szCs w:val="33"/>
                <w:color w:val="auto"/>
                <w:w w:val="83"/>
                <w:vertAlign w:val="superscript"/>
              </w:rPr>
              <w:t>th</w:t>
            </w:r>
            <w:r>
              <w:rPr>
                <w:rFonts w:ascii="Arial" w:cs="Arial" w:eastAsia="Arial" w:hAnsi="Arial"/>
                <w:sz w:val="20"/>
                <w:szCs w:val="20"/>
                <w:color w:val="auto"/>
                <w:w w:val="83"/>
              </w:rPr>
              <w:t xml:space="preserve"> – 49</w:t>
            </w:r>
            <w:r>
              <w:rPr>
                <w:rFonts w:ascii="Arial" w:cs="Arial" w:eastAsia="Arial" w:hAnsi="Arial"/>
                <w:sz w:val="33"/>
                <w:szCs w:val="33"/>
                <w:color w:val="auto"/>
                <w:w w:val="83"/>
                <w:vertAlign w:val="superscript"/>
              </w:rPr>
              <w:t>th</w:t>
            </w:r>
          </w:p>
        </w:tc>
        <w:tc>
          <w:tcPr>
            <w:tcW w:w="45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20"/>
                <w:szCs w:val="20"/>
                <w:color w:val="auto"/>
                <w:w w:val="89"/>
              </w:rPr>
              <w:t>50-99%</w:t>
            </w:r>
          </w:p>
        </w:tc>
        <w:tc>
          <w:tcPr>
            <w:tcW w:w="0" w:type="dxa"/>
            <w:vAlign w:val="bottom"/>
          </w:tcPr>
          <w:p>
            <w:pPr>
              <w:spacing w:after="0"/>
              <w:rPr>
                <w:sz w:val="1"/>
                <w:szCs w:val="1"/>
                <w:color w:val="auto"/>
              </w:rPr>
            </w:pPr>
          </w:p>
        </w:tc>
      </w:tr>
      <w:tr>
        <w:trPr>
          <w:trHeight w:val="377"/>
        </w:trPr>
        <w:tc>
          <w:tcPr>
            <w:tcW w:w="3320" w:type="dxa"/>
            <w:vAlign w:val="bottom"/>
            <w:tcBorders>
              <w:left w:val="single" w:sz="8" w:color="auto"/>
              <w:bottom w:val="single" w:sz="8" w:color="auto"/>
              <w:right w:val="single" w:sz="8" w:color="auto"/>
            </w:tcBorders>
          </w:tcPr>
          <w:p>
            <w:pPr>
              <w:jc w:val="center"/>
              <w:spacing w:after="0" w:line="377" w:lineRule="exact"/>
              <w:rPr>
                <w:sz w:val="20"/>
                <w:szCs w:val="20"/>
                <w:color w:val="auto"/>
              </w:rPr>
            </w:pPr>
            <w:r>
              <w:rPr>
                <w:rFonts w:ascii="Arial" w:cs="Arial" w:eastAsia="Arial" w:hAnsi="Arial"/>
                <w:sz w:val="20"/>
                <w:szCs w:val="20"/>
                <w:color w:val="auto"/>
                <w:w w:val="83"/>
              </w:rPr>
              <w:t>25</w:t>
            </w:r>
            <w:r>
              <w:rPr>
                <w:rFonts w:ascii="Arial" w:cs="Arial" w:eastAsia="Arial" w:hAnsi="Arial"/>
                <w:sz w:val="33"/>
                <w:szCs w:val="33"/>
                <w:color w:val="auto"/>
                <w:w w:val="83"/>
                <w:vertAlign w:val="superscript"/>
              </w:rPr>
              <w:t>th</w:t>
            </w:r>
            <w:r>
              <w:rPr>
                <w:rFonts w:ascii="Arial" w:cs="Arial" w:eastAsia="Arial" w:hAnsi="Arial"/>
                <w:sz w:val="20"/>
                <w:szCs w:val="20"/>
                <w:color w:val="auto"/>
                <w:w w:val="83"/>
              </w:rPr>
              <w:t xml:space="preserve"> – 39</w:t>
            </w:r>
            <w:r>
              <w:rPr>
                <w:rFonts w:ascii="Arial" w:cs="Arial" w:eastAsia="Arial" w:hAnsi="Arial"/>
                <w:sz w:val="33"/>
                <w:szCs w:val="33"/>
                <w:color w:val="auto"/>
                <w:w w:val="83"/>
                <w:vertAlign w:val="superscript"/>
              </w:rPr>
              <w:t>th</w:t>
            </w:r>
          </w:p>
        </w:tc>
        <w:tc>
          <w:tcPr>
            <w:tcW w:w="4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25-49%</w:t>
            </w:r>
          </w:p>
        </w:tc>
        <w:tc>
          <w:tcPr>
            <w:tcW w:w="0" w:type="dxa"/>
            <w:vAlign w:val="bottom"/>
          </w:tcPr>
          <w:p>
            <w:pPr>
              <w:spacing w:after="0"/>
              <w:rPr>
                <w:sz w:val="1"/>
                <w:szCs w:val="1"/>
                <w:color w:val="auto"/>
              </w:rPr>
            </w:pPr>
          </w:p>
        </w:tc>
      </w:tr>
      <w:tr>
        <w:trPr>
          <w:trHeight w:val="377"/>
        </w:trPr>
        <w:tc>
          <w:tcPr>
            <w:tcW w:w="3320" w:type="dxa"/>
            <w:vAlign w:val="bottom"/>
            <w:tcBorders>
              <w:left w:val="single" w:sz="8" w:color="auto"/>
              <w:bottom w:val="single" w:sz="8" w:color="auto"/>
              <w:right w:val="single" w:sz="8" w:color="auto"/>
            </w:tcBorders>
            <w:shd w:val="clear" w:color="auto" w:fill="D9D9D9"/>
          </w:tcPr>
          <w:p>
            <w:pPr>
              <w:jc w:val="center"/>
              <w:spacing w:after="0" w:line="377" w:lineRule="exact"/>
              <w:rPr>
                <w:sz w:val="20"/>
                <w:szCs w:val="20"/>
                <w:color w:val="auto"/>
              </w:rPr>
            </w:pPr>
            <w:r>
              <w:rPr>
                <w:rFonts w:ascii="Arial" w:cs="Arial" w:eastAsia="Arial" w:hAnsi="Arial"/>
                <w:sz w:val="20"/>
                <w:szCs w:val="20"/>
                <w:color w:val="auto"/>
                <w:w w:val="89"/>
              </w:rPr>
              <w:t>Below 25</w:t>
            </w:r>
            <w:r>
              <w:rPr>
                <w:rFonts w:ascii="Arial" w:cs="Arial" w:eastAsia="Arial" w:hAnsi="Arial"/>
                <w:sz w:val="33"/>
                <w:szCs w:val="33"/>
                <w:color w:val="auto"/>
                <w:w w:val="89"/>
                <w:vertAlign w:val="superscript"/>
              </w:rPr>
              <w:t>th</w:t>
            </w:r>
          </w:p>
        </w:tc>
        <w:tc>
          <w:tcPr>
            <w:tcW w:w="45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20"/>
                <w:szCs w:val="20"/>
                <w:color w:val="auto"/>
                <w:w w:val="89"/>
              </w:rPr>
              <w:t>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3" w:lineRule="exact"/>
        <w:rPr>
          <w:sz w:val="20"/>
          <w:szCs w:val="20"/>
          <w:color w:val="auto"/>
        </w:rPr>
      </w:pPr>
    </w:p>
    <w:p>
      <w:pPr>
        <w:jc w:val="both"/>
        <w:ind w:firstLine="595"/>
        <w:spacing w:after="0"/>
        <w:rPr>
          <w:sz w:val="20"/>
          <w:szCs w:val="20"/>
          <w:color w:val="auto"/>
        </w:rPr>
      </w:pPr>
      <w:r>
        <w:rPr>
          <w:rFonts w:ascii="Arial" w:cs="Arial" w:eastAsia="Arial" w:hAnsi="Arial"/>
          <w:sz w:val="20"/>
          <w:szCs w:val="20"/>
          <w:i w:val="1"/>
          <w:iCs w:val="1"/>
          <w:color w:val="auto"/>
        </w:rPr>
        <w:t xml:space="preserve">Calculation of TSR. </w:t>
      </w:r>
      <w:r>
        <w:rPr>
          <w:rFonts w:ascii="Arial" w:cs="Arial" w:eastAsia="Arial" w:hAnsi="Arial"/>
          <w:sz w:val="20"/>
          <w:szCs w:val="20"/>
          <w:color w:val="auto"/>
        </w:rPr>
        <w:t>TSR is calculated by dividing the closing share price of a company’s common stock on the ending date of the</w:t>
      </w:r>
      <w:r>
        <w:rPr>
          <w:rFonts w:ascii="Arial" w:cs="Arial" w:eastAsia="Arial" w:hAnsi="Arial"/>
          <w:sz w:val="20"/>
          <w:szCs w:val="20"/>
          <w:i w:val="1"/>
          <w:iCs w:val="1"/>
          <w:color w:val="auto"/>
        </w:rPr>
        <w:t xml:space="preserve"> </w:t>
      </w:r>
      <w:r>
        <w:rPr>
          <w:rFonts w:ascii="Arial" w:cs="Arial" w:eastAsia="Arial" w:hAnsi="Arial"/>
          <w:sz w:val="20"/>
          <w:szCs w:val="20"/>
          <w:color w:val="auto"/>
        </w:rPr>
        <w:t>applicable three-year calendar period plus cumulative dividends during such period, if any, by the closing share price of such company’s common stock on the beginning date of the applicable period. In the event that the Company’s TSR percentile ranking is between the specified percentiles, the vesting percentage is pro-rated on a straight-line basis.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42</w:t>
      </w:r>
    </w:p>
    <w:p>
      <w:pPr>
        <w:sectPr>
          <w:pgSz w:w="11900" w:h="16838" w:orient="portrait"/>
          <w:cols w:equalWidth="0" w:num="1">
            <w:col w:w="11240"/>
          </w:cols>
          <w:pgMar w:left="320" w:top="443" w:right="339" w:bottom="1440" w:gutter="0" w:footer="0" w:header="0"/>
        </w:sectPr>
      </w:pPr>
    </w:p>
    <w:bookmarkStart w:id="46" w:name="page47"/>
    <w:bookmarkEnd w:id="46"/>
    <w:p>
      <w:pPr>
        <w:jc w:val="both"/>
        <w:ind w:firstLine="595"/>
        <w:spacing w:after="0" w:line="254" w:lineRule="auto"/>
        <w:rPr>
          <w:sz w:val="20"/>
          <w:szCs w:val="20"/>
          <w:color w:val="auto"/>
        </w:rPr>
      </w:pPr>
      <w:r>
        <w:rPr>
          <w:rFonts w:ascii="Arial" w:cs="Arial" w:eastAsia="Arial" w:hAnsi="Arial"/>
          <w:sz w:val="20"/>
          <w:szCs w:val="20"/>
          <w:i w:val="1"/>
          <w:iCs w:val="1"/>
          <w:color w:val="auto"/>
        </w:rPr>
        <w:t>Performance Vesting Schedule for ROIC-Based Awards</w:t>
      </w:r>
      <w:r>
        <w:rPr>
          <w:rFonts w:ascii="Arial" w:cs="Arial" w:eastAsia="Arial" w:hAnsi="Arial"/>
          <w:sz w:val="20"/>
          <w:szCs w:val="20"/>
          <w:color w:val="auto"/>
        </w:rPr>
        <w:t>. The Committee determined that, for the portion of performance-based shares</w:t>
      </w:r>
      <w:r>
        <w:rPr>
          <w:rFonts w:ascii="Arial" w:cs="Arial" w:eastAsia="Arial" w:hAnsi="Arial"/>
          <w:sz w:val="20"/>
          <w:szCs w:val="20"/>
          <w:i w:val="1"/>
          <w:iCs w:val="1"/>
          <w:color w:val="auto"/>
        </w:rPr>
        <w:t xml:space="preserve"> </w:t>
      </w:r>
      <w:r>
        <w:rPr>
          <w:rFonts w:ascii="Arial" w:cs="Arial" w:eastAsia="Arial" w:hAnsi="Arial"/>
          <w:sz w:val="20"/>
          <w:szCs w:val="20"/>
          <w:color w:val="auto"/>
        </w:rPr>
        <w:t>vesting on the basis of ROIC, such shares would vest on the following schedule.</w:t>
      </w:r>
    </w:p>
    <w:p>
      <w:pPr>
        <w:spacing w:after="0" w:line="157" w:lineRule="exact"/>
        <w:rPr>
          <w:sz w:val="20"/>
          <w:szCs w:val="20"/>
          <w:color w:val="auto"/>
        </w:rPr>
      </w:pPr>
    </w:p>
    <w:tbl>
      <w:tblPr>
        <w:tblLayout w:type="fixed"/>
        <w:tblInd w:w="1710" w:type="dxa"/>
        <w:tblCellMar>
          <w:top w:w="0" w:type="dxa"/>
          <w:left w:w="0" w:type="dxa"/>
          <w:bottom w:w="0" w:type="dxa"/>
          <w:right w:w="0" w:type="dxa"/>
        </w:tblCellMar>
      </w:tblPr>
      <w:tr>
        <w:trPr>
          <w:trHeight w:val="318"/>
        </w:trPr>
        <w:tc>
          <w:tcPr>
            <w:tcW w:w="3780" w:type="dxa"/>
            <w:vAlign w:val="bottom"/>
            <w:tcBorders>
              <w:top w:val="single" w:sz="8" w:color="auto"/>
              <w:left w:val="single" w:sz="8" w:color="auto"/>
              <w:right w:val="single" w:sz="8" w:color="auto"/>
            </w:tcBorders>
            <w:shd w:val="clear" w:color="auto" w:fill="29650B"/>
          </w:tcPr>
          <w:p>
            <w:pPr>
              <w:jc w:val="center"/>
              <w:spacing w:after="0"/>
              <w:rPr>
                <w:sz w:val="20"/>
                <w:szCs w:val="20"/>
                <w:color w:val="auto"/>
              </w:rPr>
            </w:pPr>
            <w:r>
              <w:rPr>
                <w:rFonts w:ascii="Arial" w:cs="Arial" w:eastAsia="Arial" w:hAnsi="Arial"/>
                <w:sz w:val="20"/>
                <w:szCs w:val="20"/>
                <w:b w:val="1"/>
                <w:bCs w:val="1"/>
                <w:color w:val="FFFFFF"/>
              </w:rPr>
              <w:t>ROIC</w:t>
            </w:r>
          </w:p>
        </w:tc>
        <w:tc>
          <w:tcPr>
            <w:tcW w:w="4080" w:type="dxa"/>
            <w:vAlign w:val="bottom"/>
            <w:tcBorders>
              <w:top w:val="single" w:sz="8" w:color="auto"/>
              <w:right w:val="single" w:sz="8" w:color="auto"/>
            </w:tcBorders>
            <w:shd w:val="clear" w:color="auto" w:fill="29650B"/>
          </w:tcPr>
          <w:p>
            <w:pPr>
              <w:ind w:left="820"/>
              <w:spacing w:after="0"/>
              <w:rPr>
                <w:sz w:val="20"/>
                <w:szCs w:val="20"/>
                <w:color w:val="auto"/>
              </w:rPr>
            </w:pPr>
            <w:r>
              <w:rPr>
                <w:rFonts w:ascii="Arial" w:cs="Arial" w:eastAsia="Arial" w:hAnsi="Arial"/>
                <w:sz w:val="20"/>
                <w:szCs w:val="20"/>
                <w:b w:val="1"/>
                <w:bCs w:val="1"/>
                <w:color w:val="FFFFFF"/>
              </w:rPr>
              <w:t>Percentage of Shares Vesting</w:t>
            </w:r>
          </w:p>
        </w:tc>
      </w:tr>
      <w:tr>
        <w:trPr>
          <w:trHeight w:val="78"/>
        </w:trPr>
        <w:tc>
          <w:tcPr>
            <w:tcW w:w="3780" w:type="dxa"/>
            <w:vAlign w:val="bottom"/>
            <w:tcBorders>
              <w:left w:val="single" w:sz="8" w:color="auto"/>
              <w:bottom w:val="single" w:sz="8" w:color="auto"/>
              <w:right w:val="single" w:sz="8" w:color="auto"/>
            </w:tcBorders>
            <w:shd w:val="clear" w:color="auto" w:fill="29650B"/>
          </w:tcPr>
          <w:p>
            <w:pPr>
              <w:spacing w:after="0"/>
              <w:rPr>
                <w:sz w:val="6"/>
                <w:szCs w:val="6"/>
                <w:color w:val="auto"/>
              </w:rPr>
            </w:pPr>
          </w:p>
        </w:tc>
        <w:tc>
          <w:tcPr>
            <w:tcW w:w="4080" w:type="dxa"/>
            <w:vAlign w:val="bottom"/>
            <w:tcBorders>
              <w:bottom w:val="single" w:sz="8" w:color="auto"/>
              <w:right w:val="single" w:sz="8" w:color="auto"/>
            </w:tcBorders>
            <w:shd w:val="clear" w:color="auto" w:fill="29650B"/>
          </w:tcPr>
          <w:p>
            <w:pPr>
              <w:spacing w:after="0"/>
              <w:rPr>
                <w:sz w:val="6"/>
                <w:szCs w:val="6"/>
                <w:color w:val="auto"/>
              </w:rPr>
            </w:pPr>
          </w:p>
        </w:tc>
      </w:tr>
      <w:tr>
        <w:trPr>
          <w:trHeight w:val="298"/>
        </w:trPr>
        <w:tc>
          <w:tcPr>
            <w:tcW w:w="37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12.6% or Above</w:t>
            </w:r>
          </w:p>
        </w:tc>
        <w:tc>
          <w:tcPr>
            <w:tcW w:w="40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200%</w:t>
            </w:r>
          </w:p>
        </w:tc>
      </w:tr>
      <w:tr>
        <w:trPr>
          <w:trHeight w:val="78"/>
        </w:trPr>
        <w:tc>
          <w:tcPr>
            <w:tcW w:w="3780" w:type="dxa"/>
            <w:vAlign w:val="bottom"/>
            <w:tcBorders>
              <w:left w:val="single" w:sz="8" w:color="auto"/>
              <w:bottom w:val="single" w:sz="8" w:color="auto"/>
              <w:right w:val="single" w:sz="8" w:color="auto"/>
            </w:tcBorders>
          </w:tcPr>
          <w:p>
            <w:pPr>
              <w:spacing w:after="0"/>
              <w:rPr>
                <w:sz w:val="6"/>
                <w:szCs w:val="6"/>
                <w:color w:val="auto"/>
              </w:rPr>
            </w:pPr>
          </w:p>
        </w:tc>
        <w:tc>
          <w:tcPr>
            <w:tcW w:w="4080" w:type="dxa"/>
            <w:vAlign w:val="bottom"/>
            <w:tcBorders>
              <w:bottom w:val="single" w:sz="8" w:color="auto"/>
              <w:right w:val="single" w:sz="8" w:color="auto"/>
            </w:tcBorders>
          </w:tcPr>
          <w:p>
            <w:pPr>
              <w:spacing w:after="0"/>
              <w:rPr>
                <w:sz w:val="6"/>
                <w:szCs w:val="6"/>
                <w:color w:val="auto"/>
              </w:rPr>
            </w:pPr>
          </w:p>
        </w:tc>
      </w:tr>
      <w:tr>
        <w:trPr>
          <w:trHeight w:val="298"/>
        </w:trPr>
        <w:tc>
          <w:tcPr>
            <w:tcW w:w="3780" w:type="dxa"/>
            <w:vAlign w:val="bottom"/>
            <w:tcBorders>
              <w:left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20"/>
                <w:szCs w:val="20"/>
                <w:color w:val="auto"/>
                <w:w w:val="88"/>
              </w:rPr>
              <w:t>11.6%</w:t>
            </w:r>
          </w:p>
        </w:tc>
        <w:tc>
          <w:tcPr>
            <w:tcW w:w="408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20"/>
                <w:szCs w:val="20"/>
                <w:color w:val="auto"/>
                <w:w w:val="89"/>
              </w:rPr>
              <w:t>100%</w:t>
            </w:r>
          </w:p>
        </w:tc>
      </w:tr>
      <w:tr>
        <w:trPr>
          <w:trHeight w:val="78"/>
        </w:trPr>
        <w:tc>
          <w:tcPr>
            <w:tcW w:w="3780" w:type="dxa"/>
            <w:vAlign w:val="bottom"/>
            <w:tcBorders>
              <w:left w:val="single" w:sz="8" w:color="auto"/>
              <w:bottom w:val="single" w:sz="8" w:color="auto"/>
              <w:right w:val="single" w:sz="8" w:color="auto"/>
            </w:tcBorders>
            <w:shd w:val="clear" w:color="auto" w:fill="D9D9D9"/>
          </w:tcPr>
          <w:p>
            <w:pPr>
              <w:spacing w:after="0"/>
              <w:rPr>
                <w:sz w:val="6"/>
                <w:szCs w:val="6"/>
                <w:color w:val="auto"/>
              </w:rPr>
            </w:pPr>
          </w:p>
        </w:tc>
        <w:tc>
          <w:tcPr>
            <w:tcW w:w="4080" w:type="dxa"/>
            <w:vAlign w:val="bottom"/>
            <w:tcBorders>
              <w:bottom w:val="single" w:sz="8" w:color="auto"/>
              <w:right w:val="single" w:sz="8" w:color="auto"/>
            </w:tcBorders>
            <w:shd w:val="clear" w:color="auto" w:fill="D9D9D9"/>
          </w:tcPr>
          <w:p>
            <w:pPr>
              <w:spacing w:after="0"/>
              <w:rPr>
                <w:sz w:val="6"/>
                <w:szCs w:val="6"/>
                <w:color w:val="auto"/>
              </w:rPr>
            </w:pPr>
          </w:p>
        </w:tc>
      </w:tr>
      <w:tr>
        <w:trPr>
          <w:trHeight w:val="298"/>
        </w:trPr>
        <w:tc>
          <w:tcPr>
            <w:tcW w:w="37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10.6%</w:t>
            </w:r>
          </w:p>
        </w:tc>
        <w:tc>
          <w:tcPr>
            <w:tcW w:w="40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4"/>
              </w:rPr>
              <w:t>25%</w:t>
            </w:r>
          </w:p>
        </w:tc>
      </w:tr>
      <w:tr>
        <w:trPr>
          <w:trHeight w:val="78"/>
        </w:trPr>
        <w:tc>
          <w:tcPr>
            <w:tcW w:w="3780" w:type="dxa"/>
            <w:vAlign w:val="bottom"/>
            <w:tcBorders>
              <w:left w:val="single" w:sz="8" w:color="auto"/>
              <w:bottom w:val="single" w:sz="8" w:color="auto"/>
              <w:right w:val="single" w:sz="8" w:color="auto"/>
            </w:tcBorders>
          </w:tcPr>
          <w:p>
            <w:pPr>
              <w:spacing w:after="0"/>
              <w:rPr>
                <w:sz w:val="6"/>
                <w:szCs w:val="6"/>
                <w:color w:val="auto"/>
              </w:rPr>
            </w:pPr>
          </w:p>
        </w:tc>
        <w:tc>
          <w:tcPr>
            <w:tcW w:w="4080" w:type="dxa"/>
            <w:vAlign w:val="bottom"/>
            <w:tcBorders>
              <w:bottom w:val="single" w:sz="8" w:color="auto"/>
              <w:right w:val="single" w:sz="8" w:color="auto"/>
            </w:tcBorders>
          </w:tcPr>
          <w:p>
            <w:pPr>
              <w:spacing w:after="0"/>
              <w:rPr>
                <w:sz w:val="6"/>
                <w:szCs w:val="6"/>
                <w:color w:val="auto"/>
              </w:rPr>
            </w:pPr>
          </w:p>
        </w:tc>
      </w:tr>
      <w:tr>
        <w:trPr>
          <w:trHeight w:val="216"/>
        </w:trPr>
        <w:tc>
          <w:tcPr>
            <w:tcW w:w="3780" w:type="dxa"/>
            <w:vAlign w:val="bottom"/>
            <w:tcBorders>
              <w:left w:val="single" w:sz="8" w:color="auto"/>
              <w:bottom w:val="single" w:sz="8" w:color="auto"/>
              <w:right w:val="single" w:sz="8" w:color="auto"/>
            </w:tcBorders>
            <w:shd w:val="clear" w:color="auto" w:fill="D9D9D9"/>
          </w:tcPr>
          <w:p>
            <w:pPr>
              <w:jc w:val="center"/>
              <w:spacing w:after="0" w:line="216" w:lineRule="exact"/>
              <w:rPr>
                <w:sz w:val="20"/>
                <w:szCs w:val="20"/>
                <w:color w:val="auto"/>
              </w:rPr>
            </w:pPr>
            <w:r>
              <w:rPr>
                <w:rFonts w:ascii="Arial" w:cs="Arial" w:eastAsia="Arial" w:hAnsi="Arial"/>
                <w:sz w:val="20"/>
                <w:szCs w:val="20"/>
                <w:color w:val="auto"/>
                <w:w w:val="92"/>
              </w:rPr>
              <w:t>Below 10.6%</w:t>
            </w:r>
          </w:p>
        </w:tc>
        <w:tc>
          <w:tcPr>
            <w:tcW w:w="4080" w:type="dxa"/>
            <w:vAlign w:val="bottom"/>
            <w:tcBorders>
              <w:bottom w:val="single" w:sz="8" w:color="auto"/>
              <w:right w:val="single" w:sz="8" w:color="auto"/>
            </w:tcBorders>
            <w:shd w:val="clear" w:color="auto" w:fill="D9D9D9"/>
          </w:tcPr>
          <w:p>
            <w:pPr>
              <w:jc w:val="center"/>
              <w:spacing w:after="0" w:line="216" w:lineRule="exact"/>
              <w:rPr>
                <w:sz w:val="20"/>
                <w:szCs w:val="20"/>
                <w:color w:val="auto"/>
              </w:rPr>
            </w:pPr>
            <w:r>
              <w:rPr>
                <w:rFonts w:ascii="Arial" w:cs="Arial" w:eastAsia="Arial" w:hAnsi="Arial"/>
                <w:sz w:val="20"/>
                <w:szCs w:val="20"/>
                <w:color w:val="auto"/>
                <w:w w:val="89"/>
              </w:rPr>
              <w:t>0%</w:t>
            </w:r>
          </w:p>
        </w:tc>
      </w:tr>
    </w:tbl>
    <w:p>
      <w:pPr>
        <w:spacing w:after="0" w:line="254" w:lineRule="exact"/>
        <w:rPr>
          <w:sz w:val="20"/>
          <w:szCs w:val="20"/>
          <w:color w:val="auto"/>
        </w:rPr>
      </w:pPr>
    </w:p>
    <w:p>
      <w:pPr>
        <w:jc w:val="both"/>
        <w:ind w:firstLine="595"/>
        <w:spacing w:after="0" w:line="254" w:lineRule="auto"/>
        <w:rPr>
          <w:sz w:val="20"/>
          <w:szCs w:val="20"/>
          <w:color w:val="auto"/>
        </w:rPr>
      </w:pPr>
      <w:r>
        <w:rPr>
          <w:rFonts w:ascii="Arial" w:cs="Arial" w:eastAsia="Arial" w:hAnsi="Arial"/>
          <w:sz w:val="19"/>
          <w:szCs w:val="19"/>
          <w:i w:val="1"/>
          <w:iCs w:val="1"/>
          <w:color w:val="auto"/>
        </w:rPr>
        <w:t xml:space="preserve">Calculation of ROIC. </w:t>
      </w:r>
      <w:r>
        <w:rPr>
          <w:rFonts w:ascii="Arial" w:cs="Arial" w:eastAsia="Arial" w:hAnsi="Arial"/>
          <w:sz w:val="19"/>
          <w:szCs w:val="19"/>
          <w:color w:val="auto"/>
        </w:rPr>
        <w:t>ROIC is calculated by dividing the Company’s after-tax segment income from continuing operations, adjusted</w:t>
      </w:r>
      <w:r>
        <w:rPr>
          <w:rFonts w:ascii="Arial" w:cs="Arial" w:eastAsia="Arial" w:hAnsi="Arial"/>
          <w:sz w:val="19"/>
          <w:szCs w:val="19"/>
          <w:i w:val="1"/>
          <w:iCs w:val="1"/>
          <w:color w:val="auto"/>
        </w:rPr>
        <w:t xml:space="preserve"> </w:t>
      </w:r>
      <w:r>
        <w:rPr>
          <w:rFonts w:ascii="Arial" w:cs="Arial" w:eastAsia="Arial" w:hAnsi="Arial"/>
          <w:sz w:val="19"/>
          <w:szCs w:val="19"/>
          <w:color w:val="auto"/>
        </w:rPr>
        <w:t>for pension and post-retirement expenses, by the average invested capital. ROIC is subject to adjustment for foreign exchange, acquisitions and divestitures, and non-recurring and other significant non-operational items. The target is equal to the Company’s projection of its three-year average of ROIC of 11.6%. The overall range and associated payouts are described below. In the event that the Company’s ROIC is between the specified percentiles, the vesting percentage is pro-rated on a straight-line basis.</w:t>
      </w:r>
    </w:p>
    <w:p>
      <w:pPr>
        <w:spacing w:after="0" w:line="59" w:lineRule="exact"/>
        <w:rPr>
          <w:sz w:val="20"/>
          <w:szCs w:val="20"/>
          <w:color w:val="auto"/>
        </w:rPr>
      </w:pPr>
    </w:p>
    <w:p>
      <w:pPr>
        <w:jc w:val="both"/>
        <w:ind w:firstLine="595"/>
        <w:spacing w:after="0" w:line="249" w:lineRule="auto"/>
        <w:rPr>
          <w:sz w:val="20"/>
          <w:szCs w:val="20"/>
          <w:color w:val="auto"/>
        </w:rPr>
      </w:pPr>
      <w:r>
        <w:rPr>
          <w:rFonts w:ascii="Arial" w:cs="Arial" w:eastAsia="Arial" w:hAnsi="Arial"/>
          <w:sz w:val="19"/>
          <w:szCs w:val="19"/>
          <w:i w:val="1"/>
          <w:iCs w:val="1"/>
          <w:color w:val="auto"/>
        </w:rPr>
        <w:t>2019 Long-Term Equity Incentive Awards</w:t>
      </w:r>
      <w:r>
        <w:rPr>
          <w:rFonts w:ascii="Arial" w:cs="Arial" w:eastAsia="Arial" w:hAnsi="Arial"/>
          <w:sz w:val="19"/>
          <w:szCs w:val="19"/>
          <w:color w:val="auto"/>
        </w:rPr>
        <w:t>. The first table below sets forth the number of time-based restricted shares granted to the</w:t>
      </w:r>
      <w:r>
        <w:rPr>
          <w:rFonts w:ascii="Arial" w:cs="Arial" w:eastAsia="Arial" w:hAnsi="Arial"/>
          <w:sz w:val="19"/>
          <w:szCs w:val="19"/>
          <w:i w:val="1"/>
          <w:iCs w:val="1"/>
          <w:color w:val="auto"/>
        </w:rPr>
        <w:t xml:space="preserve"> </w:t>
      </w:r>
      <w:r>
        <w:rPr>
          <w:rFonts w:ascii="Arial" w:cs="Arial" w:eastAsia="Arial" w:hAnsi="Arial"/>
          <w:sz w:val="19"/>
          <w:szCs w:val="19"/>
          <w:color w:val="auto"/>
        </w:rPr>
        <w:t>NEOs for 2019. The second table below sets forth the target number of performance-based restricted shares granted to the NEOs for 2019 as well as the minimum and maximum number of performance-based shares that may vest. Vesting of performance-based share awards is based on two criteria: the Company’s TSR relative to the industry peer group over the applicable performance period and the Company’s ROIC over the same three-year performance period relative to the Company’s projected three-year average of ROIC. The tables also set forth the fair value of the shares on the date of grant. With respect to the annual 2019 grants awarded to the NEOs, fair value on the date of grant was based on a share price of $43.07 for time-based restricted stock and the portion of the performance-based restricted stock that vests on the basis of ROIC and $49.54 for the portion of the performance-based restricted stock that vests on the basis of TSR (based on a Monte Carlo valuation model).</w:t>
      </w:r>
    </w:p>
    <w:p>
      <w:pPr>
        <w:spacing w:after="0" w:line="390" w:lineRule="exact"/>
        <w:rPr>
          <w:sz w:val="20"/>
          <w:szCs w:val="20"/>
          <w:color w:val="auto"/>
        </w:rPr>
      </w:pPr>
    </w:p>
    <w:tbl>
      <w:tblPr>
        <w:tblLayout w:type="fixed"/>
        <w:tblInd w:w="1130" w:type="dxa"/>
        <w:tblCellMar>
          <w:top w:w="0" w:type="dxa"/>
          <w:left w:w="0" w:type="dxa"/>
          <w:bottom w:w="0" w:type="dxa"/>
          <w:right w:w="0" w:type="dxa"/>
        </w:tblCellMar>
      </w:tblPr>
      <w:tr>
        <w:trPr>
          <w:trHeight w:val="318"/>
        </w:trPr>
        <w:tc>
          <w:tcPr>
            <w:tcW w:w="3100" w:type="dxa"/>
            <w:vAlign w:val="bottom"/>
            <w:tcBorders>
              <w:top w:val="single" w:sz="8" w:color="auto"/>
              <w:left w:val="single" w:sz="8" w:color="auto"/>
              <w:right w:val="single" w:sz="8" w:color="auto"/>
            </w:tcBorders>
            <w:vMerge w:val="restart"/>
            <w:shd w:val="clear" w:color="auto" w:fill="29650B"/>
          </w:tcPr>
          <w:p>
            <w:pPr>
              <w:ind w:left="1300"/>
              <w:spacing w:after="0"/>
              <w:rPr>
                <w:sz w:val="20"/>
                <w:szCs w:val="20"/>
                <w:color w:val="auto"/>
              </w:rPr>
            </w:pPr>
            <w:r>
              <w:rPr>
                <w:rFonts w:ascii="Arial" w:cs="Arial" w:eastAsia="Arial" w:hAnsi="Arial"/>
                <w:sz w:val="20"/>
                <w:szCs w:val="20"/>
                <w:b w:val="1"/>
                <w:bCs w:val="1"/>
                <w:color w:val="FFFFFF"/>
              </w:rPr>
              <w:t>Name</w:t>
            </w:r>
          </w:p>
        </w:tc>
        <w:tc>
          <w:tcPr>
            <w:tcW w:w="1660" w:type="dxa"/>
            <w:vAlign w:val="bottom"/>
            <w:tcBorders>
              <w:top w:val="single" w:sz="8" w:color="auto"/>
            </w:tcBorders>
            <w:shd w:val="clear" w:color="auto" w:fill="29650B"/>
          </w:tcPr>
          <w:p>
            <w:pPr>
              <w:spacing w:after="0"/>
              <w:rPr>
                <w:sz w:val="24"/>
                <w:szCs w:val="24"/>
                <w:color w:val="auto"/>
              </w:rPr>
            </w:pPr>
          </w:p>
        </w:tc>
        <w:tc>
          <w:tcPr>
            <w:tcW w:w="4240" w:type="dxa"/>
            <w:vAlign w:val="bottom"/>
            <w:tcBorders>
              <w:top w:val="single" w:sz="8" w:color="auto"/>
              <w:right w:val="single" w:sz="8" w:color="auto"/>
            </w:tcBorders>
            <w:gridSpan w:val="2"/>
            <w:shd w:val="clear" w:color="auto" w:fill="29650B"/>
          </w:tcPr>
          <w:p>
            <w:pPr>
              <w:jc w:val="right"/>
              <w:ind w:right="1641"/>
              <w:spacing w:after="0"/>
              <w:rPr>
                <w:sz w:val="20"/>
                <w:szCs w:val="20"/>
                <w:color w:val="auto"/>
              </w:rPr>
            </w:pPr>
            <w:r>
              <w:rPr>
                <w:rFonts w:ascii="Arial" w:cs="Arial" w:eastAsia="Arial" w:hAnsi="Arial"/>
                <w:sz w:val="20"/>
                <w:szCs w:val="20"/>
                <w:b w:val="1"/>
                <w:bCs w:val="1"/>
                <w:color w:val="FFFFFF"/>
                <w:w w:val="89"/>
              </w:rPr>
              <w:t>Time-Based Restricted Stock</w:t>
            </w:r>
          </w:p>
        </w:tc>
        <w:tc>
          <w:tcPr>
            <w:tcW w:w="0" w:type="dxa"/>
            <w:vAlign w:val="bottom"/>
          </w:tcPr>
          <w:p>
            <w:pPr>
              <w:spacing w:after="0"/>
              <w:rPr>
                <w:sz w:val="1"/>
                <w:szCs w:val="1"/>
                <w:color w:val="auto"/>
              </w:rPr>
            </w:pPr>
          </w:p>
        </w:tc>
      </w:tr>
      <w:tr>
        <w:trPr>
          <w:trHeight w:val="78"/>
        </w:trPr>
        <w:tc>
          <w:tcPr>
            <w:tcW w:w="3100" w:type="dxa"/>
            <w:vAlign w:val="bottom"/>
            <w:tcBorders>
              <w:left w:val="single" w:sz="8" w:color="auto"/>
              <w:bottom w:val="single" w:sz="8" w:color="auto"/>
              <w:right w:val="single" w:sz="8" w:color="auto"/>
            </w:tcBorders>
            <w:vMerge w:val="continue"/>
            <w:shd w:val="clear" w:color="auto" w:fill="29650B"/>
          </w:tcPr>
          <w:p>
            <w:pPr>
              <w:spacing w:after="0"/>
              <w:rPr>
                <w:sz w:val="6"/>
                <w:szCs w:val="6"/>
                <w:color w:val="auto"/>
              </w:rPr>
            </w:pPr>
          </w:p>
        </w:tc>
        <w:tc>
          <w:tcPr>
            <w:tcW w:w="1660" w:type="dxa"/>
            <w:vAlign w:val="bottom"/>
            <w:tcBorders>
              <w:bottom w:val="single" w:sz="8" w:color="auto"/>
            </w:tcBorders>
            <w:shd w:val="clear" w:color="auto" w:fill="29650B"/>
          </w:tcPr>
          <w:p>
            <w:pPr>
              <w:spacing w:after="0"/>
              <w:rPr>
                <w:sz w:val="6"/>
                <w:szCs w:val="6"/>
                <w:color w:val="auto"/>
              </w:rPr>
            </w:pPr>
          </w:p>
        </w:tc>
        <w:tc>
          <w:tcPr>
            <w:tcW w:w="1020" w:type="dxa"/>
            <w:vAlign w:val="bottom"/>
            <w:tcBorders>
              <w:bottom w:val="single" w:sz="8" w:color="auto"/>
              <w:right w:val="single" w:sz="8" w:color="29650B"/>
            </w:tcBorders>
            <w:shd w:val="clear" w:color="auto" w:fill="29650B"/>
          </w:tcPr>
          <w:p>
            <w:pPr>
              <w:spacing w:after="0"/>
              <w:rPr>
                <w:sz w:val="6"/>
                <w:szCs w:val="6"/>
                <w:color w:val="auto"/>
              </w:rPr>
            </w:pPr>
          </w:p>
        </w:tc>
        <w:tc>
          <w:tcPr>
            <w:tcW w:w="3220" w:type="dxa"/>
            <w:vAlign w:val="bottom"/>
            <w:tcBorders>
              <w:bottom w:val="single" w:sz="8" w:color="auto"/>
              <w:right w:val="single" w:sz="8" w:color="auto"/>
            </w:tcBorders>
            <w:shd w:val="clear" w:color="auto" w:fill="29650B"/>
          </w:tcPr>
          <w:p>
            <w:pPr>
              <w:spacing w:after="0"/>
              <w:rPr>
                <w:sz w:val="6"/>
                <w:szCs w:val="6"/>
                <w:color w:val="auto"/>
              </w:rPr>
            </w:pPr>
          </w:p>
        </w:tc>
        <w:tc>
          <w:tcPr>
            <w:tcW w:w="0" w:type="dxa"/>
            <w:vAlign w:val="bottom"/>
          </w:tcPr>
          <w:p>
            <w:pPr>
              <w:spacing w:after="0"/>
              <w:rPr>
                <w:sz w:val="1"/>
                <w:szCs w:val="1"/>
                <w:color w:val="auto"/>
              </w:rPr>
            </w:pPr>
          </w:p>
        </w:tc>
      </w:tr>
      <w:tr>
        <w:trPr>
          <w:trHeight w:val="100"/>
        </w:trPr>
        <w:tc>
          <w:tcPr>
            <w:tcW w:w="3100" w:type="dxa"/>
            <w:vAlign w:val="bottom"/>
            <w:tcBorders>
              <w:left w:val="single" w:sz="8" w:color="auto"/>
              <w:right w:val="single" w:sz="8" w:color="auto"/>
            </w:tcBorders>
            <w:vMerge w:val="continue"/>
            <w:shd w:val="clear" w:color="auto" w:fill="29650B"/>
          </w:tcPr>
          <w:p>
            <w:pPr>
              <w:spacing w:after="0"/>
              <w:rPr>
                <w:sz w:val="8"/>
                <w:szCs w:val="8"/>
                <w:color w:val="auto"/>
              </w:rPr>
            </w:pPr>
          </w:p>
        </w:tc>
        <w:tc>
          <w:tcPr>
            <w:tcW w:w="1660" w:type="dxa"/>
            <w:vAlign w:val="bottom"/>
            <w:vMerge w:val="restart"/>
            <w:shd w:val="clear" w:color="auto" w:fill="29650B"/>
          </w:tcPr>
          <w:p>
            <w:pPr>
              <w:jc w:val="right"/>
              <w:spacing w:after="0"/>
              <w:rPr>
                <w:sz w:val="20"/>
                <w:szCs w:val="20"/>
                <w:color w:val="auto"/>
              </w:rPr>
            </w:pPr>
            <w:r>
              <w:rPr>
                <w:rFonts w:ascii="Arial" w:cs="Arial" w:eastAsia="Arial" w:hAnsi="Arial"/>
                <w:sz w:val="20"/>
                <w:szCs w:val="20"/>
                <w:b w:val="1"/>
                <w:bCs w:val="1"/>
                <w:color w:val="FFFFFF"/>
              </w:rPr>
              <w:t>Shares</w:t>
            </w:r>
          </w:p>
        </w:tc>
        <w:tc>
          <w:tcPr>
            <w:tcW w:w="1020" w:type="dxa"/>
            <w:vAlign w:val="bottom"/>
            <w:tcBorders>
              <w:right w:val="single" w:sz="8" w:color="auto"/>
            </w:tcBorders>
            <w:shd w:val="clear" w:color="auto" w:fill="29650B"/>
          </w:tcPr>
          <w:p>
            <w:pPr>
              <w:spacing w:after="0"/>
              <w:rPr>
                <w:sz w:val="8"/>
                <w:szCs w:val="8"/>
                <w:color w:val="auto"/>
              </w:rPr>
            </w:pPr>
          </w:p>
        </w:tc>
        <w:tc>
          <w:tcPr>
            <w:tcW w:w="3220" w:type="dxa"/>
            <w:vAlign w:val="bottom"/>
            <w:tcBorders>
              <w:right w:val="single" w:sz="8" w:color="auto"/>
            </w:tcBorders>
            <w:vMerge w:val="restart"/>
            <w:shd w:val="clear" w:color="auto" w:fill="29650B"/>
          </w:tcPr>
          <w:p>
            <w:pPr>
              <w:jc w:val="right"/>
              <w:ind w:right="961"/>
              <w:spacing w:after="0"/>
              <w:rPr>
                <w:sz w:val="20"/>
                <w:szCs w:val="20"/>
                <w:color w:val="auto"/>
              </w:rPr>
            </w:pPr>
            <w:r>
              <w:rPr>
                <w:rFonts w:ascii="Arial" w:cs="Arial" w:eastAsia="Arial" w:hAnsi="Arial"/>
                <w:sz w:val="20"/>
                <w:szCs w:val="20"/>
                <w:b w:val="1"/>
                <w:bCs w:val="1"/>
                <w:color w:val="FFFFFF"/>
              </w:rPr>
              <w:t>Award Value</w:t>
            </w:r>
          </w:p>
        </w:tc>
        <w:tc>
          <w:tcPr>
            <w:tcW w:w="0" w:type="dxa"/>
            <w:vAlign w:val="bottom"/>
          </w:tcPr>
          <w:p>
            <w:pPr>
              <w:spacing w:after="0"/>
              <w:rPr>
                <w:sz w:val="1"/>
                <w:szCs w:val="1"/>
                <w:color w:val="auto"/>
              </w:rPr>
            </w:pPr>
          </w:p>
        </w:tc>
      </w:tr>
      <w:tr>
        <w:trPr>
          <w:trHeight w:val="198"/>
        </w:trPr>
        <w:tc>
          <w:tcPr>
            <w:tcW w:w="3100" w:type="dxa"/>
            <w:vAlign w:val="bottom"/>
            <w:tcBorders>
              <w:left w:val="single" w:sz="8" w:color="auto"/>
              <w:right w:val="single" w:sz="8" w:color="auto"/>
            </w:tcBorders>
            <w:shd w:val="clear" w:color="auto" w:fill="29650B"/>
          </w:tcPr>
          <w:p>
            <w:pPr>
              <w:spacing w:after="0"/>
              <w:rPr>
                <w:sz w:val="17"/>
                <w:szCs w:val="17"/>
                <w:color w:val="auto"/>
              </w:rPr>
            </w:pPr>
          </w:p>
        </w:tc>
        <w:tc>
          <w:tcPr>
            <w:tcW w:w="1660" w:type="dxa"/>
            <w:vAlign w:val="bottom"/>
            <w:vMerge w:val="continue"/>
            <w:shd w:val="clear" w:color="auto" w:fill="29650B"/>
          </w:tcPr>
          <w:p>
            <w:pPr>
              <w:spacing w:after="0"/>
              <w:rPr>
                <w:sz w:val="17"/>
                <w:szCs w:val="17"/>
                <w:color w:val="auto"/>
              </w:rPr>
            </w:pPr>
          </w:p>
        </w:tc>
        <w:tc>
          <w:tcPr>
            <w:tcW w:w="1020" w:type="dxa"/>
            <w:vAlign w:val="bottom"/>
            <w:tcBorders>
              <w:right w:val="single" w:sz="8" w:color="auto"/>
            </w:tcBorders>
            <w:shd w:val="clear" w:color="auto" w:fill="29650B"/>
          </w:tcPr>
          <w:p>
            <w:pPr>
              <w:spacing w:after="0"/>
              <w:rPr>
                <w:sz w:val="17"/>
                <w:szCs w:val="17"/>
                <w:color w:val="auto"/>
              </w:rPr>
            </w:pPr>
          </w:p>
        </w:tc>
        <w:tc>
          <w:tcPr>
            <w:tcW w:w="3220" w:type="dxa"/>
            <w:vAlign w:val="bottom"/>
            <w:tcBorders>
              <w:right w:val="single" w:sz="8" w:color="auto"/>
            </w:tcBorders>
            <w:vMerge w:val="continue"/>
            <w:shd w:val="clear" w:color="auto" w:fill="29650B"/>
          </w:tcPr>
          <w:p>
            <w:pPr>
              <w:spacing w:after="0"/>
              <w:rPr>
                <w:sz w:val="17"/>
                <w:szCs w:val="17"/>
                <w:color w:val="auto"/>
              </w:rPr>
            </w:pPr>
          </w:p>
        </w:tc>
        <w:tc>
          <w:tcPr>
            <w:tcW w:w="0" w:type="dxa"/>
            <w:vAlign w:val="bottom"/>
          </w:tcPr>
          <w:p>
            <w:pPr>
              <w:spacing w:after="0"/>
              <w:rPr>
                <w:sz w:val="1"/>
                <w:szCs w:val="1"/>
                <w:color w:val="auto"/>
              </w:rPr>
            </w:pPr>
          </w:p>
        </w:tc>
      </w:tr>
      <w:tr>
        <w:trPr>
          <w:trHeight w:val="78"/>
        </w:trPr>
        <w:tc>
          <w:tcPr>
            <w:tcW w:w="3100" w:type="dxa"/>
            <w:vAlign w:val="bottom"/>
            <w:tcBorders>
              <w:left w:val="single" w:sz="8" w:color="auto"/>
              <w:bottom w:val="single" w:sz="8" w:color="auto"/>
              <w:right w:val="single" w:sz="8" w:color="auto"/>
            </w:tcBorders>
            <w:shd w:val="clear" w:color="auto" w:fill="29650B"/>
          </w:tcPr>
          <w:p>
            <w:pPr>
              <w:spacing w:after="0"/>
              <w:rPr>
                <w:sz w:val="6"/>
                <w:szCs w:val="6"/>
                <w:color w:val="auto"/>
              </w:rPr>
            </w:pPr>
          </w:p>
        </w:tc>
        <w:tc>
          <w:tcPr>
            <w:tcW w:w="1660" w:type="dxa"/>
            <w:vAlign w:val="bottom"/>
            <w:tcBorders>
              <w:bottom w:val="single" w:sz="8" w:color="auto"/>
            </w:tcBorders>
            <w:shd w:val="clear" w:color="auto" w:fill="29650B"/>
          </w:tcPr>
          <w:p>
            <w:pPr>
              <w:spacing w:after="0"/>
              <w:rPr>
                <w:sz w:val="6"/>
                <w:szCs w:val="6"/>
                <w:color w:val="auto"/>
              </w:rPr>
            </w:pPr>
          </w:p>
        </w:tc>
        <w:tc>
          <w:tcPr>
            <w:tcW w:w="1020" w:type="dxa"/>
            <w:vAlign w:val="bottom"/>
            <w:tcBorders>
              <w:bottom w:val="single" w:sz="8" w:color="auto"/>
              <w:right w:val="single" w:sz="8" w:color="auto"/>
            </w:tcBorders>
            <w:shd w:val="clear" w:color="auto" w:fill="29650B"/>
          </w:tcPr>
          <w:p>
            <w:pPr>
              <w:spacing w:after="0"/>
              <w:rPr>
                <w:sz w:val="6"/>
                <w:szCs w:val="6"/>
                <w:color w:val="auto"/>
              </w:rPr>
            </w:pPr>
          </w:p>
        </w:tc>
        <w:tc>
          <w:tcPr>
            <w:tcW w:w="3220" w:type="dxa"/>
            <w:vAlign w:val="bottom"/>
            <w:tcBorders>
              <w:bottom w:val="single" w:sz="8" w:color="auto"/>
              <w:right w:val="single" w:sz="8" w:color="auto"/>
            </w:tcBorders>
            <w:shd w:val="clear" w:color="auto" w:fill="29650B"/>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31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Timothy Donahue</w:t>
            </w:r>
          </w:p>
        </w:tc>
        <w:tc>
          <w:tcPr>
            <w:tcW w:w="1660" w:type="dxa"/>
            <w:vAlign w:val="bottom"/>
          </w:tcPr>
          <w:p>
            <w:pPr>
              <w:jc w:val="center"/>
              <w:ind w:left="901"/>
              <w:spacing w:after="0"/>
              <w:rPr>
                <w:sz w:val="20"/>
                <w:szCs w:val="20"/>
                <w:color w:val="auto"/>
              </w:rPr>
            </w:pPr>
            <w:r>
              <w:rPr>
                <w:rFonts w:ascii="Arial" w:cs="Arial" w:eastAsia="Arial" w:hAnsi="Arial"/>
                <w:sz w:val="20"/>
                <w:szCs w:val="20"/>
                <w:color w:val="auto"/>
                <w:w w:val="88"/>
              </w:rPr>
              <w:t>46,482</w:t>
            </w:r>
          </w:p>
        </w:tc>
        <w:tc>
          <w:tcPr>
            <w:tcW w:w="1020" w:type="dxa"/>
            <w:vAlign w:val="bottom"/>
            <w:tcBorders>
              <w:right w:val="single" w:sz="8" w:color="auto"/>
            </w:tcBorders>
          </w:tcPr>
          <w:p>
            <w:pPr>
              <w:spacing w:after="0"/>
              <w:rPr>
                <w:sz w:val="24"/>
                <w:szCs w:val="24"/>
                <w:color w:val="auto"/>
              </w:rPr>
            </w:pPr>
          </w:p>
        </w:tc>
        <w:tc>
          <w:tcPr>
            <w:tcW w:w="3220" w:type="dxa"/>
            <w:vAlign w:val="bottom"/>
            <w:tcBorders>
              <w:right w:val="single" w:sz="8" w:color="auto"/>
            </w:tcBorders>
          </w:tcPr>
          <w:p>
            <w:pPr>
              <w:jc w:val="right"/>
              <w:ind w:right="1081"/>
              <w:spacing w:after="0"/>
              <w:rPr>
                <w:sz w:val="20"/>
                <w:szCs w:val="20"/>
                <w:color w:val="auto"/>
              </w:rPr>
            </w:pPr>
            <w:r>
              <w:rPr>
                <w:rFonts w:ascii="Arial" w:cs="Arial" w:eastAsia="Arial" w:hAnsi="Arial"/>
                <w:sz w:val="20"/>
                <w:szCs w:val="20"/>
                <w:color w:val="auto"/>
              </w:rPr>
              <w:t>$2,001,980</w:t>
            </w:r>
          </w:p>
        </w:tc>
        <w:tc>
          <w:tcPr>
            <w:tcW w:w="0" w:type="dxa"/>
            <w:vAlign w:val="bottom"/>
          </w:tcPr>
          <w:p>
            <w:pPr>
              <w:spacing w:after="0"/>
              <w:rPr>
                <w:sz w:val="1"/>
                <w:szCs w:val="1"/>
                <w:color w:val="auto"/>
              </w:rPr>
            </w:pPr>
          </w:p>
        </w:tc>
      </w:tr>
      <w:tr>
        <w:trPr>
          <w:trHeight w:val="78"/>
        </w:trPr>
        <w:tc>
          <w:tcPr>
            <w:tcW w:w="3100" w:type="dxa"/>
            <w:vAlign w:val="bottom"/>
            <w:tcBorders>
              <w:left w:val="single" w:sz="8" w:color="auto"/>
              <w:bottom w:val="single" w:sz="8" w:color="auto"/>
              <w:right w:val="single" w:sz="8" w:color="auto"/>
            </w:tcBorders>
          </w:tcPr>
          <w:p>
            <w:pPr>
              <w:spacing w:after="0"/>
              <w:rPr>
                <w:sz w:val="6"/>
                <w:szCs w:val="6"/>
                <w:color w:val="auto"/>
              </w:rPr>
            </w:pPr>
          </w:p>
        </w:tc>
        <w:tc>
          <w:tcPr>
            <w:tcW w:w="1660" w:type="dxa"/>
            <w:vAlign w:val="bottom"/>
            <w:tcBorders>
              <w:bottom w:val="single" w:sz="8" w:color="auto"/>
            </w:tcBorders>
          </w:tcPr>
          <w:p>
            <w:pPr>
              <w:spacing w:after="0"/>
              <w:rPr>
                <w:sz w:val="6"/>
                <w:szCs w:val="6"/>
                <w:color w:val="auto"/>
              </w:rPr>
            </w:pPr>
          </w:p>
        </w:tc>
        <w:tc>
          <w:tcPr>
            <w:tcW w:w="1020" w:type="dxa"/>
            <w:vAlign w:val="bottom"/>
            <w:tcBorders>
              <w:bottom w:val="single" w:sz="8" w:color="auto"/>
              <w:right w:val="single" w:sz="8" w:color="auto"/>
            </w:tcBorders>
          </w:tcPr>
          <w:p>
            <w:pPr>
              <w:spacing w:after="0"/>
              <w:rPr>
                <w:sz w:val="6"/>
                <w:szCs w:val="6"/>
                <w:color w:val="auto"/>
              </w:rPr>
            </w:pPr>
          </w:p>
        </w:tc>
        <w:tc>
          <w:tcPr>
            <w:tcW w:w="32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3100" w:type="dxa"/>
            <w:vAlign w:val="bottom"/>
            <w:tcBorders>
              <w:left w:val="single" w:sz="8" w:color="auto"/>
              <w:right w:val="single" w:sz="8" w:color="auto"/>
            </w:tcBorders>
            <w:shd w:val="clear" w:color="auto" w:fill="D9D9D9"/>
          </w:tcPr>
          <w:p>
            <w:pPr>
              <w:ind w:left="100"/>
              <w:spacing w:after="0"/>
              <w:rPr>
                <w:sz w:val="20"/>
                <w:szCs w:val="20"/>
                <w:color w:val="auto"/>
              </w:rPr>
            </w:pPr>
            <w:r>
              <w:rPr>
                <w:rFonts w:ascii="Arial" w:cs="Arial" w:eastAsia="Arial" w:hAnsi="Arial"/>
                <w:sz w:val="20"/>
                <w:szCs w:val="20"/>
                <w:color w:val="auto"/>
              </w:rPr>
              <w:t>Thomas Kelly</w:t>
            </w:r>
          </w:p>
        </w:tc>
        <w:tc>
          <w:tcPr>
            <w:tcW w:w="1660" w:type="dxa"/>
            <w:vAlign w:val="bottom"/>
            <w:shd w:val="clear" w:color="auto" w:fill="D9D9D9"/>
          </w:tcPr>
          <w:p>
            <w:pPr>
              <w:jc w:val="center"/>
              <w:ind w:left="881"/>
              <w:spacing w:after="0"/>
              <w:rPr>
                <w:sz w:val="20"/>
                <w:szCs w:val="20"/>
                <w:color w:val="auto"/>
              </w:rPr>
            </w:pPr>
            <w:r>
              <w:rPr>
                <w:rFonts w:ascii="Arial" w:cs="Arial" w:eastAsia="Arial" w:hAnsi="Arial"/>
                <w:sz w:val="20"/>
                <w:szCs w:val="20"/>
                <w:color w:val="auto"/>
                <w:w w:val="87"/>
              </w:rPr>
              <w:t>9,543</w:t>
            </w:r>
          </w:p>
        </w:tc>
        <w:tc>
          <w:tcPr>
            <w:tcW w:w="1020" w:type="dxa"/>
            <w:vAlign w:val="bottom"/>
            <w:tcBorders>
              <w:right w:val="single" w:sz="8" w:color="auto"/>
            </w:tcBorders>
            <w:shd w:val="clear" w:color="auto" w:fill="D9D9D9"/>
          </w:tcPr>
          <w:p>
            <w:pPr>
              <w:spacing w:after="0"/>
              <w:rPr>
                <w:sz w:val="24"/>
                <w:szCs w:val="24"/>
                <w:color w:val="auto"/>
              </w:rPr>
            </w:pPr>
          </w:p>
        </w:tc>
        <w:tc>
          <w:tcPr>
            <w:tcW w:w="3220" w:type="dxa"/>
            <w:vAlign w:val="bottom"/>
            <w:tcBorders>
              <w:right w:val="single" w:sz="8" w:color="auto"/>
            </w:tcBorders>
            <w:shd w:val="clear" w:color="auto" w:fill="D9D9D9"/>
          </w:tcPr>
          <w:p>
            <w:pPr>
              <w:jc w:val="right"/>
              <w:ind w:right="1161"/>
              <w:spacing w:after="0"/>
              <w:rPr>
                <w:sz w:val="20"/>
                <w:szCs w:val="20"/>
                <w:color w:val="auto"/>
              </w:rPr>
            </w:pPr>
            <w:r>
              <w:rPr>
                <w:rFonts w:ascii="Arial" w:cs="Arial" w:eastAsia="Arial" w:hAnsi="Arial"/>
                <w:sz w:val="20"/>
                <w:szCs w:val="20"/>
                <w:color w:val="auto"/>
              </w:rPr>
              <w:t>411,017</w:t>
            </w:r>
          </w:p>
        </w:tc>
        <w:tc>
          <w:tcPr>
            <w:tcW w:w="0" w:type="dxa"/>
            <w:vAlign w:val="bottom"/>
          </w:tcPr>
          <w:p>
            <w:pPr>
              <w:spacing w:after="0"/>
              <w:rPr>
                <w:sz w:val="1"/>
                <w:szCs w:val="1"/>
                <w:color w:val="auto"/>
              </w:rPr>
            </w:pPr>
          </w:p>
        </w:tc>
      </w:tr>
      <w:tr>
        <w:trPr>
          <w:trHeight w:val="78"/>
        </w:trPr>
        <w:tc>
          <w:tcPr>
            <w:tcW w:w="3100" w:type="dxa"/>
            <w:vAlign w:val="bottom"/>
            <w:tcBorders>
              <w:left w:val="single" w:sz="8" w:color="auto"/>
              <w:bottom w:val="single" w:sz="8" w:color="auto"/>
              <w:right w:val="single" w:sz="8" w:color="auto"/>
            </w:tcBorders>
            <w:shd w:val="clear" w:color="auto" w:fill="D9D9D9"/>
          </w:tcPr>
          <w:p>
            <w:pPr>
              <w:spacing w:after="0"/>
              <w:rPr>
                <w:sz w:val="6"/>
                <w:szCs w:val="6"/>
                <w:color w:val="auto"/>
              </w:rPr>
            </w:pPr>
          </w:p>
        </w:tc>
        <w:tc>
          <w:tcPr>
            <w:tcW w:w="1660" w:type="dxa"/>
            <w:vAlign w:val="bottom"/>
            <w:tcBorders>
              <w:bottom w:val="single" w:sz="8" w:color="auto"/>
            </w:tcBorders>
            <w:shd w:val="clear" w:color="auto" w:fill="D9D9D9"/>
          </w:tcPr>
          <w:p>
            <w:pPr>
              <w:spacing w:after="0"/>
              <w:rPr>
                <w:sz w:val="6"/>
                <w:szCs w:val="6"/>
                <w:color w:val="auto"/>
              </w:rPr>
            </w:pPr>
          </w:p>
        </w:tc>
        <w:tc>
          <w:tcPr>
            <w:tcW w:w="1020" w:type="dxa"/>
            <w:vAlign w:val="bottom"/>
            <w:tcBorders>
              <w:bottom w:val="single" w:sz="8" w:color="auto"/>
              <w:right w:val="single" w:sz="8" w:color="auto"/>
            </w:tcBorders>
            <w:shd w:val="clear" w:color="auto" w:fill="D9D9D9"/>
          </w:tcPr>
          <w:p>
            <w:pPr>
              <w:spacing w:after="0"/>
              <w:rPr>
                <w:sz w:val="6"/>
                <w:szCs w:val="6"/>
                <w:color w:val="auto"/>
              </w:rPr>
            </w:pPr>
          </w:p>
        </w:tc>
        <w:tc>
          <w:tcPr>
            <w:tcW w:w="3220" w:type="dxa"/>
            <w:vAlign w:val="bottom"/>
            <w:tcBorders>
              <w:bottom w:val="single" w:sz="8" w:color="auto"/>
              <w:right w:val="single" w:sz="8" w:color="auto"/>
            </w:tcBorders>
            <w:shd w:val="clear" w:color="auto" w:fill="D9D9D9"/>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31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Gerard Gifford</w:t>
            </w:r>
          </w:p>
        </w:tc>
        <w:tc>
          <w:tcPr>
            <w:tcW w:w="1660" w:type="dxa"/>
            <w:vAlign w:val="bottom"/>
          </w:tcPr>
          <w:p>
            <w:pPr>
              <w:jc w:val="center"/>
              <w:ind w:left="901"/>
              <w:spacing w:after="0"/>
              <w:rPr>
                <w:sz w:val="20"/>
                <w:szCs w:val="20"/>
                <w:color w:val="auto"/>
              </w:rPr>
            </w:pPr>
            <w:r>
              <w:rPr>
                <w:rFonts w:ascii="Arial" w:cs="Arial" w:eastAsia="Arial" w:hAnsi="Arial"/>
                <w:sz w:val="20"/>
                <w:szCs w:val="20"/>
                <w:color w:val="auto"/>
                <w:w w:val="88"/>
              </w:rPr>
              <w:t>13,834</w:t>
            </w:r>
          </w:p>
        </w:tc>
        <w:tc>
          <w:tcPr>
            <w:tcW w:w="1020" w:type="dxa"/>
            <w:vAlign w:val="bottom"/>
            <w:tcBorders>
              <w:right w:val="single" w:sz="8" w:color="auto"/>
            </w:tcBorders>
          </w:tcPr>
          <w:p>
            <w:pPr>
              <w:spacing w:after="0"/>
              <w:rPr>
                <w:sz w:val="24"/>
                <w:szCs w:val="24"/>
                <w:color w:val="auto"/>
              </w:rPr>
            </w:pPr>
          </w:p>
        </w:tc>
        <w:tc>
          <w:tcPr>
            <w:tcW w:w="3220" w:type="dxa"/>
            <w:vAlign w:val="bottom"/>
            <w:tcBorders>
              <w:right w:val="single" w:sz="8" w:color="auto"/>
            </w:tcBorders>
          </w:tcPr>
          <w:p>
            <w:pPr>
              <w:jc w:val="right"/>
              <w:ind w:right="1161"/>
              <w:spacing w:after="0"/>
              <w:rPr>
                <w:sz w:val="20"/>
                <w:szCs w:val="20"/>
                <w:color w:val="auto"/>
              </w:rPr>
            </w:pPr>
            <w:r>
              <w:rPr>
                <w:rFonts w:ascii="Arial" w:cs="Arial" w:eastAsia="Arial" w:hAnsi="Arial"/>
                <w:sz w:val="20"/>
                <w:szCs w:val="20"/>
                <w:color w:val="auto"/>
              </w:rPr>
              <w:t>595,830</w:t>
            </w:r>
          </w:p>
        </w:tc>
        <w:tc>
          <w:tcPr>
            <w:tcW w:w="0" w:type="dxa"/>
            <w:vAlign w:val="bottom"/>
          </w:tcPr>
          <w:p>
            <w:pPr>
              <w:spacing w:after="0"/>
              <w:rPr>
                <w:sz w:val="1"/>
                <w:szCs w:val="1"/>
                <w:color w:val="auto"/>
              </w:rPr>
            </w:pPr>
          </w:p>
        </w:tc>
      </w:tr>
      <w:tr>
        <w:trPr>
          <w:trHeight w:val="78"/>
        </w:trPr>
        <w:tc>
          <w:tcPr>
            <w:tcW w:w="3100" w:type="dxa"/>
            <w:vAlign w:val="bottom"/>
            <w:tcBorders>
              <w:left w:val="single" w:sz="8" w:color="auto"/>
              <w:bottom w:val="single" w:sz="8" w:color="auto"/>
              <w:right w:val="single" w:sz="8" w:color="auto"/>
            </w:tcBorders>
          </w:tcPr>
          <w:p>
            <w:pPr>
              <w:spacing w:after="0"/>
              <w:rPr>
                <w:sz w:val="6"/>
                <w:szCs w:val="6"/>
                <w:color w:val="auto"/>
              </w:rPr>
            </w:pPr>
          </w:p>
        </w:tc>
        <w:tc>
          <w:tcPr>
            <w:tcW w:w="1660" w:type="dxa"/>
            <w:vAlign w:val="bottom"/>
            <w:tcBorders>
              <w:bottom w:val="single" w:sz="8" w:color="auto"/>
            </w:tcBorders>
          </w:tcPr>
          <w:p>
            <w:pPr>
              <w:spacing w:after="0"/>
              <w:rPr>
                <w:sz w:val="6"/>
                <w:szCs w:val="6"/>
                <w:color w:val="auto"/>
              </w:rPr>
            </w:pPr>
          </w:p>
        </w:tc>
        <w:tc>
          <w:tcPr>
            <w:tcW w:w="1020" w:type="dxa"/>
            <w:vAlign w:val="bottom"/>
            <w:tcBorders>
              <w:bottom w:val="single" w:sz="8" w:color="auto"/>
              <w:right w:val="single" w:sz="8" w:color="auto"/>
            </w:tcBorders>
          </w:tcPr>
          <w:p>
            <w:pPr>
              <w:spacing w:after="0"/>
              <w:rPr>
                <w:sz w:val="6"/>
                <w:szCs w:val="6"/>
                <w:color w:val="auto"/>
              </w:rPr>
            </w:pPr>
          </w:p>
        </w:tc>
        <w:tc>
          <w:tcPr>
            <w:tcW w:w="32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3100" w:type="dxa"/>
            <w:vAlign w:val="bottom"/>
            <w:tcBorders>
              <w:left w:val="single" w:sz="8" w:color="auto"/>
              <w:right w:val="single" w:sz="8" w:color="auto"/>
            </w:tcBorders>
            <w:shd w:val="clear" w:color="auto" w:fill="D9D9D9"/>
          </w:tcPr>
          <w:p>
            <w:pPr>
              <w:ind w:left="100"/>
              <w:spacing w:after="0"/>
              <w:rPr>
                <w:sz w:val="20"/>
                <w:szCs w:val="20"/>
                <w:color w:val="auto"/>
              </w:rPr>
            </w:pPr>
            <w:r>
              <w:rPr>
                <w:rFonts w:ascii="Arial" w:cs="Arial" w:eastAsia="Arial" w:hAnsi="Arial"/>
                <w:sz w:val="20"/>
                <w:szCs w:val="20"/>
                <w:color w:val="auto"/>
              </w:rPr>
              <w:t>Djalma Novaes</w:t>
            </w:r>
          </w:p>
        </w:tc>
        <w:tc>
          <w:tcPr>
            <w:tcW w:w="1660" w:type="dxa"/>
            <w:vAlign w:val="bottom"/>
            <w:shd w:val="clear" w:color="auto" w:fill="D9D9D9"/>
          </w:tcPr>
          <w:p>
            <w:pPr>
              <w:jc w:val="center"/>
              <w:ind w:left="881"/>
              <w:spacing w:after="0"/>
              <w:rPr>
                <w:sz w:val="20"/>
                <w:szCs w:val="20"/>
                <w:color w:val="auto"/>
              </w:rPr>
            </w:pPr>
            <w:r>
              <w:rPr>
                <w:rFonts w:ascii="Arial" w:cs="Arial" w:eastAsia="Arial" w:hAnsi="Arial"/>
                <w:sz w:val="20"/>
                <w:szCs w:val="20"/>
                <w:color w:val="auto"/>
                <w:w w:val="87"/>
              </w:rPr>
              <w:t>7,788</w:t>
            </w:r>
          </w:p>
        </w:tc>
        <w:tc>
          <w:tcPr>
            <w:tcW w:w="1020" w:type="dxa"/>
            <w:vAlign w:val="bottom"/>
            <w:tcBorders>
              <w:right w:val="single" w:sz="8" w:color="auto"/>
            </w:tcBorders>
            <w:shd w:val="clear" w:color="auto" w:fill="D9D9D9"/>
          </w:tcPr>
          <w:p>
            <w:pPr>
              <w:spacing w:after="0"/>
              <w:rPr>
                <w:sz w:val="24"/>
                <w:szCs w:val="24"/>
                <w:color w:val="auto"/>
              </w:rPr>
            </w:pPr>
          </w:p>
        </w:tc>
        <w:tc>
          <w:tcPr>
            <w:tcW w:w="3220" w:type="dxa"/>
            <w:vAlign w:val="bottom"/>
            <w:tcBorders>
              <w:right w:val="single" w:sz="8" w:color="auto"/>
            </w:tcBorders>
            <w:shd w:val="clear" w:color="auto" w:fill="D9D9D9"/>
          </w:tcPr>
          <w:p>
            <w:pPr>
              <w:jc w:val="right"/>
              <w:ind w:right="1161"/>
              <w:spacing w:after="0"/>
              <w:rPr>
                <w:sz w:val="20"/>
                <w:szCs w:val="20"/>
                <w:color w:val="auto"/>
              </w:rPr>
            </w:pPr>
            <w:r>
              <w:rPr>
                <w:rFonts w:ascii="Arial" w:cs="Arial" w:eastAsia="Arial" w:hAnsi="Arial"/>
                <w:sz w:val="20"/>
                <w:szCs w:val="20"/>
                <w:color w:val="auto"/>
              </w:rPr>
              <w:t>335,429</w:t>
            </w:r>
          </w:p>
        </w:tc>
        <w:tc>
          <w:tcPr>
            <w:tcW w:w="0" w:type="dxa"/>
            <w:vAlign w:val="bottom"/>
          </w:tcPr>
          <w:p>
            <w:pPr>
              <w:spacing w:after="0"/>
              <w:rPr>
                <w:sz w:val="1"/>
                <w:szCs w:val="1"/>
                <w:color w:val="auto"/>
              </w:rPr>
            </w:pPr>
          </w:p>
        </w:tc>
      </w:tr>
      <w:tr>
        <w:trPr>
          <w:trHeight w:val="78"/>
        </w:trPr>
        <w:tc>
          <w:tcPr>
            <w:tcW w:w="3100" w:type="dxa"/>
            <w:vAlign w:val="bottom"/>
            <w:tcBorders>
              <w:left w:val="single" w:sz="8" w:color="auto"/>
              <w:bottom w:val="single" w:sz="8" w:color="auto"/>
              <w:right w:val="single" w:sz="8" w:color="auto"/>
            </w:tcBorders>
            <w:shd w:val="clear" w:color="auto" w:fill="D9D9D9"/>
          </w:tcPr>
          <w:p>
            <w:pPr>
              <w:spacing w:after="0"/>
              <w:rPr>
                <w:sz w:val="6"/>
                <w:szCs w:val="6"/>
                <w:color w:val="auto"/>
              </w:rPr>
            </w:pPr>
          </w:p>
        </w:tc>
        <w:tc>
          <w:tcPr>
            <w:tcW w:w="1660" w:type="dxa"/>
            <w:vAlign w:val="bottom"/>
            <w:tcBorders>
              <w:bottom w:val="single" w:sz="8" w:color="auto"/>
            </w:tcBorders>
            <w:shd w:val="clear" w:color="auto" w:fill="D9D9D9"/>
          </w:tcPr>
          <w:p>
            <w:pPr>
              <w:spacing w:after="0"/>
              <w:rPr>
                <w:sz w:val="6"/>
                <w:szCs w:val="6"/>
                <w:color w:val="auto"/>
              </w:rPr>
            </w:pPr>
          </w:p>
        </w:tc>
        <w:tc>
          <w:tcPr>
            <w:tcW w:w="1020" w:type="dxa"/>
            <w:vAlign w:val="bottom"/>
            <w:tcBorders>
              <w:bottom w:val="single" w:sz="8" w:color="auto"/>
              <w:right w:val="single" w:sz="8" w:color="auto"/>
            </w:tcBorders>
            <w:shd w:val="clear" w:color="auto" w:fill="D9D9D9"/>
          </w:tcPr>
          <w:p>
            <w:pPr>
              <w:spacing w:after="0"/>
              <w:rPr>
                <w:sz w:val="6"/>
                <w:szCs w:val="6"/>
                <w:color w:val="auto"/>
              </w:rPr>
            </w:pPr>
          </w:p>
        </w:tc>
        <w:tc>
          <w:tcPr>
            <w:tcW w:w="3220" w:type="dxa"/>
            <w:vAlign w:val="bottom"/>
            <w:tcBorders>
              <w:bottom w:val="single" w:sz="8" w:color="auto"/>
              <w:right w:val="single" w:sz="8" w:color="auto"/>
            </w:tcBorders>
            <w:shd w:val="clear" w:color="auto" w:fill="D9D9D9"/>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31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Robert Bourque</w:t>
            </w:r>
          </w:p>
        </w:tc>
        <w:tc>
          <w:tcPr>
            <w:tcW w:w="1660" w:type="dxa"/>
            <w:vAlign w:val="bottom"/>
          </w:tcPr>
          <w:p>
            <w:pPr>
              <w:jc w:val="center"/>
              <w:ind w:left="881"/>
              <w:spacing w:after="0"/>
              <w:rPr>
                <w:sz w:val="20"/>
                <w:szCs w:val="20"/>
                <w:color w:val="auto"/>
              </w:rPr>
            </w:pPr>
            <w:r>
              <w:rPr>
                <w:rFonts w:ascii="Arial" w:cs="Arial" w:eastAsia="Arial" w:hAnsi="Arial"/>
                <w:sz w:val="20"/>
                <w:szCs w:val="20"/>
                <w:color w:val="auto"/>
                <w:w w:val="87"/>
              </w:rPr>
              <w:t>6,907</w:t>
            </w:r>
          </w:p>
        </w:tc>
        <w:tc>
          <w:tcPr>
            <w:tcW w:w="1020" w:type="dxa"/>
            <w:vAlign w:val="bottom"/>
            <w:tcBorders>
              <w:right w:val="single" w:sz="8" w:color="auto"/>
            </w:tcBorders>
          </w:tcPr>
          <w:p>
            <w:pPr>
              <w:spacing w:after="0"/>
              <w:rPr>
                <w:sz w:val="24"/>
                <w:szCs w:val="24"/>
                <w:color w:val="auto"/>
              </w:rPr>
            </w:pPr>
          </w:p>
        </w:tc>
        <w:tc>
          <w:tcPr>
            <w:tcW w:w="3220" w:type="dxa"/>
            <w:vAlign w:val="bottom"/>
            <w:tcBorders>
              <w:right w:val="single" w:sz="8" w:color="auto"/>
            </w:tcBorders>
          </w:tcPr>
          <w:p>
            <w:pPr>
              <w:jc w:val="right"/>
              <w:ind w:right="1161"/>
              <w:spacing w:after="0"/>
              <w:rPr>
                <w:sz w:val="20"/>
                <w:szCs w:val="20"/>
                <w:color w:val="auto"/>
              </w:rPr>
            </w:pPr>
            <w:r>
              <w:rPr>
                <w:rFonts w:ascii="Arial" w:cs="Arial" w:eastAsia="Arial" w:hAnsi="Arial"/>
                <w:sz w:val="20"/>
                <w:szCs w:val="20"/>
                <w:color w:val="auto"/>
              </w:rPr>
              <w:t>297,484</w:t>
            </w:r>
          </w:p>
        </w:tc>
        <w:tc>
          <w:tcPr>
            <w:tcW w:w="0" w:type="dxa"/>
            <w:vAlign w:val="bottom"/>
          </w:tcPr>
          <w:p>
            <w:pPr>
              <w:spacing w:after="0"/>
              <w:rPr>
                <w:sz w:val="1"/>
                <w:szCs w:val="1"/>
                <w:color w:val="auto"/>
              </w:rPr>
            </w:pPr>
          </w:p>
        </w:tc>
      </w:tr>
      <w:tr>
        <w:trPr>
          <w:trHeight w:val="78"/>
        </w:trPr>
        <w:tc>
          <w:tcPr>
            <w:tcW w:w="3100" w:type="dxa"/>
            <w:vAlign w:val="bottom"/>
            <w:tcBorders>
              <w:left w:val="single" w:sz="8" w:color="auto"/>
              <w:bottom w:val="single" w:sz="8" w:color="auto"/>
              <w:right w:val="single" w:sz="8" w:color="auto"/>
            </w:tcBorders>
          </w:tcPr>
          <w:p>
            <w:pPr>
              <w:spacing w:after="0"/>
              <w:rPr>
                <w:sz w:val="6"/>
                <w:szCs w:val="6"/>
                <w:color w:val="auto"/>
              </w:rPr>
            </w:pPr>
          </w:p>
        </w:tc>
        <w:tc>
          <w:tcPr>
            <w:tcW w:w="1660" w:type="dxa"/>
            <w:vAlign w:val="bottom"/>
            <w:tcBorders>
              <w:bottom w:val="single" w:sz="8" w:color="auto"/>
            </w:tcBorders>
          </w:tcPr>
          <w:p>
            <w:pPr>
              <w:spacing w:after="0"/>
              <w:rPr>
                <w:sz w:val="6"/>
                <w:szCs w:val="6"/>
                <w:color w:val="auto"/>
              </w:rPr>
            </w:pPr>
          </w:p>
        </w:tc>
        <w:tc>
          <w:tcPr>
            <w:tcW w:w="1020" w:type="dxa"/>
            <w:vAlign w:val="bottom"/>
            <w:tcBorders>
              <w:bottom w:val="single" w:sz="8" w:color="auto"/>
              <w:right w:val="single" w:sz="8" w:color="auto"/>
            </w:tcBorders>
          </w:tcPr>
          <w:p>
            <w:pPr>
              <w:spacing w:after="0"/>
              <w:rPr>
                <w:sz w:val="6"/>
                <w:szCs w:val="6"/>
                <w:color w:val="auto"/>
              </w:rPr>
            </w:pPr>
          </w:p>
        </w:tc>
        <w:tc>
          <w:tcPr>
            <w:tcW w:w="32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869"/>
        </w:trPr>
        <w:tc>
          <w:tcPr>
            <w:tcW w:w="3100" w:type="dxa"/>
            <w:vAlign w:val="bottom"/>
          </w:tcPr>
          <w:p>
            <w:pPr>
              <w:spacing w:after="0"/>
              <w:rPr>
                <w:sz w:val="24"/>
                <w:szCs w:val="24"/>
                <w:color w:val="auto"/>
              </w:rPr>
            </w:pPr>
          </w:p>
        </w:tc>
        <w:tc>
          <w:tcPr>
            <w:tcW w:w="1660" w:type="dxa"/>
            <w:vAlign w:val="bottom"/>
          </w:tcPr>
          <w:p>
            <w:pPr>
              <w:jc w:val="right"/>
              <w:ind w:right="61"/>
              <w:spacing w:after="0"/>
              <w:rPr>
                <w:sz w:val="20"/>
                <w:szCs w:val="20"/>
                <w:color w:val="auto"/>
              </w:rPr>
            </w:pPr>
            <w:r>
              <w:rPr>
                <w:rFonts w:ascii="Arial" w:cs="Arial" w:eastAsia="Arial" w:hAnsi="Arial"/>
                <w:sz w:val="20"/>
                <w:szCs w:val="20"/>
                <w:color w:val="auto"/>
              </w:rPr>
              <w:t>43</w:t>
            </w:r>
          </w:p>
        </w:tc>
        <w:tc>
          <w:tcPr>
            <w:tcW w:w="10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43" w:right="339" w:bottom="1440" w:gutter="0" w:footer="0" w:header="0"/>
        </w:sectPr>
      </w:pPr>
    </w:p>
    <w:bookmarkStart w:id="47" w:name="page48"/>
    <w:bookmarkEnd w:id="4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18"/>
        </w:trPr>
        <w:tc>
          <w:tcPr>
            <w:tcW w:w="1940" w:type="dxa"/>
            <w:vAlign w:val="bottom"/>
            <w:tcBorders>
              <w:top w:val="single" w:sz="8" w:color="auto"/>
              <w:left w:val="single" w:sz="8" w:color="auto"/>
              <w:right w:val="single" w:sz="8" w:color="auto"/>
            </w:tcBorders>
            <w:shd w:val="clear" w:color="auto" w:fill="29650B"/>
          </w:tcPr>
          <w:p>
            <w:pPr>
              <w:spacing w:after="0"/>
              <w:rPr>
                <w:sz w:val="24"/>
                <w:szCs w:val="24"/>
                <w:color w:val="auto"/>
              </w:rPr>
            </w:pPr>
          </w:p>
        </w:tc>
        <w:tc>
          <w:tcPr>
            <w:tcW w:w="900" w:type="dxa"/>
            <w:vAlign w:val="bottom"/>
            <w:tcBorders>
              <w:top w:val="single" w:sz="8" w:color="auto"/>
              <w:right w:val="single" w:sz="8" w:color="29650B"/>
            </w:tcBorders>
            <w:shd w:val="clear" w:color="auto" w:fill="29650B"/>
          </w:tcPr>
          <w:p>
            <w:pPr>
              <w:spacing w:after="0"/>
              <w:rPr>
                <w:sz w:val="24"/>
                <w:szCs w:val="24"/>
                <w:color w:val="auto"/>
              </w:rPr>
            </w:pPr>
          </w:p>
        </w:tc>
        <w:tc>
          <w:tcPr>
            <w:tcW w:w="1240" w:type="dxa"/>
            <w:vAlign w:val="bottom"/>
            <w:tcBorders>
              <w:top w:val="single" w:sz="8" w:color="auto"/>
              <w:right w:val="single" w:sz="8" w:color="29650B"/>
            </w:tcBorders>
            <w:shd w:val="clear" w:color="auto" w:fill="29650B"/>
          </w:tcPr>
          <w:p>
            <w:pPr>
              <w:spacing w:after="0"/>
              <w:rPr>
                <w:sz w:val="24"/>
                <w:szCs w:val="24"/>
                <w:color w:val="auto"/>
              </w:rPr>
            </w:pPr>
          </w:p>
        </w:tc>
        <w:tc>
          <w:tcPr>
            <w:tcW w:w="4720" w:type="dxa"/>
            <w:vAlign w:val="bottom"/>
            <w:tcBorders>
              <w:top w:val="single" w:sz="8" w:color="auto"/>
              <w:right w:val="single" w:sz="8" w:color="29650B"/>
            </w:tcBorders>
            <w:gridSpan w:val="4"/>
            <w:shd w:val="clear" w:color="auto" w:fill="29650B"/>
          </w:tcPr>
          <w:p>
            <w:pPr>
              <w:jc w:val="right"/>
              <w:ind w:right="561"/>
              <w:spacing w:after="0"/>
              <w:rPr>
                <w:sz w:val="20"/>
                <w:szCs w:val="20"/>
                <w:color w:val="auto"/>
              </w:rPr>
            </w:pPr>
            <w:r>
              <w:rPr>
                <w:rFonts w:ascii="Arial" w:cs="Arial" w:eastAsia="Arial" w:hAnsi="Arial"/>
                <w:sz w:val="20"/>
                <w:szCs w:val="20"/>
                <w:b w:val="1"/>
                <w:bCs w:val="1"/>
                <w:color w:val="FFFFFF"/>
              </w:rPr>
              <w:t>Performance-Based Restricted Stock</w:t>
            </w:r>
          </w:p>
        </w:tc>
        <w:tc>
          <w:tcPr>
            <w:tcW w:w="1220" w:type="dxa"/>
            <w:vAlign w:val="bottom"/>
            <w:tcBorders>
              <w:top w:val="single" w:sz="8" w:color="auto"/>
              <w:right w:val="single" w:sz="8" w:color="29650B"/>
            </w:tcBorders>
            <w:shd w:val="clear" w:color="auto" w:fill="29650B"/>
          </w:tcPr>
          <w:p>
            <w:pPr>
              <w:spacing w:after="0"/>
              <w:rPr>
                <w:sz w:val="24"/>
                <w:szCs w:val="24"/>
                <w:color w:val="auto"/>
              </w:rPr>
            </w:pPr>
          </w:p>
        </w:tc>
        <w:tc>
          <w:tcPr>
            <w:tcW w:w="1240" w:type="dxa"/>
            <w:vAlign w:val="bottom"/>
            <w:tcBorders>
              <w:top w:val="single" w:sz="8" w:color="auto"/>
              <w:right w:val="single" w:sz="8" w:color="auto"/>
            </w:tcBorders>
            <w:shd w:val="clear" w:color="auto" w:fill="29650B"/>
          </w:tcPr>
          <w:p>
            <w:pPr>
              <w:spacing w:after="0"/>
              <w:rPr>
                <w:sz w:val="24"/>
                <w:szCs w:val="24"/>
                <w:color w:val="auto"/>
              </w:rPr>
            </w:pPr>
          </w:p>
        </w:tc>
        <w:tc>
          <w:tcPr>
            <w:tcW w:w="0" w:type="dxa"/>
            <w:vAlign w:val="bottom"/>
          </w:tcPr>
          <w:p>
            <w:pPr>
              <w:spacing w:after="0"/>
              <w:rPr>
                <w:sz w:val="1"/>
                <w:szCs w:val="1"/>
                <w:color w:val="auto"/>
              </w:rPr>
            </w:pPr>
          </w:p>
        </w:tc>
      </w:tr>
      <w:tr>
        <w:trPr>
          <w:trHeight w:val="78"/>
        </w:trPr>
        <w:tc>
          <w:tcPr>
            <w:tcW w:w="1940" w:type="dxa"/>
            <w:vAlign w:val="bottom"/>
            <w:tcBorders>
              <w:left w:val="single" w:sz="8" w:color="auto"/>
              <w:bottom w:val="single" w:sz="8" w:color="29650B"/>
              <w:right w:val="single" w:sz="8" w:color="auto"/>
            </w:tcBorders>
            <w:vMerge w:val="restart"/>
            <w:shd w:val="clear" w:color="auto" w:fill="29650B"/>
          </w:tcPr>
          <w:p>
            <w:pPr>
              <w:ind w:left="720"/>
              <w:spacing w:after="0"/>
              <w:rPr>
                <w:sz w:val="20"/>
                <w:szCs w:val="20"/>
                <w:color w:val="auto"/>
              </w:rPr>
            </w:pPr>
            <w:r>
              <w:rPr>
                <w:rFonts w:ascii="Arial" w:cs="Arial" w:eastAsia="Arial" w:hAnsi="Arial"/>
                <w:sz w:val="20"/>
                <w:szCs w:val="20"/>
                <w:b w:val="1"/>
                <w:bCs w:val="1"/>
                <w:color w:val="FFFFFF"/>
              </w:rPr>
              <w:t>Name</w:t>
            </w:r>
          </w:p>
        </w:tc>
        <w:tc>
          <w:tcPr>
            <w:tcW w:w="900" w:type="dxa"/>
            <w:vAlign w:val="bottom"/>
            <w:tcBorders>
              <w:bottom w:val="single" w:sz="8" w:color="auto"/>
              <w:right w:val="single" w:sz="8" w:color="29650B"/>
            </w:tcBorders>
            <w:shd w:val="clear" w:color="auto" w:fill="29650B"/>
          </w:tcPr>
          <w:p>
            <w:pPr>
              <w:spacing w:after="0"/>
              <w:rPr>
                <w:sz w:val="6"/>
                <w:szCs w:val="6"/>
                <w:color w:val="auto"/>
              </w:rPr>
            </w:pPr>
          </w:p>
        </w:tc>
        <w:tc>
          <w:tcPr>
            <w:tcW w:w="2480" w:type="dxa"/>
            <w:vAlign w:val="bottom"/>
            <w:tcBorders>
              <w:bottom w:val="single" w:sz="8" w:color="auto"/>
              <w:right w:val="single" w:sz="8" w:color="29650B"/>
            </w:tcBorders>
            <w:gridSpan w:val="2"/>
            <w:shd w:val="clear" w:color="auto" w:fill="29650B"/>
          </w:tcPr>
          <w:p>
            <w:pPr>
              <w:spacing w:after="0"/>
              <w:rPr>
                <w:sz w:val="6"/>
                <w:szCs w:val="6"/>
                <w:color w:val="auto"/>
              </w:rPr>
            </w:pPr>
          </w:p>
        </w:tc>
        <w:tc>
          <w:tcPr>
            <w:tcW w:w="1240" w:type="dxa"/>
            <w:vAlign w:val="bottom"/>
            <w:tcBorders>
              <w:bottom w:val="single" w:sz="8" w:color="auto"/>
              <w:right w:val="single" w:sz="8" w:color="29650B"/>
            </w:tcBorders>
            <w:shd w:val="clear" w:color="auto" w:fill="29650B"/>
          </w:tcPr>
          <w:p>
            <w:pPr>
              <w:spacing w:after="0"/>
              <w:rPr>
                <w:sz w:val="6"/>
                <w:szCs w:val="6"/>
                <w:color w:val="auto"/>
              </w:rPr>
            </w:pPr>
          </w:p>
        </w:tc>
        <w:tc>
          <w:tcPr>
            <w:tcW w:w="1020" w:type="dxa"/>
            <w:vAlign w:val="bottom"/>
            <w:tcBorders>
              <w:bottom w:val="single" w:sz="8" w:color="auto"/>
              <w:right w:val="single" w:sz="8" w:color="29650B"/>
            </w:tcBorders>
            <w:shd w:val="clear" w:color="auto" w:fill="29650B"/>
          </w:tcPr>
          <w:p>
            <w:pPr>
              <w:spacing w:after="0"/>
              <w:rPr>
                <w:sz w:val="6"/>
                <w:szCs w:val="6"/>
                <w:color w:val="auto"/>
              </w:rPr>
            </w:pPr>
          </w:p>
        </w:tc>
        <w:tc>
          <w:tcPr>
            <w:tcW w:w="2440" w:type="dxa"/>
            <w:vAlign w:val="bottom"/>
            <w:tcBorders>
              <w:bottom w:val="single" w:sz="8" w:color="auto"/>
              <w:right w:val="single" w:sz="8" w:color="29650B"/>
            </w:tcBorders>
            <w:gridSpan w:val="2"/>
            <w:shd w:val="clear" w:color="auto" w:fill="29650B"/>
          </w:tcPr>
          <w:p>
            <w:pPr>
              <w:spacing w:after="0"/>
              <w:rPr>
                <w:sz w:val="6"/>
                <w:szCs w:val="6"/>
                <w:color w:val="auto"/>
              </w:rPr>
            </w:pPr>
          </w:p>
        </w:tc>
        <w:tc>
          <w:tcPr>
            <w:tcW w:w="1240" w:type="dxa"/>
            <w:vAlign w:val="bottom"/>
            <w:tcBorders>
              <w:bottom w:val="single" w:sz="8" w:color="auto"/>
              <w:right w:val="single" w:sz="8" w:color="auto"/>
            </w:tcBorders>
            <w:shd w:val="clear" w:color="auto" w:fill="29650B"/>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40" w:type="dxa"/>
            <w:vAlign w:val="bottom"/>
            <w:tcBorders>
              <w:left w:val="single" w:sz="8" w:color="auto"/>
              <w:bottom w:val="single" w:sz="8" w:color="29650B"/>
              <w:right w:val="single" w:sz="8" w:color="auto"/>
            </w:tcBorders>
            <w:vMerge w:val="continue"/>
            <w:shd w:val="clear" w:color="auto" w:fill="29650B"/>
          </w:tcPr>
          <w:p>
            <w:pPr>
              <w:spacing w:after="0"/>
              <w:rPr>
                <w:sz w:val="18"/>
                <w:szCs w:val="18"/>
                <w:color w:val="auto"/>
              </w:rPr>
            </w:pPr>
          </w:p>
        </w:tc>
        <w:tc>
          <w:tcPr>
            <w:tcW w:w="900" w:type="dxa"/>
            <w:vAlign w:val="bottom"/>
            <w:tcBorders>
              <w:bottom w:val="single" w:sz="8" w:color="auto"/>
              <w:right w:val="single" w:sz="8" w:color="29650B"/>
            </w:tcBorders>
            <w:shd w:val="clear" w:color="auto" w:fill="29650B"/>
          </w:tcPr>
          <w:p>
            <w:pPr>
              <w:spacing w:after="0"/>
              <w:rPr>
                <w:sz w:val="18"/>
                <w:szCs w:val="18"/>
                <w:color w:val="auto"/>
              </w:rPr>
            </w:pPr>
          </w:p>
        </w:tc>
        <w:tc>
          <w:tcPr>
            <w:tcW w:w="2480" w:type="dxa"/>
            <w:vAlign w:val="bottom"/>
            <w:tcBorders>
              <w:bottom w:val="single" w:sz="8" w:color="auto"/>
              <w:right w:val="single" w:sz="8" w:color="29650B"/>
            </w:tcBorders>
            <w:gridSpan w:val="2"/>
            <w:shd w:val="clear" w:color="auto" w:fill="29650B"/>
          </w:tcPr>
          <w:p>
            <w:pPr>
              <w:ind w:left="620"/>
              <w:spacing w:after="0" w:line="216" w:lineRule="exact"/>
              <w:rPr>
                <w:sz w:val="20"/>
                <w:szCs w:val="20"/>
                <w:color w:val="auto"/>
              </w:rPr>
            </w:pPr>
            <w:r>
              <w:rPr>
                <w:rFonts w:ascii="Arial" w:cs="Arial" w:eastAsia="Arial" w:hAnsi="Arial"/>
                <w:sz w:val="20"/>
                <w:szCs w:val="20"/>
                <w:b w:val="1"/>
                <w:bCs w:val="1"/>
                <w:color w:val="FFFFFF"/>
              </w:rPr>
              <w:t>TSR-Based Award</w:t>
            </w:r>
          </w:p>
        </w:tc>
        <w:tc>
          <w:tcPr>
            <w:tcW w:w="1240" w:type="dxa"/>
            <w:vAlign w:val="bottom"/>
            <w:tcBorders>
              <w:bottom w:val="single" w:sz="8" w:color="auto"/>
              <w:right w:val="single" w:sz="8" w:color="auto"/>
            </w:tcBorders>
            <w:shd w:val="clear" w:color="auto" w:fill="29650B"/>
          </w:tcPr>
          <w:p>
            <w:pPr>
              <w:spacing w:after="0"/>
              <w:rPr>
                <w:sz w:val="18"/>
                <w:szCs w:val="18"/>
                <w:color w:val="auto"/>
              </w:rPr>
            </w:pPr>
          </w:p>
        </w:tc>
        <w:tc>
          <w:tcPr>
            <w:tcW w:w="1020" w:type="dxa"/>
            <w:vAlign w:val="bottom"/>
            <w:tcBorders>
              <w:bottom w:val="single" w:sz="8" w:color="auto"/>
              <w:right w:val="single" w:sz="8" w:color="29650B"/>
            </w:tcBorders>
            <w:shd w:val="clear" w:color="auto" w:fill="29650B"/>
          </w:tcPr>
          <w:p>
            <w:pPr>
              <w:spacing w:after="0"/>
              <w:rPr>
                <w:sz w:val="18"/>
                <w:szCs w:val="18"/>
                <w:color w:val="auto"/>
              </w:rPr>
            </w:pPr>
          </w:p>
        </w:tc>
        <w:tc>
          <w:tcPr>
            <w:tcW w:w="2440" w:type="dxa"/>
            <w:vAlign w:val="bottom"/>
            <w:tcBorders>
              <w:bottom w:val="single" w:sz="8" w:color="auto"/>
              <w:right w:val="single" w:sz="8" w:color="29650B"/>
            </w:tcBorders>
            <w:gridSpan w:val="2"/>
            <w:shd w:val="clear" w:color="auto" w:fill="29650B"/>
          </w:tcPr>
          <w:p>
            <w:pPr>
              <w:ind w:left="460"/>
              <w:spacing w:after="0" w:line="216" w:lineRule="exact"/>
              <w:rPr>
                <w:sz w:val="20"/>
                <w:szCs w:val="20"/>
                <w:color w:val="auto"/>
              </w:rPr>
            </w:pPr>
            <w:r>
              <w:rPr>
                <w:rFonts w:ascii="Arial" w:cs="Arial" w:eastAsia="Arial" w:hAnsi="Arial"/>
                <w:sz w:val="20"/>
                <w:szCs w:val="20"/>
                <w:b w:val="1"/>
                <w:bCs w:val="1"/>
                <w:color w:val="FFFFFF"/>
              </w:rPr>
              <w:t>ROIC-Based Award</w:t>
            </w:r>
          </w:p>
        </w:tc>
        <w:tc>
          <w:tcPr>
            <w:tcW w:w="1240" w:type="dxa"/>
            <w:vAlign w:val="bottom"/>
            <w:tcBorders>
              <w:bottom w:val="single" w:sz="8" w:color="auto"/>
              <w:right w:val="single" w:sz="8" w:color="auto"/>
            </w:tcBorders>
            <w:shd w:val="clear" w:color="auto" w:fill="29650B"/>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940" w:type="dxa"/>
            <w:vAlign w:val="bottom"/>
            <w:tcBorders>
              <w:left w:val="single" w:sz="8" w:color="auto"/>
              <w:right w:val="single" w:sz="8" w:color="auto"/>
            </w:tcBorders>
            <w:shd w:val="clear" w:color="auto" w:fill="29650B"/>
          </w:tcPr>
          <w:p>
            <w:pPr>
              <w:spacing w:after="0"/>
              <w:rPr>
                <w:sz w:val="16"/>
                <w:szCs w:val="16"/>
                <w:color w:val="auto"/>
              </w:rPr>
            </w:pPr>
          </w:p>
        </w:tc>
        <w:tc>
          <w:tcPr>
            <w:tcW w:w="900" w:type="dxa"/>
            <w:vAlign w:val="bottom"/>
            <w:tcBorders>
              <w:right w:val="single" w:sz="8" w:color="auto"/>
            </w:tcBorders>
            <w:shd w:val="clear" w:color="auto" w:fill="29650B"/>
          </w:tcPr>
          <w:p>
            <w:pPr>
              <w:jc w:val="right"/>
              <w:ind w:right="81"/>
              <w:spacing w:after="0" w:line="190" w:lineRule="exact"/>
              <w:rPr>
                <w:sz w:val="20"/>
                <w:szCs w:val="20"/>
                <w:color w:val="auto"/>
              </w:rPr>
            </w:pPr>
            <w:r>
              <w:rPr>
                <w:rFonts w:ascii="Arial" w:cs="Arial" w:eastAsia="Arial" w:hAnsi="Arial"/>
                <w:sz w:val="20"/>
                <w:szCs w:val="20"/>
                <w:b w:val="1"/>
                <w:bCs w:val="1"/>
                <w:color w:val="FFFFFF"/>
              </w:rPr>
              <w:t>Target</w:t>
            </w:r>
          </w:p>
        </w:tc>
        <w:tc>
          <w:tcPr>
            <w:tcW w:w="1240" w:type="dxa"/>
            <w:vAlign w:val="bottom"/>
            <w:tcBorders>
              <w:right w:val="single" w:sz="8" w:color="auto"/>
            </w:tcBorders>
            <w:shd w:val="clear" w:color="auto" w:fill="29650B"/>
          </w:tcPr>
          <w:p>
            <w:pPr>
              <w:jc w:val="right"/>
              <w:ind w:right="241"/>
              <w:spacing w:after="0" w:line="190" w:lineRule="exact"/>
              <w:rPr>
                <w:sz w:val="20"/>
                <w:szCs w:val="20"/>
                <w:color w:val="auto"/>
              </w:rPr>
            </w:pPr>
            <w:r>
              <w:rPr>
                <w:rFonts w:ascii="Arial" w:cs="Arial" w:eastAsia="Arial" w:hAnsi="Arial"/>
                <w:sz w:val="20"/>
                <w:szCs w:val="20"/>
                <w:b w:val="1"/>
                <w:bCs w:val="1"/>
                <w:color w:val="FFFFFF"/>
              </w:rPr>
              <w:t>Award</w:t>
            </w:r>
          </w:p>
        </w:tc>
        <w:tc>
          <w:tcPr>
            <w:tcW w:w="1240" w:type="dxa"/>
            <w:vAlign w:val="bottom"/>
            <w:tcBorders>
              <w:right w:val="single" w:sz="8" w:color="auto"/>
            </w:tcBorders>
            <w:shd w:val="clear" w:color="auto" w:fill="29650B"/>
          </w:tcPr>
          <w:p>
            <w:pPr>
              <w:jc w:val="center"/>
              <w:spacing w:after="0" w:line="190" w:lineRule="exact"/>
              <w:rPr>
                <w:sz w:val="20"/>
                <w:szCs w:val="20"/>
                <w:color w:val="auto"/>
              </w:rPr>
            </w:pPr>
            <w:r>
              <w:rPr>
                <w:rFonts w:ascii="Arial" w:cs="Arial" w:eastAsia="Arial" w:hAnsi="Arial"/>
                <w:sz w:val="20"/>
                <w:szCs w:val="20"/>
                <w:b w:val="1"/>
                <w:bCs w:val="1"/>
                <w:color w:val="FFFFFF"/>
                <w:w w:val="97"/>
              </w:rPr>
              <w:t>Minimum</w:t>
            </w:r>
          </w:p>
        </w:tc>
        <w:tc>
          <w:tcPr>
            <w:tcW w:w="1240" w:type="dxa"/>
            <w:vAlign w:val="bottom"/>
            <w:tcBorders>
              <w:right w:val="single" w:sz="8" w:color="auto"/>
            </w:tcBorders>
            <w:shd w:val="clear" w:color="auto" w:fill="29650B"/>
          </w:tcPr>
          <w:p>
            <w:pPr>
              <w:jc w:val="right"/>
              <w:ind w:right="81"/>
              <w:spacing w:after="0" w:line="190" w:lineRule="exact"/>
              <w:rPr>
                <w:sz w:val="20"/>
                <w:szCs w:val="20"/>
                <w:color w:val="auto"/>
              </w:rPr>
            </w:pPr>
            <w:r>
              <w:rPr>
                <w:rFonts w:ascii="Arial" w:cs="Arial" w:eastAsia="Arial" w:hAnsi="Arial"/>
                <w:sz w:val="20"/>
                <w:szCs w:val="20"/>
                <w:b w:val="1"/>
                <w:bCs w:val="1"/>
                <w:color w:val="FFFFFF"/>
              </w:rPr>
              <w:t>Maximum</w:t>
            </w:r>
          </w:p>
        </w:tc>
        <w:tc>
          <w:tcPr>
            <w:tcW w:w="1020" w:type="dxa"/>
            <w:vAlign w:val="bottom"/>
            <w:tcBorders>
              <w:right w:val="single" w:sz="8" w:color="auto"/>
            </w:tcBorders>
            <w:shd w:val="clear" w:color="auto" w:fill="29650B"/>
          </w:tcPr>
          <w:p>
            <w:pPr>
              <w:jc w:val="right"/>
              <w:ind w:right="141"/>
              <w:spacing w:after="0" w:line="190" w:lineRule="exact"/>
              <w:rPr>
                <w:sz w:val="20"/>
                <w:szCs w:val="20"/>
                <w:color w:val="auto"/>
              </w:rPr>
            </w:pPr>
            <w:r>
              <w:rPr>
                <w:rFonts w:ascii="Arial" w:cs="Arial" w:eastAsia="Arial" w:hAnsi="Arial"/>
                <w:sz w:val="20"/>
                <w:szCs w:val="20"/>
                <w:b w:val="1"/>
                <w:bCs w:val="1"/>
                <w:color w:val="FFFFFF"/>
              </w:rPr>
              <w:t>Target</w:t>
            </w:r>
          </w:p>
        </w:tc>
        <w:tc>
          <w:tcPr>
            <w:tcW w:w="1220" w:type="dxa"/>
            <w:vAlign w:val="bottom"/>
            <w:tcBorders>
              <w:right w:val="single" w:sz="8" w:color="auto"/>
            </w:tcBorders>
            <w:shd w:val="clear" w:color="auto" w:fill="29650B"/>
          </w:tcPr>
          <w:p>
            <w:pPr>
              <w:jc w:val="right"/>
              <w:ind w:right="241"/>
              <w:spacing w:after="0" w:line="190" w:lineRule="exact"/>
              <w:rPr>
                <w:sz w:val="20"/>
                <w:szCs w:val="20"/>
                <w:color w:val="auto"/>
              </w:rPr>
            </w:pPr>
            <w:r>
              <w:rPr>
                <w:rFonts w:ascii="Arial" w:cs="Arial" w:eastAsia="Arial" w:hAnsi="Arial"/>
                <w:sz w:val="20"/>
                <w:szCs w:val="20"/>
                <w:b w:val="1"/>
                <w:bCs w:val="1"/>
                <w:color w:val="FFFFFF"/>
              </w:rPr>
              <w:t>Award</w:t>
            </w:r>
          </w:p>
        </w:tc>
        <w:tc>
          <w:tcPr>
            <w:tcW w:w="1220" w:type="dxa"/>
            <w:vAlign w:val="bottom"/>
            <w:tcBorders>
              <w:right w:val="single" w:sz="8" w:color="auto"/>
            </w:tcBorders>
            <w:shd w:val="clear" w:color="auto" w:fill="29650B"/>
          </w:tcPr>
          <w:p>
            <w:pPr>
              <w:jc w:val="center"/>
              <w:spacing w:after="0" w:line="190" w:lineRule="exact"/>
              <w:rPr>
                <w:sz w:val="20"/>
                <w:szCs w:val="20"/>
                <w:color w:val="auto"/>
              </w:rPr>
            </w:pPr>
            <w:r>
              <w:rPr>
                <w:rFonts w:ascii="Arial" w:cs="Arial" w:eastAsia="Arial" w:hAnsi="Arial"/>
                <w:sz w:val="20"/>
                <w:szCs w:val="20"/>
                <w:b w:val="1"/>
                <w:bCs w:val="1"/>
                <w:color w:val="FFFFFF"/>
                <w:w w:val="95"/>
              </w:rPr>
              <w:t>Minimum</w:t>
            </w:r>
          </w:p>
        </w:tc>
        <w:tc>
          <w:tcPr>
            <w:tcW w:w="1240" w:type="dxa"/>
            <w:vAlign w:val="bottom"/>
            <w:tcBorders>
              <w:right w:val="single" w:sz="8" w:color="auto"/>
            </w:tcBorders>
            <w:shd w:val="clear" w:color="auto" w:fill="29650B"/>
          </w:tcPr>
          <w:p>
            <w:pPr>
              <w:jc w:val="right"/>
              <w:ind w:right="101"/>
              <w:spacing w:after="0" w:line="190" w:lineRule="exact"/>
              <w:rPr>
                <w:sz w:val="20"/>
                <w:szCs w:val="20"/>
                <w:color w:val="auto"/>
              </w:rPr>
            </w:pPr>
            <w:r>
              <w:rPr>
                <w:rFonts w:ascii="Arial" w:cs="Arial" w:eastAsia="Arial" w:hAnsi="Arial"/>
                <w:sz w:val="20"/>
                <w:szCs w:val="20"/>
                <w:b w:val="1"/>
                <w:bCs w:val="1"/>
                <w:color w:val="FFFFFF"/>
              </w:rPr>
              <w:t>Maximum</w:t>
            </w:r>
          </w:p>
        </w:tc>
        <w:tc>
          <w:tcPr>
            <w:tcW w:w="0" w:type="dxa"/>
            <w:vAlign w:val="bottom"/>
          </w:tcPr>
          <w:p>
            <w:pPr>
              <w:spacing w:after="0"/>
              <w:rPr>
                <w:sz w:val="1"/>
                <w:szCs w:val="1"/>
                <w:color w:val="auto"/>
              </w:rPr>
            </w:pPr>
          </w:p>
        </w:tc>
      </w:tr>
      <w:tr>
        <w:trPr>
          <w:trHeight w:val="248"/>
        </w:trPr>
        <w:tc>
          <w:tcPr>
            <w:tcW w:w="1940" w:type="dxa"/>
            <w:vAlign w:val="bottom"/>
            <w:tcBorders>
              <w:left w:val="single" w:sz="8" w:color="auto"/>
              <w:bottom w:val="single" w:sz="8" w:color="auto"/>
              <w:right w:val="single" w:sz="8" w:color="auto"/>
            </w:tcBorders>
            <w:shd w:val="clear" w:color="auto" w:fill="29650B"/>
          </w:tcPr>
          <w:p>
            <w:pPr>
              <w:spacing w:after="0"/>
              <w:rPr>
                <w:sz w:val="21"/>
                <w:szCs w:val="21"/>
                <w:color w:val="auto"/>
              </w:rPr>
            </w:pPr>
          </w:p>
        </w:tc>
        <w:tc>
          <w:tcPr>
            <w:tcW w:w="900" w:type="dxa"/>
            <w:vAlign w:val="bottom"/>
            <w:tcBorders>
              <w:bottom w:val="single" w:sz="8" w:color="auto"/>
              <w:right w:val="single" w:sz="8" w:color="auto"/>
            </w:tcBorders>
            <w:shd w:val="clear" w:color="auto" w:fill="29650B"/>
          </w:tcPr>
          <w:p>
            <w:pPr>
              <w:jc w:val="right"/>
              <w:ind w:right="81"/>
              <w:spacing w:after="0"/>
              <w:rPr>
                <w:sz w:val="20"/>
                <w:szCs w:val="20"/>
                <w:color w:val="auto"/>
              </w:rPr>
            </w:pPr>
            <w:r>
              <w:rPr>
                <w:rFonts w:ascii="Arial" w:cs="Arial" w:eastAsia="Arial" w:hAnsi="Arial"/>
                <w:sz w:val="20"/>
                <w:szCs w:val="20"/>
                <w:b w:val="1"/>
                <w:bCs w:val="1"/>
                <w:color w:val="FFFFFF"/>
              </w:rPr>
              <w:t>Shares</w:t>
            </w:r>
          </w:p>
        </w:tc>
        <w:tc>
          <w:tcPr>
            <w:tcW w:w="1240" w:type="dxa"/>
            <w:vAlign w:val="bottom"/>
            <w:tcBorders>
              <w:bottom w:val="single" w:sz="8" w:color="auto"/>
              <w:right w:val="single" w:sz="8" w:color="auto"/>
            </w:tcBorders>
            <w:shd w:val="clear" w:color="auto" w:fill="29650B"/>
          </w:tcPr>
          <w:p>
            <w:pPr>
              <w:jc w:val="right"/>
              <w:ind w:right="281"/>
              <w:spacing w:after="0"/>
              <w:rPr>
                <w:sz w:val="20"/>
                <w:szCs w:val="20"/>
                <w:color w:val="auto"/>
              </w:rPr>
            </w:pPr>
            <w:r>
              <w:rPr>
                <w:rFonts w:ascii="Arial" w:cs="Arial" w:eastAsia="Arial" w:hAnsi="Arial"/>
                <w:sz w:val="20"/>
                <w:szCs w:val="20"/>
                <w:b w:val="1"/>
                <w:bCs w:val="1"/>
                <w:color w:val="FFFFFF"/>
              </w:rPr>
              <w:t>Value</w:t>
            </w:r>
          </w:p>
        </w:tc>
        <w:tc>
          <w:tcPr>
            <w:tcW w:w="124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Arial" w:cs="Arial" w:eastAsia="Arial" w:hAnsi="Arial"/>
                <w:sz w:val="20"/>
                <w:szCs w:val="20"/>
                <w:b w:val="1"/>
                <w:bCs w:val="1"/>
                <w:color w:val="FFFFFF"/>
                <w:w w:val="86"/>
              </w:rPr>
              <w:t>Shares</w:t>
            </w:r>
          </w:p>
        </w:tc>
        <w:tc>
          <w:tcPr>
            <w:tcW w:w="1240" w:type="dxa"/>
            <w:vAlign w:val="bottom"/>
            <w:tcBorders>
              <w:bottom w:val="single" w:sz="8" w:color="auto"/>
              <w:right w:val="single" w:sz="8" w:color="auto"/>
            </w:tcBorders>
            <w:shd w:val="clear" w:color="auto" w:fill="29650B"/>
          </w:tcPr>
          <w:p>
            <w:pPr>
              <w:jc w:val="right"/>
              <w:ind w:right="241"/>
              <w:spacing w:after="0"/>
              <w:rPr>
                <w:sz w:val="20"/>
                <w:szCs w:val="20"/>
                <w:color w:val="auto"/>
              </w:rPr>
            </w:pPr>
            <w:r>
              <w:rPr>
                <w:rFonts w:ascii="Arial" w:cs="Arial" w:eastAsia="Arial" w:hAnsi="Arial"/>
                <w:sz w:val="20"/>
                <w:szCs w:val="20"/>
                <w:b w:val="1"/>
                <w:bCs w:val="1"/>
                <w:color w:val="FFFFFF"/>
              </w:rPr>
              <w:t>Shares</w:t>
            </w:r>
          </w:p>
        </w:tc>
        <w:tc>
          <w:tcPr>
            <w:tcW w:w="1020" w:type="dxa"/>
            <w:vAlign w:val="bottom"/>
            <w:tcBorders>
              <w:bottom w:val="single" w:sz="8" w:color="auto"/>
              <w:right w:val="single" w:sz="8" w:color="auto"/>
            </w:tcBorders>
            <w:shd w:val="clear" w:color="auto" w:fill="29650B"/>
          </w:tcPr>
          <w:p>
            <w:pPr>
              <w:jc w:val="right"/>
              <w:ind w:right="141"/>
              <w:spacing w:after="0"/>
              <w:rPr>
                <w:sz w:val="20"/>
                <w:szCs w:val="20"/>
                <w:color w:val="auto"/>
              </w:rPr>
            </w:pPr>
            <w:r>
              <w:rPr>
                <w:rFonts w:ascii="Arial" w:cs="Arial" w:eastAsia="Arial" w:hAnsi="Arial"/>
                <w:sz w:val="20"/>
                <w:szCs w:val="20"/>
                <w:b w:val="1"/>
                <w:bCs w:val="1"/>
                <w:color w:val="FFFFFF"/>
              </w:rPr>
              <w:t>Shares</w:t>
            </w:r>
          </w:p>
        </w:tc>
        <w:tc>
          <w:tcPr>
            <w:tcW w:w="1220" w:type="dxa"/>
            <w:vAlign w:val="bottom"/>
            <w:tcBorders>
              <w:bottom w:val="single" w:sz="8" w:color="auto"/>
              <w:right w:val="single" w:sz="8" w:color="auto"/>
            </w:tcBorders>
            <w:shd w:val="clear" w:color="auto" w:fill="29650B"/>
          </w:tcPr>
          <w:p>
            <w:pPr>
              <w:jc w:val="right"/>
              <w:ind w:right="281"/>
              <w:spacing w:after="0"/>
              <w:rPr>
                <w:sz w:val="20"/>
                <w:szCs w:val="20"/>
                <w:color w:val="auto"/>
              </w:rPr>
            </w:pPr>
            <w:r>
              <w:rPr>
                <w:rFonts w:ascii="Arial" w:cs="Arial" w:eastAsia="Arial" w:hAnsi="Arial"/>
                <w:sz w:val="20"/>
                <w:szCs w:val="20"/>
                <w:b w:val="1"/>
                <w:bCs w:val="1"/>
                <w:color w:val="FFFFFF"/>
              </w:rPr>
              <w:t>Value</w:t>
            </w:r>
          </w:p>
        </w:tc>
        <w:tc>
          <w:tcPr>
            <w:tcW w:w="122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Arial" w:cs="Arial" w:eastAsia="Arial" w:hAnsi="Arial"/>
                <w:sz w:val="20"/>
                <w:szCs w:val="20"/>
                <w:b w:val="1"/>
                <w:bCs w:val="1"/>
                <w:color w:val="FFFFFF"/>
                <w:w w:val="83"/>
              </w:rPr>
              <w:t>Shares</w:t>
            </w:r>
          </w:p>
        </w:tc>
        <w:tc>
          <w:tcPr>
            <w:tcW w:w="1240" w:type="dxa"/>
            <w:vAlign w:val="bottom"/>
            <w:tcBorders>
              <w:bottom w:val="single" w:sz="8" w:color="auto"/>
              <w:right w:val="single" w:sz="8" w:color="auto"/>
            </w:tcBorders>
            <w:shd w:val="clear" w:color="auto" w:fill="29650B"/>
          </w:tcPr>
          <w:p>
            <w:pPr>
              <w:jc w:val="right"/>
              <w:ind w:right="241"/>
              <w:spacing w:after="0"/>
              <w:rPr>
                <w:sz w:val="20"/>
                <w:szCs w:val="20"/>
                <w:color w:val="auto"/>
              </w:rPr>
            </w:pPr>
            <w:r>
              <w:rPr>
                <w:rFonts w:ascii="Arial" w:cs="Arial" w:eastAsia="Arial" w:hAnsi="Arial"/>
                <w:sz w:val="20"/>
                <w:szCs w:val="20"/>
                <w:b w:val="1"/>
                <w:bCs w:val="1"/>
                <w:color w:val="FFFFFF"/>
              </w:rPr>
              <w:t>Shares</w:t>
            </w:r>
          </w:p>
        </w:tc>
        <w:tc>
          <w:tcPr>
            <w:tcW w:w="0" w:type="dxa"/>
            <w:vAlign w:val="bottom"/>
          </w:tcPr>
          <w:p>
            <w:pPr>
              <w:spacing w:after="0"/>
              <w:rPr>
                <w:sz w:val="1"/>
                <w:szCs w:val="1"/>
                <w:color w:val="auto"/>
              </w:rPr>
            </w:pPr>
          </w:p>
        </w:tc>
      </w:tr>
      <w:tr>
        <w:trPr>
          <w:trHeight w:val="298"/>
        </w:trPr>
        <w:tc>
          <w:tcPr>
            <w:tcW w:w="19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Timothy Donahue</w:t>
            </w:r>
          </w:p>
        </w:tc>
        <w:tc>
          <w:tcPr>
            <w:tcW w:w="900" w:type="dxa"/>
            <w:vAlign w:val="bottom"/>
            <w:tcBorders>
              <w:right w:val="single" w:sz="8" w:color="auto"/>
            </w:tcBorders>
          </w:tcPr>
          <w:p>
            <w:pPr>
              <w:jc w:val="right"/>
              <w:ind w:right="1"/>
              <w:spacing w:after="0"/>
              <w:rPr>
                <w:sz w:val="20"/>
                <w:szCs w:val="20"/>
                <w:color w:val="auto"/>
              </w:rPr>
            </w:pPr>
            <w:r>
              <w:rPr>
                <w:rFonts w:ascii="Arial" w:cs="Arial" w:eastAsia="Arial" w:hAnsi="Arial"/>
                <w:sz w:val="20"/>
                <w:szCs w:val="20"/>
                <w:color w:val="auto"/>
              </w:rPr>
              <w:t>40,412</w:t>
            </w:r>
          </w:p>
        </w:tc>
        <w:tc>
          <w:tcPr>
            <w:tcW w:w="1240" w:type="dxa"/>
            <w:vAlign w:val="bottom"/>
            <w:tcBorders>
              <w:right w:val="single" w:sz="8" w:color="auto"/>
            </w:tcBorders>
          </w:tcPr>
          <w:p>
            <w:pPr>
              <w:jc w:val="right"/>
              <w:ind w:right="1"/>
              <w:spacing w:after="0"/>
              <w:rPr>
                <w:sz w:val="20"/>
                <w:szCs w:val="20"/>
                <w:color w:val="auto"/>
              </w:rPr>
            </w:pPr>
            <w:r>
              <w:rPr>
                <w:rFonts w:ascii="Arial" w:cs="Arial" w:eastAsia="Arial" w:hAnsi="Arial"/>
                <w:sz w:val="20"/>
                <w:szCs w:val="20"/>
                <w:color w:val="auto"/>
              </w:rPr>
              <w:t>$2,002,010</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0</w:t>
            </w:r>
          </w:p>
        </w:tc>
        <w:tc>
          <w:tcPr>
            <w:tcW w:w="1240" w:type="dxa"/>
            <w:vAlign w:val="bottom"/>
            <w:tcBorders>
              <w:right w:val="single" w:sz="8" w:color="auto"/>
            </w:tcBorders>
          </w:tcPr>
          <w:p>
            <w:pPr>
              <w:jc w:val="right"/>
              <w:ind w:right="21"/>
              <w:spacing w:after="0"/>
              <w:rPr>
                <w:sz w:val="20"/>
                <w:szCs w:val="20"/>
                <w:color w:val="auto"/>
              </w:rPr>
            </w:pPr>
            <w:r>
              <w:rPr>
                <w:rFonts w:ascii="Arial" w:cs="Arial" w:eastAsia="Arial" w:hAnsi="Arial"/>
                <w:sz w:val="20"/>
                <w:szCs w:val="20"/>
                <w:color w:val="auto"/>
              </w:rPr>
              <w:t>80,824</w:t>
            </w:r>
          </w:p>
        </w:tc>
        <w:tc>
          <w:tcPr>
            <w:tcW w:w="1020" w:type="dxa"/>
            <w:vAlign w:val="bottom"/>
            <w:tcBorders>
              <w:right w:val="single" w:sz="8" w:color="auto"/>
            </w:tcBorders>
          </w:tcPr>
          <w:p>
            <w:pPr>
              <w:jc w:val="right"/>
              <w:ind w:right="21"/>
              <w:spacing w:after="0"/>
              <w:rPr>
                <w:sz w:val="20"/>
                <w:szCs w:val="20"/>
                <w:color w:val="auto"/>
              </w:rPr>
            </w:pPr>
            <w:r>
              <w:rPr>
                <w:rFonts w:ascii="Arial" w:cs="Arial" w:eastAsia="Arial" w:hAnsi="Arial"/>
                <w:sz w:val="20"/>
                <w:szCs w:val="20"/>
                <w:color w:val="auto"/>
              </w:rPr>
              <w:t>46,482</w:t>
            </w:r>
          </w:p>
        </w:tc>
        <w:tc>
          <w:tcPr>
            <w:tcW w:w="1220" w:type="dxa"/>
            <w:vAlign w:val="bottom"/>
            <w:tcBorders>
              <w:right w:val="single" w:sz="8" w:color="auto"/>
            </w:tcBorders>
          </w:tcPr>
          <w:p>
            <w:pPr>
              <w:jc w:val="right"/>
              <w:ind w:right="1"/>
              <w:spacing w:after="0"/>
              <w:rPr>
                <w:sz w:val="20"/>
                <w:szCs w:val="20"/>
                <w:color w:val="auto"/>
              </w:rPr>
            </w:pPr>
            <w:r>
              <w:rPr>
                <w:rFonts w:ascii="Arial" w:cs="Arial" w:eastAsia="Arial" w:hAnsi="Arial"/>
                <w:sz w:val="20"/>
                <w:szCs w:val="20"/>
                <w:color w:val="auto"/>
              </w:rPr>
              <w:t>$2,001,980</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0</w:t>
            </w:r>
          </w:p>
        </w:tc>
        <w:tc>
          <w:tcPr>
            <w:tcW w:w="1240" w:type="dxa"/>
            <w:vAlign w:val="bottom"/>
            <w:tcBorders>
              <w:right w:val="single" w:sz="8" w:color="auto"/>
            </w:tcBorders>
          </w:tcPr>
          <w:p>
            <w:pPr>
              <w:jc w:val="right"/>
              <w:ind w:right="41"/>
              <w:spacing w:after="0"/>
              <w:rPr>
                <w:sz w:val="20"/>
                <w:szCs w:val="20"/>
                <w:color w:val="auto"/>
              </w:rPr>
            </w:pPr>
            <w:r>
              <w:rPr>
                <w:rFonts w:ascii="Arial" w:cs="Arial" w:eastAsia="Arial" w:hAnsi="Arial"/>
                <w:sz w:val="20"/>
                <w:szCs w:val="20"/>
                <w:color w:val="auto"/>
              </w:rPr>
              <w:t>92,964</w:t>
            </w:r>
          </w:p>
        </w:tc>
        <w:tc>
          <w:tcPr>
            <w:tcW w:w="0" w:type="dxa"/>
            <w:vAlign w:val="bottom"/>
          </w:tcPr>
          <w:p>
            <w:pPr>
              <w:spacing w:after="0"/>
              <w:rPr>
                <w:sz w:val="1"/>
                <w:szCs w:val="1"/>
                <w:color w:val="auto"/>
              </w:rPr>
            </w:pPr>
          </w:p>
        </w:tc>
      </w:tr>
      <w:tr>
        <w:trPr>
          <w:trHeight w:val="78"/>
        </w:trPr>
        <w:tc>
          <w:tcPr>
            <w:tcW w:w="1940" w:type="dxa"/>
            <w:vAlign w:val="bottom"/>
            <w:tcBorders>
              <w:left w:val="single" w:sz="8" w:color="auto"/>
              <w:bottom w:val="single" w:sz="8" w:color="auto"/>
              <w:right w:val="single" w:sz="8" w:color="auto"/>
            </w:tcBorders>
          </w:tcPr>
          <w:p>
            <w:pPr>
              <w:spacing w:after="0"/>
              <w:rPr>
                <w:sz w:val="6"/>
                <w:szCs w:val="6"/>
                <w:color w:val="auto"/>
              </w:rPr>
            </w:pPr>
          </w:p>
        </w:tc>
        <w:tc>
          <w:tcPr>
            <w:tcW w:w="900" w:type="dxa"/>
            <w:vAlign w:val="bottom"/>
            <w:tcBorders>
              <w:bottom w:val="single" w:sz="8" w:color="auto"/>
              <w:right w:val="single" w:sz="8" w:color="auto"/>
            </w:tcBorders>
          </w:tcPr>
          <w:p>
            <w:pPr>
              <w:spacing w:after="0"/>
              <w:rPr>
                <w:sz w:val="6"/>
                <w:szCs w:val="6"/>
                <w:color w:val="auto"/>
              </w:rPr>
            </w:pPr>
          </w:p>
        </w:tc>
        <w:tc>
          <w:tcPr>
            <w:tcW w:w="1240" w:type="dxa"/>
            <w:vAlign w:val="bottom"/>
            <w:tcBorders>
              <w:bottom w:val="single" w:sz="8" w:color="auto"/>
              <w:right w:val="single" w:sz="8" w:color="auto"/>
            </w:tcBorders>
          </w:tcPr>
          <w:p>
            <w:pPr>
              <w:spacing w:after="0"/>
              <w:rPr>
                <w:sz w:val="6"/>
                <w:szCs w:val="6"/>
                <w:color w:val="auto"/>
              </w:rPr>
            </w:pPr>
          </w:p>
        </w:tc>
        <w:tc>
          <w:tcPr>
            <w:tcW w:w="1240" w:type="dxa"/>
            <w:vAlign w:val="bottom"/>
            <w:tcBorders>
              <w:bottom w:val="single" w:sz="8" w:color="auto"/>
              <w:right w:val="single" w:sz="8" w:color="auto"/>
            </w:tcBorders>
          </w:tcPr>
          <w:p>
            <w:pPr>
              <w:spacing w:after="0"/>
              <w:rPr>
                <w:sz w:val="6"/>
                <w:szCs w:val="6"/>
                <w:color w:val="auto"/>
              </w:rPr>
            </w:pPr>
          </w:p>
        </w:tc>
        <w:tc>
          <w:tcPr>
            <w:tcW w:w="1240" w:type="dxa"/>
            <w:vAlign w:val="bottom"/>
            <w:tcBorders>
              <w:bottom w:val="single" w:sz="8" w:color="auto"/>
              <w:right w:val="single" w:sz="8" w:color="auto"/>
            </w:tcBorders>
          </w:tcPr>
          <w:p>
            <w:pPr>
              <w:spacing w:after="0"/>
              <w:rPr>
                <w:sz w:val="6"/>
                <w:szCs w:val="6"/>
                <w:color w:val="auto"/>
              </w:rPr>
            </w:pPr>
          </w:p>
        </w:tc>
        <w:tc>
          <w:tcPr>
            <w:tcW w:w="1020" w:type="dxa"/>
            <w:vAlign w:val="bottom"/>
            <w:tcBorders>
              <w:bottom w:val="single" w:sz="8" w:color="auto"/>
              <w:right w:val="single" w:sz="8" w:color="auto"/>
            </w:tcBorders>
          </w:tcPr>
          <w:p>
            <w:pPr>
              <w:spacing w:after="0"/>
              <w:rPr>
                <w:sz w:val="6"/>
                <w:szCs w:val="6"/>
                <w:color w:val="auto"/>
              </w:rPr>
            </w:pPr>
          </w:p>
        </w:tc>
        <w:tc>
          <w:tcPr>
            <w:tcW w:w="1220" w:type="dxa"/>
            <w:vAlign w:val="bottom"/>
            <w:tcBorders>
              <w:bottom w:val="single" w:sz="8" w:color="auto"/>
              <w:right w:val="single" w:sz="8" w:color="auto"/>
            </w:tcBorders>
          </w:tcPr>
          <w:p>
            <w:pPr>
              <w:spacing w:after="0"/>
              <w:rPr>
                <w:sz w:val="6"/>
                <w:szCs w:val="6"/>
                <w:color w:val="auto"/>
              </w:rPr>
            </w:pPr>
          </w:p>
        </w:tc>
        <w:tc>
          <w:tcPr>
            <w:tcW w:w="1220" w:type="dxa"/>
            <w:vAlign w:val="bottom"/>
            <w:tcBorders>
              <w:bottom w:val="single" w:sz="8" w:color="auto"/>
              <w:right w:val="single" w:sz="8" w:color="auto"/>
            </w:tcBorders>
          </w:tcPr>
          <w:p>
            <w:pPr>
              <w:spacing w:after="0"/>
              <w:rPr>
                <w:sz w:val="6"/>
                <w:szCs w:val="6"/>
                <w:color w:val="auto"/>
              </w:rPr>
            </w:pPr>
          </w:p>
        </w:tc>
        <w:tc>
          <w:tcPr>
            <w:tcW w:w="12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1940" w:type="dxa"/>
            <w:vAlign w:val="bottom"/>
            <w:tcBorders>
              <w:left w:val="single" w:sz="8" w:color="auto"/>
              <w:right w:val="single" w:sz="8" w:color="auto"/>
            </w:tcBorders>
            <w:shd w:val="clear" w:color="auto" w:fill="D9D9D9"/>
          </w:tcPr>
          <w:p>
            <w:pPr>
              <w:ind w:left="100"/>
              <w:spacing w:after="0"/>
              <w:rPr>
                <w:sz w:val="20"/>
                <w:szCs w:val="20"/>
                <w:color w:val="auto"/>
              </w:rPr>
            </w:pPr>
            <w:r>
              <w:rPr>
                <w:rFonts w:ascii="Arial" w:cs="Arial" w:eastAsia="Arial" w:hAnsi="Arial"/>
                <w:sz w:val="20"/>
                <w:szCs w:val="20"/>
                <w:color w:val="auto"/>
              </w:rPr>
              <w:t>Thomas Kelly</w:t>
            </w:r>
          </w:p>
        </w:tc>
        <w:tc>
          <w:tcPr>
            <w:tcW w:w="900" w:type="dxa"/>
            <w:vAlign w:val="bottom"/>
            <w:tcBorders>
              <w:right w:val="single" w:sz="8" w:color="auto"/>
            </w:tcBorders>
            <w:shd w:val="clear" w:color="auto" w:fill="D9D9D9"/>
          </w:tcPr>
          <w:p>
            <w:pPr>
              <w:jc w:val="right"/>
              <w:ind w:right="1"/>
              <w:spacing w:after="0"/>
              <w:rPr>
                <w:sz w:val="20"/>
                <w:szCs w:val="20"/>
                <w:color w:val="auto"/>
              </w:rPr>
            </w:pPr>
            <w:r>
              <w:rPr>
                <w:rFonts w:ascii="Arial" w:cs="Arial" w:eastAsia="Arial" w:hAnsi="Arial"/>
                <w:sz w:val="20"/>
                <w:szCs w:val="20"/>
                <w:color w:val="auto"/>
              </w:rPr>
              <w:t>8,296</w:t>
            </w:r>
          </w:p>
        </w:tc>
        <w:tc>
          <w:tcPr>
            <w:tcW w:w="1240" w:type="dxa"/>
            <w:vAlign w:val="bottom"/>
            <w:tcBorders>
              <w:right w:val="single" w:sz="8" w:color="auto"/>
            </w:tcBorders>
            <w:shd w:val="clear" w:color="auto" w:fill="D9D9D9"/>
          </w:tcPr>
          <w:p>
            <w:pPr>
              <w:jc w:val="right"/>
              <w:ind w:right="1"/>
              <w:spacing w:after="0"/>
              <w:rPr>
                <w:sz w:val="20"/>
                <w:szCs w:val="20"/>
                <w:color w:val="auto"/>
              </w:rPr>
            </w:pPr>
            <w:r>
              <w:rPr>
                <w:rFonts w:ascii="Arial" w:cs="Arial" w:eastAsia="Arial" w:hAnsi="Arial"/>
                <w:sz w:val="20"/>
                <w:szCs w:val="20"/>
                <w:color w:val="auto"/>
              </w:rPr>
              <w:t>410,984</w:t>
            </w:r>
          </w:p>
        </w:tc>
        <w:tc>
          <w:tcPr>
            <w:tcW w:w="124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20"/>
                <w:szCs w:val="20"/>
                <w:color w:val="auto"/>
                <w:w w:val="89"/>
              </w:rPr>
              <w:t>0</w:t>
            </w:r>
          </w:p>
        </w:tc>
        <w:tc>
          <w:tcPr>
            <w:tcW w:w="1240" w:type="dxa"/>
            <w:vAlign w:val="bottom"/>
            <w:tcBorders>
              <w:right w:val="single" w:sz="8" w:color="auto"/>
            </w:tcBorders>
            <w:shd w:val="clear" w:color="auto" w:fill="D9D9D9"/>
          </w:tcPr>
          <w:p>
            <w:pPr>
              <w:jc w:val="right"/>
              <w:ind w:right="21"/>
              <w:spacing w:after="0"/>
              <w:rPr>
                <w:sz w:val="20"/>
                <w:szCs w:val="20"/>
                <w:color w:val="auto"/>
              </w:rPr>
            </w:pPr>
            <w:r>
              <w:rPr>
                <w:rFonts w:ascii="Arial" w:cs="Arial" w:eastAsia="Arial" w:hAnsi="Arial"/>
                <w:sz w:val="20"/>
                <w:szCs w:val="20"/>
                <w:color w:val="auto"/>
              </w:rPr>
              <w:t>16,592</w:t>
            </w:r>
          </w:p>
        </w:tc>
        <w:tc>
          <w:tcPr>
            <w:tcW w:w="1020" w:type="dxa"/>
            <w:vAlign w:val="bottom"/>
            <w:tcBorders>
              <w:right w:val="single" w:sz="8" w:color="auto"/>
            </w:tcBorders>
            <w:shd w:val="clear" w:color="auto" w:fill="D9D9D9"/>
          </w:tcPr>
          <w:p>
            <w:pPr>
              <w:jc w:val="right"/>
              <w:ind w:right="21"/>
              <w:spacing w:after="0"/>
              <w:rPr>
                <w:sz w:val="20"/>
                <w:szCs w:val="20"/>
                <w:color w:val="auto"/>
              </w:rPr>
            </w:pPr>
            <w:r>
              <w:rPr>
                <w:rFonts w:ascii="Arial" w:cs="Arial" w:eastAsia="Arial" w:hAnsi="Arial"/>
                <w:sz w:val="20"/>
                <w:szCs w:val="20"/>
                <w:color w:val="auto"/>
              </w:rPr>
              <w:t>9,543</w:t>
            </w:r>
          </w:p>
        </w:tc>
        <w:tc>
          <w:tcPr>
            <w:tcW w:w="1220" w:type="dxa"/>
            <w:vAlign w:val="bottom"/>
            <w:tcBorders>
              <w:right w:val="single" w:sz="8" w:color="auto"/>
            </w:tcBorders>
            <w:shd w:val="clear" w:color="auto" w:fill="D9D9D9"/>
          </w:tcPr>
          <w:p>
            <w:pPr>
              <w:jc w:val="right"/>
              <w:ind w:right="1"/>
              <w:spacing w:after="0"/>
              <w:rPr>
                <w:sz w:val="20"/>
                <w:szCs w:val="20"/>
                <w:color w:val="auto"/>
              </w:rPr>
            </w:pPr>
            <w:r>
              <w:rPr>
                <w:rFonts w:ascii="Arial" w:cs="Arial" w:eastAsia="Arial" w:hAnsi="Arial"/>
                <w:sz w:val="20"/>
                <w:szCs w:val="20"/>
                <w:color w:val="auto"/>
              </w:rPr>
              <w:t>411,017</w:t>
            </w:r>
          </w:p>
        </w:tc>
        <w:tc>
          <w:tcPr>
            <w:tcW w:w="122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20"/>
                <w:szCs w:val="20"/>
                <w:color w:val="auto"/>
                <w:w w:val="89"/>
              </w:rPr>
              <w:t>0</w:t>
            </w:r>
          </w:p>
        </w:tc>
        <w:tc>
          <w:tcPr>
            <w:tcW w:w="1240" w:type="dxa"/>
            <w:vAlign w:val="bottom"/>
            <w:tcBorders>
              <w:right w:val="single" w:sz="8" w:color="auto"/>
            </w:tcBorders>
            <w:shd w:val="clear" w:color="auto" w:fill="D9D9D9"/>
          </w:tcPr>
          <w:p>
            <w:pPr>
              <w:jc w:val="right"/>
              <w:ind w:right="41"/>
              <w:spacing w:after="0"/>
              <w:rPr>
                <w:sz w:val="20"/>
                <w:szCs w:val="20"/>
                <w:color w:val="auto"/>
              </w:rPr>
            </w:pPr>
            <w:r>
              <w:rPr>
                <w:rFonts w:ascii="Arial" w:cs="Arial" w:eastAsia="Arial" w:hAnsi="Arial"/>
                <w:sz w:val="20"/>
                <w:szCs w:val="20"/>
                <w:color w:val="auto"/>
              </w:rPr>
              <w:t>19,086</w:t>
            </w:r>
          </w:p>
        </w:tc>
        <w:tc>
          <w:tcPr>
            <w:tcW w:w="0" w:type="dxa"/>
            <w:vAlign w:val="bottom"/>
          </w:tcPr>
          <w:p>
            <w:pPr>
              <w:spacing w:after="0"/>
              <w:rPr>
                <w:sz w:val="1"/>
                <w:szCs w:val="1"/>
                <w:color w:val="auto"/>
              </w:rPr>
            </w:pPr>
          </w:p>
        </w:tc>
      </w:tr>
      <w:tr>
        <w:trPr>
          <w:trHeight w:val="78"/>
        </w:trPr>
        <w:tc>
          <w:tcPr>
            <w:tcW w:w="1940" w:type="dxa"/>
            <w:vAlign w:val="bottom"/>
            <w:tcBorders>
              <w:left w:val="single" w:sz="8" w:color="auto"/>
              <w:bottom w:val="single" w:sz="8" w:color="auto"/>
              <w:right w:val="single" w:sz="8" w:color="auto"/>
            </w:tcBorders>
            <w:shd w:val="clear" w:color="auto" w:fill="D9D9D9"/>
          </w:tcPr>
          <w:p>
            <w:pPr>
              <w:spacing w:after="0"/>
              <w:rPr>
                <w:sz w:val="6"/>
                <w:szCs w:val="6"/>
                <w:color w:val="auto"/>
              </w:rPr>
            </w:pPr>
          </w:p>
        </w:tc>
        <w:tc>
          <w:tcPr>
            <w:tcW w:w="900" w:type="dxa"/>
            <w:vAlign w:val="bottom"/>
            <w:tcBorders>
              <w:bottom w:val="single" w:sz="8" w:color="auto"/>
              <w:right w:val="single" w:sz="8" w:color="auto"/>
            </w:tcBorders>
            <w:shd w:val="clear" w:color="auto" w:fill="D9D9D9"/>
          </w:tcPr>
          <w:p>
            <w:pPr>
              <w:spacing w:after="0"/>
              <w:rPr>
                <w:sz w:val="6"/>
                <w:szCs w:val="6"/>
                <w:color w:val="auto"/>
              </w:rPr>
            </w:pPr>
          </w:p>
        </w:tc>
        <w:tc>
          <w:tcPr>
            <w:tcW w:w="1240" w:type="dxa"/>
            <w:vAlign w:val="bottom"/>
            <w:tcBorders>
              <w:bottom w:val="single" w:sz="8" w:color="auto"/>
              <w:right w:val="single" w:sz="8" w:color="auto"/>
            </w:tcBorders>
            <w:shd w:val="clear" w:color="auto" w:fill="D9D9D9"/>
          </w:tcPr>
          <w:p>
            <w:pPr>
              <w:spacing w:after="0"/>
              <w:rPr>
                <w:sz w:val="6"/>
                <w:szCs w:val="6"/>
                <w:color w:val="auto"/>
              </w:rPr>
            </w:pPr>
          </w:p>
        </w:tc>
        <w:tc>
          <w:tcPr>
            <w:tcW w:w="1240" w:type="dxa"/>
            <w:vAlign w:val="bottom"/>
            <w:tcBorders>
              <w:bottom w:val="single" w:sz="8" w:color="auto"/>
              <w:right w:val="single" w:sz="8" w:color="auto"/>
            </w:tcBorders>
            <w:shd w:val="clear" w:color="auto" w:fill="D9D9D9"/>
          </w:tcPr>
          <w:p>
            <w:pPr>
              <w:spacing w:after="0"/>
              <w:rPr>
                <w:sz w:val="6"/>
                <w:szCs w:val="6"/>
                <w:color w:val="auto"/>
              </w:rPr>
            </w:pPr>
          </w:p>
        </w:tc>
        <w:tc>
          <w:tcPr>
            <w:tcW w:w="1240" w:type="dxa"/>
            <w:vAlign w:val="bottom"/>
            <w:tcBorders>
              <w:bottom w:val="single" w:sz="8" w:color="auto"/>
              <w:right w:val="single" w:sz="8" w:color="auto"/>
            </w:tcBorders>
            <w:shd w:val="clear" w:color="auto" w:fill="D9D9D9"/>
          </w:tcPr>
          <w:p>
            <w:pPr>
              <w:spacing w:after="0"/>
              <w:rPr>
                <w:sz w:val="6"/>
                <w:szCs w:val="6"/>
                <w:color w:val="auto"/>
              </w:rPr>
            </w:pPr>
          </w:p>
        </w:tc>
        <w:tc>
          <w:tcPr>
            <w:tcW w:w="1020" w:type="dxa"/>
            <w:vAlign w:val="bottom"/>
            <w:tcBorders>
              <w:bottom w:val="single" w:sz="8" w:color="auto"/>
              <w:right w:val="single" w:sz="8" w:color="auto"/>
            </w:tcBorders>
            <w:shd w:val="clear" w:color="auto" w:fill="D9D9D9"/>
          </w:tcPr>
          <w:p>
            <w:pPr>
              <w:spacing w:after="0"/>
              <w:rPr>
                <w:sz w:val="6"/>
                <w:szCs w:val="6"/>
                <w:color w:val="auto"/>
              </w:rPr>
            </w:pPr>
          </w:p>
        </w:tc>
        <w:tc>
          <w:tcPr>
            <w:tcW w:w="1220" w:type="dxa"/>
            <w:vAlign w:val="bottom"/>
            <w:tcBorders>
              <w:bottom w:val="single" w:sz="8" w:color="auto"/>
              <w:right w:val="single" w:sz="8" w:color="auto"/>
            </w:tcBorders>
            <w:shd w:val="clear" w:color="auto" w:fill="D9D9D9"/>
          </w:tcPr>
          <w:p>
            <w:pPr>
              <w:spacing w:after="0"/>
              <w:rPr>
                <w:sz w:val="6"/>
                <w:szCs w:val="6"/>
                <w:color w:val="auto"/>
              </w:rPr>
            </w:pPr>
          </w:p>
        </w:tc>
        <w:tc>
          <w:tcPr>
            <w:tcW w:w="1220" w:type="dxa"/>
            <w:vAlign w:val="bottom"/>
            <w:tcBorders>
              <w:bottom w:val="single" w:sz="8" w:color="auto"/>
              <w:right w:val="single" w:sz="8" w:color="auto"/>
            </w:tcBorders>
            <w:shd w:val="clear" w:color="auto" w:fill="D9D9D9"/>
          </w:tcPr>
          <w:p>
            <w:pPr>
              <w:spacing w:after="0"/>
              <w:rPr>
                <w:sz w:val="6"/>
                <w:szCs w:val="6"/>
                <w:color w:val="auto"/>
              </w:rPr>
            </w:pPr>
          </w:p>
        </w:tc>
        <w:tc>
          <w:tcPr>
            <w:tcW w:w="1240" w:type="dxa"/>
            <w:vAlign w:val="bottom"/>
            <w:tcBorders>
              <w:bottom w:val="single" w:sz="8" w:color="auto"/>
              <w:right w:val="single" w:sz="8" w:color="auto"/>
            </w:tcBorders>
            <w:shd w:val="clear" w:color="auto" w:fill="D9D9D9"/>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19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Gerard Gifford</w:t>
            </w:r>
          </w:p>
        </w:tc>
        <w:tc>
          <w:tcPr>
            <w:tcW w:w="900" w:type="dxa"/>
            <w:vAlign w:val="bottom"/>
            <w:tcBorders>
              <w:right w:val="single" w:sz="8" w:color="auto"/>
            </w:tcBorders>
          </w:tcPr>
          <w:p>
            <w:pPr>
              <w:jc w:val="right"/>
              <w:ind w:right="1"/>
              <w:spacing w:after="0"/>
              <w:rPr>
                <w:sz w:val="20"/>
                <w:szCs w:val="20"/>
                <w:color w:val="auto"/>
              </w:rPr>
            </w:pPr>
            <w:r>
              <w:rPr>
                <w:rFonts w:ascii="Arial" w:cs="Arial" w:eastAsia="Arial" w:hAnsi="Arial"/>
                <w:sz w:val="20"/>
                <w:szCs w:val="20"/>
                <w:color w:val="auto"/>
              </w:rPr>
              <w:t>12,027</w:t>
            </w:r>
          </w:p>
        </w:tc>
        <w:tc>
          <w:tcPr>
            <w:tcW w:w="1240" w:type="dxa"/>
            <w:vAlign w:val="bottom"/>
            <w:tcBorders>
              <w:right w:val="single" w:sz="8" w:color="auto"/>
            </w:tcBorders>
          </w:tcPr>
          <w:p>
            <w:pPr>
              <w:jc w:val="right"/>
              <w:ind w:right="1"/>
              <w:spacing w:after="0"/>
              <w:rPr>
                <w:sz w:val="20"/>
                <w:szCs w:val="20"/>
                <w:color w:val="auto"/>
              </w:rPr>
            </w:pPr>
            <w:r>
              <w:rPr>
                <w:rFonts w:ascii="Arial" w:cs="Arial" w:eastAsia="Arial" w:hAnsi="Arial"/>
                <w:sz w:val="20"/>
                <w:szCs w:val="20"/>
                <w:color w:val="auto"/>
              </w:rPr>
              <w:t>595,818</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0</w:t>
            </w:r>
          </w:p>
        </w:tc>
        <w:tc>
          <w:tcPr>
            <w:tcW w:w="1240" w:type="dxa"/>
            <w:vAlign w:val="bottom"/>
            <w:tcBorders>
              <w:right w:val="single" w:sz="8" w:color="auto"/>
            </w:tcBorders>
          </w:tcPr>
          <w:p>
            <w:pPr>
              <w:jc w:val="right"/>
              <w:ind w:right="21"/>
              <w:spacing w:after="0"/>
              <w:rPr>
                <w:sz w:val="20"/>
                <w:szCs w:val="20"/>
                <w:color w:val="auto"/>
              </w:rPr>
            </w:pPr>
            <w:r>
              <w:rPr>
                <w:rFonts w:ascii="Arial" w:cs="Arial" w:eastAsia="Arial" w:hAnsi="Arial"/>
                <w:sz w:val="20"/>
                <w:szCs w:val="20"/>
                <w:color w:val="auto"/>
              </w:rPr>
              <w:t>24,054</w:t>
            </w:r>
          </w:p>
        </w:tc>
        <w:tc>
          <w:tcPr>
            <w:tcW w:w="1020" w:type="dxa"/>
            <w:vAlign w:val="bottom"/>
            <w:tcBorders>
              <w:right w:val="single" w:sz="8" w:color="auto"/>
            </w:tcBorders>
          </w:tcPr>
          <w:p>
            <w:pPr>
              <w:jc w:val="right"/>
              <w:ind w:right="21"/>
              <w:spacing w:after="0"/>
              <w:rPr>
                <w:sz w:val="20"/>
                <w:szCs w:val="20"/>
                <w:color w:val="auto"/>
              </w:rPr>
            </w:pPr>
            <w:r>
              <w:rPr>
                <w:rFonts w:ascii="Arial" w:cs="Arial" w:eastAsia="Arial" w:hAnsi="Arial"/>
                <w:sz w:val="20"/>
                <w:szCs w:val="20"/>
                <w:color w:val="auto"/>
              </w:rPr>
              <w:t>13,834</w:t>
            </w:r>
          </w:p>
        </w:tc>
        <w:tc>
          <w:tcPr>
            <w:tcW w:w="1220" w:type="dxa"/>
            <w:vAlign w:val="bottom"/>
            <w:tcBorders>
              <w:right w:val="single" w:sz="8" w:color="auto"/>
            </w:tcBorders>
          </w:tcPr>
          <w:p>
            <w:pPr>
              <w:jc w:val="right"/>
              <w:ind w:right="1"/>
              <w:spacing w:after="0"/>
              <w:rPr>
                <w:sz w:val="20"/>
                <w:szCs w:val="20"/>
                <w:color w:val="auto"/>
              </w:rPr>
            </w:pPr>
            <w:r>
              <w:rPr>
                <w:rFonts w:ascii="Arial" w:cs="Arial" w:eastAsia="Arial" w:hAnsi="Arial"/>
                <w:sz w:val="20"/>
                <w:szCs w:val="20"/>
                <w:color w:val="auto"/>
              </w:rPr>
              <w:t>595,830</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0</w:t>
            </w:r>
          </w:p>
        </w:tc>
        <w:tc>
          <w:tcPr>
            <w:tcW w:w="1240" w:type="dxa"/>
            <w:vAlign w:val="bottom"/>
            <w:tcBorders>
              <w:right w:val="single" w:sz="8" w:color="auto"/>
            </w:tcBorders>
          </w:tcPr>
          <w:p>
            <w:pPr>
              <w:jc w:val="right"/>
              <w:ind w:right="41"/>
              <w:spacing w:after="0"/>
              <w:rPr>
                <w:sz w:val="20"/>
                <w:szCs w:val="20"/>
                <w:color w:val="auto"/>
              </w:rPr>
            </w:pPr>
            <w:r>
              <w:rPr>
                <w:rFonts w:ascii="Arial" w:cs="Arial" w:eastAsia="Arial" w:hAnsi="Arial"/>
                <w:sz w:val="20"/>
                <w:szCs w:val="20"/>
                <w:color w:val="auto"/>
              </w:rPr>
              <w:t>27,668</w:t>
            </w:r>
          </w:p>
        </w:tc>
        <w:tc>
          <w:tcPr>
            <w:tcW w:w="0" w:type="dxa"/>
            <w:vAlign w:val="bottom"/>
          </w:tcPr>
          <w:p>
            <w:pPr>
              <w:spacing w:after="0"/>
              <w:rPr>
                <w:sz w:val="1"/>
                <w:szCs w:val="1"/>
                <w:color w:val="auto"/>
              </w:rPr>
            </w:pPr>
          </w:p>
        </w:tc>
      </w:tr>
      <w:tr>
        <w:trPr>
          <w:trHeight w:val="78"/>
        </w:trPr>
        <w:tc>
          <w:tcPr>
            <w:tcW w:w="1940" w:type="dxa"/>
            <w:vAlign w:val="bottom"/>
            <w:tcBorders>
              <w:left w:val="single" w:sz="8" w:color="auto"/>
              <w:bottom w:val="single" w:sz="8" w:color="auto"/>
              <w:right w:val="single" w:sz="8" w:color="auto"/>
            </w:tcBorders>
          </w:tcPr>
          <w:p>
            <w:pPr>
              <w:spacing w:after="0"/>
              <w:rPr>
                <w:sz w:val="6"/>
                <w:szCs w:val="6"/>
                <w:color w:val="auto"/>
              </w:rPr>
            </w:pPr>
          </w:p>
        </w:tc>
        <w:tc>
          <w:tcPr>
            <w:tcW w:w="900" w:type="dxa"/>
            <w:vAlign w:val="bottom"/>
            <w:tcBorders>
              <w:bottom w:val="single" w:sz="8" w:color="auto"/>
              <w:right w:val="single" w:sz="8" w:color="auto"/>
            </w:tcBorders>
          </w:tcPr>
          <w:p>
            <w:pPr>
              <w:spacing w:after="0"/>
              <w:rPr>
                <w:sz w:val="6"/>
                <w:szCs w:val="6"/>
                <w:color w:val="auto"/>
              </w:rPr>
            </w:pPr>
          </w:p>
        </w:tc>
        <w:tc>
          <w:tcPr>
            <w:tcW w:w="1240" w:type="dxa"/>
            <w:vAlign w:val="bottom"/>
            <w:tcBorders>
              <w:bottom w:val="single" w:sz="8" w:color="auto"/>
              <w:right w:val="single" w:sz="8" w:color="auto"/>
            </w:tcBorders>
          </w:tcPr>
          <w:p>
            <w:pPr>
              <w:spacing w:after="0"/>
              <w:rPr>
                <w:sz w:val="6"/>
                <w:szCs w:val="6"/>
                <w:color w:val="auto"/>
              </w:rPr>
            </w:pPr>
          </w:p>
        </w:tc>
        <w:tc>
          <w:tcPr>
            <w:tcW w:w="1240" w:type="dxa"/>
            <w:vAlign w:val="bottom"/>
            <w:tcBorders>
              <w:bottom w:val="single" w:sz="8" w:color="auto"/>
              <w:right w:val="single" w:sz="8" w:color="auto"/>
            </w:tcBorders>
          </w:tcPr>
          <w:p>
            <w:pPr>
              <w:spacing w:after="0"/>
              <w:rPr>
                <w:sz w:val="6"/>
                <w:szCs w:val="6"/>
                <w:color w:val="auto"/>
              </w:rPr>
            </w:pPr>
          </w:p>
        </w:tc>
        <w:tc>
          <w:tcPr>
            <w:tcW w:w="1240" w:type="dxa"/>
            <w:vAlign w:val="bottom"/>
            <w:tcBorders>
              <w:bottom w:val="single" w:sz="8" w:color="auto"/>
              <w:right w:val="single" w:sz="8" w:color="auto"/>
            </w:tcBorders>
          </w:tcPr>
          <w:p>
            <w:pPr>
              <w:spacing w:after="0"/>
              <w:rPr>
                <w:sz w:val="6"/>
                <w:szCs w:val="6"/>
                <w:color w:val="auto"/>
              </w:rPr>
            </w:pPr>
          </w:p>
        </w:tc>
        <w:tc>
          <w:tcPr>
            <w:tcW w:w="1020" w:type="dxa"/>
            <w:vAlign w:val="bottom"/>
            <w:tcBorders>
              <w:bottom w:val="single" w:sz="8" w:color="auto"/>
              <w:right w:val="single" w:sz="8" w:color="auto"/>
            </w:tcBorders>
          </w:tcPr>
          <w:p>
            <w:pPr>
              <w:spacing w:after="0"/>
              <w:rPr>
                <w:sz w:val="6"/>
                <w:szCs w:val="6"/>
                <w:color w:val="auto"/>
              </w:rPr>
            </w:pPr>
          </w:p>
        </w:tc>
        <w:tc>
          <w:tcPr>
            <w:tcW w:w="1220" w:type="dxa"/>
            <w:vAlign w:val="bottom"/>
            <w:tcBorders>
              <w:bottom w:val="single" w:sz="8" w:color="auto"/>
              <w:right w:val="single" w:sz="8" w:color="auto"/>
            </w:tcBorders>
          </w:tcPr>
          <w:p>
            <w:pPr>
              <w:spacing w:after="0"/>
              <w:rPr>
                <w:sz w:val="6"/>
                <w:szCs w:val="6"/>
                <w:color w:val="auto"/>
              </w:rPr>
            </w:pPr>
          </w:p>
        </w:tc>
        <w:tc>
          <w:tcPr>
            <w:tcW w:w="1220" w:type="dxa"/>
            <w:vAlign w:val="bottom"/>
            <w:tcBorders>
              <w:bottom w:val="single" w:sz="8" w:color="auto"/>
              <w:right w:val="single" w:sz="8" w:color="auto"/>
            </w:tcBorders>
          </w:tcPr>
          <w:p>
            <w:pPr>
              <w:spacing w:after="0"/>
              <w:rPr>
                <w:sz w:val="6"/>
                <w:szCs w:val="6"/>
                <w:color w:val="auto"/>
              </w:rPr>
            </w:pPr>
          </w:p>
        </w:tc>
        <w:tc>
          <w:tcPr>
            <w:tcW w:w="12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1940" w:type="dxa"/>
            <w:vAlign w:val="bottom"/>
            <w:tcBorders>
              <w:left w:val="single" w:sz="8" w:color="auto"/>
              <w:right w:val="single" w:sz="8" w:color="auto"/>
            </w:tcBorders>
            <w:shd w:val="clear" w:color="auto" w:fill="D9D9D9"/>
          </w:tcPr>
          <w:p>
            <w:pPr>
              <w:ind w:left="100"/>
              <w:spacing w:after="0"/>
              <w:rPr>
                <w:sz w:val="20"/>
                <w:szCs w:val="20"/>
                <w:color w:val="auto"/>
              </w:rPr>
            </w:pPr>
            <w:r>
              <w:rPr>
                <w:rFonts w:ascii="Arial" w:cs="Arial" w:eastAsia="Arial" w:hAnsi="Arial"/>
                <w:sz w:val="20"/>
                <w:szCs w:val="20"/>
                <w:color w:val="auto"/>
              </w:rPr>
              <w:t>Djalma Novaes</w:t>
            </w:r>
          </w:p>
        </w:tc>
        <w:tc>
          <w:tcPr>
            <w:tcW w:w="900" w:type="dxa"/>
            <w:vAlign w:val="bottom"/>
            <w:tcBorders>
              <w:right w:val="single" w:sz="8" w:color="auto"/>
            </w:tcBorders>
            <w:shd w:val="clear" w:color="auto" w:fill="D9D9D9"/>
          </w:tcPr>
          <w:p>
            <w:pPr>
              <w:jc w:val="right"/>
              <w:ind w:right="1"/>
              <w:spacing w:after="0"/>
              <w:rPr>
                <w:sz w:val="20"/>
                <w:szCs w:val="20"/>
                <w:color w:val="auto"/>
              </w:rPr>
            </w:pPr>
            <w:r>
              <w:rPr>
                <w:rFonts w:ascii="Arial" w:cs="Arial" w:eastAsia="Arial" w:hAnsi="Arial"/>
                <w:sz w:val="20"/>
                <w:szCs w:val="20"/>
                <w:color w:val="auto"/>
              </w:rPr>
              <w:t>6,771</w:t>
            </w:r>
          </w:p>
        </w:tc>
        <w:tc>
          <w:tcPr>
            <w:tcW w:w="1240" w:type="dxa"/>
            <w:vAlign w:val="bottom"/>
            <w:tcBorders>
              <w:right w:val="single" w:sz="8" w:color="auto"/>
            </w:tcBorders>
            <w:shd w:val="clear" w:color="auto" w:fill="D9D9D9"/>
          </w:tcPr>
          <w:p>
            <w:pPr>
              <w:jc w:val="right"/>
              <w:ind w:right="1"/>
              <w:spacing w:after="0"/>
              <w:rPr>
                <w:sz w:val="20"/>
                <w:szCs w:val="20"/>
                <w:color w:val="auto"/>
              </w:rPr>
            </w:pPr>
            <w:r>
              <w:rPr>
                <w:rFonts w:ascii="Arial" w:cs="Arial" w:eastAsia="Arial" w:hAnsi="Arial"/>
                <w:sz w:val="20"/>
                <w:szCs w:val="20"/>
                <w:color w:val="auto"/>
              </w:rPr>
              <w:t>335,435</w:t>
            </w:r>
          </w:p>
        </w:tc>
        <w:tc>
          <w:tcPr>
            <w:tcW w:w="124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20"/>
                <w:szCs w:val="20"/>
                <w:color w:val="auto"/>
                <w:w w:val="89"/>
              </w:rPr>
              <w:t>0</w:t>
            </w:r>
          </w:p>
        </w:tc>
        <w:tc>
          <w:tcPr>
            <w:tcW w:w="1240" w:type="dxa"/>
            <w:vAlign w:val="bottom"/>
            <w:tcBorders>
              <w:right w:val="single" w:sz="8" w:color="auto"/>
            </w:tcBorders>
            <w:shd w:val="clear" w:color="auto" w:fill="D9D9D9"/>
          </w:tcPr>
          <w:p>
            <w:pPr>
              <w:jc w:val="right"/>
              <w:ind w:right="21"/>
              <w:spacing w:after="0"/>
              <w:rPr>
                <w:sz w:val="20"/>
                <w:szCs w:val="20"/>
                <w:color w:val="auto"/>
              </w:rPr>
            </w:pPr>
            <w:r>
              <w:rPr>
                <w:rFonts w:ascii="Arial" w:cs="Arial" w:eastAsia="Arial" w:hAnsi="Arial"/>
                <w:sz w:val="20"/>
                <w:szCs w:val="20"/>
                <w:color w:val="auto"/>
              </w:rPr>
              <w:t>13,542</w:t>
            </w:r>
          </w:p>
        </w:tc>
        <w:tc>
          <w:tcPr>
            <w:tcW w:w="1020" w:type="dxa"/>
            <w:vAlign w:val="bottom"/>
            <w:tcBorders>
              <w:right w:val="single" w:sz="8" w:color="auto"/>
            </w:tcBorders>
            <w:shd w:val="clear" w:color="auto" w:fill="D9D9D9"/>
          </w:tcPr>
          <w:p>
            <w:pPr>
              <w:jc w:val="right"/>
              <w:ind w:right="21"/>
              <w:spacing w:after="0"/>
              <w:rPr>
                <w:sz w:val="20"/>
                <w:szCs w:val="20"/>
                <w:color w:val="auto"/>
              </w:rPr>
            </w:pPr>
            <w:r>
              <w:rPr>
                <w:rFonts w:ascii="Arial" w:cs="Arial" w:eastAsia="Arial" w:hAnsi="Arial"/>
                <w:sz w:val="20"/>
                <w:szCs w:val="20"/>
                <w:color w:val="auto"/>
              </w:rPr>
              <w:t>7,788</w:t>
            </w:r>
          </w:p>
        </w:tc>
        <w:tc>
          <w:tcPr>
            <w:tcW w:w="1220" w:type="dxa"/>
            <w:vAlign w:val="bottom"/>
            <w:tcBorders>
              <w:right w:val="single" w:sz="8" w:color="auto"/>
            </w:tcBorders>
            <w:shd w:val="clear" w:color="auto" w:fill="D9D9D9"/>
          </w:tcPr>
          <w:p>
            <w:pPr>
              <w:jc w:val="right"/>
              <w:ind w:right="1"/>
              <w:spacing w:after="0"/>
              <w:rPr>
                <w:sz w:val="20"/>
                <w:szCs w:val="20"/>
                <w:color w:val="auto"/>
              </w:rPr>
            </w:pPr>
            <w:r>
              <w:rPr>
                <w:rFonts w:ascii="Arial" w:cs="Arial" w:eastAsia="Arial" w:hAnsi="Arial"/>
                <w:sz w:val="20"/>
                <w:szCs w:val="20"/>
                <w:color w:val="auto"/>
              </w:rPr>
              <w:t>335,429</w:t>
            </w:r>
          </w:p>
        </w:tc>
        <w:tc>
          <w:tcPr>
            <w:tcW w:w="122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20"/>
                <w:szCs w:val="20"/>
                <w:color w:val="auto"/>
                <w:w w:val="89"/>
              </w:rPr>
              <w:t>0</w:t>
            </w:r>
          </w:p>
        </w:tc>
        <w:tc>
          <w:tcPr>
            <w:tcW w:w="1240" w:type="dxa"/>
            <w:vAlign w:val="bottom"/>
            <w:tcBorders>
              <w:right w:val="single" w:sz="8" w:color="auto"/>
            </w:tcBorders>
            <w:shd w:val="clear" w:color="auto" w:fill="D9D9D9"/>
          </w:tcPr>
          <w:p>
            <w:pPr>
              <w:jc w:val="right"/>
              <w:ind w:right="41"/>
              <w:spacing w:after="0"/>
              <w:rPr>
                <w:sz w:val="20"/>
                <w:szCs w:val="20"/>
                <w:color w:val="auto"/>
              </w:rPr>
            </w:pPr>
            <w:r>
              <w:rPr>
                <w:rFonts w:ascii="Arial" w:cs="Arial" w:eastAsia="Arial" w:hAnsi="Arial"/>
                <w:sz w:val="20"/>
                <w:szCs w:val="20"/>
                <w:color w:val="auto"/>
              </w:rPr>
              <w:t>15,576</w:t>
            </w:r>
          </w:p>
        </w:tc>
        <w:tc>
          <w:tcPr>
            <w:tcW w:w="0" w:type="dxa"/>
            <w:vAlign w:val="bottom"/>
          </w:tcPr>
          <w:p>
            <w:pPr>
              <w:spacing w:after="0"/>
              <w:rPr>
                <w:sz w:val="1"/>
                <w:szCs w:val="1"/>
                <w:color w:val="auto"/>
              </w:rPr>
            </w:pPr>
          </w:p>
        </w:tc>
      </w:tr>
      <w:tr>
        <w:trPr>
          <w:trHeight w:val="78"/>
        </w:trPr>
        <w:tc>
          <w:tcPr>
            <w:tcW w:w="1940" w:type="dxa"/>
            <w:vAlign w:val="bottom"/>
            <w:tcBorders>
              <w:left w:val="single" w:sz="8" w:color="auto"/>
              <w:bottom w:val="single" w:sz="8" w:color="auto"/>
              <w:right w:val="single" w:sz="8" w:color="auto"/>
            </w:tcBorders>
            <w:shd w:val="clear" w:color="auto" w:fill="D9D9D9"/>
          </w:tcPr>
          <w:p>
            <w:pPr>
              <w:spacing w:after="0"/>
              <w:rPr>
                <w:sz w:val="6"/>
                <w:szCs w:val="6"/>
                <w:color w:val="auto"/>
              </w:rPr>
            </w:pPr>
          </w:p>
        </w:tc>
        <w:tc>
          <w:tcPr>
            <w:tcW w:w="900" w:type="dxa"/>
            <w:vAlign w:val="bottom"/>
            <w:tcBorders>
              <w:bottom w:val="single" w:sz="8" w:color="auto"/>
              <w:right w:val="single" w:sz="8" w:color="auto"/>
            </w:tcBorders>
            <w:shd w:val="clear" w:color="auto" w:fill="D9D9D9"/>
          </w:tcPr>
          <w:p>
            <w:pPr>
              <w:spacing w:after="0"/>
              <w:rPr>
                <w:sz w:val="6"/>
                <w:szCs w:val="6"/>
                <w:color w:val="auto"/>
              </w:rPr>
            </w:pPr>
          </w:p>
        </w:tc>
        <w:tc>
          <w:tcPr>
            <w:tcW w:w="1240" w:type="dxa"/>
            <w:vAlign w:val="bottom"/>
            <w:tcBorders>
              <w:bottom w:val="single" w:sz="8" w:color="auto"/>
              <w:right w:val="single" w:sz="8" w:color="auto"/>
            </w:tcBorders>
            <w:shd w:val="clear" w:color="auto" w:fill="D9D9D9"/>
          </w:tcPr>
          <w:p>
            <w:pPr>
              <w:spacing w:after="0"/>
              <w:rPr>
                <w:sz w:val="6"/>
                <w:szCs w:val="6"/>
                <w:color w:val="auto"/>
              </w:rPr>
            </w:pPr>
          </w:p>
        </w:tc>
        <w:tc>
          <w:tcPr>
            <w:tcW w:w="1240" w:type="dxa"/>
            <w:vAlign w:val="bottom"/>
            <w:tcBorders>
              <w:bottom w:val="single" w:sz="8" w:color="auto"/>
              <w:right w:val="single" w:sz="8" w:color="auto"/>
            </w:tcBorders>
            <w:shd w:val="clear" w:color="auto" w:fill="D9D9D9"/>
          </w:tcPr>
          <w:p>
            <w:pPr>
              <w:spacing w:after="0"/>
              <w:rPr>
                <w:sz w:val="6"/>
                <w:szCs w:val="6"/>
                <w:color w:val="auto"/>
              </w:rPr>
            </w:pPr>
          </w:p>
        </w:tc>
        <w:tc>
          <w:tcPr>
            <w:tcW w:w="1240" w:type="dxa"/>
            <w:vAlign w:val="bottom"/>
            <w:tcBorders>
              <w:bottom w:val="single" w:sz="8" w:color="auto"/>
              <w:right w:val="single" w:sz="8" w:color="auto"/>
            </w:tcBorders>
            <w:shd w:val="clear" w:color="auto" w:fill="D9D9D9"/>
          </w:tcPr>
          <w:p>
            <w:pPr>
              <w:spacing w:after="0"/>
              <w:rPr>
                <w:sz w:val="6"/>
                <w:szCs w:val="6"/>
                <w:color w:val="auto"/>
              </w:rPr>
            </w:pPr>
          </w:p>
        </w:tc>
        <w:tc>
          <w:tcPr>
            <w:tcW w:w="1020" w:type="dxa"/>
            <w:vAlign w:val="bottom"/>
            <w:tcBorders>
              <w:bottom w:val="single" w:sz="8" w:color="auto"/>
              <w:right w:val="single" w:sz="8" w:color="auto"/>
            </w:tcBorders>
            <w:shd w:val="clear" w:color="auto" w:fill="D9D9D9"/>
          </w:tcPr>
          <w:p>
            <w:pPr>
              <w:spacing w:after="0"/>
              <w:rPr>
                <w:sz w:val="6"/>
                <w:szCs w:val="6"/>
                <w:color w:val="auto"/>
              </w:rPr>
            </w:pPr>
          </w:p>
        </w:tc>
        <w:tc>
          <w:tcPr>
            <w:tcW w:w="1220" w:type="dxa"/>
            <w:vAlign w:val="bottom"/>
            <w:tcBorders>
              <w:bottom w:val="single" w:sz="8" w:color="auto"/>
              <w:right w:val="single" w:sz="8" w:color="auto"/>
            </w:tcBorders>
            <w:shd w:val="clear" w:color="auto" w:fill="D9D9D9"/>
          </w:tcPr>
          <w:p>
            <w:pPr>
              <w:spacing w:after="0"/>
              <w:rPr>
                <w:sz w:val="6"/>
                <w:szCs w:val="6"/>
                <w:color w:val="auto"/>
              </w:rPr>
            </w:pPr>
          </w:p>
        </w:tc>
        <w:tc>
          <w:tcPr>
            <w:tcW w:w="1220" w:type="dxa"/>
            <w:vAlign w:val="bottom"/>
            <w:tcBorders>
              <w:bottom w:val="single" w:sz="8" w:color="auto"/>
              <w:right w:val="single" w:sz="8" w:color="auto"/>
            </w:tcBorders>
            <w:shd w:val="clear" w:color="auto" w:fill="D9D9D9"/>
          </w:tcPr>
          <w:p>
            <w:pPr>
              <w:spacing w:after="0"/>
              <w:rPr>
                <w:sz w:val="6"/>
                <w:szCs w:val="6"/>
                <w:color w:val="auto"/>
              </w:rPr>
            </w:pPr>
          </w:p>
        </w:tc>
        <w:tc>
          <w:tcPr>
            <w:tcW w:w="1240" w:type="dxa"/>
            <w:vAlign w:val="bottom"/>
            <w:tcBorders>
              <w:bottom w:val="single" w:sz="8" w:color="auto"/>
              <w:right w:val="single" w:sz="8" w:color="auto"/>
            </w:tcBorders>
            <w:shd w:val="clear" w:color="auto" w:fill="D9D9D9"/>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19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Robert Bourque</w:t>
            </w:r>
          </w:p>
        </w:tc>
        <w:tc>
          <w:tcPr>
            <w:tcW w:w="900" w:type="dxa"/>
            <w:vAlign w:val="bottom"/>
            <w:tcBorders>
              <w:right w:val="single" w:sz="8" w:color="auto"/>
            </w:tcBorders>
          </w:tcPr>
          <w:p>
            <w:pPr>
              <w:jc w:val="right"/>
              <w:ind w:right="1"/>
              <w:spacing w:after="0"/>
              <w:rPr>
                <w:sz w:val="20"/>
                <w:szCs w:val="20"/>
                <w:color w:val="auto"/>
              </w:rPr>
            </w:pPr>
            <w:r>
              <w:rPr>
                <w:rFonts w:ascii="Arial" w:cs="Arial" w:eastAsia="Arial" w:hAnsi="Arial"/>
                <w:sz w:val="20"/>
                <w:szCs w:val="20"/>
                <w:color w:val="auto"/>
              </w:rPr>
              <w:t>6,005</w:t>
            </w:r>
          </w:p>
        </w:tc>
        <w:tc>
          <w:tcPr>
            <w:tcW w:w="1240" w:type="dxa"/>
            <w:vAlign w:val="bottom"/>
            <w:tcBorders>
              <w:right w:val="single" w:sz="8" w:color="auto"/>
            </w:tcBorders>
          </w:tcPr>
          <w:p>
            <w:pPr>
              <w:jc w:val="right"/>
              <w:ind w:right="1"/>
              <w:spacing w:after="0"/>
              <w:rPr>
                <w:sz w:val="20"/>
                <w:szCs w:val="20"/>
                <w:color w:val="auto"/>
              </w:rPr>
            </w:pPr>
            <w:r>
              <w:rPr>
                <w:rFonts w:ascii="Arial" w:cs="Arial" w:eastAsia="Arial" w:hAnsi="Arial"/>
                <w:sz w:val="20"/>
                <w:szCs w:val="20"/>
                <w:color w:val="auto"/>
              </w:rPr>
              <w:t>297,488</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0</w:t>
            </w:r>
          </w:p>
        </w:tc>
        <w:tc>
          <w:tcPr>
            <w:tcW w:w="1240" w:type="dxa"/>
            <w:vAlign w:val="bottom"/>
            <w:tcBorders>
              <w:right w:val="single" w:sz="8" w:color="auto"/>
            </w:tcBorders>
          </w:tcPr>
          <w:p>
            <w:pPr>
              <w:jc w:val="right"/>
              <w:ind w:right="21"/>
              <w:spacing w:after="0"/>
              <w:rPr>
                <w:sz w:val="20"/>
                <w:szCs w:val="20"/>
                <w:color w:val="auto"/>
              </w:rPr>
            </w:pPr>
            <w:r>
              <w:rPr>
                <w:rFonts w:ascii="Arial" w:cs="Arial" w:eastAsia="Arial" w:hAnsi="Arial"/>
                <w:sz w:val="20"/>
                <w:szCs w:val="20"/>
                <w:color w:val="auto"/>
              </w:rPr>
              <w:t>12,010</w:t>
            </w:r>
          </w:p>
        </w:tc>
        <w:tc>
          <w:tcPr>
            <w:tcW w:w="1020" w:type="dxa"/>
            <w:vAlign w:val="bottom"/>
            <w:tcBorders>
              <w:right w:val="single" w:sz="8" w:color="auto"/>
            </w:tcBorders>
          </w:tcPr>
          <w:p>
            <w:pPr>
              <w:jc w:val="right"/>
              <w:ind w:right="21"/>
              <w:spacing w:after="0"/>
              <w:rPr>
                <w:sz w:val="20"/>
                <w:szCs w:val="20"/>
                <w:color w:val="auto"/>
              </w:rPr>
            </w:pPr>
            <w:r>
              <w:rPr>
                <w:rFonts w:ascii="Arial" w:cs="Arial" w:eastAsia="Arial" w:hAnsi="Arial"/>
                <w:sz w:val="20"/>
                <w:szCs w:val="20"/>
                <w:color w:val="auto"/>
              </w:rPr>
              <w:t>6,907</w:t>
            </w:r>
          </w:p>
        </w:tc>
        <w:tc>
          <w:tcPr>
            <w:tcW w:w="1220" w:type="dxa"/>
            <w:vAlign w:val="bottom"/>
            <w:tcBorders>
              <w:right w:val="single" w:sz="8" w:color="auto"/>
            </w:tcBorders>
          </w:tcPr>
          <w:p>
            <w:pPr>
              <w:jc w:val="right"/>
              <w:ind w:right="1"/>
              <w:spacing w:after="0"/>
              <w:rPr>
                <w:sz w:val="20"/>
                <w:szCs w:val="20"/>
                <w:color w:val="auto"/>
              </w:rPr>
            </w:pPr>
            <w:r>
              <w:rPr>
                <w:rFonts w:ascii="Arial" w:cs="Arial" w:eastAsia="Arial" w:hAnsi="Arial"/>
                <w:sz w:val="20"/>
                <w:szCs w:val="20"/>
                <w:color w:val="auto"/>
              </w:rPr>
              <w:t>297,484</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0</w:t>
            </w:r>
          </w:p>
        </w:tc>
        <w:tc>
          <w:tcPr>
            <w:tcW w:w="1240" w:type="dxa"/>
            <w:vAlign w:val="bottom"/>
            <w:tcBorders>
              <w:right w:val="single" w:sz="8" w:color="auto"/>
            </w:tcBorders>
          </w:tcPr>
          <w:p>
            <w:pPr>
              <w:jc w:val="right"/>
              <w:ind w:right="41"/>
              <w:spacing w:after="0"/>
              <w:rPr>
                <w:sz w:val="20"/>
                <w:szCs w:val="20"/>
                <w:color w:val="auto"/>
              </w:rPr>
            </w:pPr>
            <w:r>
              <w:rPr>
                <w:rFonts w:ascii="Arial" w:cs="Arial" w:eastAsia="Arial" w:hAnsi="Arial"/>
                <w:sz w:val="20"/>
                <w:szCs w:val="20"/>
                <w:color w:val="auto"/>
              </w:rPr>
              <w:t>13,814</w:t>
            </w:r>
          </w:p>
        </w:tc>
        <w:tc>
          <w:tcPr>
            <w:tcW w:w="0" w:type="dxa"/>
            <w:vAlign w:val="bottom"/>
          </w:tcPr>
          <w:p>
            <w:pPr>
              <w:spacing w:after="0"/>
              <w:rPr>
                <w:sz w:val="1"/>
                <w:szCs w:val="1"/>
                <w:color w:val="auto"/>
              </w:rPr>
            </w:pPr>
          </w:p>
        </w:tc>
      </w:tr>
      <w:tr>
        <w:trPr>
          <w:trHeight w:val="78"/>
        </w:trPr>
        <w:tc>
          <w:tcPr>
            <w:tcW w:w="1940" w:type="dxa"/>
            <w:vAlign w:val="bottom"/>
            <w:tcBorders>
              <w:left w:val="single" w:sz="8" w:color="auto"/>
              <w:bottom w:val="single" w:sz="8" w:color="auto"/>
              <w:right w:val="single" w:sz="8" w:color="auto"/>
            </w:tcBorders>
          </w:tcPr>
          <w:p>
            <w:pPr>
              <w:spacing w:after="0"/>
              <w:rPr>
                <w:sz w:val="6"/>
                <w:szCs w:val="6"/>
                <w:color w:val="auto"/>
              </w:rPr>
            </w:pPr>
          </w:p>
        </w:tc>
        <w:tc>
          <w:tcPr>
            <w:tcW w:w="900" w:type="dxa"/>
            <w:vAlign w:val="bottom"/>
            <w:tcBorders>
              <w:bottom w:val="single" w:sz="8" w:color="auto"/>
              <w:right w:val="single" w:sz="8" w:color="auto"/>
            </w:tcBorders>
          </w:tcPr>
          <w:p>
            <w:pPr>
              <w:spacing w:after="0"/>
              <w:rPr>
                <w:sz w:val="6"/>
                <w:szCs w:val="6"/>
                <w:color w:val="auto"/>
              </w:rPr>
            </w:pPr>
          </w:p>
        </w:tc>
        <w:tc>
          <w:tcPr>
            <w:tcW w:w="1240" w:type="dxa"/>
            <w:vAlign w:val="bottom"/>
            <w:tcBorders>
              <w:bottom w:val="single" w:sz="8" w:color="auto"/>
              <w:right w:val="single" w:sz="8" w:color="auto"/>
            </w:tcBorders>
          </w:tcPr>
          <w:p>
            <w:pPr>
              <w:spacing w:after="0"/>
              <w:rPr>
                <w:sz w:val="6"/>
                <w:szCs w:val="6"/>
                <w:color w:val="auto"/>
              </w:rPr>
            </w:pPr>
          </w:p>
        </w:tc>
        <w:tc>
          <w:tcPr>
            <w:tcW w:w="1240" w:type="dxa"/>
            <w:vAlign w:val="bottom"/>
            <w:tcBorders>
              <w:bottom w:val="single" w:sz="8" w:color="auto"/>
              <w:right w:val="single" w:sz="8" w:color="auto"/>
            </w:tcBorders>
          </w:tcPr>
          <w:p>
            <w:pPr>
              <w:spacing w:after="0"/>
              <w:rPr>
                <w:sz w:val="6"/>
                <w:szCs w:val="6"/>
                <w:color w:val="auto"/>
              </w:rPr>
            </w:pPr>
          </w:p>
        </w:tc>
        <w:tc>
          <w:tcPr>
            <w:tcW w:w="1240" w:type="dxa"/>
            <w:vAlign w:val="bottom"/>
            <w:tcBorders>
              <w:bottom w:val="single" w:sz="8" w:color="auto"/>
              <w:right w:val="single" w:sz="8" w:color="auto"/>
            </w:tcBorders>
          </w:tcPr>
          <w:p>
            <w:pPr>
              <w:spacing w:after="0"/>
              <w:rPr>
                <w:sz w:val="6"/>
                <w:szCs w:val="6"/>
                <w:color w:val="auto"/>
              </w:rPr>
            </w:pPr>
          </w:p>
        </w:tc>
        <w:tc>
          <w:tcPr>
            <w:tcW w:w="1020" w:type="dxa"/>
            <w:vAlign w:val="bottom"/>
            <w:tcBorders>
              <w:bottom w:val="single" w:sz="8" w:color="auto"/>
              <w:right w:val="single" w:sz="8" w:color="auto"/>
            </w:tcBorders>
          </w:tcPr>
          <w:p>
            <w:pPr>
              <w:spacing w:after="0"/>
              <w:rPr>
                <w:sz w:val="6"/>
                <w:szCs w:val="6"/>
                <w:color w:val="auto"/>
              </w:rPr>
            </w:pPr>
          </w:p>
        </w:tc>
        <w:tc>
          <w:tcPr>
            <w:tcW w:w="1220" w:type="dxa"/>
            <w:vAlign w:val="bottom"/>
            <w:tcBorders>
              <w:bottom w:val="single" w:sz="8" w:color="auto"/>
              <w:right w:val="single" w:sz="8" w:color="auto"/>
            </w:tcBorders>
          </w:tcPr>
          <w:p>
            <w:pPr>
              <w:spacing w:after="0"/>
              <w:rPr>
                <w:sz w:val="6"/>
                <w:szCs w:val="6"/>
                <w:color w:val="auto"/>
              </w:rPr>
            </w:pPr>
          </w:p>
        </w:tc>
        <w:tc>
          <w:tcPr>
            <w:tcW w:w="1220" w:type="dxa"/>
            <w:vAlign w:val="bottom"/>
            <w:tcBorders>
              <w:bottom w:val="single" w:sz="8" w:color="auto"/>
              <w:right w:val="single" w:sz="8" w:color="auto"/>
            </w:tcBorders>
          </w:tcPr>
          <w:p>
            <w:pPr>
              <w:spacing w:after="0"/>
              <w:rPr>
                <w:sz w:val="6"/>
                <w:szCs w:val="6"/>
                <w:color w:val="auto"/>
              </w:rPr>
            </w:pPr>
          </w:p>
        </w:tc>
        <w:tc>
          <w:tcPr>
            <w:tcW w:w="12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jc w:val="both"/>
        <w:ind w:firstLine="595"/>
        <w:spacing w:after="0" w:line="266" w:lineRule="auto"/>
        <w:rPr>
          <w:sz w:val="20"/>
          <w:szCs w:val="20"/>
          <w:color w:val="auto"/>
        </w:rPr>
      </w:pPr>
      <w:r>
        <w:rPr>
          <w:rFonts w:ascii="Arial" w:cs="Arial" w:eastAsia="Arial" w:hAnsi="Arial"/>
          <w:sz w:val="18"/>
          <w:szCs w:val="18"/>
          <w:i w:val="1"/>
          <w:iCs w:val="1"/>
          <w:color w:val="auto"/>
        </w:rPr>
        <w:t xml:space="preserve">Pay-for-Performance Alignment – Performance-Based Shares. </w:t>
      </w:r>
      <w:r>
        <w:rPr>
          <w:rFonts w:ascii="Arial" w:cs="Arial" w:eastAsia="Arial" w:hAnsi="Arial"/>
          <w:sz w:val="18"/>
          <w:szCs w:val="18"/>
          <w:color w:val="auto"/>
        </w:rPr>
        <w:t>Based on the Company’s under-performance for the measurement</w:t>
      </w:r>
      <w:r>
        <w:rPr>
          <w:rFonts w:ascii="Arial" w:cs="Arial" w:eastAsia="Arial" w:hAnsi="Arial"/>
          <w:sz w:val="18"/>
          <w:szCs w:val="18"/>
          <w:i w:val="1"/>
          <w:iCs w:val="1"/>
          <w:color w:val="auto"/>
        </w:rPr>
        <w:t xml:space="preserve"> </w:t>
      </w:r>
      <w:r>
        <w:rPr>
          <w:rFonts w:ascii="Arial" w:cs="Arial" w:eastAsia="Arial" w:hAnsi="Arial"/>
          <w:sz w:val="18"/>
          <w:szCs w:val="18"/>
          <w:color w:val="auto"/>
        </w:rPr>
        <w:t>periods related to the vesting of performance-based shares in 2017, 2018 and 2019, the Company’s NEOs, including the CEO, forfeited 34% of the performance-based shares targeted for vesting in 2017 and 100% of the performance-based shares targeted for vesting in 2018 and 2019. In 2020, based on the Company’s strong performance for the measurement period, 21.3% more performance shares vested above the target established for the Company’s NEOs, including the CEO, at the time they were awarded (2017). The additional performance-based share award in 2020 was attributable to over-achievement on the TSR metric that resulted in an award of 22.5% over the target established in 2017 and over-achievement on the ROIC metric that resulted in an award of 20.0% over the target established in 2017. The Committee views these outcomes as demonstrative of the Company’s “pay-for-performance” philosophy.</w:t>
      </w:r>
    </w:p>
    <w:p>
      <w:pPr>
        <w:spacing w:after="0" w:line="168" w:lineRule="exact"/>
        <w:rPr>
          <w:sz w:val="20"/>
          <w:szCs w:val="20"/>
          <w:color w:val="auto"/>
        </w:rPr>
      </w:pPr>
    </w:p>
    <w:p>
      <w:pPr>
        <w:jc w:val="both"/>
        <w:ind w:firstLine="595"/>
        <w:spacing w:after="0" w:line="260" w:lineRule="auto"/>
        <w:rPr>
          <w:sz w:val="20"/>
          <w:szCs w:val="20"/>
          <w:color w:val="auto"/>
        </w:rPr>
      </w:pPr>
      <w:r>
        <w:rPr>
          <w:rFonts w:ascii="Arial" w:cs="Arial" w:eastAsia="Arial" w:hAnsi="Arial"/>
          <w:sz w:val="20"/>
          <w:szCs w:val="20"/>
          <w:b w:val="1"/>
          <w:bCs w:val="1"/>
          <w:color w:val="auto"/>
        </w:rPr>
        <w:t xml:space="preserve">Retirement Benefits. </w:t>
      </w:r>
      <w:r>
        <w:rPr>
          <w:rFonts w:ascii="Arial" w:cs="Arial" w:eastAsia="Arial" w:hAnsi="Arial"/>
          <w:sz w:val="20"/>
          <w:szCs w:val="20"/>
          <w:color w:val="auto"/>
        </w:rPr>
        <w:t>To attract and retain highly qualified senior executives and as an incentive for long-term employment,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maintains a number of retirement plans.</w:t>
      </w:r>
    </w:p>
    <w:p>
      <w:pPr>
        <w:spacing w:after="0" w:line="177" w:lineRule="exact"/>
        <w:rPr>
          <w:sz w:val="20"/>
          <w:szCs w:val="20"/>
          <w:color w:val="auto"/>
        </w:rPr>
      </w:pPr>
    </w:p>
    <w:p>
      <w:pPr>
        <w:jc w:val="both"/>
        <w:ind w:firstLine="595"/>
        <w:spacing w:after="0" w:line="267" w:lineRule="auto"/>
        <w:rPr>
          <w:sz w:val="20"/>
          <w:szCs w:val="20"/>
          <w:color w:val="auto"/>
        </w:rPr>
      </w:pPr>
      <w:r>
        <w:rPr>
          <w:rFonts w:ascii="Arial" w:cs="Arial" w:eastAsia="Arial" w:hAnsi="Arial"/>
          <w:sz w:val="18"/>
          <w:szCs w:val="18"/>
          <w:i w:val="1"/>
          <w:iCs w:val="1"/>
          <w:color w:val="auto"/>
        </w:rPr>
        <w:t>U.S. Pension Plan</w:t>
      </w:r>
      <w:r>
        <w:rPr>
          <w:rFonts w:ascii="Arial" w:cs="Arial" w:eastAsia="Arial" w:hAnsi="Arial"/>
          <w:sz w:val="18"/>
          <w:szCs w:val="18"/>
          <w:color w:val="auto"/>
        </w:rPr>
        <w:t>. In the United States, the Company maintains a defined benefit pension plan (the “U.S. Pension Plan”) for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eligible employees in which all NEOs participate. The U.S. Pension Plan is designed and administered to qualify under Section 401(a) of the Internal Revenue Code of 1986, as amended (the “Code”). The U.S. Pension Plan provides normal retirement benefits at age 65 based on the average of the five highest consecutive years of earnings in the last ten years prior to employment termination. For purposes of the U.S. Pension Plan, earnings consist of salary excluding any bonus. These average earnings are multiplied by 1.25% and by years of service, which yields the annual Company-funded pension benefit. Under U.S. federal law for 2019, benefits from the U.S. Pension Plan are limited to $225,000 per year and may be based only on the first $280,000 of an employee’s annual earnings.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44</w:t>
      </w:r>
    </w:p>
    <w:p>
      <w:pPr>
        <w:sectPr>
          <w:pgSz w:w="11900" w:h="16838" w:orient="portrait"/>
          <w:cols w:equalWidth="0" w:num="1">
            <w:col w:w="11240"/>
          </w:cols>
          <w:pgMar w:left="320" w:top="442" w:right="339" w:bottom="1440" w:gutter="0" w:footer="0" w:header="0"/>
        </w:sectPr>
      </w:pPr>
    </w:p>
    <w:bookmarkStart w:id="48" w:name="page49"/>
    <w:bookmarkEnd w:id="48"/>
    <w:p>
      <w:pPr>
        <w:jc w:val="both"/>
        <w:ind w:firstLine="595"/>
        <w:spacing w:after="0" w:line="249" w:lineRule="auto"/>
        <w:rPr>
          <w:sz w:val="20"/>
          <w:szCs w:val="20"/>
          <w:color w:val="auto"/>
        </w:rPr>
      </w:pPr>
      <w:r>
        <w:rPr>
          <w:rFonts w:ascii="Arial" w:cs="Arial" w:eastAsia="Arial" w:hAnsi="Arial"/>
          <w:sz w:val="19"/>
          <w:szCs w:val="19"/>
          <w:i w:val="1"/>
          <w:iCs w:val="1"/>
          <w:color w:val="auto"/>
        </w:rPr>
        <w:t>Senior Executive Retirement Plan</w:t>
      </w:r>
      <w:r>
        <w:rPr>
          <w:rFonts w:ascii="Arial" w:cs="Arial" w:eastAsia="Arial" w:hAnsi="Arial"/>
          <w:sz w:val="19"/>
          <w:szCs w:val="19"/>
          <w:color w:val="auto"/>
        </w:rPr>
        <w:t>. Because of the benefit limits under the U.S. Pension Plan described above, the Company provides</w:t>
      </w:r>
      <w:r>
        <w:rPr>
          <w:rFonts w:ascii="Arial" w:cs="Arial" w:eastAsia="Arial" w:hAnsi="Arial"/>
          <w:sz w:val="19"/>
          <w:szCs w:val="19"/>
          <w:i w:val="1"/>
          <w:iCs w:val="1"/>
          <w:color w:val="auto"/>
        </w:rPr>
        <w:t xml:space="preserve"> </w:t>
      </w:r>
      <w:r>
        <w:rPr>
          <w:rFonts w:ascii="Arial" w:cs="Arial" w:eastAsia="Arial" w:hAnsi="Arial"/>
          <w:sz w:val="19"/>
          <w:szCs w:val="19"/>
          <w:color w:val="auto"/>
        </w:rPr>
        <w:t>additional retirement benefits to the NEOs under the Senior Executive Retirement Plan (“SERP”). The annual benefit for executives eligible to participate in the SERP is based upon a formula equal to (i) 2.0% of the average of the five highest consecutive years of earnings (consisting of salary and bonus, but excluding stock compensation, and determined without regard to the limits imposed on tax-qualified plans) during the last 10 years of employment times years of service up to twenty years plus (ii) 1.45% of such average earnings for the next fifteen years of service plus (iii) at the discretion of the Committee, 1% of such average earnings for years of service beyond thirty-five years less (iv) Social Security old-age benefits (and similar benefits provided in foreign jurisdictions) attributable to employment with the Company and the Company-funded portion of the executive’s pension plan benefits. In the case of Mr. Gifford, the SERP is also reduced by his benefit under the Company’s Restoration Plan (described below).</w:t>
      </w:r>
    </w:p>
    <w:p>
      <w:pPr>
        <w:spacing w:after="0" w:line="168" w:lineRule="exact"/>
        <w:rPr>
          <w:sz w:val="20"/>
          <w:szCs w:val="20"/>
          <w:color w:val="auto"/>
        </w:rPr>
      </w:pPr>
    </w:p>
    <w:p>
      <w:pPr>
        <w:jc w:val="both"/>
        <w:ind w:firstLine="595"/>
        <w:spacing w:after="0" w:line="243" w:lineRule="auto"/>
        <w:rPr>
          <w:sz w:val="20"/>
          <w:szCs w:val="20"/>
          <w:color w:val="auto"/>
        </w:rPr>
      </w:pPr>
      <w:r>
        <w:rPr>
          <w:rFonts w:ascii="Arial" w:cs="Arial" w:eastAsia="Arial" w:hAnsi="Arial"/>
          <w:sz w:val="20"/>
          <w:szCs w:val="20"/>
          <w:color w:val="auto"/>
        </w:rPr>
        <w:t>All benefits earned under the SERP are paid in a lump sum. If an NEO with a vested retirement benefit under the SERP dies prior to termination of employment, the NEO’s surviving spouse will be entitled to a 50% survivor benefit. The SERP also provides a lump-sum death benefit of five times the annual retirement benefit.</w:t>
      </w:r>
    </w:p>
    <w:p>
      <w:pPr>
        <w:spacing w:after="0" w:line="170" w:lineRule="exact"/>
        <w:rPr>
          <w:sz w:val="20"/>
          <w:szCs w:val="20"/>
          <w:color w:val="auto"/>
        </w:rPr>
      </w:pPr>
    </w:p>
    <w:p>
      <w:pPr>
        <w:jc w:val="both"/>
        <w:ind w:firstLine="595"/>
        <w:spacing w:after="0" w:line="254" w:lineRule="auto"/>
        <w:rPr>
          <w:sz w:val="20"/>
          <w:szCs w:val="20"/>
          <w:color w:val="auto"/>
        </w:rPr>
      </w:pPr>
      <w:r>
        <w:rPr>
          <w:rFonts w:ascii="Arial" w:cs="Arial" w:eastAsia="Arial" w:hAnsi="Arial"/>
          <w:sz w:val="20"/>
          <w:szCs w:val="20"/>
          <w:color w:val="auto"/>
        </w:rPr>
        <w:t>SERP participants vest in their benefits at the earliest of five years of participation, specified retirement dates, total disability or upon a “change in control” of the Company. Messrs. Donahue, Kelly, Gifford and Novaes are vested.</w:t>
      </w:r>
    </w:p>
    <w:p>
      <w:pPr>
        <w:spacing w:after="0" w:line="158" w:lineRule="exact"/>
        <w:rPr>
          <w:sz w:val="20"/>
          <w:szCs w:val="20"/>
          <w:color w:val="auto"/>
        </w:rPr>
      </w:pPr>
    </w:p>
    <w:p>
      <w:pPr>
        <w:jc w:val="both"/>
        <w:ind w:firstLine="595"/>
        <w:spacing w:after="0" w:line="237" w:lineRule="auto"/>
        <w:rPr>
          <w:sz w:val="20"/>
          <w:szCs w:val="20"/>
          <w:color w:val="auto"/>
        </w:rPr>
      </w:pPr>
      <w:r>
        <w:rPr>
          <w:rFonts w:ascii="Arial" w:cs="Arial" w:eastAsia="Arial" w:hAnsi="Arial"/>
          <w:sz w:val="20"/>
          <w:szCs w:val="20"/>
          <w:i w:val="1"/>
          <w:iCs w:val="1"/>
          <w:color w:val="auto"/>
        </w:rPr>
        <w:t>Restoration Plan</w:t>
      </w:r>
      <w:r>
        <w:rPr>
          <w:rFonts w:ascii="Arial" w:cs="Arial" w:eastAsia="Arial" w:hAnsi="Arial"/>
          <w:sz w:val="20"/>
          <w:szCs w:val="20"/>
          <w:color w:val="auto"/>
        </w:rPr>
        <w:t>. Prior to participating in the SERP, Mr. Gifford became a participant in the Company’s Restoration Plan.</w:t>
      </w:r>
      <w:r>
        <w:rPr>
          <w:rFonts w:ascii="Arial" w:cs="Arial" w:eastAsia="Arial" w:hAnsi="Arial"/>
          <w:sz w:val="20"/>
          <w:szCs w:val="20"/>
          <w:i w:val="1"/>
          <w:iCs w:val="1"/>
          <w:color w:val="auto"/>
        </w:rPr>
        <w:t xml:space="preserve"> </w:t>
      </w:r>
      <w:r>
        <w:rPr>
          <w:rFonts w:ascii="Arial" w:cs="Arial" w:eastAsia="Arial" w:hAnsi="Arial"/>
          <w:sz w:val="20"/>
          <w:szCs w:val="20"/>
          <w:color w:val="auto"/>
        </w:rPr>
        <w:t>Participants in the Restoration Plan receive supplemental retirement benefits equal to the difference between (i) the benefits that they would have accrued under the U.S. Pension Plan if their target bonus amounts were included in compensation for purposes of calculating their benefits under that plan and if certain statutory benefit limits did not apply and (ii) the benefits that they actually accrue under the U.S. Pension Plan. As described above, the benefits to which Mr. Gifford is entitled under the SERP will be offset by the benefits to which he is entitled under the Restoration Plan.</w:t>
      </w:r>
    </w:p>
    <w:p>
      <w:pPr>
        <w:spacing w:after="0" w:line="175" w:lineRule="exact"/>
        <w:rPr>
          <w:sz w:val="20"/>
          <w:szCs w:val="20"/>
          <w:color w:val="auto"/>
        </w:rPr>
      </w:pPr>
    </w:p>
    <w:p>
      <w:pPr>
        <w:jc w:val="both"/>
        <w:ind w:firstLine="595"/>
        <w:spacing w:after="0" w:line="262" w:lineRule="auto"/>
        <w:rPr>
          <w:sz w:val="20"/>
          <w:szCs w:val="20"/>
          <w:color w:val="auto"/>
        </w:rPr>
      </w:pPr>
      <w:r>
        <w:rPr>
          <w:rFonts w:ascii="Arial" w:cs="Arial" w:eastAsia="Arial" w:hAnsi="Arial"/>
          <w:sz w:val="19"/>
          <w:szCs w:val="19"/>
          <w:i w:val="1"/>
          <w:iCs w:val="1"/>
          <w:color w:val="auto"/>
        </w:rPr>
        <w:t>U.S. Defined Contribution Plan</w:t>
      </w:r>
      <w:r>
        <w:rPr>
          <w:rFonts w:ascii="Arial" w:cs="Arial" w:eastAsia="Arial" w:hAnsi="Arial"/>
          <w:sz w:val="19"/>
          <w:szCs w:val="19"/>
          <w:color w:val="auto"/>
        </w:rPr>
        <w:t>. The Company also maintains a tax-qualified 401(k) Retirement Savings Plan to which all U.S.</w:t>
      </w:r>
      <w:r>
        <w:rPr>
          <w:rFonts w:ascii="Arial" w:cs="Arial" w:eastAsia="Arial" w:hAnsi="Arial"/>
          <w:sz w:val="19"/>
          <w:szCs w:val="19"/>
          <w:i w:val="1"/>
          <w:iCs w:val="1"/>
          <w:color w:val="auto"/>
        </w:rPr>
        <w:t xml:space="preserve"> </w:t>
      </w:r>
      <w:r>
        <w:rPr>
          <w:rFonts w:ascii="Arial" w:cs="Arial" w:eastAsia="Arial" w:hAnsi="Arial"/>
          <w:sz w:val="19"/>
          <w:szCs w:val="19"/>
          <w:color w:val="auto"/>
        </w:rPr>
        <w:t>salaried employees, including all NEOs, are able to contribute a portion of their salaries on a pre-tax basis. Subject to certain Code limits, with respect to the NEOs, the Company will match 50% of the first 3% of salary that is contributed to this 401(k) plan.</w:t>
      </w:r>
    </w:p>
    <w:p>
      <w:pPr>
        <w:spacing w:after="0" w:line="147" w:lineRule="exact"/>
        <w:rPr>
          <w:sz w:val="20"/>
          <w:szCs w:val="20"/>
          <w:color w:val="auto"/>
        </w:rPr>
      </w:pPr>
    </w:p>
    <w:p>
      <w:pPr>
        <w:jc w:val="both"/>
        <w:ind w:firstLine="595"/>
        <w:spacing w:after="0" w:line="273" w:lineRule="auto"/>
        <w:rPr>
          <w:sz w:val="20"/>
          <w:szCs w:val="20"/>
          <w:color w:val="auto"/>
        </w:rPr>
      </w:pPr>
      <w:r>
        <w:rPr>
          <w:rFonts w:ascii="Arial" w:cs="Arial" w:eastAsia="Arial" w:hAnsi="Arial"/>
          <w:sz w:val="18"/>
          <w:szCs w:val="18"/>
          <w:b w:val="1"/>
          <w:bCs w:val="1"/>
          <w:color w:val="auto"/>
        </w:rPr>
        <w:t xml:space="preserve">Perquisites. </w:t>
      </w:r>
      <w:r>
        <w:rPr>
          <w:rFonts w:ascii="Arial" w:cs="Arial" w:eastAsia="Arial" w:hAnsi="Arial"/>
          <w:sz w:val="18"/>
          <w:szCs w:val="18"/>
          <w:color w:val="auto"/>
        </w:rPr>
        <w:t>The Company provides the NEOs with a limited number of perquisites and other personal benefits that the 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believes are reasonable and consistent with its overall compensation program to better enable the Company to attract and retain key executives. An item is a perquisite if it confers a direct or indirect benefit that has a personal aspect, without regard to whether it may be provided for some business reason or for the convenience of the Company, unless it is generally available on a non-discriminatory basis to all employees. An item is not a perquisite if it is integrally and directly related to the performance of the executive’s duties.</w:t>
      </w:r>
    </w:p>
    <w:p>
      <w:pPr>
        <w:spacing w:after="0" w:line="137" w:lineRule="exact"/>
        <w:rPr>
          <w:sz w:val="20"/>
          <w:szCs w:val="20"/>
          <w:color w:val="auto"/>
        </w:rPr>
      </w:pPr>
    </w:p>
    <w:p>
      <w:pPr>
        <w:jc w:val="both"/>
        <w:ind w:firstLine="595"/>
        <w:spacing w:after="0" w:line="238" w:lineRule="auto"/>
        <w:rPr>
          <w:sz w:val="20"/>
          <w:szCs w:val="20"/>
          <w:color w:val="auto"/>
        </w:rPr>
      </w:pPr>
      <w:r>
        <w:rPr>
          <w:rFonts w:ascii="Arial" w:cs="Arial" w:eastAsia="Arial" w:hAnsi="Arial"/>
          <w:sz w:val="20"/>
          <w:szCs w:val="20"/>
          <w:b w:val="1"/>
          <w:bCs w:val="1"/>
          <w:color w:val="auto"/>
        </w:rPr>
        <w:t xml:space="preserve">Severance. </w:t>
      </w:r>
      <w:r>
        <w:rPr>
          <w:rFonts w:ascii="Arial" w:cs="Arial" w:eastAsia="Arial" w:hAnsi="Arial"/>
          <w:sz w:val="20"/>
          <w:szCs w:val="20"/>
          <w:color w:val="auto"/>
        </w:rPr>
        <w:t>The Company has employment agreements with all of the NEOs. In addition to the compensation components listed</w:t>
      </w:r>
      <w:r>
        <w:rPr>
          <w:rFonts w:ascii="Arial" w:cs="Arial" w:eastAsia="Arial" w:hAnsi="Arial"/>
          <w:sz w:val="20"/>
          <w:szCs w:val="20"/>
          <w:b w:val="1"/>
          <w:bCs w:val="1"/>
          <w:color w:val="auto"/>
        </w:rPr>
        <w:t xml:space="preserve"> </w:t>
      </w:r>
      <w:r>
        <w:rPr>
          <w:rFonts w:ascii="Arial" w:cs="Arial" w:eastAsia="Arial" w:hAnsi="Arial"/>
          <w:sz w:val="20"/>
          <w:szCs w:val="20"/>
          <w:color w:val="auto"/>
        </w:rPr>
        <w:t>above, these contracts provide for post-employment severance payments and benefits in the event of employment termination under certain circumstances. For more information regarding these potential severance payments and benefits, see “Employment Agreements and Potential Payments upon Termination” in the Executive Compensation section below. The Committee believes that these contracts provide an incentive to the NEOs to remain with the Company and serve to align the interests of the NEOs and Shareholders, including in the event of a potential acquisition of the Company.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45</w:t>
      </w:r>
    </w:p>
    <w:p>
      <w:pPr>
        <w:sectPr>
          <w:pgSz w:w="11900" w:h="16838" w:orient="portrait"/>
          <w:cols w:equalWidth="0" w:num="1">
            <w:col w:w="11240"/>
          </w:cols>
          <w:pgMar w:left="320" w:top="865" w:right="339" w:bottom="1440" w:gutter="0" w:footer="0" w:header="0"/>
        </w:sectPr>
      </w:pPr>
    </w:p>
    <w:bookmarkStart w:id="49" w:name="page50"/>
    <w:bookmarkEnd w:id="49"/>
    <w:p>
      <w:pPr>
        <w:jc w:val="both"/>
        <w:ind w:firstLine="595"/>
        <w:spacing w:after="0" w:line="264" w:lineRule="auto"/>
        <w:rPr>
          <w:sz w:val="20"/>
          <w:szCs w:val="20"/>
          <w:color w:val="auto"/>
        </w:rPr>
      </w:pPr>
      <w:r>
        <w:rPr>
          <w:rFonts w:ascii="Arial" w:cs="Arial" w:eastAsia="Arial" w:hAnsi="Arial"/>
          <w:sz w:val="18"/>
          <w:szCs w:val="18"/>
          <w:b w:val="1"/>
          <w:bCs w:val="1"/>
          <w:color w:val="auto"/>
        </w:rPr>
        <w:t xml:space="preserve">Tax Deductibility of Executive Compensation. </w:t>
      </w:r>
      <w:r>
        <w:rPr>
          <w:rFonts w:ascii="Arial" w:cs="Arial" w:eastAsia="Arial" w:hAnsi="Arial"/>
          <w:sz w:val="18"/>
          <w:szCs w:val="18"/>
          <w:color w:val="auto"/>
        </w:rPr>
        <w:t>The Tax Cuts and Jobs Act, which was passed in December 2017, eliminated the</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“performance-based” compensation exemption under Section 162(m) of the Code and made several other significant changes to Section 162(m). Since 2018, compensation paid or accrued by the Company for U.S. federal income tax purposes in excess of $1 million with respect to each of our CEO our Chief Financial Officer and our other NEOs is not tax deductible regardless of whether such compensation would have qualified for the “performance-based” exemption under prior law. Any individual who was a “covered employee” (as defined in Section 162(m) of the Code) in 2017 or becomes a covered employee thereafter will remain subject to the annual $1 million tax deductibility limit regardless of loss of status as an NEO or termination of employment. The Committee believes that Shareholder interests are best served by not restricting the Committee’s discretion and flexibility in structuring compensation programs, even if such compensation results in non-deductible expenses under applicable law. However, consistent with our compensation philosophy of linking pay to performance and aligning executive interests with those of our Shareholders, we currently expect that we will continue to structure our executive compensation program so that a significant portion of total executive compensation is performance-based.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46</w:t>
      </w:r>
    </w:p>
    <w:p>
      <w:pPr>
        <w:sectPr>
          <w:pgSz w:w="11900" w:h="16838" w:orient="portrait"/>
          <w:cols w:equalWidth="0" w:num="1">
            <w:col w:w="11240"/>
          </w:cols>
          <w:pgMar w:left="320" w:top="437" w:right="339" w:bottom="1440" w:gutter="0" w:footer="0" w:header="0"/>
        </w:sectPr>
      </w:pPr>
    </w:p>
    <w:bookmarkStart w:id="50" w:name="page51"/>
    <w:bookmarkEnd w:id="50"/>
    <w:p>
      <w:pPr>
        <w:spacing w:after="0"/>
        <w:rPr>
          <w:sz w:val="20"/>
          <w:szCs w:val="20"/>
          <w:color w:val="auto"/>
        </w:rPr>
      </w:pPr>
      <w:r>
        <w:rPr>
          <w:rFonts w:ascii="Arial" w:cs="Arial" w:eastAsia="Arial" w:hAnsi="Arial"/>
          <w:sz w:val="30"/>
          <w:szCs w:val="30"/>
          <w:b w:val="1"/>
          <w:bCs w:val="1"/>
          <w:color w:val="29650B"/>
        </w:rPr>
        <w:t>COMPENSATION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3750" cy="317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3750" cy="31750"/>
                    </a:xfrm>
                    <a:prstGeom prst="rect">
                      <a:avLst/>
                    </a:prstGeom>
                    <a:noFill/>
                  </pic:spPr>
                </pic:pic>
              </a:graphicData>
            </a:graphic>
          </wp:anchor>
        </w:drawing>
      </w:r>
    </w:p>
    <w:p>
      <w:pPr>
        <w:spacing w:after="0" w:line="200" w:lineRule="exact"/>
        <w:rPr>
          <w:sz w:val="20"/>
          <w:szCs w:val="20"/>
          <w:color w:val="auto"/>
        </w:rPr>
      </w:pPr>
    </w:p>
    <w:p>
      <w:pPr>
        <w:spacing w:after="0" w:line="372" w:lineRule="exact"/>
        <w:rPr>
          <w:sz w:val="20"/>
          <w:szCs w:val="20"/>
          <w:color w:val="auto"/>
        </w:rPr>
      </w:pPr>
    </w:p>
    <w:p>
      <w:pPr>
        <w:jc w:val="both"/>
        <w:ind w:firstLine="595"/>
        <w:spacing w:after="0" w:line="284" w:lineRule="auto"/>
        <w:rPr>
          <w:sz w:val="20"/>
          <w:szCs w:val="20"/>
          <w:color w:val="auto"/>
        </w:rPr>
      </w:pPr>
      <w:r>
        <w:rPr>
          <w:rFonts w:ascii="Arial" w:cs="Arial" w:eastAsia="Arial" w:hAnsi="Arial"/>
          <w:sz w:val="18"/>
          <w:szCs w:val="18"/>
          <w:color w:val="auto"/>
        </w:rPr>
        <w:t>The Compensation Committee has reviewed and discussed the foregoing Compensation Discussion and Analysis required by Item 402(b) of Regulation S-K with the Company’s management. Based on such review and discussions, the Compensation Committee recommended to the Board of Directors that the Compensation Discussion and Analysis be included in this Proxy Statement.</w:t>
      </w:r>
    </w:p>
    <w:p>
      <w:pPr>
        <w:spacing w:after="0" w:line="158" w:lineRule="exact"/>
        <w:rPr>
          <w:sz w:val="20"/>
          <w:szCs w:val="20"/>
          <w:color w:val="auto"/>
        </w:rPr>
      </w:pPr>
    </w:p>
    <w:p>
      <w:pPr>
        <w:ind w:left="600"/>
        <w:spacing w:after="0"/>
        <w:rPr>
          <w:sz w:val="20"/>
          <w:szCs w:val="20"/>
          <w:color w:val="auto"/>
        </w:rPr>
      </w:pPr>
      <w:r>
        <w:rPr>
          <w:rFonts w:ascii="Arial" w:cs="Arial" w:eastAsia="Arial" w:hAnsi="Arial"/>
          <w:sz w:val="20"/>
          <w:szCs w:val="20"/>
          <w:color w:val="auto"/>
        </w:rPr>
        <w:t>This report is respectfully submitted on February 26, 2020 by the members of the Compensation Committee.</w:t>
      </w:r>
    </w:p>
    <w:p>
      <w:pPr>
        <w:spacing w:after="0" w:line="217" w:lineRule="exact"/>
        <w:rPr>
          <w:sz w:val="20"/>
          <w:szCs w:val="20"/>
          <w:color w:val="auto"/>
        </w:rPr>
      </w:pPr>
    </w:p>
    <w:p>
      <w:pPr>
        <w:ind w:left="5940"/>
        <w:spacing w:after="0"/>
        <w:rPr>
          <w:sz w:val="20"/>
          <w:szCs w:val="20"/>
          <w:color w:val="auto"/>
        </w:rPr>
      </w:pPr>
      <w:r>
        <w:rPr>
          <w:rFonts w:ascii="Arial" w:cs="Arial" w:eastAsia="Arial" w:hAnsi="Arial"/>
          <w:sz w:val="20"/>
          <w:szCs w:val="20"/>
          <w:color w:val="auto"/>
        </w:rPr>
        <w:t xml:space="preserve">Jim Turner, </w:t>
      </w:r>
      <w:r>
        <w:rPr>
          <w:rFonts w:ascii="Arial" w:cs="Arial" w:eastAsia="Arial" w:hAnsi="Arial"/>
          <w:sz w:val="20"/>
          <w:szCs w:val="20"/>
          <w:i w:val="1"/>
          <w:iCs w:val="1"/>
          <w:color w:val="auto"/>
        </w:rPr>
        <w:t>Chair</w:t>
      </w:r>
    </w:p>
    <w:p>
      <w:pPr>
        <w:spacing w:after="0" w:line="3" w:lineRule="exact"/>
        <w:rPr>
          <w:sz w:val="20"/>
          <w:szCs w:val="20"/>
          <w:color w:val="auto"/>
        </w:rPr>
      </w:pPr>
    </w:p>
    <w:p>
      <w:pPr>
        <w:ind w:left="5940"/>
        <w:spacing w:after="0"/>
        <w:rPr>
          <w:sz w:val="20"/>
          <w:szCs w:val="20"/>
          <w:color w:val="auto"/>
        </w:rPr>
      </w:pPr>
      <w:r>
        <w:rPr>
          <w:rFonts w:ascii="Arial" w:cs="Arial" w:eastAsia="Arial" w:hAnsi="Arial"/>
          <w:sz w:val="20"/>
          <w:szCs w:val="20"/>
          <w:color w:val="auto"/>
        </w:rPr>
        <w:t>Andrea Funk</w:t>
      </w:r>
    </w:p>
    <w:p>
      <w:pPr>
        <w:ind w:left="5940"/>
        <w:spacing w:after="0" w:line="232" w:lineRule="auto"/>
        <w:rPr>
          <w:sz w:val="20"/>
          <w:szCs w:val="20"/>
          <w:color w:val="auto"/>
        </w:rPr>
      </w:pPr>
      <w:r>
        <w:rPr>
          <w:rFonts w:ascii="Arial" w:cs="Arial" w:eastAsia="Arial" w:hAnsi="Arial"/>
          <w:sz w:val="20"/>
          <w:szCs w:val="20"/>
          <w:color w:val="auto"/>
        </w:rPr>
        <w:t>Hans Löliger</w:t>
      </w:r>
    </w:p>
    <w:p>
      <w:pPr>
        <w:ind w:left="5940"/>
        <w:spacing w:after="0" w:line="233" w:lineRule="auto"/>
        <w:rPr>
          <w:sz w:val="20"/>
          <w:szCs w:val="20"/>
          <w:color w:val="auto"/>
        </w:rPr>
      </w:pPr>
      <w:r>
        <w:rPr>
          <w:rFonts w:ascii="Arial" w:cs="Arial" w:eastAsia="Arial" w:hAnsi="Arial"/>
          <w:sz w:val="20"/>
          <w:szCs w:val="20"/>
          <w:color w:val="auto"/>
        </w:rPr>
        <w:t>James Miller</w:t>
      </w:r>
    </w:p>
    <w:p>
      <w:pPr>
        <w:spacing w:after="0" w:line="1" w:lineRule="exact"/>
        <w:rPr>
          <w:sz w:val="20"/>
          <w:szCs w:val="20"/>
          <w:color w:val="auto"/>
        </w:rPr>
      </w:pPr>
    </w:p>
    <w:p>
      <w:pPr>
        <w:ind w:left="5940"/>
        <w:spacing w:after="0"/>
        <w:rPr>
          <w:sz w:val="20"/>
          <w:szCs w:val="20"/>
          <w:color w:val="auto"/>
        </w:rPr>
      </w:pPr>
      <w:r>
        <w:rPr>
          <w:rFonts w:ascii="Arial" w:cs="Arial" w:eastAsia="Arial" w:hAnsi="Arial"/>
          <w:sz w:val="20"/>
          <w:szCs w:val="20"/>
          <w:color w:val="auto"/>
        </w:rPr>
        <w:t>Josef Müller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47</w:t>
      </w:r>
    </w:p>
    <w:p>
      <w:pPr>
        <w:sectPr>
          <w:pgSz w:w="11900" w:h="16838" w:orient="portrait"/>
          <w:cols w:equalWidth="0" w:num="1">
            <w:col w:w="11240"/>
          </w:cols>
          <w:pgMar w:left="320" w:top="423" w:right="339" w:bottom="1440" w:gutter="0" w:footer="0" w:header="0"/>
        </w:sectPr>
      </w:pPr>
    </w:p>
    <w:bookmarkStart w:id="51" w:name="page52"/>
    <w:bookmarkEnd w:id="5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1"/>
          <w:szCs w:val="21"/>
          <w:i w:val="1"/>
          <w:iCs w:val="1"/>
          <w:color w:val="auto"/>
        </w:rPr>
        <w:t>(This Page Intentionally Left Blank)</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48</w:t>
      </w:r>
    </w:p>
    <w:p>
      <w:pPr>
        <w:sectPr>
          <w:pgSz w:w="11900" w:h="16838" w:orient="portrait"/>
          <w:cols w:equalWidth="0" w:num="1">
            <w:col w:w="9019"/>
          </w:cols>
          <w:pgMar w:left="1440" w:top="1440" w:right="1440" w:bottom="1440" w:gutter="0" w:footer="0" w:header="0"/>
          <w:type w:val="continuous"/>
        </w:sectPr>
      </w:pPr>
    </w:p>
    <w:bookmarkStart w:id="52" w:name="page53"/>
    <w:bookmarkEnd w:id="52"/>
    <w:p>
      <w:pPr>
        <w:ind w:left="1"/>
        <w:spacing w:after="0"/>
        <w:rPr>
          <w:sz w:val="20"/>
          <w:szCs w:val="20"/>
          <w:color w:val="auto"/>
        </w:rPr>
      </w:pPr>
      <w:r>
        <w:rPr>
          <w:rFonts w:ascii="Arial" w:cs="Arial" w:eastAsia="Arial" w:hAnsi="Arial"/>
          <w:sz w:val="30"/>
          <w:szCs w:val="30"/>
          <w:b w:val="1"/>
          <w:bCs w:val="1"/>
          <w:color w:val="29650B"/>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3750" cy="317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3750" cy="31750"/>
                    </a:xfrm>
                    <a:prstGeom prst="rect">
                      <a:avLst/>
                    </a:prstGeom>
                    <a:noFill/>
                  </pic:spPr>
                </pic:pic>
              </a:graphicData>
            </a:graphic>
          </wp:anchor>
        </w:drawing>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Summary Compensation Table</w:t>
      </w:r>
    </w:p>
    <w:p>
      <w:pPr>
        <w:spacing w:after="0" w:line="223" w:lineRule="exact"/>
        <w:rPr>
          <w:sz w:val="20"/>
          <w:szCs w:val="20"/>
          <w:color w:val="auto"/>
        </w:rPr>
      </w:pPr>
    </w:p>
    <w:p>
      <w:pPr>
        <w:ind w:left="1" w:firstLine="595"/>
        <w:spacing w:after="0" w:line="280" w:lineRule="auto"/>
        <w:rPr>
          <w:sz w:val="20"/>
          <w:szCs w:val="20"/>
          <w:color w:val="auto"/>
        </w:rPr>
      </w:pPr>
      <w:r>
        <w:rPr>
          <w:rFonts w:ascii="Arial" w:cs="Arial" w:eastAsia="Arial" w:hAnsi="Arial"/>
          <w:sz w:val="19"/>
          <w:szCs w:val="19"/>
          <w:color w:val="auto"/>
        </w:rPr>
        <w:t>The following table lists certain information regarding compensation earned during the Company’s last three fiscal years by the Company’s Chief Executive Officer, Chief Financial Officer and other three Executive Officers who were the highest paid during 2019.</w:t>
      </w:r>
    </w:p>
    <w:p>
      <w:pPr>
        <w:spacing w:after="0" w:line="134" w:lineRule="exact"/>
        <w:rPr>
          <w:sz w:val="20"/>
          <w:szCs w:val="20"/>
          <w:color w:val="auto"/>
        </w:rPr>
      </w:pPr>
    </w:p>
    <w:tbl>
      <w:tblPr>
        <w:tblLayout w:type="fixed"/>
        <w:tblInd w:w="11" w:type="dxa"/>
        <w:tblCellMar>
          <w:top w:w="0" w:type="dxa"/>
          <w:left w:w="0" w:type="dxa"/>
          <w:bottom w:w="0" w:type="dxa"/>
          <w:right w:w="0" w:type="dxa"/>
        </w:tblCellMar>
      </w:tblPr>
      <w:tr>
        <w:trPr>
          <w:trHeight w:val="129"/>
        </w:trPr>
        <w:tc>
          <w:tcPr>
            <w:tcW w:w="2120" w:type="dxa"/>
            <w:vAlign w:val="bottom"/>
            <w:tcBorders>
              <w:top w:val="single" w:sz="8" w:color="auto"/>
              <w:left w:val="single" w:sz="8" w:color="auto"/>
            </w:tcBorders>
            <w:shd w:val="clear" w:color="auto" w:fill="29650B"/>
          </w:tcPr>
          <w:p>
            <w:pPr>
              <w:spacing w:after="0"/>
              <w:rPr>
                <w:sz w:val="11"/>
                <w:szCs w:val="11"/>
                <w:color w:val="auto"/>
              </w:rPr>
            </w:pPr>
          </w:p>
        </w:tc>
        <w:tc>
          <w:tcPr>
            <w:tcW w:w="800" w:type="dxa"/>
            <w:vAlign w:val="bottom"/>
            <w:tcBorders>
              <w:top w:val="single" w:sz="8" w:color="auto"/>
            </w:tcBorders>
            <w:shd w:val="clear" w:color="auto" w:fill="29650B"/>
          </w:tcPr>
          <w:p>
            <w:pPr>
              <w:spacing w:after="0"/>
              <w:rPr>
                <w:sz w:val="11"/>
                <w:szCs w:val="11"/>
                <w:color w:val="auto"/>
              </w:rPr>
            </w:pPr>
          </w:p>
        </w:tc>
        <w:tc>
          <w:tcPr>
            <w:tcW w:w="680" w:type="dxa"/>
            <w:vAlign w:val="bottom"/>
            <w:tcBorders>
              <w:top w:val="single" w:sz="8" w:color="auto"/>
            </w:tcBorders>
            <w:shd w:val="clear" w:color="auto" w:fill="29650B"/>
          </w:tcPr>
          <w:p>
            <w:pPr>
              <w:spacing w:after="0"/>
              <w:rPr>
                <w:sz w:val="11"/>
                <w:szCs w:val="11"/>
                <w:color w:val="auto"/>
              </w:rPr>
            </w:pPr>
          </w:p>
        </w:tc>
        <w:tc>
          <w:tcPr>
            <w:tcW w:w="1140" w:type="dxa"/>
            <w:vAlign w:val="bottom"/>
            <w:tcBorders>
              <w:top w:val="single" w:sz="8" w:color="auto"/>
            </w:tcBorders>
            <w:shd w:val="clear" w:color="auto" w:fill="29650B"/>
          </w:tcPr>
          <w:p>
            <w:pPr>
              <w:spacing w:after="0"/>
              <w:rPr>
                <w:sz w:val="11"/>
                <w:szCs w:val="11"/>
                <w:color w:val="auto"/>
              </w:rPr>
            </w:pPr>
          </w:p>
        </w:tc>
        <w:tc>
          <w:tcPr>
            <w:tcW w:w="1300" w:type="dxa"/>
            <w:vAlign w:val="bottom"/>
            <w:tcBorders>
              <w:top w:val="single" w:sz="8" w:color="auto"/>
            </w:tcBorders>
            <w:shd w:val="clear" w:color="auto" w:fill="29650B"/>
          </w:tcPr>
          <w:p>
            <w:pPr>
              <w:spacing w:after="0"/>
              <w:rPr>
                <w:sz w:val="11"/>
                <w:szCs w:val="11"/>
                <w:color w:val="auto"/>
              </w:rPr>
            </w:pPr>
          </w:p>
        </w:tc>
        <w:tc>
          <w:tcPr>
            <w:tcW w:w="1200" w:type="dxa"/>
            <w:vAlign w:val="bottom"/>
            <w:tcBorders>
              <w:top w:val="single" w:sz="8" w:color="auto"/>
            </w:tcBorders>
            <w:shd w:val="clear" w:color="auto" w:fill="29650B"/>
          </w:tcPr>
          <w:p>
            <w:pPr>
              <w:spacing w:after="0"/>
              <w:rPr>
                <w:sz w:val="11"/>
                <w:szCs w:val="11"/>
                <w:color w:val="auto"/>
              </w:rPr>
            </w:pPr>
          </w:p>
        </w:tc>
        <w:tc>
          <w:tcPr>
            <w:tcW w:w="1360" w:type="dxa"/>
            <w:vAlign w:val="bottom"/>
            <w:tcBorders>
              <w:top w:val="single" w:sz="8" w:color="auto"/>
            </w:tcBorders>
            <w:shd w:val="clear" w:color="auto" w:fill="29650B"/>
          </w:tcPr>
          <w:p>
            <w:pPr>
              <w:jc w:val="center"/>
              <w:spacing w:after="0" w:line="129" w:lineRule="exact"/>
              <w:rPr>
                <w:sz w:val="20"/>
                <w:szCs w:val="20"/>
                <w:color w:val="auto"/>
              </w:rPr>
            </w:pPr>
            <w:r>
              <w:rPr>
                <w:rFonts w:ascii="Arial" w:cs="Arial" w:eastAsia="Arial" w:hAnsi="Arial"/>
                <w:sz w:val="13"/>
                <w:szCs w:val="13"/>
                <w:b w:val="1"/>
                <w:bCs w:val="1"/>
                <w:color w:val="FFFFFF"/>
                <w:w w:val="90"/>
              </w:rPr>
              <w:t>Change in Pension</w:t>
            </w:r>
          </w:p>
        </w:tc>
        <w:tc>
          <w:tcPr>
            <w:tcW w:w="1400" w:type="dxa"/>
            <w:vAlign w:val="bottom"/>
            <w:tcBorders>
              <w:top w:val="single" w:sz="8" w:color="auto"/>
            </w:tcBorders>
            <w:shd w:val="clear" w:color="auto" w:fill="29650B"/>
          </w:tcPr>
          <w:p>
            <w:pPr>
              <w:spacing w:after="0"/>
              <w:rPr>
                <w:sz w:val="11"/>
                <w:szCs w:val="11"/>
                <w:color w:val="auto"/>
              </w:rPr>
            </w:pPr>
          </w:p>
        </w:tc>
        <w:tc>
          <w:tcPr>
            <w:tcW w:w="1260" w:type="dxa"/>
            <w:vAlign w:val="bottom"/>
            <w:tcBorders>
              <w:top w:val="single" w:sz="8" w:color="auto"/>
              <w:right w:val="single" w:sz="8" w:color="auto"/>
            </w:tcBorders>
            <w:shd w:val="clear" w:color="auto" w:fill="29650B"/>
          </w:tcPr>
          <w:p>
            <w:pPr>
              <w:spacing w:after="0"/>
              <w:rPr>
                <w:sz w:val="11"/>
                <w:szCs w:val="11"/>
                <w:color w:val="auto"/>
              </w:rPr>
            </w:pPr>
          </w:p>
        </w:tc>
      </w:tr>
      <w:tr>
        <w:trPr>
          <w:trHeight w:val="136"/>
        </w:trPr>
        <w:tc>
          <w:tcPr>
            <w:tcW w:w="2120" w:type="dxa"/>
            <w:vAlign w:val="bottom"/>
            <w:tcBorders>
              <w:left w:val="single" w:sz="8" w:color="auto"/>
            </w:tcBorders>
            <w:shd w:val="clear" w:color="auto" w:fill="29650B"/>
          </w:tcPr>
          <w:p>
            <w:pPr>
              <w:spacing w:after="0"/>
              <w:rPr>
                <w:sz w:val="11"/>
                <w:szCs w:val="11"/>
                <w:color w:val="auto"/>
              </w:rPr>
            </w:pPr>
          </w:p>
        </w:tc>
        <w:tc>
          <w:tcPr>
            <w:tcW w:w="800" w:type="dxa"/>
            <w:vAlign w:val="bottom"/>
            <w:shd w:val="clear" w:color="auto" w:fill="29650B"/>
          </w:tcPr>
          <w:p>
            <w:pPr>
              <w:spacing w:after="0"/>
              <w:rPr>
                <w:sz w:val="11"/>
                <w:szCs w:val="11"/>
                <w:color w:val="auto"/>
              </w:rPr>
            </w:pPr>
          </w:p>
        </w:tc>
        <w:tc>
          <w:tcPr>
            <w:tcW w:w="680" w:type="dxa"/>
            <w:vAlign w:val="bottom"/>
            <w:shd w:val="clear" w:color="auto" w:fill="29650B"/>
          </w:tcPr>
          <w:p>
            <w:pPr>
              <w:spacing w:after="0"/>
              <w:rPr>
                <w:sz w:val="11"/>
                <w:szCs w:val="11"/>
                <w:color w:val="auto"/>
              </w:rPr>
            </w:pPr>
          </w:p>
        </w:tc>
        <w:tc>
          <w:tcPr>
            <w:tcW w:w="1140" w:type="dxa"/>
            <w:vAlign w:val="bottom"/>
            <w:shd w:val="clear" w:color="auto" w:fill="29650B"/>
          </w:tcPr>
          <w:p>
            <w:pPr>
              <w:spacing w:after="0"/>
              <w:rPr>
                <w:sz w:val="11"/>
                <w:szCs w:val="11"/>
                <w:color w:val="auto"/>
              </w:rPr>
            </w:pPr>
          </w:p>
        </w:tc>
        <w:tc>
          <w:tcPr>
            <w:tcW w:w="1300" w:type="dxa"/>
            <w:vAlign w:val="bottom"/>
            <w:shd w:val="clear" w:color="auto" w:fill="29650B"/>
          </w:tcPr>
          <w:p>
            <w:pPr>
              <w:spacing w:after="0"/>
              <w:rPr>
                <w:sz w:val="11"/>
                <w:szCs w:val="11"/>
                <w:color w:val="auto"/>
              </w:rPr>
            </w:pPr>
          </w:p>
        </w:tc>
        <w:tc>
          <w:tcPr>
            <w:tcW w:w="1200" w:type="dxa"/>
            <w:vAlign w:val="bottom"/>
            <w:shd w:val="clear" w:color="auto" w:fill="29650B"/>
          </w:tcPr>
          <w:p>
            <w:pPr>
              <w:spacing w:after="0"/>
              <w:rPr>
                <w:sz w:val="11"/>
                <w:szCs w:val="11"/>
                <w:color w:val="auto"/>
              </w:rPr>
            </w:pPr>
          </w:p>
        </w:tc>
        <w:tc>
          <w:tcPr>
            <w:tcW w:w="1360" w:type="dxa"/>
            <w:vAlign w:val="bottom"/>
            <w:shd w:val="clear" w:color="auto" w:fill="29650B"/>
          </w:tcPr>
          <w:p>
            <w:pPr>
              <w:jc w:val="center"/>
              <w:ind w:right="5"/>
              <w:spacing w:after="0" w:line="137" w:lineRule="exact"/>
              <w:rPr>
                <w:sz w:val="20"/>
                <w:szCs w:val="20"/>
                <w:color w:val="auto"/>
              </w:rPr>
            </w:pPr>
            <w:r>
              <w:rPr>
                <w:rFonts w:ascii="Arial" w:cs="Arial" w:eastAsia="Arial" w:hAnsi="Arial"/>
                <w:sz w:val="13"/>
                <w:szCs w:val="13"/>
                <w:b w:val="1"/>
                <w:bCs w:val="1"/>
                <w:color w:val="FFFFFF"/>
                <w:w w:val="91"/>
              </w:rPr>
              <w:t>Value and</w:t>
            </w:r>
          </w:p>
        </w:tc>
        <w:tc>
          <w:tcPr>
            <w:tcW w:w="1400" w:type="dxa"/>
            <w:vAlign w:val="bottom"/>
            <w:shd w:val="clear" w:color="auto" w:fill="29650B"/>
          </w:tcPr>
          <w:p>
            <w:pPr>
              <w:spacing w:after="0"/>
              <w:rPr>
                <w:sz w:val="11"/>
                <w:szCs w:val="11"/>
                <w:color w:val="auto"/>
              </w:rPr>
            </w:pPr>
          </w:p>
        </w:tc>
        <w:tc>
          <w:tcPr>
            <w:tcW w:w="1260" w:type="dxa"/>
            <w:vAlign w:val="bottom"/>
            <w:tcBorders>
              <w:right w:val="single" w:sz="8" w:color="auto"/>
            </w:tcBorders>
            <w:shd w:val="clear" w:color="auto" w:fill="29650B"/>
          </w:tcPr>
          <w:p>
            <w:pPr>
              <w:spacing w:after="0"/>
              <w:rPr>
                <w:sz w:val="11"/>
                <w:szCs w:val="11"/>
                <w:color w:val="auto"/>
              </w:rPr>
            </w:pPr>
          </w:p>
        </w:tc>
      </w:tr>
      <w:tr>
        <w:trPr>
          <w:trHeight w:val="136"/>
        </w:trPr>
        <w:tc>
          <w:tcPr>
            <w:tcW w:w="2120" w:type="dxa"/>
            <w:vAlign w:val="bottom"/>
            <w:tcBorders>
              <w:left w:val="single" w:sz="8" w:color="auto"/>
            </w:tcBorders>
            <w:shd w:val="clear" w:color="auto" w:fill="29650B"/>
          </w:tcPr>
          <w:p>
            <w:pPr>
              <w:spacing w:after="0"/>
              <w:rPr>
                <w:sz w:val="11"/>
                <w:szCs w:val="11"/>
                <w:color w:val="auto"/>
              </w:rPr>
            </w:pPr>
          </w:p>
        </w:tc>
        <w:tc>
          <w:tcPr>
            <w:tcW w:w="800" w:type="dxa"/>
            <w:vAlign w:val="bottom"/>
            <w:shd w:val="clear" w:color="auto" w:fill="29650B"/>
          </w:tcPr>
          <w:p>
            <w:pPr>
              <w:spacing w:after="0"/>
              <w:rPr>
                <w:sz w:val="11"/>
                <w:szCs w:val="11"/>
                <w:color w:val="auto"/>
              </w:rPr>
            </w:pPr>
          </w:p>
        </w:tc>
        <w:tc>
          <w:tcPr>
            <w:tcW w:w="680" w:type="dxa"/>
            <w:vAlign w:val="bottom"/>
            <w:shd w:val="clear" w:color="auto" w:fill="29650B"/>
          </w:tcPr>
          <w:p>
            <w:pPr>
              <w:spacing w:after="0"/>
              <w:rPr>
                <w:sz w:val="11"/>
                <w:szCs w:val="11"/>
                <w:color w:val="auto"/>
              </w:rPr>
            </w:pPr>
          </w:p>
        </w:tc>
        <w:tc>
          <w:tcPr>
            <w:tcW w:w="1140" w:type="dxa"/>
            <w:vAlign w:val="bottom"/>
            <w:shd w:val="clear" w:color="auto" w:fill="29650B"/>
          </w:tcPr>
          <w:p>
            <w:pPr>
              <w:spacing w:after="0"/>
              <w:rPr>
                <w:sz w:val="11"/>
                <w:szCs w:val="11"/>
                <w:color w:val="auto"/>
              </w:rPr>
            </w:pPr>
          </w:p>
        </w:tc>
        <w:tc>
          <w:tcPr>
            <w:tcW w:w="1300" w:type="dxa"/>
            <w:vAlign w:val="bottom"/>
            <w:shd w:val="clear" w:color="auto" w:fill="29650B"/>
          </w:tcPr>
          <w:p>
            <w:pPr>
              <w:spacing w:after="0"/>
              <w:rPr>
                <w:sz w:val="11"/>
                <w:szCs w:val="11"/>
                <w:color w:val="auto"/>
              </w:rPr>
            </w:pPr>
          </w:p>
        </w:tc>
        <w:tc>
          <w:tcPr>
            <w:tcW w:w="1200" w:type="dxa"/>
            <w:vAlign w:val="bottom"/>
            <w:shd w:val="clear" w:color="auto" w:fill="29650B"/>
          </w:tcPr>
          <w:p>
            <w:pPr>
              <w:spacing w:after="0"/>
              <w:rPr>
                <w:sz w:val="11"/>
                <w:szCs w:val="11"/>
                <w:color w:val="auto"/>
              </w:rPr>
            </w:pPr>
          </w:p>
        </w:tc>
        <w:tc>
          <w:tcPr>
            <w:tcW w:w="1360" w:type="dxa"/>
            <w:vAlign w:val="bottom"/>
            <w:shd w:val="clear" w:color="auto" w:fill="29650B"/>
          </w:tcPr>
          <w:p>
            <w:pPr>
              <w:jc w:val="center"/>
              <w:spacing w:after="0" w:line="137" w:lineRule="exact"/>
              <w:rPr>
                <w:sz w:val="20"/>
                <w:szCs w:val="20"/>
                <w:color w:val="auto"/>
              </w:rPr>
            </w:pPr>
            <w:r>
              <w:rPr>
                <w:rFonts w:ascii="Arial" w:cs="Arial" w:eastAsia="Arial" w:hAnsi="Arial"/>
                <w:sz w:val="13"/>
                <w:szCs w:val="13"/>
                <w:b w:val="1"/>
                <w:bCs w:val="1"/>
                <w:color w:val="FFFFFF"/>
                <w:w w:val="93"/>
              </w:rPr>
              <w:t>Nonqualified</w:t>
            </w:r>
          </w:p>
        </w:tc>
        <w:tc>
          <w:tcPr>
            <w:tcW w:w="1400" w:type="dxa"/>
            <w:vAlign w:val="bottom"/>
            <w:shd w:val="clear" w:color="auto" w:fill="29650B"/>
          </w:tcPr>
          <w:p>
            <w:pPr>
              <w:spacing w:after="0"/>
              <w:rPr>
                <w:sz w:val="11"/>
                <w:szCs w:val="11"/>
                <w:color w:val="auto"/>
              </w:rPr>
            </w:pPr>
          </w:p>
        </w:tc>
        <w:tc>
          <w:tcPr>
            <w:tcW w:w="1260" w:type="dxa"/>
            <w:vAlign w:val="bottom"/>
            <w:tcBorders>
              <w:right w:val="single" w:sz="8" w:color="auto"/>
            </w:tcBorders>
            <w:shd w:val="clear" w:color="auto" w:fill="29650B"/>
          </w:tcPr>
          <w:p>
            <w:pPr>
              <w:spacing w:after="0"/>
              <w:rPr>
                <w:sz w:val="11"/>
                <w:szCs w:val="11"/>
                <w:color w:val="auto"/>
              </w:rPr>
            </w:pPr>
          </w:p>
        </w:tc>
      </w:tr>
      <w:tr>
        <w:trPr>
          <w:trHeight w:val="136"/>
        </w:trPr>
        <w:tc>
          <w:tcPr>
            <w:tcW w:w="2120" w:type="dxa"/>
            <w:vAlign w:val="bottom"/>
            <w:tcBorders>
              <w:left w:val="single" w:sz="8" w:color="auto"/>
            </w:tcBorders>
            <w:shd w:val="clear" w:color="auto" w:fill="29650B"/>
          </w:tcPr>
          <w:p>
            <w:pPr>
              <w:spacing w:after="0"/>
              <w:rPr>
                <w:sz w:val="11"/>
                <w:szCs w:val="11"/>
                <w:color w:val="auto"/>
              </w:rPr>
            </w:pPr>
          </w:p>
        </w:tc>
        <w:tc>
          <w:tcPr>
            <w:tcW w:w="800" w:type="dxa"/>
            <w:vAlign w:val="bottom"/>
            <w:shd w:val="clear" w:color="auto" w:fill="29650B"/>
          </w:tcPr>
          <w:p>
            <w:pPr>
              <w:spacing w:after="0"/>
              <w:rPr>
                <w:sz w:val="11"/>
                <w:szCs w:val="11"/>
                <w:color w:val="auto"/>
              </w:rPr>
            </w:pPr>
          </w:p>
        </w:tc>
        <w:tc>
          <w:tcPr>
            <w:tcW w:w="680" w:type="dxa"/>
            <w:vAlign w:val="bottom"/>
            <w:shd w:val="clear" w:color="auto" w:fill="29650B"/>
          </w:tcPr>
          <w:p>
            <w:pPr>
              <w:spacing w:after="0"/>
              <w:rPr>
                <w:sz w:val="11"/>
                <w:szCs w:val="11"/>
                <w:color w:val="auto"/>
              </w:rPr>
            </w:pPr>
          </w:p>
        </w:tc>
        <w:tc>
          <w:tcPr>
            <w:tcW w:w="1140" w:type="dxa"/>
            <w:vAlign w:val="bottom"/>
            <w:shd w:val="clear" w:color="auto" w:fill="29650B"/>
          </w:tcPr>
          <w:p>
            <w:pPr>
              <w:spacing w:after="0"/>
              <w:rPr>
                <w:sz w:val="11"/>
                <w:szCs w:val="11"/>
                <w:color w:val="auto"/>
              </w:rPr>
            </w:pPr>
          </w:p>
        </w:tc>
        <w:tc>
          <w:tcPr>
            <w:tcW w:w="1300" w:type="dxa"/>
            <w:vAlign w:val="bottom"/>
            <w:shd w:val="clear" w:color="auto" w:fill="29650B"/>
          </w:tcPr>
          <w:p>
            <w:pPr>
              <w:spacing w:after="0"/>
              <w:rPr>
                <w:sz w:val="11"/>
                <w:szCs w:val="11"/>
                <w:color w:val="auto"/>
              </w:rPr>
            </w:pPr>
          </w:p>
        </w:tc>
        <w:tc>
          <w:tcPr>
            <w:tcW w:w="1200" w:type="dxa"/>
            <w:vAlign w:val="bottom"/>
            <w:shd w:val="clear" w:color="auto" w:fill="29650B"/>
          </w:tcPr>
          <w:p>
            <w:pPr>
              <w:jc w:val="right"/>
              <w:ind w:right="244"/>
              <w:spacing w:after="0" w:line="137" w:lineRule="exact"/>
              <w:rPr>
                <w:sz w:val="20"/>
                <w:szCs w:val="20"/>
                <w:color w:val="auto"/>
              </w:rPr>
            </w:pPr>
            <w:r>
              <w:rPr>
                <w:rFonts w:ascii="Arial" w:cs="Arial" w:eastAsia="Arial" w:hAnsi="Arial"/>
                <w:sz w:val="13"/>
                <w:szCs w:val="13"/>
                <w:b w:val="1"/>
                <w:bCs w:val="1"/>
                <w:color w:val="FFFFFF"/>
              </w:rPr>
              <w:t>Non-Equity</w:t>
            </w:r>
          </w:p>
        </w:tc>
        <w:tc>
          <w:tcPr>
            <w:tcW w:w="1360" w:type="dxa"/>
            <w:vAlign w:val="bottom"/>
            <w:shd w:val="clear" w:color="auto" w:fill="29650B"/>
          </w:tcPr>
          <w:p>
            <w:pPr>
              <w:jc w:val="center"/>
              <w:spacing w:after="0" w:line="137" w:lineRule="exact"/>
              <w:rPr>
                <w:sz w:val="20"/>
                <w:szCs w:val="20"/>
                <w:color w:val="auto"/>
              </w:rPr>
            </w:pPr>
            <w:r>
              <w:rPr>
                <w:rFonts w:ascii="Arial" w:cs="Arial" w:eastAsia="Arial" w:hAnsi="Arial"/>
                <w:sz w:val="13"/>
                <w:szCs w:val="13"/>
                <w:b w:val="1"/>
                <w:bCs w:val="1"/>
                <w:color w:val="FFFFFF"/>
                <w:w w:val="93"/>
              </w:rPr>
              <w:t>Deferred</w:t>
            </w:r>
          </w:p>
        </w:tc>
        <w:tc>
          <w:tcPr>
            <w:tcW w:w="1400" w:type="dxa"/>
            <w:vAlign w:val="bottom"/>
            <w:shd w:val="clear" w:color="auto" w:fill="29650B"/>
          </w:tcPr>
          <w:p>
            <w:pPr>
              <w:spacing w:after="0"/>
              <w:rPr>
                <w:sz w:val="11"/>
                <w:szCs w:val="11"/>
                <w:color w:val="auto"/>
              </w:rPr>
            </w:pPr>
          </w:p>
        </w:tc>
        <w:tc>
          <w:tcPr>
            <w:tcW w:w="1260" w:type="dxa"/>
            <w:vAlign w:val="bottom"/>
            <w:tcBorders>
              <w:right w:val="single" w:sz="8" w:color="auto"/>
            </w:tcBorders>
            <w:shd w:val="clear" w:color="auto" w:fill="29650B"/>
          </w:tcPr>
          <w:p>
            <w:pPr>
              <w:spacing w:after="0"/>
              <w:rPr>
                <w:sz w:val="11"/>
                <w:szCs w:val="11"/>
                <w:color w:val="auto"/>
              </w:rPr>
            </w:pPr>
          </w:p>
        </w:tc>
      </w:tr>
      <w:tr>
        <w:trPr>
          <w:trHeight w:val="136"/>
        </w:trPr>
        <w:tc>
          <w:tcPr>
            <w:tcW w:w="2120" w:type="dxa"/>
            <w:vAlign w:val="bottom"/>
            <w:tcBorders>
              <w:left w:val="single" w:sz="8" w:color="auto"/>
            </w:tcBorders>
            <w:shd w:val="clear" w:color="auto" w:fill="29650B"/>
          </w:tcPr>
          <w:p>
            <w:pPr>
              <w:spacing w:after="0"/>
              <w:rPr>
                <w:sz w:val="11"/>
                <w:szCs w:val="11"/>
                <w:color w:val="auto"/>
              </w:rPr>
            </w:pPr>
          </w:p>
        </w:tc>
        <w:tc>
          <w:tcPr>
            <w:tcW w:w="800" w:type="dxa"/>
            <w:vAlign w:val="bottom"/>
            <w:shd w:val="clear" w:color="auto" w:fill="29650B"/>
          </w:tcPr>
          <w:p>
            <w:pPr>
              <w:spacing w:after="0"/>
              <w:rPr>
                <w:sz w:val="11"/>
                <w:szCs w:val="11"/>
                <w:color w:val="auto"/>
              </w:rPr>
            </w:pPr>
          </w:p>
        </w:tc>
        <w:tc>
          <w:tcPr>
            <w:tcW w:w="680" w:type="dxa"/>
            <w:vAlign w:val="bottom"/>
            <w:shd w:val="clear" w:color="auto" w:fill="29650B"/>
          </w:tcPr>
          <w:p>
            <w:pPr>
              <w:spacing w:after="0"/>
              <w:rPr>
                <w:sz w:val="11"/>
                <w:szCs w:val="11"/>
                <w:color w:val="auto"/>
              </w:rPr>
            </w:pPr>
          </w:p>
        </w:tc>
        <w:tc>
          <w:tcPr>
            <w:tcW w:w="1140" w:type="dxa"/>
            <w:vAlign w:val="bottom"/>
            <w:shd w:val="clear" w:color="auto" w:fill="29650B"/>
          </w:tcPr>
          <w:p>
            <w:pPr>
              <w:spacing w:after="0"/>
              <w:rPr>
                <w:sz w:val="11"/>
                <w:szCs w:val="11"/>
                <w:color w:val="auto"/>
              </w:rPr>
            </w:pPr>
          </w:p>
        </w:tc>
        <w:tc>
          <w:tcPr>
            <w:tcW w:w="1300" w:type="dxa"/>
            <w:vAlign w:val="bottom"/>
            <w:shd w:val="clear" w:color="auto" w:fill="29650B"/>
          </w:tcPr>
          <w:p>
            <w:pPr>
              <w:jc w:val="right"/>
              <w:ind w:right="463"/>
              <w:spacing w:after="0" w:line="137" w:lineRule="exact"/>
              <w:rPr>
                <w:sz w:val="20"/>
                <w:szCs w:val="20"/>
                <w:color w:val="auto"/>
              </w:rPr>
            </w:pPr>
            <w:r>
              <w:rPr>
                <w:rFonts w:ascii="Arial" w:cs="Arial" w:eastAsia="Arial" w:hAnsi="Arial"/>
                <w:sz w:val="13"/>
                <w:szCs w:val="13"/>
                <w:b w:val="1"/>
                <w:bCs w:val="1"/>
                <w:color w:val="FFFFFF"/>
              </w:rPr>
              <w:t>Stock</w:t>
            </w:r>
          </w:p>
        </w:tc>
        <w:tc>
          <w:tcPr>
            <w:tcW w:w="1200" w:type="dxa"/>
            <w:vAlign w:val="bottom"/>
            <w:shd w:val="clear" w:color="auto" w:fill="29650B"/>
          </w:tcPr>
          <w:p>
            <w:pPr>
              <w:jc w:val="right"/>
              <w:ind w:right="164"/>
              <w:spacing w:after="0" w:line="137" w:lineRule="exact"/>
              <w:rPr>
                <w:sz w:val="20"/>
                <w:szCs w:val="20"/>
                <w:color w:val="auto"/>
              </w:rPr>
            </w:pPr>
            <w:r>
              <w:rPr>
                <w:rFonts w:ascii="Arial" w:cs="Arial" w:eastAsia="Arial" w:hAnsi="Arial"/>
                <w:sz w:val="13"/>
                <w:szCs w:val="13"/>
                <w:b w:val="1"/>
                <w:bCs w:val="1"/>
                <w:color w:val="FFFFFF"/>
              </w:rPr>
              <w:t>Incentive Plan</w:t>
            </w:r>
          </w:p>
        </w:tc>
        <w:tc>
          <w:tcPr>
            <w:tcW w:w="1360" w:type="dxa"/>
            <w:vAlign w:val="bottom"/>
            <w:shd w:val="clear" w:color="auto" w:fill="29650B"/>
          </w:tcPr>
          <w:p>
            <w:pPr>
              <w:jc w:val="center"/>
              <w:spacing w:after="0" w:line="137" w:lineRule="exact"/>
              <w:rPr>
                <w:sz w:val="20"/>
                <w:szCs w:val="20"/>
                <w:color w:val="auto"/>
              </w:rPr>
            </w:pPr>
            <w:r>
              <w:rPr>
                <w:rFonts w:ascii="Arial" w:cs="Arial" w:eastAsia="Arial" w:hAnsi="Arial"/>
                <w:sz w:val="13"/>
                <w:szCs w:val="13"/>
                <w:b w:val="1"/>
                <w:bCs w:val="1"/>
                <w:color w:val="FFFFFF"/>
                <w:w w:val="90"/>
              </w:rPr>
              <w:t>Compensation</w:t>
            </w:r>
          </w:p>
        </w:tc>
        <w:tc>
          <w:tcPr>
            <w:tcW w:w="1400" w:type="dxa"/>
            <w:vAlign w:val="bottom"/>
            <w:shd w:val="clear" w:color="auto" w:fill="29650B"/>
          </w:tcPr>
          <w:p>
            <w:pPr>
              <w:jc w:val="right"/>
              <w:ind w:right="363"/>
              <w:spacing w:after="0" w:line="137" w:lineRule="exact"/>
              <w:rPr>
                <w:sz w:val="20"/>
                <w:szCs w:val="20"/>
                <w:color w:val="auto"/>
              </w:rPr>
            </w:pPr>
            <w:r>
              <w:rPr>
                <w:rFonts w:ascii="Arial" w:cs="Arial" w:eastAsia="Arial" w:hAnsi="Arial"/>
                <w:sz w:val="13"/>
                <w:szCs w:val="13"/>
                <w:b w:val="1"/>
                <w:bCs w:val="1"/>
                <w:color w:val="FFFFFF"/>
              </w:rPr>
              <w:t>All Other</w:t>
            </w:r>
          </w:p>
        </w:tc>
        <w:tc>
          <w:tcPr>
            <w:tcW w:w="1260" w:type="dxa"/>
            <w:vAlign w:val="bottom"/>
            <w:tcBorders>
              <w:right w:val="single" w:sz="8" w:color="auto"/>
            </w:tcBorders>
            <w:shd w:val="clear" w:color="auto" w:fill="29650B"/>
          </w:tcPr>
          <w:p>
            <w:pPr>
              <w:jc w:val="right"/>
              <w:ind w:right="423"/>
              <w:spacing w:after="0" w:line="137" w:lineRule="exact"/>
              <w:rPr>
                <w:sz w:val="20"/>
                <w:szCs w:val="20"/>
                <w:color w:val="auto"/>
              </w:rPr>
            </w:pPr>
            <w:r>
              <w:rPr>
                <w:rFonts w:ascii="Arial" w:cs="Arial" w:eastAsia="Arial" w:hAnsi="Arial"/>
                <w:sz w:val="13"/>
                <w:szCs w:val="13"/>
                <w:b w:val="1"/>
                <w:bCs w:val="1"/>
                <w:color w:val="FFFFFF"/>
              </w:rPr>
              <w:t>Total</w:t>
            </w:r>
          </w:p>
        </w:tc>
      </w:tr>
      <w:tr>
        <w:trPr>
          <w:trHeight w:val="157"/>
        </w:trPr>
        <w:tc>
          <w:tcPr>
            <w:tcW w:w="2120" w:type="dxa"/>
            <w:vAlign w:val="bottom"/>
            <w:tcBorders>
              <w:left w:val="single" w:sz="8" w:color="auto"/>
              <w:bottom w:val="single" w:sz="8" w:color="auto"/>
            </w:tcBorders>
            <w:shd w:val="clear" w:color="auto" w:fill="29650B"/>
          </w:tcPr>
          <w:p>
            <w:pPr>
              <w:ind w:left="100"/>
              <w:spacing w:after="0"/>
              <w:rPr>
                <w:sz w:val="20"/>
                <w:szCs w:val="20"/>
                <w:color w:val="auto"/>
              </w:rPr>
            </w:pPr>
            <w:r>
              <w:rPr>
                <w:rFonts w:ascii="Arial" w:cs="Arial" w:eastAsia="Arial" w:hAnsi="Arial"/>
                <w:sz w:val="13"/>
                <w:szCs w:val="13"/>
                <w:b w:val="1"/>
                <w:bCs w:val="1"/>
                <w:color w:val="FFFFFF"/>
              </w:rPr>
              <w:t>Name and Principal Position</w:t>
            </w:r>
          </w:p>
        </w:tc>
        <w:tc>
          <w:tcPr>
            <w:tcW w:w="800" w:type="dxa"/>
            <w:vAlign w:val="bottom"/>
            <w:tcBorders>
              <w:bottom w:val="single" w:sz="8" w:color="auto"/>
            </w:tcBorders>
            <w:shd w:val="clear" w:color="auto" w:fill="29650B"/>
          </w:tcPr>
          <w:p>
            <w:pPr>
              <w:spacing w:after="0"/>
              <w:rPr>
                <w:sz w:val="13"/>
                <w:szCs w:val="13"/>
                <w:color w:val="auto"/>
              </w:rPr>
            </w:pPr>
          </w:p>
        </w:tc>
        <w:tc>
          <w:tcPr>
            <w:tcW w:w="680" w:type="dxa"/>
            <w:vAlign w:val="bottom"/>
            <w:tcBorders>
              <w:bottom w:val="single" w:sz="8" w:color="auto"/>
            </w:tcBorders>
            <w:shd w:val="clear" w:color="auto" w:fill="29650B"/>
          </w:tcPr>
          <w:p>
            <w:pPr>
              <w:ind w:left="100"/>
              <w:spacing w:after="0"/>
              <w:rPr>
                <w:sz w:val="20"/>
                <w:szCs w:val="20"/>
                <w:color w:val="auto"/>
              </w:rPr>
            </w:pPr>
            <w:r>
              <w:rPr>
                <w:rFonts w:ascii="Arial" w:cs="Arial" w:eastAsia="Arial" w:hAnsi="Arial"/>
                <w:sz w:val="13"/>
                <w:szCs w:val="13"/>
                <w:b w:val="1"/>
                <w:bCs w:val="1"/>
                <w:color w:val="FFFFFF"/>
              </w:rPr>
              <w:t>Year</w:t>
            </w:r>
          </w:p>
        </w:tc>
        <w:tc>
          <w:tcPr>
            <w:tcW w:w="1140" w:type="dxa"/>
            <w:vAlign w:val="bottom"/>
            <w:tcBorders>
              <w:bottom w:val="single" w:sz="8" w:color="auto"/>
            </w:tcBorders>
            <w:shd w:val="clear" w:color="auto" w:fill="29650B"/>
          </w:tcPr>
          <w:p>
            <w:pPr>
              <w:jc w:val="right"/>
              <w:ind w:right="302"/>
              <w:spacing w:after="0"/>
              <w:rPr>
                <w:sz w:val="20"/>
                <w:szCs w:val="20"/>
                <w:color w:val="auto"/>
              </w:rPr>
            </w:pPr>
            <w:r>
              <w:rPr>
                <w:rFonts w:ascii="Arial" w:cs="Arial" w:eastAsia="Arial" w:hAnsi="Arial"/>
                <w:sz w:val="13"/>
                <w:szCs w:val="13"/>
                <w:b w:val="1"/>
                <w:bCs w:val="1"/>
                <w:color w:val="FFFFFF"/>
              </w:rPr>
              <w:t>Salary</w:t>
            </w:r>
          </w:p>
        </w:tc>
        <w:tc>
          <w:tcPr>
            <w:tcW w:w="1300" w:type="dxa"/>
            <w:vAlign w:val="bottom"/>
            <w:tcBorders>
              <w:bottom w:val="single" w:sz="8" w:color="auto"/>
            </w:tcBorders>
            <w:shd w:val="clear" w:color="auto" w:fill="29650B"/>
          </w:tcPr>
          <w:p>
            <w:pPr>
              <w:jc w:val="right"/>
              <w:ind w:right="303"/>
              <w:spacing w:after="0"/>
              <w:rPr>
                <w:sz w:val="20"/>
                <w:szCs w:val="20"/>
                <w:color w:val="auto"/>
              </w:rPr>
            </w:pPr>
            <w:r>
              <w:rPr>
                <w:rFonts w:ascii="Arial" w:cs="Arial" w:eastAsia="Arial" w:hAnsi="Arial"/>
                <w:sz w:val="13"/>
                <w:szCs w:val="13"/>
                <w:b w:val="1"/>
                <w:bCs w:val="1"/>
                <w:color w:val="FFFFFF"/>
              </w:rPr>
              <w:t>Awards (1)</w:t>
            </w:r>
          </w:p>
        </w:tc>
        <w:tc>
          <w:tcPr>
            <w:tcW w:w="1200" w:type="dxa"/>
            <w:vAlign w:val="bottom"/>
            <w:tcBorders>
              <w:bottom w:val="single" w:sz="8" w:color="auto"/>
            </w:tcBorders>
            <w:shd w:val="clear" w:color="auto" w:fill="29650B"/>
          </w:tcPr>
          <w:p>
            <w:pPr>
              <w:jc w:val="right"/>
              <w:ind w:right="164"/>
              <w:spacing w:after="0"/>
              <w:rPr>
                <w:sz w:val="20"/>
                <w:szCs w:val="20"/>
                <w:color w:val="auto"/>
              </w:rPr>
            </w:pPr>
            <w:r>
              <w:rPr>
                <w:rFonts w:ascii="Arial" w:cs="Arial" w:eastAsia="Arial" w:hAnsi="Arial"/>
                <w:sz w:val="13"/>
                <w:szCs w:val="13"/>
                <w:b w:val="1"/>
                <w:bCs w:val="1"/>
                <w:color w:val="FFFFFF"/>
              </w:rPr>
              <w:t>Compensation</w:t>
            </w:r>
          </w:p>
        </w:tc>
        <w:tc>
          <w:tcPr>
            <w:tcW w:w="1360" w:type="dxa"/>
            <w:vAlign w:val="bottom"/>
            <w:tcBorders>
              <w:bottom w:val="single" w:sz="8" w:color="auto"/>
            </w:tcBorders>
            <w:shd w:val="clear" w:color="auto" w:fill="29650B"/>
          </w:tcPr>
          <w:p>
            <w:pPr>
              <w:jc w:val="center"/>
              <w:spacing w:after="0"/>
              <w:rPr>
                <w:sz w:val="20"/>
                <w:szCs w:val="20"/>
                <w:color w:val="auto"/>
              </w:rPr>
            </w:pPr>
            <w:r>
              <w:rPr>
                <w:rFonts w:ascii="Arial" w:cs="Arial" w:eastAsia="Arial" w:hAnsi="Arial"/>
                <w:sz w:val="13"/>
                <w:szCs w:val="13"/>
                <w:b w:val="1"/>
                <w:bCs w:val="1"/>
                <w:color w:val="FFFFFF"/>
                <w:w w:val="93"/>
              </w:rPr>
              <w:t>Earnings (2)</w:t>
            </w:r>
          </w:p>
        </w:tc>
        <w:tc>
          <w:tcPr>
            <w:tcW w:w="1400" w:type="dxa"/>
            <w:vAlign w:val="bottom"/>
            <w:tcBorders>
              <w:bottom w:val="single" w:sz="8" w:color="auto"/>
            </w:tcBorders>
            <w:shd w:val="clear" w:color="auto" w:fill="29650B"/>
          </w:tcPr>
          <w:p>
            <w:pPr>
              <w:jc w:val="right"/>
              <w:ind w:right="143"/>
              <w:spacing w:after="0"/>
              <w:rPr>
                <w:sz w:val="20"/>
                <w:szCs w:val="20"/>
                <w:color w:val="auto"/>
              </w:rPr>
            </w:pPr>
            <w:r>
              <w:rPr>
                <w:rFonts w:ascii="Arial" w:cs="Arial" w:eastAsia="Arial" w:hAnsi="Arial"/>
                <w:sz w:val="13"/>
                <w:szCs w:val="13"/>
                <w:b w:val="1"/>
                <w:bCs w:val="1"/>
                <w:color w:val="FFFFFF"/>
              </w:rPr>
              <w:t>Compensation (3)</w:t>
            </w:r>
          </w:p>
        </w:tc>
        <w:tc>
          <w:tcPr>
            <w:tcW w:w="1260" w:type="dxa"/>
            <w:vAlign w:val="bottom"/>
            <w:tcBorders>
              <w:bottom w:val="single" w:sz="8" w:color="auto"/>
              <w:right w:val="single" w:sz="8" w:color="auto"/>
            </w:tcBorders>
            <w:shd w:val="clear" w:color="auto" w:fill="29650B"/>
          </w:tcPr>
          <w:p>
            <w:pPr>
              <w:jc w:val="right"/>
              <w:ind w:right="143"/>
              <w:spacing w:after="0"/>
              <w:rPr>
                <w:sz w:val="20"/>
                <w:szCs w:val="20"/>
                <w:color w:val="auto"/>
              </w:rPr>
            </w:pPr>
            <w:r>
              <w:rPr>
                <w:rFonts w:ascii="Arial" w:cs="Arial" w:eastAsia="Arial" w:hAnsi="Arial"/>
                <w:sz w:val="13"/>
                <w:szCs w:val="13"/>
                <w:b w:val="1"/>
                <w:bCs w:val="1"/>
                <w:color w:val="FFFFFF"/>
              </w:rPr>
              <w:t>Compensation</w:t>
            </w:r>
          </w:p>
        </w:tc>
      </w:tr>
      <w:tr>
        <w:trPr>
          <w:trHeight w:val="384"/>
        </w:trPr>
        <w:tc>
          <w:tcPr>
            <w:tcW w:w="2120" w:type="dxa"/>
            <w:vAlign w:val="bottom"/>
            <w:tcBorders>
              <w:left w:val="single" w:sz="8" w:color="auto"/>
            </w:tcBorders>
          </w:tcPr>
          <w:p>
            <w:pPr>
              <w:ind w:left="100"/>
              <w:spacing w:after="0"/>
              <w:rPr>
                <w:sz w:val="20"/>
                <w:szCs w:val="20"/>
                <w:color w:val="auto"/>
              </w:rPr>
            </w:pPr>
            <w:r>
              <w:rPr>
                <w:rFonts w:ascii="Arial" w:cs="Arial" w:eastAsia="Arial" w:hAnsi="Arial"/>
                <w:sz w:val="16"/>
                <w:szCs w:val="16"/>
                <w:color w:val="auto"/>
              </w:rPr>
              <w:t>Timothy Donahue</w:t>
            </w:r>
          </w:p>
        </w:tc>
        <w:tc>
          <w:tcPr>
            <w:tcW w:w="800" w:type="dxa"/>
            <w:vAlign w:val="bottom"/>
          </w:tcPr>
          <w:p>
            <w:pPr>
              <w:spacing w:after="0"/>
              <w:rPr>
                <w:sz w:val="24"/>
                <w:szCs w:val="24"/>
                <w:color w:val="auto"/>
              </w:rPr>
            </w:pPr>
          </w:p>
        </w:tc>
        <w:tc>
          <w:tcPr>
            <w:tcW w:w="680" w:type="dxa"/>
            <w:vAlign w:val="bottom"/>
          </w:tcPr>
          <w:p>
            <w:pPr>
              <w:ind w:left="100"/>
              <w:spacing w:after="0"/>
              <w:rPr>
                <w:sz w:val="20"/>
                <w:szCs w:val="20"/>
                <w:color w:val="auto"/>
              </w:rPr>
            </w:pPr>
            <w:r>
              <w:rPr>
                <w:rFonts w:ascii="Arial" w:cs="Arial" w:eastAsia="Arial" w:hAnsi="Arial"/>
                <w:sz w:val="16"/>
                <w:szCs w:val="16"/>
                <w:color w:val="auto"/>
              </w:rPr>
              <w:t>2019</w:t>
            </w: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$1,155,000</w:t>
            </w:r>
          </w:p>
        </w:tc>
        <w:tc>
          <w:tcPr>
            <w:tcW w:w="1300" w:type="dxa"/>
            <w:vAlign w:val="bottom"/>
          </w:tcPr>
          <w:p>
            <w:pPr>
              <w:jc w:val="right"/>
              <w:ind w:right="83"/>
              <w:spacing w:after="0"/>
              <w:rPr>
                <w:sz w:val="20"/>
                <w:szCs w:val="20"/>
                <w:color w:val="auto"/>
              </w:rPr>
            </w:pPr>
            <w:r>
              <w:rPr>
                <w:rFonts w:ascii="Arial" w:cs="Arial" w:eastAsia="Arial" w:hAnsi="Arial"/>
                <w:sz w:val="16"/>
                <w:szCs w:val="16"/>
                <w:color w:val="auto"/>
              </w:rPr>
              <w:t>$6,005,970</w:t>
            </w:r>
          </w:p>
        </w:tc>
        <w:tc>
          <w:tcPr>
            <w:tcW w:w="1200" w:type="dxa"/>
            <w:vAlign w:val="bottom"/>
          </w:tcPr>
          <w:p>
            <w:pPr>
              <w:jc w:val="right"/>
              <w:ind w:right="44"/>
              <w:spacing w:after="0"/>
              <w:rPr>
                <w:sz w:val="20"/>
                <w:szCs w:val="20"/>
                <w:color w:val="auto"/>
              </w:rPr>
            </w:pPr>
            <w:r>
              <w:rPr>
                <w:rFonts w:ascii="Arial" w:cs="Arial" w:eastAsia="Arial" w:hAnsi="Arial"/>
                <w:sz w:val="16"/>
                <w:szCs w:val="16"/>
                <w:color w:val="auto"/>
              </w:rPr>
              <w:t>$1,711,710</w:t>
            </w:r>
          </w:p>
        </w:tc>
        <w:tc>
          <w:tcPr>
            <w:tcW w:w="1360" w:type="dxa"/>
            <w:vAlign w:val="bottom"/>
          </w:tcPr>
          <w:p>
            <w:pPr>
              <w:jc w:val="right"/>
              <w:ind w:right="105"/>
              <w:spacing w:after="0"/>
              <w:rPr>
                <w:sz w:val="20"/>
                <w:szCs w:val="20"/>
                <w:color w:val="auto"/>
              </w:rPr>
            </w:pPr>
            <w:r>
              <w:rPr>
                <w:rFonts w:ascii="Arial" w:cs="Arial" w:eastAsia="Arial" w:hAnsi="Arial"/>
                <w:sz w:val="16"/>
                <w:szCs w:val="16"/>
                <w:color w:val="auto"/>
              </w:rPr>
              <w:t>$4,056,957</w:t>
            </w:r>
          </w:p>
        </w:tc>
        <w:tc>
          <w:tcPr>
            <w:tcW w:w="1400" w:type="dxa"/>
            <w:vAlign w:val="bottom"/>
          </w:tcPr>
          <w:p>
            <w:pPr>
              <w:jc w:val="right"/>
              <w:ind w:right="183"/>
              <w:spacing w:after="0"/>
              <w:rPr>
                <w:sz w:val="20"/>
                <w:szCs w:val="20"/>
                <w:color w:val="auto"/>
              </w:rPr>
            </w:pPr>
            <w:r>
              <w:rPr>
                <w:rFonts w:ascii="Arial" w:cs="Arial" w:eastAsia="Arial" w:hAnsi="Arial"/>
                <w:sz w:val="16"/>
                <w:szCs w:val="16"/>
                <w:color w:val="auto"/>
              </w:rPr>
              <w:t>$1,081,053</w:t>
            </w:r>
          </w:p>
        </w:tc>
        <w:tc>
          <w:tcPr>
            <w:tcW w:w="1260" w:type="dxa"/>
            <w:vAlign w:val="bottom"/>
            <w:tcBorders>
              <w:right w:val="single" w:sz="8" w:color="auto"/>
            </w:tcBorders>
          </w:tcPr>
          <w:p>
            <w:pPr>
              <w:jc w:val="right"/>
              <w:ind w:right="3"/>
              <w:spacing w:after="0"/>
              <w:rPr>
                <w:sz w:val="20"/>
                <w:szCs w:val="20"/>
                <w:color w:val="auto"/>
              </w:rPr>
            </w:pPr>
            <w:r>
              <w:rPr>
                <w:rFonts w:ascii="Arial" w:cs="Arial" w:eastAsia="Arial" w:hAnsi="Arial"/>
                <w:sz w:val="16"/>
                <w:szCs w:val="16"/>
                <w:color w:val="auto"/>
              </w:rPr>
              <w:t>$14,010,690</w:t>
            </w:r>
          </w:p>
        </w:tc>
      </w:tr>
      <w:tr>
        <w:trPr>
          <w:trHeight w:val="186"/>
        </w:trPr>
        <w:tc>
          <w:tcPr>
            <w:tcW w:w="2120" w:type="dxa"/>
            <w:vAlign w:val="bottom"/>
            <w:tcBorders>
              <w:left w:val="single" w:sz="8" w:color="auto"/>
            </w:tcBorders>
          </w:tcPr>
          <w:p>
            <w:pPr>
              <w:ind w:left="220"/>
              <w:spacing w:after="0"/>
              <w:rPr>
                <w:sz w:val="20"/>
                <w:szCs w:val="20"/>
                <w:color w:val="auto"/>
              </w:rPr>
            </w:pPr>
            <w:r>
              <w:rPr>
                <w:rFonts w:ascii="Arial" w:cs="Arial" w:eastAsia="Arial" w:hAnsi="Arial"/>
                <w:sz w:val="16"/>
                <w:szCs w:val="16"/>
                <w:color w:val="auto"/>
              </w:rPr>
              <w:t>President and Chief</w:t>
            </w:r>
          </w:p>
        </w:tc>
        <w:tc>
          <w:tcPr>
            <w:tcW w:w="800" w:type="dxa"/>
            <w:vAlign w:val="bottom"/>
          </w:tcPr>
          <w:p>
            <w:pPr>
              <w:spacing w:after="0"/>
              <w:rPr>
                <w:sz w:val="16"/>
                <w:szCs w:val="16"/>
                <w:color w:val="auto"/>
              </w:rPr>
            </w:pPr>
          </w:p>
        </w:tc>
        <w:tc>
          <w:tcPr>
            <w:tcW w:w="680" w:type="dxa"/>
            <w:vAlign w:val="bottom"/>
          </w:tcPr>
          <w:p>
            <w:pPr>
              <w:ind w:left="100"/>
              <w:spacing w:after="0"/>
              <w:rPr>
                <w:sz w:val="20"/>
                <w:szCs w:val="20"/>
                <w:color w:val="auto"/>
              </w:rPr>
            </w:pPr>
            <w:r>
              <w:rPr>
                <w:rFonts w:ascii="Arial" w:cs="Arial" w:eastAsia="Arial" w:hAnsi="Arial"/>
                <w:sz w:val="16"/>
                <w:szCs w:val="16"/>
                <w:color w:val="auto"/>
              </w:rPr>
              <w:t>2018</w:t>
            </w: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1,100,000</w:t>
            </w:r>
          </w:p>
        </w:tc>
        <w:tc>
          <w:tcPr>
            <w:tcW w:w="1300" w:type="dxa"/>
            <w:vAlign w:val="bottom"/>
          </w:tcPr>
          <w:p>
            <w:pPr>
              <w:jc w:val="right"/>
              <w:ind w:right="83"/>
              <w:spacing w:after="0"/>
              <w:rPr>
                <w:sz w:val="20"/>
                <w:szCs w:val="20"/>
                <w:color w:val="auto"/>
              </w:rPr>
            </w:pPr>
            <w:r>
              <w:rPr>
                <w:rFonts w:ascii="Arial" w:cs="Arial" w:eastAsia="Arial" w:hAnsi="Arial"/>
                <w:sz w:val="16"/>
                <w:szCs w:val="16"/>
                <w:color w:val="auto"/>
              </w:rPr>
              <w:t>5,720,055</w:t>
            </w:r>
          </w:p>
        </w:tc>
        <w:tc>
          <w:tcPr>
            <w:tcW w:w="1200" w:type="dxa"/>
            <w:vAlign w:val="bottom"/>
          </w:tcPr>
          <w:p>
            <w:pPr>
              <w:jc w:val="right"/>
              <w:ind w:right="44"/>
              <w:spacing w:after="0"/>
              <w:rPr>
                <w:sz w:val="20"/>
                <w:szCs w:val="20"/>
                <w:color w:val="auto"/>
              </w:rPr>
            </w:pPr>
            <w:r>
              <w:rPr>
                <w:rFonts w:ascii="Arial" w:cs="Arial" w:eastAsia="Arial" w:hAnsi="Arial"/>
                <w:sz w:val="16"/>
                <w:szCs w:val="16"/>
                <w:color w:val="auto"/>
              </w:rPr>
              <w:t>1,735,800</w:t>
            </w:r>
          </w:p>
        </w:tc>
        <w:tc>
          <w:tcPr>
            <w:tcW w:w="1360" w:type="dxa"/>
            <w:vAlign w:val="bottom"/>
          </w:tcPr>
          <w:p>
            <w:pPr>
              <w:jc w:val="right"/>
              <w:ind w:right="105"/>
              <w:spacing w:after="0"/>
              <w:rPr>
                <w:sz w:val="20"/>
                <w:szCs w:val="20"/>
                <w:color w:val="auto"/>
              </w:rPr>
            </w:pPr>
            <w:r>
              <w:rPr>
                <w:rFonts w:ascii="Arial" w:cs="Arial" w:eastAsia="Arial" w:hAnsi="Arial"/>
                <w:sz w:val="16"/>
                <w:szCs w:val="16"/>
                <w:color w:val="auto"/>
              </w:rPr>
              <w:t>1,183,618</w:t>
            </w:r>
          </w:p>
        </w:tc>
        <w:tc>
          <w:tcPr>
            <w:tcW w:w="1400" w:type="dxa"/>
            <w:vAlign w:val="bottom"/>
          </w:tcPr>
          <w:p>
            <w:pPr>
              <w:jc w:val="right"/>
              <w:ind w:right="183"/>
              <w:spacing w:after="0"/>
              <w:rPr>
                <w:sz w:val="20"/>
                <w:szCs w:val="20"/>
                <w:color w:val="auto"/>
              </w:rPr>
            </w:pPr>
            <w:r>
              <w:rPr>
                <w:rFonts w:ascii="Arial" w:cs="Arial" w:eastAsia="Arial" w:hAnsi="Arial"/>
                <w:sz w:val="16"/>
                <w:szCs w:val="16"/>
                <w:color w:val="auto"/>
              </w:rPr>
              <w:t>77,268</w:t>
            </w:r>
          </w:p>
        </w:tc>
        <w:tc>
          <w:tcPr>
            <w:tcW w:w="1260" w:type="dxa"/>
            <w:vAlign w:val="bottom"/>
            <w:tcBorders>
              <w:right w:val="single" w:sz="8" w:color="auto"/>
            </w:tcBorders>
          </w:tcPr>
          <w:p>
            <w:pPr>
              <w:jc w:val="right"/>
              <w:ind w:right="3"/>
              <w:spacing w:after="0"/>
              <w:rPr>
                <w:sz w:val="20"/>
                <w:szCs w:val="20"/>
                <w:color w:val="auto"/>
              </w:rPr>
            </w:pPr>
            <w:r>
              <w:rPr>
                <w:rFonts w:ascii="Arial" w:cs="Arial" w:eastAsia="Arial" w:hAnsi="Arial"/>
                <w:sz w:val="16"/>
                <w:szCs w:val="16"/>
                <w:color w:val="auto"/>
              </w:rPr>
              <w:t>9,816,741</w:t>
            </w:r>
          </w:p>
        </w:tc>
      </w:tr>
      <w:tr>
        <w:trPr>
          <w:trHeight w:val="200"/>
        </w:trPr>
        <w:tc>
          <w:tcPr>
            <w:tcW w:w="2120" w:type="dxa"/>
            <w:vAlign w:val="bottom"/>
            <w:tcBorders>
              <w:left w:val="single" w:sz="8" w:color="auto"/>
            </w:tcBorders>
          </w:tcPr>
          <w:p>
            <w:pPr>
              <w:ind w:left="220"/>
              <w:spacing w:after="0"/>
              <w:rPr>
                <w:sz w:val="20"/>
                <w:szCs w:val="20"/>
                <w:color w:val="auto"/>
              </w:rPr>
            </w:pPr>
            <w:r>
              <w:rPr>
                <w:rFonts w:ascii="Arial" w:cs="Arial" w:eastAsia="Arial" w:hAnsi="Arial"/>
                <w:sz w:val="16"/>
                <w:szCs w:val="16"/>
                <w:color w:val="auto"/>
              </w:rPr>
              <w:t>Executive Officer</w:t>
            </w:r>
          </w:p>
        </w:tc>
        <w:tc>
          <w:tcPr>
            <w:tcW w:w="800" w:type="dxa"/>
            <w:vAlign w:val="bottom"/>
          </w:tcPr>
          <w:p>
            <w:pPr>
              <w:spacing w:after="0"/>
              <w:rPr>
                <w:sz w:val="17"/>
                <w:szCs w:val="17"/>
                <w:color w:val="auto"/>
              </w:rPr>
            </w:pPr>
          </w:p>
        </w:tc>
        <w:tc>
          <w:tcPr>
            <w:tcW w:w="680" w:type="dxa"/>
            <w:vAlign w:val="bottom"/>
          </w:tcPr>
          <w:p>
            <w:pPr>
              <w:ind w:left="100"/>
              <w:spacing w:after="0"/>
              <w:rPr>
                <w:sz w:val="20"/>
                <w:szCs w:val="20"/>
                <w:color w:val="auto"/>
              </w:rPr>
            </w:pPr>
            <w:r>
              <w:rPr>
                <w:rFonts w:ascii="Arial" w:cs="Arial" w:eastAsia="Arial" w:hAnsi="Arial"/>
                <w:sz w:val="16"/>
                <w:szCs w:val="16"/>
                <w:color w:val="auto"/>
              </w:rPr>
              <w:t>2017</w:t>
            </w: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1,000,000</w:t>
            </w:r>
          </w:p>
        </w:tc>
        <w:tc>
          <w:tcPr>
            <w:tcW w:w="1300" w:type="dxa"/>
            <w:vAlign w:val="bottom"/>
          </w:tcPr>
          <w:p>
            <w:pPr>
              <w:jc w:val="right"/>
              <w:ind w:right="83"/>
              <w:spacing w:after="0"/>
              <w:rPr>
                <w:sz w:val="20"/>
                <w:szCs w:val="20"/>
                <w:color w:val="auto"/>
              </w:rPr>
            </w:pPr>
            <w:r>
              <w:rPr>
                <w:rFonts w:ascii="Arial" w:cs="Arial" w:eastAsia="Arial" w:hAnsi="Arial"/>
                <w:sz w:val="16"/>
                <w:szCs w:val="16"/>
                <w:color w:val="auto"/>
              </w:rPr>
              <w:t>5,200,004</w:t>
            </w:r>
          </w:p>
        </w:tc>
        <w:tc>
          <w:tcPr>
            <w:tcW w:w="1200" w:type="dxa"/>
            <w:vAlign w:val="bottom"/>
          </w:tcPr>
          <w:p>
            <w:pPr>
              <w:jc w:val="right"/>
              <w:ind w:right="44"/>
              <w:spacing w:after="0"/>
              <w:rPr>
                <w:sz w:val="20"/>
                <w:szCs w:val="20"/>
                <w:color w:val="auto"/>
              </w:rPr>
            </w:pPr>
            <w:r>
              <w:rPr>
                <w:rFonts w:ascii="Arial" w:cs="Arial" w:eastAsia="Arial" w:hAnsi="Arial"/>
                <w:sz w:val="16"/>
                <w:szCs w:val="16"/>
                <w:color w:val="auto"/>
              </w:rPr>
              <w:t>2,295,600</w:t>
            </w:r>
          </w:p>
        </w:tc>
        <w:tc>
          <w:tcPr>
            <w:tcW w:w="1360" w:type="dxa"/>
            <w:vAlign w:val="bottom"/>
          </w:tcPr>
          <w:p>
            <w:pPr>
              <w:jc w:val="right"/>
              <w:ind w:right="105"/>
              <w:spacing w:after="0"/>
              <w:rPr>
                <w:sz w:val="20"/>
                <w:szCs w:val="20"/>
                <w:color w:val="auto"/>
              </w:rPr>
            </w:pPr>
            <w:r>
              <w:rPr>
                <w:rFonts w:ascii="Arial" w:cs="Arial" w:eastAsia="Arial" w:hAnsi="Arial"/>
                <w:sz w:val="16"/>
                <w:szCs w:val="16"/>
                <w:color w:val="auto"/>
              </w:rPr>
              <w:t>2,810,148</w:t>
            </w:r>
          </w:p>
        </w:tc>
        <w:tc>
          <w:tcPr>
            <w:tcW w:w="1400" w:type="dxa"/>
            <w:vAlign w:val="bottom"/>
          </w:tcPr>
          <w:p>
            <w:pPr>
              <w:jc w:val="right"/>
              <w:ind w:right="183"/>
              <w:spacing w:after="0"/>
              <w:rPr>
                <w:sz w:val="20"/>
                <w:szCs w:val="20"/>
                <w:color w:val="auto"/>
              </w:rPr>
            </w:pPr>
            <w:r>
              <w:rPr>
                <w:rFonts w:ascii="Arial" w:cs="Arial" w:eastAsia="Arial" w:hAnsi="Arial"/>
                <w:sz w:val="16"/>
                <w:szCs w:val="16"/>
                <w:color w:val="auto"/>
              </w:rPr>
              <w:t>634,208</w:t>
            </w:r>
          </w:p>
        </w:tc>
        <w:tc>
          <w:tcPr>
            <w:tcW w:w="1260" w:type="dxa"/>
            <w:vAlign w:val="bottom"/>
            <w:tcBorders>
              <w:right w:val="single" w:sz="8" w:color="auto"/>
            </w:tcBorders>
          </w:tcPr>
          <w:p>
            <w:pPr>
              <w:jc w:val="right"/>
              <w:ind w:right="3"/>
              <w:spacing w:after="0"/>
              <w:rPr>
                <w:sz w:val="20"/>
                <w:szCs w:val="20"/>
                <w:color w:val="auto"/>
              </w:rPr>
            </w:pPr>
            <w:r>
              <w:rPr>
                <w:rFonts w:ascii="Arial" w:cs="Arial" w:eastAsia="Arial" w:hAnsi="Arial"/>
                <w:sz w:val="16"/>
                <w:szCs w:val="16"/>
                <w:color w:val="auto"/>
              </w:rPr>
              <w:t>11,939,960</w:t>
            </w:r>
          </w:p>
        </w:tc>
      </w:tr>
      <w:tr>
        <w:trPr>
          <w:trHeight w:val="227"/>
        </w:trPr>
        <w:tc>
          <w:tcPr>
            <w:tcW w:w="2120" w:type="dxa"/>
            <w:vAlign w:val="bottom"/>
            <w:tcBorders>
              <w:left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193"/>
        </w:trPr>
        <w:tc>
          <w:tcPr>
            <w:tcW w:w="2120" w:type="dxa"/>
            <w:vAlign w:val="bottom"/>
            <w:tcBorders>
              <w:left w:val="single" w:sz="8" w:color="auto"/>
            </w:tcBorders>
            <w:shd w:val="clear" w:color="auto" w:fill="D9D9D9"/>
          </w:tcPr>
          <w:p>
            <w:pPr>
              <w:ind w:left="100"/>
              <w:spacing w:after="0"/>
              <w:rPr>
                <w:sz w:val="20"/>
                <w:szCs w:val="20"/>
                <w:color w:val="auto"/>
              </w:rPr>
            </w:pPr>
            <w:r>
              <w:rPr>
                <w:rFonts w:ascii="Arial" w:cs="Arial" w:eastAsia="Arial" w:hAnsi="Arial"/>
                <w:sz w:val="16"/>
                <w:szCs w:val="16"/>
                <w:color w:val="auto"/>
              </w:rPr>
              <w:t>Thomas Kelly</w:t>
            </w:r>
          </w:p>
        </w:tc>
        <w:tc>
          <w:tcPr>
            <w:tcW w:w="800" w:type="dxa"/>
            <w:vAlign w:val="bottom"/>
            <w:shd w:val="clear" w:color="auto" w:fill="D9D9D9"/>
          </w:tcPr>
          <w:p>
            <w:pPr>
              <w:spacing w:after="0"/>
              <w:rPr>
                <w:sz w:val="16"/>
                <w:szCs w:val="16"/>
                <w:color w:val="auto"/>
              </w:rPr>
            </w:pPr>
          </w:p>
        </w:tc>
        <w:tc>
          <w:tcPr>
            <w:tcW w:w="680" w:type="dxa"/>
            <w:vAlign w:val="bottom"/>
            <w:shd w:val="clear" w:color="auto" w:fill="D9D9D9"/>
          </w:tcPr>
          <w:p>
            <w:pPr>
              <w:ind w:left="100"/>
              <w:spacing w:after="0"/>
              <w:rPr>
                <w:sz w:val="20"/>
                <w:szCs w:val="20"/>
                <w:color w:val="auto"/>
              </w:rPr>
            </w:pPr>
            <w:r>
              <w:rPr>
                <w:rFonts w:ascii="Arial" w:cs="Arial" w:eastAsia="Arial" w:hAnsi="Arial"/>
                <w:sz w:val="16"/>
                <w:szCs w:val="16"/>
                <w:color w:val="auto"/>
              </w:rPr>
              <w:t>2019</w:t>
            </w:r>
          </w:p>
        </w:tc>
        <w:tc>
          <w:tcPr>
            <w:tcW w:w="1140" w:type="dxa"/>
            <w:vAlign w:val="bottom"/>
            <w:shd w:val="clear" w:color="auto" w:fill="D9D9D9"/>
          </w:tcPr>
          <w:p>
            <w:pPr>
              <w:jc w:val="right"/>
              <w:ind w:right="22"/>
              <w:spacing w:after="0"/>
              <w:rPr>
                <w:sz w:val="20"/>
                <w:szCs w:val="20"/>
                <w:color w:val="auto"/>
              </w:rPr>
            </w:pPr>
            <w:r>
              <w:rPr>
                <w:rFonts w:ascii="Arial" w:cs="Arial" w:eastAsia="Arial" w:hAnsi="Arial"/>
                <w:sz w:val="16"/>
                <w:szCs w:val="16"/>
                <w:color w:val="auto"/>
              </w:rPr>
              <w:t>685,000</w:t>
            </w:r>
          </w:p>
        </w:tc>
        <w:tc>
          <w:tcPr>
            <w:tcW w:w="1300" w:type="dxa"/>
            <w:vAlign w:val="bottom"/>
            <w:shd w:val="clear" w:color="auto" w:fill="D9D9D9"/>
          </w:tcPr>
          <w:p>
            <w:pPr>
              <w:jc w:val="right"/>
              <w:ind w:right="83"/>
              <w:spacing w:after="0"/>
              <w:rPr>
                <w:sz w:val="20"/>
                <w:szCs w:val="20"/>
                <w:color w:val="auto"/>
              </w:rPr>
            </w:pPr>
            <w:r>
              <w:rPr>
                <w:rFonts w:ascii="Arial" w:cs="Arial" w:eastAsia="Arial" w:hAnsi="Arial"/>
                <w:sz w:val="16"/>
                <w:szCs w:val="16"/>
                <w:color w:val="auto"/>
              </w:rPr>
              <w:t>1,233,018</w:t>
            </w:r>
          </w:p>
        </w:tc>
        <w:tc>
          <w:tcPr>
            <w:tcW w:w="1200" w:type="dxa"/>
            <w:vAlign w:val="bottom"/>
            <w:shd w:val="clear" w:color="auto" w:fill="D9D9D9"/>
          </w:tcPr>
          <w:p>
            <w:pPr>
              <w:jc w:val="right"/>
              <w:ind w:right="44"/>
              <w:spacing w:after="0"/>
              <w:rPr>
                <w:sz w:val="20"/>
                <w:szCs w:val="20"/>
                <w:color w:val="auto"/>
              </w:rPr>
            </w:pPr>
            <w:r>
              <w:rPr>
                <w:rFonts w:ascii="Arial" w:cs="Arial" w:eastAsia="Arial" w:hAnsi="Arial"/>
                <w:sz w:val="16"/>
                <w:szCs w:val="16"/>
                <w:color w:val="auto"/>
              </w:rPr>
              <w:t>676,780</w:t>
            </w:r>
          </w:p>
        </w:tc>
        <w:tc>
          <w:tcPr>
            <w:tcW w:w="1360" w:type="dxa"/>
            <w:vAlign w:val="bottom"/>
            <w:shd w:val="clear" w:color="auto" w:fill="D9D9D9"/>
          </w:tcPr>
          <w:p>
            <w:pPr>
              <w:jc w:val="right"/>
              <w:ind w:right="105"/>
              <w:spacing w:after="0"/>
              <w:rPr>
                <w:sz w:val="20"/>
                <w:szCs w:val="20"/>
                <w:color w:val="auto"/>
              </w:rPr>
            </w:pPr>
            <w:r>
              <w:rPr>
                <w:rFonts w:ascii="Arial" w:cs="Arial" w:eastAsia="Arial" w:hAnsi="Arial"/>
                <w:sz w:val="16"/>
                <w:szCs w:val="16"/>
                <w:color w:val="auto"/>
              </w:rPr>
              <w:t>1,666,986</w:t>
            </w:r>
          </w:p>
        </w:tc>
        <w:tc>
          <w:tcPr>
            <w:tcW w:w="1400" w:type="dxa"/>
            <w:vAlign w:val="bottom"/>
            <w:shd w:val="clear" w:color="auto" w:fill="D9D9D9"/>
          </w:tcPr>
          <w:p>
            <w:pPr>
              <w:jc w:val="right"/>
              <w:ind w:right="183"/>
              <w:spacing w:after="0"/>
              <w:rPr>
                <w:sz w:val="20"/>
                <w:szCs w:val="20"/>
                <w:color w:val="auto"/>
              </w:rPr>
            </w:pPr>
            <w:r>
              <w:rPr>
                <w:rFonts w:ascii="Arial" w:cs="Arial" w:eastAsia="Arial" w:hAnsi="Arial"/>
                <w:sz w:val="16"/>
                <w:szCs w:val="16"/>
                <w:color w:val="auto"/>
              </w:rPr>
              <w:t>443,939</w:t>
            </w:r>
          </w:p>
        </w:tc>
        <w:tc>
          <w:tcPr>
            <w:tcW w:w="1260" w:type="dxa"/>
            <w:vAlign w:val="bottom"/>
            <w:tcBorders>
              <w:right w:val="single" w:sz="8" w:color="auto"/>
            </w:tcBorders>
            <w:shd w:val="clear" w:color="auto" w:fill="D9D9D9"/>
          </w:tcPr>
          <w:p>
            <w:pPr>
              <w:jc w:val="right"/>
              <w:ind w:right="3"/>
              <w:spacing w:after="0"/>
              <w:rPr>
                <w:sz w:val="20"/>
                <w:szCs w:val="20"/>
                <w:color w:val="auto"/>
              </w:rPr>
            </w:pPr>
            <w:r>
              <w:rPr>
                <w:rFonts w:ascii="Arial" w:cs="Arial" w:eastAsia="Arial" w:hAnsi="Arial"/>
                <w:sz w:val="16"/>
                <w:szCs w:val="16"/>
                <w:color w:val="auto"/>
              </w:rPr>
              <w:t>4,705,723</w:t>
            </w:r>
          </w:p>
        </w:tc>
      </w:tr>
      <w:tr>
        <w:trPr>
          <w:trHeight w:val="186"/>
        </w:trPr>
        <w:tc>
          <w:tcPr>
            <w:tcW w:w="2120" w:type="dxa"/>
            <w:vAlign w:val="bottom"/>
            <w:tcBorders>
              <w:left w:val="single" w:sz="8" w:color="auto"/>
            </w:tcBorders>
            <w:shd w:val="clear" w:color="auto" w:fill="D9D9D9"/>
          </w:tcPr>
          <w:p>
            <w:pPr>
              <w:ind w:left="220"/>
              <w:spacing w:after="0"/>
              <w:rPr>
                <w:sz w:val="20"/>
                <w:szCs w:val="20"/>
                <w:color w:val="auto"/>
              </w:rPr>
            </w:pPr>
            <w:r>
              <w:rPr>
                <w:rFonts w:ascii="Arial" w:cs="Arial" w:eastAsia="Arial" w:hAnsi="Arial"/>
                <w:sz w:val="16"/>
                <w:szCs w:val="16"/>
                <w:color w:val="auto"/>
              </w:rPr>
              <w:t>Senior Vice President</w:t>
            </w:r>
          </w:p>
        </w:tc>
        <w:tc>
          <w:tcPr>
            <w:tcW w:w="800" w:type="dxa"/>
            <w:vAlign w:val="bottom"/>
            <w:shd w:val="clear" w:color="auto" w:fill="D9D9D9"/>
          </w:tcPr>
          <w:p>
            <w:pPr>
              <w:spacing w:after="0"/>
              <w:rPr>
                <w:sz w:val="16"/>
                <w:szCs w:val="16"/>
                <w:color w:val="auto"/>
              </w:rPr>
            </w:pPr>
          </w:p>
        </w:tc>
        <w:tc>
          <w:tcPr>
            <w:tcW w:w="680" w:type="dxa"/>
            <w:vAlign w:val="bottom"/>
            <w:shd w:val="clear" w:color="auto" w:fill="D9D9D9"/>
          </w:tcPr>
          <w:p>
            <w:pPr>
              <w:ind w:left="100"/>
              <w:spacing w:after="0"/>
              <w:rPr>
                <w:sz w:val="20"/>
                <w:szCs w:val="20"/>
                <w:color w:val="auto"/>
              </w:rPr>
            </w:pPr>
            <w:r>
              <w:rPr>
                <w:rFonts w:ascii="Arial" w:cs="Arial" w:eastAsia="Arial" w:hAnsi="Arial"/>
                <w:sz w:val="16"/>
                <w:szCs w:val="16"/>
                <w:color w:val="auto"/>
              </w:rPr>
              <w:t>2018</w:t>
            </w:r>
          </w:p>
        </w:tc>
        <w:tc>
          <w:tcPr>
            <w:tcW w:w="1140" w:type="dxa"/>
            <w:vAlign w:val="bottom"/>
            <w:shd w:val="clear" w:color="auto" w:fill="D9D9D9"/>
          </w:tcPr>
          <w:p>
            <w:pPr>
              <w:jc w:val="right"/>
              <w:ind w:right="22"/>
              <w:spacing w:after="0"/>
              <w:rPr>
                <w:sz w:val="20"/>
                <w:szCs w:val="20"/>
                <w:color w:val="auto"/>
              </w:rPr>
            </w:pPr>
            <w:r>
              <w:rPr>
                <w:rFonts w:ascii="Arial" w:cs="Arial" w:eastAsia="Arial" w:hAnsi="Arial"/>
                <w:sz w:val="16"/>
                <w:szCs w:val="16"/>
                <w:color w:val="auto"/>
              </w:rPr>
              <w:t>650,000</w:t>
            </w:r>
          </w:p>
        </w:tc>
        <w:tc>
          <w:tcPr>
            <w:tcW w:w="1300" w:type="dxa"/>
            <w:vAlign w:val="bottom"/>
            <w:shd w:val="clear" w:color="auto" w:fill="D9D9D9"/>
          </w:tcPr>
          <w:p>
            <w:pPr>
              <w:jc w:val="right"/>
              <w:ind w:right="83"/>
              <w:spacing w:after="0"/>
              <w:rPr>
                <w:sz w:val="20"/>
                <w:szCs w:val="20"/>
                <w:color w:val="auto"/>
              </w:rPr>
            </w:pPr>
            <w:r>
              <w:rPr>
                <w:rFonts w:ascii="Arial" w:cs="Arial" w:eastAsia="Arial" w:hAnsi="Arial"/>
                <w:sz w:val="16"/>
                <w:szCs w:val="16"/>
                <w:color w:val="auto"/>
              </w:rPr>
              <w:t>1,169,970</w:t>
            </w:r>
          </w:p>
        </w:tc>
        <w:tc>
          <w:tcPr>
            <w:tcW w:w="1200" w:type="dxa"/>
            <w:vAlign w:val="bottom"/>
            <w:shd w:val="clear" w:color="auto" w:fill="D9D9D9"/>
          </w:tcPr>
          <w:p>
            <w:pPr>
              <w:jc w:val="right"/>
              <w:ind w:right="44"/>
              <w:spacing w:after="0"/>
              <w:rPr>
                <w:sz w:val="20"/>
                <w:szCs w:val="20"/>
                <w:color w:val="auto"/>
              </w:rPr>
            </w:pPr>
            <w:r>
              <w:rPr>
                <w:rFonts w:ascii="Arial" w:cs="Arial" w:eastAsia="Arial" w:hAnsi="Arial"/>
                <w:sz w:val="16"/>
                <w:szCs w:val="16"/>
                <w:color w:val="auto"/>
              </w:rPr>
              <w:t>683,800</w:t>
            </w:r>
          </w:p>
        </w:tc>
        <w:tc>
          <w:tcPr>
            <w:tcW w:w="1360" w:type="dxa"/>
            <w:vAlign w:val="bottom"/>
            <w:shd w:val="clear" w:color="auto" w:fill="D9D9D9"/>
          </w:tcPr>
          <w:p>
            <w:pPr>
              <w:jc w:val="right"/>
              <w:ind w:right="105"/>
              <w:spacing w:after="0"/>
              <w:rPr>
                <w:sz w:val="20"/>
                <w:szCs w:val="20"/>
                <w:color w:val="auto"/>
              </w:rPr>
            </w:pPr>
            <w:r>
              <w:rPr>
                <w:rFonts w:ascii="Arial" w:cs="Arial" w:eastAsia="Arial" w:hAnsi="Arial"/>
                <w:sz w:val="16"/>
                <w:szCs w:val="16"/>
                <w:color w:val="auto"/>
              </w:rPr>
              <w:t>532,453</w:t>
            </w:r>
          </w:p>
        </w:tc>
        <w:tc>
          <w:tcPr>
            <w:tcW w:w="1400" w:type="dxa"/>
            <w:vAlign w:val="bottom"/>
            <w:shd w:val="clear" w:color="auto" w:fill="D9D9D9"/>
          </w:tcPr>
          <w:p>
            <w:pPr>
              <w:jc w:val="right"/>
              <w:ind w:right="183"/>
              <w:spacing w:after="0"/>
              <w:rPr>
                <w:sz w:val="20"/>
                <w:szCs w:val="20"/>
                <w:color w:val="auto"/>
              </w:rPr>
            </w:pPr>
            <w:r>
              <w:rPr>
                <w:rFonts w:ascii="Arial" w:cs="Arial" w:eastAsia="Arial" w:hAnsi="Arial"/>
                <w:sz w:val="16"/>
                <w:szCs w:val="16"/>
                <w:color w:val="auto"/>
              </w:rPr>
              <w:t>135,353</w:t>
            </w:r>
          </w:p>
        </w:tc>
        <w:tc>
          <w:tcPr>
            <w:tcW w:w="1260" w:type="dxa"/>
            <w:vAlign w:val="bottom"/>
            <w:tcBorders>
              <w:right w:val="single" w:sz="8" w:color="auto"/>
            </w:tcBorders>
            <w:shd w:val="clear" w:color="auto" w:fill="D9D9D9"/>
          </w:tcPr>
          <w:p>
            <w:pPr>
              <w:jc w:val="right"/>
              <w:ind w:right="3"/>
              <w:spacing w:after="0"/>
              <w:rPr>
                <w:sz w:val="20"/>
                <w:szCs w:val="20"/>
                <w:color w:val="auto"/>
              </w:rPr>
            </w:pPr>
            <w:r>
              <w:rPr>
                <w:rFonts w:ascii="Arial" w:cs="Arial" w:eastAsia="Arial" w:hAnsi="Arial"/>
                <w:sz w:val="16"/>
                <w:szCs w:val="16"/>
                <w:color w:val="auto"/>
              </w:rPr>
              <w:t>3,171,576</w:t>
            </w:r>
          </w:p>
        </w:tc>
      </w:tr>
      <w:tr>
        <w:trPr>
          <w:trHeight w:val="200"/>
        </w:trPr>
        <w:tc>
          <w:tcPr>
            <w:tcW w:w="2120" w:type="dxa"/>
            <w:vAlign w:val="bottom"/>
            <w:tcBorders>
              <w:left w:val="single" w:sz="8" w:color="auto"/>
            </w:tcBorders>
            <w:shd w:val="clear" w:color="auto" w:fill="D9D9D9"/>
          </w:tcPr>
          <w:p>
            <w:pPr>
              <w:ind w:left="220"/>
              <w:spacing w:after="0"/>
              <w:rPr>
                <w:sz w:val="20"/>
                <w:szCs w:val="20"/>
                <w:color w:val="auto"/>
              </w:rPr>
            </w:pPr>
            <w:r>
              <w:rPr>
                <w:rFonts w:ascii="Arial" w:cs="Arial" w:eastAsia="Arial" w:hAnsi="Arial"/>
                <w:sz w:val="16"/>
                <w:szCs w:val="16"/>
                <w:color w:val="auto"/>
                <w:w w:val="99"/>
              </w:rPr>
              <w:t>and Chief Financial Officer</w:t>
            </w:r>
          </w:p>
        </w:tc>
        <w:tc>
          <w:tcPr>
            <w:tcW w:w="800" w:type="dxa"/>
            <w:vAlign w:val="bottom"/>
            <w:shd w:val="clear" w:color="auto" w:fill="D9D9D9"/>
          </w:tcPr>
          <w:p>
            <w:pPr>
              <w:spacing w:after="0"/>
              <w:rPr>
                <w:sz w:val="17"/>
                <w:szCs w:val="17"/>
                <w:color w:val="auto"/>
              </w:rPr>
            </w:pPr>
          </w:p>
        </w:tc>
        <w:tc>
          <w:tcPr>
            <w:tcW w:w="680" w:type="dxa"/>
            <w:vAlign w:val="bottom"/>
            <w:shd w:val="clear" w:color="auto" w:fill="D9D9D9"/>
          </w:tcPr>
          <w:p>
            <w:pPr>
              <w:ind w:left="100"/>
              <w:spacing w:after="0"/>
              <w:rPr>
                <w:sz w:val="20"/>
                <w:szCs w:val="20"/>
                <w:color w:val="auto"/>
              </w:rPr>
            </w:pPr>
            <w:r>
              <w:rPr>
                <w:rFonts w:ascii="Arial" w:cs="Arial" w:eastAsia="Arial" w:hAnsi="Arial"/>
                <w:sz w:val="16"/>
                <w:szCs w:val="16"/>
                <w:color w:val="auto"/>
              </w:rPr>
              <w:t>2017</w:t>
            </w:r>
          </w:p>
        </w:tc>
        <w:tc>
          <w:tcPr>
            <w:tcW w:w="1140" w:type="dxa"/>
            <w:vAlign w:val="bottom"/>
            <w:shd w:val="clear" w:color="auto" w:fill="D9D9D9"/>
          </w:tcPr>
          <w:p>
            <w:pPr>
              <w:jc w:val="right"/>
              <w:ind w:right="22"/>
              <w:spacing w:after="0"/>
              <w:rPr>
                <w:sz w:val="20"/>
                <w:szCs w:val="20"/>
                <w:color w:val="auto"/>
              </w:rPr>
            </w:pPr>
            <w:r>
              <w:rPr>
                <w:rFonts w:ascii="Arial" w:cs="Arial" w:eastAsia="Arial" w:hAnsi="Arial"/>
                <w:sz w:val="16"/>
                <w:szCs w:val="16"/>
                <w:color w:val="auto"/>
              </w:rPr>
              <w:t>605,000</w:t>
            </w:r>
          </w:p>
        </w:tc>
        <w:tc>
          <w:tcPr>
            <w:tcW w:w="1300" w:type="dxa"/>
            <w:vAlign w:val="bottom"/>
            <w:shd w:val="clear" w:color="auto" w:fill="D9D9D9"/>
          </w:tcPr>
          <w:p>
            <w:pPr>
              <w:jc w:val="right"/>
              <w:ind w:right="83"/>
              <w:spacing w:after="0"/>
              <w:rPr>
                <w:sz w:val="20"/>
                <w:szCs w:val="20"/>
                <w:color w:val="auto"/>
              </w:rPr>
            </w:pPr>
            <w:r>
              <w:rPr>
                <w:rFonts w:ascii="Arial" w:cs="Arial" w:eastAsia="Arial" w:hAnsi="Arial"/>
                <w:sz w:val="16"/>
                <w:szCs w:val="16"/>
                <w:color w:val="auto"/>
              </w:rPr>
              <w:t>1,088,964</w:t>
            </w:r>
          </w:p>
        </w:tc>
        <w:tc>
          <w:tcPr>
            <w:tcW w:w="1200" w:type="dxa"/>
            <w:vAlign w:val="bottom"/>
            <w:shd w:val="clear" w:color="auto" w:fill="D9D9D9"/>
          </w:tcPr>
          <w:p>
            <w:pPr>
              <w:jc w:val="right"/>
              <w:ind w:right="44"/>
              <w:spacing w:after="0"/>
              <w:rPr>
                <w:sz w:val="20"/>
                <w:szCs w:val="20"/>
                <w:color w:val="auto"/>
              </w:rPr>
            </w:pPr>
            <w:r>
              <w:rPr>
                <w:rFonts w:ascii="Arial" w:cs="Arial" w:eastAsia="Arial" w:hAnsi="Arial"/>
                <w:sz w:val="16"/>
                <w:szCs w:val="16"/>
                <w:color w:val="auto"/>
              </w:rPr>
              <w:t>925,892</w:t>
            </w:r>
          </w:p>
        </w:tc>
        <w:tc>
          <w:tcPr>
            <w:tcW w:w="1360" w:type="dxa"/>
            <w:vAlign w:val="bottom"/>
            <w:shd w:val="clear" w:color="auto" w:fill="D9D9D9"/>
          </w:tcPr>
          <w:p>
            <w:pPr>
              <w:jc w:val="right"/>
              <w:ind w:right="105"/>
              <w:spacing w:after="0"/>
              <w:rPr>
                <w:sz w:val="20"/>
                <w:szCs w:val="20"/>
                <w:color w:val="auto"/>
              </w:rPr>
            </w:pPr>
            <w:r>
              <w:rPr>
                <w:rFonts w:ascii="Arial" w:cs="Arial" w:eastAsia="Arial" w:hAnsi="Arial"/>
                <w:sz w:val="16"/>
                <w:szCs w:val="16"/>
                <w:color w:val="auto"/>
              </w:rPr>
              <w:t>1,532,894</w:t>
            </w:r>
          </w:p>
        </w:tc>
        <w:tc>
          <w:tcPr>
            <w:tcW w:w="1400" w:type="dxa"/>
            <w:vAlign w:val="bottom"/>
            <w:shd w:val="clear" w:color="auto" w:fill="D9D9D9"/>
          </w:tcPr>
          <w:p>
            <w:pPr>
              <w:jc w:val="right"/>
              <w:ind w:right="183"/>
              <w:spacing w:after="0"/>
              <w:rPr>
                <w:sz w:val="20"/>
                <w:szCs w:val="20"/>
                <w:color w:val="auto"/>
              </w:rPr>
            </w:pPr>
            <w:r>
              <w:rPr>
                <w:rFonts w:ascii="Arial" w:cs="Arial" w:eastAsia="Arial" w:hAnsi="Arial"/>
                <w:sz w:val="16"/>
                <w:szCs w:val="16"/>
                <w:color w:val="auto"/>
              </w:rPr>
              <w:t>307,844</w:t>
            </w:r>
          </w:p>
        </w:tc>
        <w:tc>
          <w:tcPr>
            <w:tcW w:w="1260" w:type="dxa"/>
            <w:vAlign w:val="bottom"/>
            <w:tcBorders>
              <w:right w:val="single" w:sz="8" w:color="auto"/>
            </w:tcBorders>
            <w:shd w:val="clear" w:color="auto" w:fill="D9D9D9"/>
          </w:tcPr>
          <w:p>
            <w:pPr>
              <w:jc w:val="right"/>
              <w:ind w:right="3"/>
              <w:spacing w:after="0"/>
              <w:rPr>
                <w:sz w:val="20"/>
                <w:szCs w:val="20"/>
                <w:color w:val="auto"/>
              </w:rPr>
            </w:pPr>
            <w:r>
              <w:rPr>
                <w:rFonts w:ascii="Arial" w:cs="Arial" w:eastAsia="Arial" w:hAnsi="Arial"/>
                <w:sz w:val="16"/>
                <w:szCs w:val="16"/>
                <w:color w:val="auto"/>
              </w:rPr>
              <w:t>4,460,594</w:t>
            </w:r>
          </w:p>
        </w:tc>
      </w:tr>
      <w:tr>
        <w:trPr>
          <w:trHeight w:val="227"/>
        </w:trPr>
        <w:tc>
          <w:tcPr>
            <w:tcW w:w="2120" w:type="dxa"/>
            <w:vAlign w:val="bottom"/>
            <w:tcBorders>
              <w:left w:val="single" w:sz="8" w:color="auto"/>
            </w:tcBorders>
            <w:shd w:val="clear" w:color="auto" w:fill="D9D9D9"/>
          </w:tcPr>
          <w:p>
            <w:pPr>
              <w:spacing w:after="0"/>
              <w:rPr>
                <w:sz w:val="19"/>
                <w:szCs w:val="19"/>
                <w:color w:val="auto"/>
              </w:rPr>
            </w:pPr>
          </w:p>
        </w:tc>
        <w:tc>
          <w:tcPr>
            <w:tcW w:w="800" w:type="dxa"/>
            <w:vAlign w:val="bottom"/>
            <w:shd w:val="clear" w:color="auto" w:fill="D9D9D9"/>
          </w:tcPr>
          <w:p>
            <w:pPr>
              <w:spacing w:after="0"/>
              <w:rPr>
                <w:sz w:val="19"/>
                <w:szCs w:val="19"/>
                <w:color w:val="auto"/>
              </w:rPr>
            </w:pPr>
          </w:p>
        </w:tc>
        <w:tc>
          <w:tcPr>
            <w:tcW w:w="680" w:type="dxa"/>
            <w:vAlign w:val="bottom"/>
            <w:shd w:val="clear" w:color="auto" w:fill="D9D9D9"/>
          </w:tcPr>
          <w:p>
            <w:pPr>
              <w:spacing w:after="0"/>
              <w:rPr>
                <w:sz w:val="19"/>
                <w:szCs w:val="19"/>
                <w:color w:val="auto"/>
              </w:rPr>
            </w:pPr>
          </w:p>
        </w:tc>
        <w:tc>
          <w:tcPr>
            <w:tcW w:w="1140" w:type="dxa"/>
            <w:vAlign w:val="bottom"/>
            <w:shd w:val="clear" w:color="auto" w:fill="D9D9D9"/>
          </w:tcPr>
          <w:p>
            <w:pPr>
              <w:spacing w:after="0"/>
              <w:rPr>
                <w:sz w:val="19"/>
                <w:szCs w:val="19"/>
                <w:color w:val="auto"/>
              </w:rPr>
            </w:pPr>
          </w:p>
        </w:tc>
        <w:tc>
          <w:tcPr>
            <w:tcW w:w="1300" w:type="dxa"/>
            <w:vAlign w:val="bottom"/>
            <w:shd w:val="clear" w:color="auto" w:fill="D9D9D9"/>
          </w:tcPr>
          <w:p>
            <w:pPr>
              <w:spacing w:after="0"/>
              <w:rPr>
                <w:sz w:val="19"/>
                <w:szCs w:val="19"/>
                <w:color w:val="auto"/>
              </w:rPr>
            </w:pPr>
          </w:p>
        </w:tc>
        <w:tc>
          <w:tcPr>
            <w:tcW w:w="1200" w:type="dxa"/>
            <w:vAlign w:val="bottom"/>
            <w:shd w:val="clear" w:color="auto" w:fill="D9D9D9"/>
          </w:tcPr>
          <w:p>
            <w:pPr>
              <w:spacing w:after="0"/>
              <w:rPr>
                <w:sz w:val="19"/>
                <w:szCs w:val="19"/>
                <w:color w:val="auto"/>
              </w:rPr>
            </w:pPr>
          </w:p>
        </w:tc>
        <w:tc>
          <w:tcPr>
            <w:tcW w:w="1360" w:type="dxa"/>
            <w:vAlign w:val="bottom"/>
            <w:shd w:val="clear" w:color="auto" w:fill="D9D9D9"/>
          </w:tcPr>
          <w:p>
            <w:pPr>
              <w:spacing w:after="0"/>
              <w:rPr>
                <w:sz w:val="19"/>
                <w:szCs w:val="19"/>
                <w:color w:val="auto"/>
              </w:rPr>
            </w:pPr>
          </w:p>
        </w:tc>
        <w:tc>
          <w:tcPr>
            <w:tcW w:w="1400" w:type="dxa"/>
            <w:vAlign w:val="bottom"/>
            <w:shd w:val="clear" w:color="auto" w:fill="D9D9D9"/>
          </w:tcPr>
          <w:p>
            <w:pPr>
              <w:spacing w:after="0"/>
              <w:rPr>
                <w:sz w:val="19"/>
                <w:szCs w:val="19"/>
                <w:color w:val="auto"/>
              </w:rPr>
            </w:pPr>
          </w:p>
        </w:tc>
        <w:tc>
          <w:tcPr>
            <w:tcW w:w="1260" w:type="dxa"/>
            <w:vAlign w:val="bottom"/>
            <w:tcBorders>
              <w:right w:val="single" w:sz="8" w:color="auto"/>
            </w:tcBorders>
            <w:shd w:val="clear" w:color="auto" w:fill="D9D9D9"/>
          </w:tcPr>
          <w:p>
            <w:pPr>
              <w:spacing w:after="0"/>
              <w:rPr>
                <w:sz w:val="19"/>
                <w:szCs w:val="19"/>
                <w:color w:val="auto"/>
              </w:rPr>
            </w:pPr>
          </w:p>
        </w:tc>
      </w:tr>
      <w:tr>
        <w:trPr>
          <w:trHeight w:val="193"/>
        </w:trPr>
        <w:tc>
          <w:tcPr>
            <w:tcW w:w="2120" w:type="dxa"/>
            <w:vAlign w:val="bottom"/>
            <w:tcBorders>
              <w:left w:val="single" w:sz="8" w:color="auto"/>
            </w:tcBorders>
          </w:tcPr>
          <w:p>
            <w:pPr>
              <w:ind w:left="100"/>
              <w:spacing w:after="0"/>
              <w:rPr>
                <w:sz w:val="20"/>
                <w:szCs w:val="20"/>
                <w:color w:val="auto"/>
              </w:rPr>
            </w:pPr>
            <w:r>
              <w:rPr>
                <w:rFonts w:ascii="Arial" w:cs="Arial" w:eastAsia="Arial" w:hAnsi="Arial"/>
                <w:sz w:val="16"/>
                <w:szCs w:val="16"/>
                <w:color w:val="auto"/>
              </w:rPr>
              <w:t>Gerard Gifford</w:t>
            </w:r>
          </w:p>
        </w:tc>
        <w:tc>
          <w:tcPr>
            <w:tcW w:w="800" w:type="dxa"/>
            <w:vAlign w:val="bottom"/>
          </w:tcPr>
          <w:p>
            <w:pPr>
              <w:spacing w:after="0"/>
              <w:rPr>
                <w:sz w:val="16"/>
                <w:szCs w:val="16"/>
                <w:color w:val="auto"/>
              </w:rPr>
            </w:pPr>
          </w:p>
        </w:tc>
        <w:tc>
          <w:tcPr>
            <w:tcW w:w="680" w:type="dxa"/>
            <w:vAlign w:val="bottom"/>
          </w:tcPr>
          <w:p>
            <w:pPr>
              <w:ind w:left="100"/>
              <w:spacing w:after="0"/>
              <w:rPr>
                <w:sz w:val="20"/>
                <w:szCs w:val="20"/>
                <w:color w:val="auto"/>
              </w:rPr>
            </w:pPr>
            <w:r>
              <w:rPr>
                <w:rFonts w:ascii="Arial" w:cs="Arial" w:eastAsia="Arial" w:hAnsi="Arial"/>
                <w:sz w:val="16"/>
                <w:szCs w:val="16"/>
                <w:color w:val="auto"/>
              </w:rPr>
              <w:t>2019</w:t>
            </w: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715,000</w:t>
            </w:r>
          </w:p>
        </w:tc>
        <w:tc>
          <w:tcPr>
            <w:tcW w:w="1300" w:type="dxa"/>
            <w:vAlign w:val="bottom"/>
          </w:tcPr>
          <w:p>
            <w:pPr>
              <w:jc w:val="right"/>
              <w:ind w:right="83"/>
              <w:spacing w:after="0"/>
              <w:rPr>
                <w:sz w:val="20"/>
                <w:szCs w:val="20"/>
                <w:color w:val="auto"/>
              </w:rPr>
            </w:pPr>
            <w:r>
              <w:rPr>
                <w:rFonts w:ascii="Arial" w:cs="Arial" w:eastAsia="Arial" w:hAnsi="Arial"/>
                <w:sz w:val="16"/>
                <w:szCs w:val="16"/>
                <w:color w:val="auto"/>
              </w:rPr>
              <w:t>1,787,478</w:t>
            </w:r>
          </w:p>
        </w:tc>
        <w:tc>
          <w:tcPr>
            <w:tcW w:w="1200" w:type="dxa"/>
            <w:vAlign w:val="bottom"/>
          </w:tcPr>
          <w:p>
            <w:pPr>
              <w:jc w:val="right"/>
              <w:ind w:right="44"/>
              <w:spacing w:after="0"/>
              <w:rPr>
                <w:sz w:val="20"/>
                <w:szCs w:val="20"/>
                <w:color w:val="auto"/>
              </w:rPr>
            </w:pPr>
            <w:r>
              <w:rPr>
                <w:rFonts w:ascii="Arial" w:cs="Arial" w:eastAsia="Arial" w:hAnsi="Arial"/>
                <w:sz w:val="16"/>
                <w:szCs w:val="16"/>
                <w:color w:val="auto"/>
              </w:rPr>
              <w:t>838,874</w:t>
            </w:r>
          </w:p>
        </w:tc>
        <w:tc>
          <w:tcPr>
            <w:tcW w:w="1360" w:type="dxa"/>
            <w:vAlign w:val="bottom"/>
          </w:tcPr>
          <w:p>
            <w:pPr>
              <w:jc w:val="right"/>
              <w:ind w:right="105"/>
              <w:spacing w:after="0"/>
              <w:rPr>
                <w:sz w:val="20"/>
                <w:szCs w:val="20"/>
                <w:color w:val="auto"/>
              </w:rPr>
            </w:pPr>
            <w:r>
              <w:rPr>
                <w:rFonts w:ascii="Arial" w:cs="Arial" w:eastAsia="Arial" w:hAnsi="Arial"/>
                <w:sz w:val="16"/>
                <w:szCs w:val="16"/>
                <w:color w:val="auto"/>
              </w:rPr>
              <w:t>1,825,676</w:t>
            </w:r>
          </w:p>
        </w:tc>
        <w:tc>
          <w:tcPr>
            <w:tcW w:w="1400" w:type="dxa"/>
            <w:vAlign w:val="bottom"/>
          </w:tcPr>
          <w:p>
            <w:pPr>
              <w:jc w:val="right"/>
              <w:ind w:right="183"/>
              <w:spacing w:after="0"/>
              <w:rPr>
                <w:sz w:val="20"/>
                <w:szCs w:val="20"/>
                <w:color w:val="auto"/>
              </w:rPr>
            </w:pPr>
            <w:r>
              <w:rPr>
                <w:rFonts w:ascii="Arial" w:cs="Arial" w:eastAsia="Arial" w:hAnsi="Arial"/>
                <w:sz w:val="16"/>
                <w:szCs w:val="16"/>
                <w:color w:val="auto"/>
              </w:rPr>
              <w:t>465,581</w:t>
            </w:r>
          </w:p>
        </w:tc>
        <w:tc>
          <w:tcPr>
            <w:tcW w:w="1260" w:type="dxa"/>
            <w:vAlign w:val="bottom"/>
            <w:tcBorders>
              <w:right w:val="single" w:sz="8" w:color="auto"/>
            </w:tcBorders>
          </w:tcPr>
          <w:p>
            <w:pPr>
              <w:jc w:val="right"/>
              <w:ind w:right="3"/>
              <w:spacing w:after="0"/>
              <w:rPr>
                <w:sz w:val="20"/>
                <w:szCs w:val="20"/>
                <w:color w:val="auto"/>
              </w:rPr>
            </w:pPr>
            <w:r>
              <w:rPr>
                <w:rFonts w:ascii="Arial" w:cs="Arial" w:eastAsia="Arial" w:hAnsi="Arial"/>
                <w:sz w:val="16"/>
                <w:szCs w:val="16"/>
                <w:color w:val="auto"/>
              </w:rPr>
              <w:t>5,632,609</w:t>
            </w:r>
          </w:p>
        </w:tc>
      </w:tr>
      <w:tr>
        <w:trPr>
          <w:trHeight w:val="186"/>
        </w:trPr>
        <w:tc>
          <w:tcPr>
            <w:tcW w:w="2120" w:type="dxa"/>
            <w:vAlign w:val="bottom"/>
            <w:tcBorders>
              <w:left w:val="single" w:sz="8" w:color="auto"/>
            </w:tcBorders>
          </w:tcPr>
          <w:p>
            <w:pPr>
              <w:ind w:left="220"/>
              <w:spacing w:after="0"/>
              <w:rPr>
                <w:sz w:val="20"/>
                <w:szCs w:val="20"/>
                <w:color w:val="auto"/>
              </w:rPr>
            </w:pPr>
            <w:r>
              <w:rPr>
                <w:rFonts w:ascii="Arial" w:cs="Arial" w:eastAsia="Arial" w:hAnsi="Arial"/>
                <w:sz w:val="16"/>
                <w:szCs w:val="16"/>
                <w:color w:val="auto"/>
                <w:w w:val="90"/>
              </w:rPr>
              <w:t>Executive Vice President and</w:t>
            </w:r>
          </w:p>
        </w:tc>
        <w:tc>
          <w:tcPr>
            <w:tcW w:w="800" w:type="dxa"/>
            <w:vAlign w:val="bottom"/>
          </w:tcPr>
          <w:p>
            <w:pPr>
              <w:ind w:left="60"/>
              <w:spacing w:after="0"/>
              <w:rPr>
                <w:sz w:val="20"/>
                <w:szCs w:val="20"/>
                <w:color w:val="auto"/>
              </w:rPr>
            </w:pPr>
            <w:r>
              <w:rPr>
                <w:rFonts w:ascii="Arial" w:cs="Arial" w:eastAsia="Arial" w:hAnsi="Arial"/>
                <w:sz w:val="16"/>
                <w:szCs w:val="16"/>
                <w:color w:val="auto"/>
              </w:rPr>
              <w:t>Chief</w:t>
            </w:r>
          </w:p>
        </w:tc>
        <w:tc>
          <w:tcPr>
            <w:tcW w:w="680" w:type="dxa"/>
            <w:vAlign w:val="bottom"/>
          </w:tcPr>
          <w:p>
            <w:pPr>
              <w:ind w:left="100"/>
              <w:spacing w:after="0"/>
              <w:rPr>
                <w:sz w:val="20"/>
                <w:szCs w:val="20"/>
                <w:color w:val="auto"/>
              </w:rPr>
            </w:pPr>
            <w:r>
              <w:rPr>
                <w:rFonts w:ascii="Arial" w:cs="Arial" w:eastAsia="Arial" w:hAnsi="Arial"/>
                <w:sz w:val="16"/>
                <w:szCs w:val="16"/>
                <w:color w:val="auto"/>
              </w:rPr>
              <w:t>2018</w:t>
            </w: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680,000</w:t>
            </w:r>
          </w:p>
        </w:tc>
        <w:tc>
          <w:tcPr>
            <w:tcW w:w="1300" w:type="dxa"/>
            <w:vAlign w:val="bottom"/>
          </w:tcPr>
          <w:p>
            <w:pPr>
              <w:jc w:val="right"/>
              <w:ind w:right="83"/>
              <w:spacing w:after="0"/>
              <w:rPr>
                <w:sz w:val="20"/>
                <w:szCs w:val="20"/>
                <w:color w:val="auto"/>
              </w:rPr>
            </w:pPr>
            <w:r>
              <w:rPr>
                <w:rFonts w:ascii="Arial" w:cs="Arial" w:eastAsia="Arial" w:hAnsi="Arial"/>
                <w:sz w:val="16"/>
                <w:szCs w:val="16"/>
                <w:color w:val="auto"/>
              </w:rPr>
              <w:t>1,700,010</w:t>
            </w:r>
          </w:p>
        </w:tc>
        <w:tc>
          <w:tcPr>
            <w:tcW w:w="1200" w:type="dxa"/>
            <w:vAlign w:val="bottom"/>
          </w:tcPr>
          <w:p>
            <w:pPr>
              <w:jc w:val="right"/>
              <w:ind w:right="44"/>
              <w:spacing w:after="0"/>
              <w:rPr>
                <w:sz w:val="20"/>
                <w:szCs w:val="20"/>
                <w:color w:val="auto"/>
              </w:rPr>
            </w:pPr>
            <w:r>
              <w:rPr>
                <w:rFonts w:ascii="Arial" w:cs="Arial" w:eastAsia="Arial" w:hAnsi="Arial"/>
                <w:sz w:val="16"/>
                <w:szCs w:val="16"/>
                <w:color w:val="auto"/>
              </w:rPr>
              <w:t>849,490</w:t>
            </w:r>
          </w:p>
        </w:tc>
        <w:tc>
          <w:tcPr>
            <w:tcW w:w="1360" w:type="dxa"/>
            <w:vAlign w:val="bottom"/>
          </w:tcPr>
          <w:p>
            <w:pPr>
              <w:jc w:val="right"/>
              <w:ind w:right="105"/>
              <w:spacing w:after="0"/>
              <w:rPr>
                <w:sz w:val="20"/>
                <w:szCs w:val="20"/>
                <w:color w:val="auto"/>
              </w:rPr>
            </w:pPr>
            <w:r>
              <w:rPr>
                <w:rFonts w:ascii="Arial" w:cs="Arial" w:eastAsia="Arial" w:hAnsi="Arial"/>
                <w:sz w:val="16"/>
                <w:szCs w:val="16"/>
                <w:color w:val="auto"/>
              </w:rPr>
              <w:t>1,048,496</w:t>
            </w:r>
          </w:p>
        </w:tc>
        <w:tc>
          <w:tcPr>
            <w:tcW w:w="1400" w:type="dxa"/>
            <w:vAlign w:val="bottom"/>
          </w:tcPr>
          <w:p>
            <w:pPr>
              <w:jc w:val="right"/>
              <w:ind w:right="183"/>
              <w:spacing w:after="0"/>
              <w:rPr>
                <w:sz w:val="20"/>
                <w:szCs w:val="20"/>
                <w:color w:val="auto"/>
              </w:rPr>
            </w:pPr>
            <w:r>
              <w:rPr>
                <w:rFonts w:ascii="Arial" w:cs="Arial" w:eastAsia="Arial" w:hAnsi="Arial"/>
                <w:sz w:val="16"/>
                <w:szCs w:val="16"/>
                <w:color w:val="auto"/>
              </w:rPr>
              <w:t>63,572</w:t>
            </w:r>
          </w:p>
        </w:tc>
        <w:tc>
          <w:tcPr>
            <w:tcW w:w="1260" w:type="dxa"/>
            <w:vAlign w:val="bottom"/>
            <w:tcBorders>
              <w:right w:val="single" w:sz="8" w:color="auto"/>
            </w:tcBorders>
          </w:tcPr>
          <w:p>
            <w:pPr>
              <w:jc w:val="right"/>
              <w:ind w:right="3"/>
              <w:spacing w:after="0"/>
              <w:rPr>
                <w:sz w:val="20"/>
                <w:szCs w:val="20"/>
                <w:color w:val="auto"/>
              </w:rPr>
            </w:pPr>
            <w:r>
              <w:rPr>
                <w:rFonts w:ascii="Arial" w:cs="Arial" w:eastAsia="Arial" w:hAnsi="Arial"/>
                <w:sz w:val="16"/>
                <w:szCs w:val="16"/>
                <w:color w:val="auto"/>
              </w:rPr>
              <w:t>4,341,568</w:t>
            </w:r>
          </w:p>
        </w:tc>
      </w:tr>
      <w:tr>
        <w:trPr>
          <w:trHeight w:val="200"/>
        </w:trPr>
        <w:tc>
          <w:tcPr>
            <w:tcW w:w="2120" w:type="dxa"/>
            <w:vAlign w:val="bottom"/>
            <w:tcBorders>
              <w:left w:val="single" w:sz="8" w:color="auto"/>
            </w:tcBorders>
          </w:tcPr>
          <w:p>
            <w:pPr>
              <w:ind w:left="220"/>
              <w:spacing w:after="0"/>
              <w:rPr>
                <w:sz w:val="20"/>
                <w:szCs w:val="20"/>
                <w:color w:val="auto"/>
              </w:rPr>
            </w:pPr>
            <w:r>
              <w:rPr>
                <w:rFonts w:ascii="Arial" w:cs="Arial" w:eastAsia="Arial" w:hAnsi="Arial"/>
                <w:sz w:val="16"/>
                <w:szCs w:val="16"/>
                <w:color w:val="auto"/>
              </w:rPr>
              <w:t>Operating Officer</w:t>
            </w:r>
          </w:p>
        </w:tc>
        <w:tc>
          <w:tcPr>
            <w:tcW w:w="800" w:type="dxa"/>
            <w:vAlign w:val="bottom"/>
          </w:tcPr>
          <w:p>
            <w:pPr>
              <w:spacing w:after="0"/>
              <w:rPr>
                <w:sz w:val="17"/>
                <w:szCs w:val="17"/>
                <w:color w:val="auto"/>
              </w:rPr>
            </w:pPr>
          </w:p>
        </w:tc>
        <w:tc>
          <w:tcPr>
            <w:tcW w:w="680" w:type="dxa"/>
            <w:vAlign w:val="bottom"/>
          </w:tcPr>
          <w:p>
            <w:pPr>
              <w:ind w:left="100"/>
              <w:spacing w:after="0"/>
              <w:rPr>
                <w:sz w:val="20"/>
                <w:szCs w:val="20"/>
                <w:color w:val="auto"/>
              </w:rPr>
            </w:pPr>
            <w:r>
              <w:rPr>
                <w:rFonts w:ascii="Arial" w:cs="Arial" w:eastAsia="Arial" w:hAnsi="Arial"/>
                <w:sz w:val="16"/>
                <w:szCs w:val="16"/>
                <w:color w:val="auto"/>
              </w:rPr>
              <w:t>2017</w:t>
            </w: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640,000</w:t>
            </w:r>
          </w:p>
        </w:tc>
        <w:tc>
          <w:tcPr>
            <w:tcW w:w="1300" w:type="dxa"/>
            <w:vAlign w:val="bottom"/>
          </w:tcPr>
          <w:p>
            <w:pPr>
              <w:jc w:val="right"/>
              <w:ind w:right="83"/>
              <w:spacing w:after="0"/>
              <w:rPr>
                <w:sz w:val="20"/>
                <w:szCs w:val="20"/>
                <w:color w:val="auto"/>
              </w:rPr>
            </w:pPr>
            <w:r>
              <w:rPr>
                <w:rFonts w:ascii="Arial" w:cs="Arial" w:eastAsia="Arial" w:hAnsi="Arial"/>
                <w:sz w:val="16"/>
                <w:szCs w:val="16"/>
                <w:color w:val="auto"/>
              </w:rPr>
              <w:t>1,625,030</w:t>
            </w:r>
          </w:p>
        </w:tc>
        <w:tc>
          <w:tcPr>
            <w:tcW w:w="1200" w:type="dxa"/>
            <w:vAlign w:val="bottom"/>
          </w:tcPr>
          <w:p>
            <w:pPr>
              <w:jc w:val="right"/>
              <w:ind w:right="44"/>
              <w:spacing w:after="0"/>
              <w:rPr>
                <w:sz w:val="20"/>
                <w:szCs w:val="20"/>
                <w:color w:val="auto"/>
              </w:rPr>
            </w:pPr>
            <w:r>
              <w:rPr>
                <w:rFonts w:ascii="Arial" w:cs="Arial" w:eastAsia="Arial" w:hAnsi="Arial"/>
                <w:sz w:val="16"/>
                <w:szCs w:val="16"/>
                <w:color w:val="auto"/>
              </w:rPr>
              <w:t>1,129,958</w:t>
            </w:r>
          </w:p>
        </w:tc>
        <w:tc>
          <w:tcPr>
            <w:tcW w:w="1360" w:type="dxa"/>
            <w:vAlign w:val="bottom"/>
          </w:tcPr>
          <w:p>
            <w:pPr>
              <w:jc w:val="right"/>
              <w:ind w:right="105"/>
              <w:spacing w:after="0"/>
              <w:rPr>
                <w:sz w:val="20"/>
                <w:szCs w:val="20"/>
                <w:color w:val="auto"/>
              </w:rPr>
            </w:pPr>
            <w:r>
              <w:rPr>
                <w:rFonts w:ascii="Arial" w:cs="Arial" w:eastAsia="Arial" w:hAnsi="Arial"/>
                <w:sz w:val="16"/>
                <w:szCs w:val="16"/>
                <w:color w:val="auto"/>
              </w:rPr>
              <w:t>2,482,355</w:t>
            </w:r>
          </w:p>
        </w:tc>
        <w:tc>
          <w:tcPr>
            <w:tcW w:w="1400" w:type="dxa"/>
            <w:vAlign w:val="bottom"/>
          </w:tcPr>
          <w:p>
            <w:pPr>
              <w:jc w:val="right"/>
              <w:ind w:right="183"/>
              <w:spacing w:after="0"/>
              <w:rPr>
                <w:sz w:val="20"/>
                <w:szCs w:val="20"/>
                <w:color w:val="auto"/>
              </w:rPr>
            </w:pPr>
            <w:r>
              <w:rPr>
                <w:rFonts w:ascii="Arial" w:cs="Arial" w:eastAsia="Arial" w:hAnsi="Arial"/>
                <w:sz w:val="16"/>
                <w:szCs w:val="16"/>
                <w:color w:val="auto"/>
              </w:rPr>
              <w:t>995,275</w:t>
            </w:r>
          </w:p>
        </w:tc>
        <w:tc>
          <w:tcPr>
            <w:tcW w:w="1260" w:type="dxa"/>
            <w:vAlign w:val="bottom"/>
            <w:tcBorders>
              <w:right w:val="single" w:sz="8" w:color="auto"/>
            </w:tcBorders>
          </w:tcPr>
          <w:p>
            <w:pPr>
              <w:jc w:val="right"/>
              <w:ind w:right="3"/>
              <w:spacing w:after="0"/>
              <w:rPr>
                <w:sz w:val="20"/>
                <w:szCs w:val="20"/>
                <w:color w:val="auto"/>
              </w:rPr>
            </w:pPr>
            <w:r>
              <w:rPr>
                <w:rFonts w:ascii="Arial" w:cs="Arial" w:eastAsia="Arial" w:hAnsi="Arial"/>
                <w:sz w:val="16"/>
                <w:szCs w:val="16"/>
                <w:color w:val="auto"/>
              </w:rPr>
              <w:t>6,872,618</w:t>
            </w:r>
          </w:p>
        </w:tc>
      </w:tr>
      <w:tr>
        <w:trPr>
          <w:trHeight w:val="227"/>
        </w:trPr>
        <w:tc>
          <w:tcPr>
            <w:tcW w:w="2120" w:type="dxa"/>
            <w:vAlign w:val="bottom"/>
            <w:tcBorders>
              <w:left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193"/>
        </w:trPr>
        <w:tc>
          <w:tcPr>
            <w:tcW w:w="2120" w:type="dxa"/>
            <w:vAlign w:val="bottom"/>
            <w:tcBorders>
              <w:left w:val="single" w:sz="8" w:color="auto"/>
            </w:tcBorders>
            <w:shd w:val="clear" w:color="auto" w:fill="D9D9D9"/>
          </w:tcPr>
          <w:p>
            <w:pPr>
              <w:ind w:left="100"/>
              <w:spacing w:after="0"/>
              <w:rPr>
                <w:sz w:val="20"/>
                <w:szCs w:val="20"/>
                <w:color w:val="auto"/>
              </w:rPr>
            </w:pPr>
            <w:r>
              <w:rPr>
                <w:rFonts w:ascii="Arial" w:cs="Arial" w:eastAsia="Arial" w:hAnsi="Arial"/>
                <w:sz w:val="16"/>
                <w:szCs w:val="16"/>
                <w:color w:val="auto"/>
              </w:rPr>
              <w:t>Djalma Novaes</w:t>
            </w:r>
          </w:p>
        </w:tc>
        <w:tc>
          <w:tcPr>
            <w:tcW w:w="800" w:type="dxa"/>
            <w:vAlign w:val="bottom"/>
            <w:shd w:val="clear" w:color="auto" w:fill="D9D9D9"/>
          </w:tcPr>
          <w:p>
            <w:pPr>
              <w:spacing w:after="0"/>
              <w:rPr>
                <w:sz w:val="16"/>
                <w:szCs w:val="16"/>
                <w:color w:val="auto"/>
              </w:rPr>
            </w:pPr>
          </w:p>
        </w:tc>
        <w:tc>
          <w:tcPr>
            <w:tcW w:w="680" w:type="dxa"/>
            <w:vAlign w:val="bottom"/>
            <w:shd w:val="clear" w:color="auto" w:fill="D9D9D9"/>
          </w:tcPr>
          <w:p>
            <w:pPr>
              <w:ind w:left="100"/>
              <w:spacing w:after="0"/>
              <w:rPr>
                <w:sz w:val="20"/>
                <w:szCs w:val="20"/>
                <w:color w:val="auto"/>
              </w:rPr>
            </w:pPr>
            <w:r>
              <w:rPr>
                <w:rFonts w:ascii="Arial" w:cs="Arial" w:eastAsia="Arial" w:hAnsi="Arial"/>
                <w:sz w:val="16"/>
                <w:szCs w:val="16"/>
                <w:color w:val="auto"/>
              </w:rPr>
              <w:t>2019</w:t>
            </w:r>
          </w:p>
        </w:tc>
        <w:tc>
          <w:tcPr>
            <w:tcW w:w="1140" w:type="dxa"/>
            <w:vAlign w:val="bottom"/>
            <w:shd w:val="clear" w:color="auto" w:fill="D9D9D9"/>
          </w:tcPr>
          <w:p>
            <w:pPr>
              <w:jc w:val="right"/>
              <w:ind w:right="22"/>
              <w:spacing w:after="0"/>
              <w:rPr>
                <w:sz w:val="20"/>
                <w:szCs w:val="20"/>
                <w:color w:val="auto"/>
              </w:rPr>
            </w:pPr>
            <w:r>
              <w:rPr>
                <w:rFonts w:ascii="Arial" w:cs="Arial" w:eastAsia="Arial" w:hAnsi="Arial"/>
                <w:sz w:val="16"/>
                <w:szCs w:val="16"/>
                <w:color w:val="auto"/>
              </w:rPr>
              <w:t>575,000</w:t>
            </w:r>
          </w:p>
        </w:tc>
        <w:tc>
          <w:tcPr>
            <w:tcW w:w="1300" w:type="dxa"/>
            <w:vAlign w:val="bottom"/>
            <w:shd w:val="clear" w:color="auto" w:fill="D9D9D9"/>
          </w:tcPr>
          <w:p>
            <w:pPr>
              <w:jc w:val="right"/>
              <w:ind w:right="83"/>
              <w:spacing w:after="0"/>
              <w:rPr>
                <w:sz w:val="20"/>
                <w:szCs w:val="20"/>
                <w:color w:val="auto"/>
              </w:rPr>
            </w:pPr>
            <w:r>
              <w:rPr>
                <w:rFonts w:ascii="Arial" w:cs="Arial" w:eastAsia="Arial" w:hAnsi="Arial"/>
                <w:sz w:val="16"/>
                <w:szCs w:val="16"/>
                <w:color w:val="auto"/>
              </w:rPr>
              <w:t>1,006,293</w:t>
            </w:r>
          </w:p>
        </w:tc>
        <w:tc>
          <w:tcPr>
            <w:tcW w:w="1200" w:type="dxa"/>
            <w:vAlign w:val="bottom"/>
            <w:shd w:val="clear" w:color="auto" w:fill="D9D9D9"/>
          </w:tcPr>
          <w:p>
            <w:pPr>
              <w:jc w:val="right"/>
              <w:ind w:right="44"/>
              <w:spacing w:after="0"/>
              <w:rPr>
                <w:sz w:val="20"/>
                <w:szCs w:val="20"/>
                <w:color w:val="auto"/>
              </w:rPr>
            </w:pPr>
            <w:r>
              <w:rPr>
                <w:rFonts w:ascii="Arial" w:cs="Arial" w:eastAsia="Arial" w:hAnsi="Arial"/>
                <w:sz w:val="16"/>
                <w:szCs w:val="16"/>
                <w:color w:val="auto"/>
              </w:rPr>
              <w:t>887,340</w:t>
            </w:r>
          </w:p>
        </w:tc>
        <w:tc>
          <w:tcPr>
            <w:tcW w:w="1360" w:type="dxa"/>
            <w:vAlign w:val="bottom"/>
            <w:shd w:val="clear" w:color="auto" w:fill="D9D9D9"/>
          </w:tcPr>
          <w:p>
            <w:pPr>
              <w:jc w:val="right"/>
              <w:ind w:right="105"/>
              <w:spacing w:after="0"/>
              <w:rPr>
                <w:sz w:val="20"/>
                <w:szCs w:val="20"/>
                <w:color w:val="auto"/>
              </w:rPr>
            </w:pPr>
            <w:r>
              <w:rPr>
                <w:rFonts w:ascii="Arial" w:cs="Arial" w:eastAsia="Arial" w:hAnsi="Arial"/>
                <w:sz w:val="16"/>
                <w:szCs w:val="16"/>
                <w:color w:val="auto"/>
              </w:rPr>
              <w:t>1,567,452</w:t>
            </w:r>
          </w:p>
        </w:tc>
        <w:tc>
          <w:tcPr>
            <w:tcW w:w="1400" w:type="dxa"/>
            <w:vAlign w:val="bottom"/>
            <w:shd w:val="clear" w:color="auto" w:fill="D9D9D9"/>
          </w:tcPr>
          <w:p>
            <w:pPr>
              <w:jc w:val="right"/>
              <w:ind w:right="183"/>
              <w:spacing w:after="0"/>
              <w:rPr>
                <w:sz w:val="20"/>
                <w:szCs w:val="20"/>
                <w:color w:val="auto"/>
              </w:rPr>
            </w:pPr>
            <w:r>
              <w:rPr>
                <w:rFonts w:ascii="Arial" w:cs="Arial" w:eastAsia="Arial" w:hAnsi="Arial"/>
                <w:sz w:val="16"/>
                <w:szCs w:val="16"/>
                <w:color w:val="auto"/>
              </w:rPr>
              <w:t>480,606</w:t>
            </w:r>
          </w:p>
        </w:tc>
        <w:tc>
          <w:tcPr>
            <w:tcW w:w="1260" w:type="dxa"/>
            <w:vAlign w:val="bottom"/>
            <w:tcBorders>
              <w:right w:val="single" w:sz="8" w:color="auto"/>
            </w:tcBorders>
            <w:shd w:val="clear" w:color="auto" w:fill="D9D9D9"/>
          </w:tcPr>
          <w:p>
            <w:pPr>
              <w:jc w:val="right"/>
              <w:ind w:right="3"/>
              <w:spacing w:after="0"/>
              <w:rPr>
                <w:sz w:val="20"/>
                <w:szCs w:val="20"/>
                <w:color w:val="auto"/>
              </w:rPr>
            </w:pPr>
            <w:r>
              <w:rPr>
                <w:rFonts w:ascii="Arial" w:cs="Arial" w:eastAsia="Arial" w:hAnsi="Arial"/>
                <w:sz w:val="16"/>
                <w:szCs w:val="16"/>
                <w:color w:val="auto"/>
              </w:rPr>
              <w:t>4,516,691</w:t>
            </w:r>
          </w:p>
        </w:tc>
      </w:tr>
      <w:tr>
        <w:trPr>
          <w:trHeight w:val="200"/>
        </w:trPr>
        <w:tc>
          <w:tcPr>
            <w:tcW w:w="2920" w:type="dxa"/>
            <w:vAlign w:val="bottom"/>
            <w:tcBorders>
              <w:left w:val="single" w:sz="8" w:color="auto"/>
            </w:tcBorders>
            <w:gridSpan w:val="2"/>
            <w:shd w:val="clear" w:color="auto" w:fill="D9D9D9"/>
          </w:tcPr>
          <w:p>
            <w:pPr>
              <w:ind w:left="220"/>
              <w:spacing w:after="0"/>
              <w:rPr>
                <w:sz w:val="20"/>
                <w:szCs w:val="20"/>
                <w:color w:val="auto"/>
              </w:rPr>
            </w:pPr>
            <w:r>
              <w:rPr>
                <w:rFonts w:ascii="Arial" w:cs="Arial" w:eastAsia="Arial" w:hAnsi="Arial"/>
                <w:sz w:val="16"/>
                <w:szCs w:val="16"/>
                <w:color w:val="auto"/>
              </w:rPr>
              <w:t>President – Americas Division</w:t>
            </w:r>
          </w:p>
        </w:tc>
        <w:tc>
          <w:tcPr>
            <w:tcW w:w="680" w:type="dxa"/>
            <w:vAlign w:val="bottom"/>
            <w:shd w:val="clear" w:color="auto" w:fill="D9D9D9"/>
          </w:tcPr>
          <w:p>
            <w:pPr>
              <w:ind w:left="100"/>
              <w:spacing w:after="0"/>
              <w:rPr>
                <w:sz w:val="20"/>
                <w:szCs w:val="20"/>
                <w:color w:val="auto"/>
              </w:rPr>
            </w:pPr>
            <w:r>
              <w:rPr>
                <w:rFonts w:ascii="Arial" w:cs="Arial" w:eastAsia="Arial" w:hAnsi="Arial"/>
                <w:sz w:val="16"/>
                <w:szCs w:val="16"/>
                <w:color w:val="auto"/>
              </w:rPr>
              <w:t>2018</w:t>
            </w:r>
          </w:p>
        </w:tc>
        <w:tc>
          <w:tcPr>
            <w:tcW w:w="1140" w:type="dxa"/>
            <w:vAlign w:val="bottom"/>
            <w:shd w:val="clear" w:color="auto" w:fill="D9D9D9"/>
          </w:tcPr>
          <w:p>
            <w:pPr>
              <w:jc w:val="right"/>
              <w:ind w:right="22"/>
              <w:spacing w:after="0"/>
              <w:rPr>
                <w:sz w:val="20"/>
                <w:szCs w:val="20"/>
                <w:color w:val="auto"/>
              </w:rPr>
            </w:pPr>
            <w:r>
              <w:rPr>
                <w:rFonts w:ascii="Arial" w:cs="Arial" w:eastAsia="Arial" w:hAnsi="Arial"/>
                <w:sz w:val="16"/>
                <w:szCs w:val="16"/>
                <w:color w:val="auto"/>
              </w:rPr>
              <w:t>555,000</w:t>
            </w:r>
          </w:p>
        </w:tc>
        <w:tc>
          <w:tcPr>
            <w:tcW w:w="1300" w:type="dxa"/>
            <w:vAlign w:val="bottom"/>
            <w:shd w:val="clear" w:color="auto" w:fill="D9D9D9"/>
          </w:tcPr>
          <w:p>
            <w:pPr>
              <w:jc w:val="right"/>
              <w:ind w:right="83"/>
              <w:spacing w:after="0"/>
              <w:rPr>
                <w:sz w:val="20"/>
                <w:szCs w:val="20"/>
                <w:color w:val="auto"/>
              </w:rPr>
            </w:pPr>
            <w:r>
              <w:rPr>
                <w:rFonts w:ascii="Arial" w:cs="Arial" w:eastAsia="Arial" w:hAnsi="Arial"/>
                <w:sz w:val="16"/>
                <w:szCs w:val="16"/>
                <w:color w:val="auto"/>
              </w:rPr>
              <w:t>971,269</w:t>
            </w:r>
          </w:p>
        </w:tc>
        <w:tc>
          <w:tcPr>
            <w:tcW w:w="1200" w:type="dxa"/>
            <w:vAlign w:val="bottom"/>
            <w:shd w:val="clear" w:color="auto" w:fill="D9D9D9"/>
          </w:tcPr>
          <w:p>
            <w:pPr>
              <w:jc w:val="right"/>
              <w:ind w:right="44"/>
              <w:spacing w:after="0"/>
              <w:rPr>
                <w:sz w:val="20"/>
                <w:szCs w:val="20"/>
                <w:color w:val="auto"/>
              </w:rPr>
            </w:pPr>
            <w:r>
              <w:rPr>
                <w:rFonts w:ascii="Arial" w:cs="Arial" w:eastAsia="Arial" w:hAnsi="Arial"/>
                <w:sz w:val="16"/>
                <w:szCs w:val="16"/>
                <w:color w:val="auto"/>
              </w:rPr>
              <w:t>312,132</w:t>
            </w:r>
          </w:p>
        </w:tc>
        <w:tc>
          <w:tcPr>
            <w:tcW w:w="1360" w:type="dxa"/>
            <w:vAlign w:val="bottom"/>
            <w:shd w:val="clear" w:color="auto" w:fill="D9D9D9"/>
          </w:tcPr>
          <w:p>
            <w:pPr>
              <w:jc w:val="right"/>
              <w:ind w:right="105"/>
              <w:spacing w:after="0"/>
              <w:rPr>
                <w:sz w:val="20"/>
                <w:szCs w:val="20"/>
                <w:color w:val="auto"/>
              </w:rPr>
            </w:pPr>
            <w:r>
              <w:rPr>
                <w:rFonts w:ascii="Arial" w:cs="Arial" w:eastAsia="Arial" w:hAnsi="Arial"/>
                <w:sz w:val="16"/>
                <w:szCs w:val="16"/>
                <w:color w:val="auto"/>
              </w:rPr>
              <w:t>419,423</w:t>
            </w:r>
          </w:p>
        </w:tc>
        <w:tc>
          <w:tcPr>
            <w:tcW w:w="1400" w:type="dxa"/>
            <w:vAlign w:val="bottom"/>
            <w:shd w:val="clear" w:color="auto" w:fill="D9D9D9"/>
          </w:tcPr>
          <w:p>
            <w:pPr>
              <w:jc w:val="right"/>
              <w:ind w:right="183"/>
              <w:spacing w:after="0"/>
              <w:rPr>
                <w:sz w:val="20"/>
                <w:szCs w:val="20"/>
                <w:color w:val="auto"/>
              </w:rPr>
            </w:pPr>
            <w:r>
              <w:rPr>
                <w:rFonts w:ascii="Arial" w:cs="Arial" w:eastAsia="Arial" w:hAnsi="Arial"/>
                <w:sz w:val="16"/>
                <w:szCs w:val="16"/>
                <w:color w:val="auto"/>
              </w:rPr>
              <w:t>14,271</w:t>
            </w:r>
          </w:p>
        </w:tc>
        <w:tc>
          <w:tcPr>
            <w:tcW w:w="1260" w:type="dxa"/>
            <w:vAlign w:val="bottom"/>
            <w:tcBorders>
              <w:right w:val="single" w:sz="8" w:color="auto"/>
            </w:tcBorders>
            <w:shd w:val="clear" w:color="auto" w:fill="D9D9D9"/>
          </w:tcPr>
          <w:p>
            <w:pPr>
              <w:jc w:val="right"/>
              <w:ind w:right="3"/>
              <w:spacing w:after="0"/>
              <w:rPr>
                <w:sz w:val="20"/>
                <w:szCs w:val="20"/>
                <w:color w:val="auto"/>
              </w:rPr>
            </w:pPr>
            <w:r>
              <w:rPr>
                <w:rFonts w:ascii="Arial" w:cs="Arial" w:eastAsia="Arial" w:hAnsi="Arial"/>
                <w:sz w:val="16"/>
                <w:szCs w:val="16"/>
                <w:color w:val="auto"/>
              </w:rPr>
              <w:t>2,272,095</w:t>
            </w:r>
          </w:p>
        </w:tc>
      </w:tr>
      <w:tr>
        <w:trPr>
          <w:trHeight w:val="200"/>
        </w:trPr>
        <w:tc>
          <w:tcPr>
            <w:tcW w:w="2120" w:type="dxa"/>
            <w:vAlign w:val="bottom"/>
            <w:tcBorders>
              <w:left w:val="single" w:sz="8" w:color="auto"/>
            </w:tcBorders>
            <w:shd w:val="clear" w:color="auto" w:fill="D9D9D9"/>
          </w:tcPr>
          <w:p>
            <w:pPr>
              <w:spacing w:after="0"/>
              <w:rPr>
                <w:sz w:val="17"/>
                <w:szCs w:val="17"/>
                <w:color w:val="auto"/>
              </w:rPr>
            </w:pPr>
          </w:p>
        </w:tc>
        <w:tc>
          <w:tcPr>
            <w:tcW w:w="800" w:type="dxa"/>
            <w:vAlign w:val="bottom"/>
            <w:shd w:val="clear" w:color="auto" w:fill="D9D9D9"/>
          </w:tcPr>
          <w:p>
            <w:pPr>
              <w:spacing w:after="0"/>
              <w:rPr>
                <w:sz w:val="17"/>
                <w:szCs w:val="17"/>
                <w:color w:val="auto"/>
              </w:rPr>
            </w:pPr>
          </w:p>
        </w:tc>
        <w:tc>
          <w:tcPr>
            <w:tcW w:w="680" w:type="dxa"/>
            <w:vAlign w:val="bottom"/>
            <w:shd w:val="clear" w:color="auto" w:fill="D9D9D9"/>
          </w:tcPr>
          <w:p>
            <w:pPr>
              <w:ind w:left="100"/>
              <w:spacing w:after="0"/>
              <w:rPr>
                <w:sz w:val="20"/>
                <w:szCs w:val="20"/>
                <w:color w:val="auto"/>
              </w:rPr>
            </w:pPr>
            <w:r>
              <w:rPr>
                <w:rFonts w:ascii="Arial" w:cs="Arial" w:eastAsia="Arial" w:hAnsi="Arial"/>
                <w:sz w:val="16"/>
                <w:szCs w:val="16"/>
                <w:color w:val="auto"/>
              </w:rPr>
              <w:t>2017</w:t>
            </w:r>
          </w:p>
        </w:tc>
        <w:tc>
          <w:tcPr>
            <w:tcW w:w="1140" w:type="dxa"/>
            <w:vAlign w:val="bottom"/>
            <w:shd w:val="clear" w:color="auto" w:fill="D9D9D9"/>
          </w:tcPr>
          <w:p>
            <w:pPr>
              <w:jc w:val="right"/>
              <w:ind w:right="22"/>
              <w:spacing w:after="0"/>
              <w:rPr>
                <w:sz w:val="20"/>
                <w:szCs w:val="20"/>
                <w:color w:val="auto"/>
              </w:rPr>
            </w:pPr>
            <w:r>
              <w:rPr>
                <w:rFonts w:ascii="Arial" w:cs="Arial" w:eastAsia="Arial" w:hAnsi="Arial"/>
                <w:sz w:val="16"/>
                <w:szCs w:val="16"/>
                <w:color w:val="auto"/>
              </w:rPr>
              <w:t>540,000</w:t>
            </w:r>
          </w:p>
        </w:tc>
        <w:tc>
          <w:tcPr>
            <w:tcW w:w="1300" w:type="dxa"/>
            <w:vAlign w:val="bottom"/>
            <w:shd w:val="clear" w:color="auto" w:fill="D9D9D9"/>
          </w:tcPr>
          <w:p>
            <w:pPr>
              <w:jc w:val="right"/>
              <w:ind w:right="83"/>
              <w:spacing w:after="0"/>
              <w:rPr>
                <w:sz w:val="20"/>
                <w:szCs w:val="20"/>
                <w:color w:val="auto"/>
              </w:rPr>
            </w:pPr>
            <w:r>
              <w:rPr>
                <w:rFonts w:ascii="Arial" w:cs="Arial" w:eastAsia="Arial" w:hAnsi="Arial"/>
                <w:sz w:val="16"/>
                <w:szCs w:val="16"/>
                <w:color w:val="auto"/>
              </w:rPr>
              <w:t>944,972</w:t>
            </w:r>
          </w:p>
        </w:tc>
        <w:tc>
          <w:tcPr>
            <w:tcW w:w="1200" w:type="dxa"/>
            <w:vAlign w:val="bottom"/>
            <w:shd w:val="clear" w:color="auto" w:fill="D9D9D9"/>
          </w:tcPr>
          <w:p>
            <w:pPr>
              <w:jc w:val="right"/>
              <w:ind w:right="44"/>
              <w:spacing w:after="0"/>
              <w:rPr>
                <w:sz w:val="20"/>
                <w:szCs w:val="20"/>
                <w:color w:val="auto"/>
              </w:rPr>
            </w:pPr>
            <w:r>
              <w:rPr>
                <w:rFonts w:ascii="Arial" w:cs="Arial" w:eastAsia="Arial" w:hAnsi="Arial"/>
                <w:sz w:val="16"/>
                <w:szCs w:val="16"/>
                <w:color w:val="auto"/>
              </w:rPr>
              <w:t>635,904</w:t>
            </w:r>
          </w:p>
        </w:tc>
        <w:tc>
          <w:tcPr>
            <w:tcW w:w="1360" w:type="dxa"/>
            <w:vAlign w:val="bottom"/>
            <w:shd w:val="clear" w:color="auto" w:fill="D9D9D9"/>
          </w:tcPr>
          <w:p>
            <w:pPr>
              <w:jc w:val="right"/>
              <w:ind w:right="105"/>
              <w:spacing w:after="0"/>
              <w:rPr>
                <w:sz w:val="20"/>
                <w:szCs w:val="20"/>
                <w:color w:val="auto"/>
              </w:rPr>
            </w:pPr>
            <w:r>
              <w:rPr>
                <w:rFonts w:ascii="Arial" w:cs="Arial" w:eastAsia="Arial" w:hAnsi="Arial"/>
                <w:sz w:val="16"/>
                <w:szCs w:val="16"/>
                <w:color w:val="auto"/>
              </w:rPr>
              <w:t>904,365</w:t>
            </w:r>
          </w:p>
        </w:tc>
        <w:tc>
          <w:tcPr>
            <w:tcW w:w="1400" w:type="dxa"/>
            <w:vAlign w:val="bottom"/>
            <w:shd w:val="clear" w:color="auto" w:fill="D9D9D9"/>
          </w:tcPr>
          <w:p>
            <w:pPr>
              <w:jc w:val="right"/>
              <w:ind w:right="183"/>
              <w:spacing w:after="0"/>
              <w:rPr>
                <w:sz w:val="20"/>
                <w:szCs w:val="20"/>
                <w:color w:val="auto"/>
              </w:rPr>
            </w:pPr>
            <w:r>
              <w:rPr>
                <w:rFonts w:ascii="Arial" w:cs="Arial" w:eastAsia="Arial" w:hAnsi="Arial"/>
                <w:sz w:val="16"/>
                <w:szCs w:val="16"/>
                <w:color w:val="auto"/>
              </w:rPr>
              <w:t>175,813</w:t>
            </w:r>
          </w:p>
        </w:tc>
        <w:tc>
          <w:tcPr>
            <w:tcW w:w="1260" w:type="dxa"/>
            <w:vAlign w:val="bottom"/>
            <w:tcBorders>
              <w:right w:val="single" w:sz="8" w:color="auto"/>
            </w:tcBorders>
            <w:shd w:val="clear" w:color="auto" w:fill="D9D9D9"/>
          </w:tcPr>
          <w:p>
            <w:pPr>
              <w:jc w:val="right"/>
              <w:ind w:right="3"/>
              <w:spacing w:after="0"/>
              <w:rPr>
                <w:sz w:val="20"/>
                <w:szCs w:val="20"/>
                <w:color w:val="auto"/>
              </w:rPr>
            </w:pPr>
            <w:r>
              <w:rPr>
                <w:rFonts w:ascii="Arial" w:cs="Arial" w:eastAsia="Arial" w:hAnsi="Arial"/>
                <w:sz w:val="16"/>
                <w:szCs w:val="16"/>
                <w:color w:val="auto"/>
              </w:rPr>
              <w:t>3,201,054</w:t>
            </w:r>
          </w:p>
        </w:tc>
      </w:tr>
      <w:tr>
        <w:trPr>
          <w:trHeight w:val="250"/>
        </w:trPr>
        <w:tc>
          <w:tcPr>
            <w:tcW w:w="2120" w:type="dxa"/>
            <w:vAlign w:val="bottom"/>
            <w:tcBorders>
              <w:left w:val="single" w:sz="8" w:color="auto"/>
            </w:tcBorders>
            <w:shd w:val="clear" w:color="auto" w:fill="D9D9D9"/>
          </w:tcPr>
          <w:p>
            <w:pPr>
              <w:spacing w:after="0"/>
              <w:rPr>
                <w:sz w:val="21"/>
                <w:szCs w:val="21"/>
                <w:color w:val="auto"/>
              </w:rPr>
            </w:pPr>
          </w:p>
        </w:tc>
        <w:tc>
          <w:tcPr>
            <w:tcW w:w="800" w:type="dxa"/>
            <w:vAlign w:val="bottom"/>
            <w:shd w:val="clear" w:color="auto" w:fill="D9D9D9"/>
          </w:tcPr>
          <w:p>
            <w:pPr>
              <w:spacing w:after="0"/>
              <w:rPr>
                <w:sz w:val="21"/>
                <w:szCs w:val="21"/>
                <w:color w:val="auto"/>
              </w:rPr>
            </w:pPr>
          </w:p>
        </w:tc>
        <w:tc>
          <w:tcPr>
            <w:tcW w:w="680" w:type="dxa"/>
            <w:vAlign w:val="bottom"/>
            <w:shd w:val="clear" w:color="auto" w:fill="D9D9D9"/>
          </w:tcPr>
          <w:p>
            <w:pPr>
              <w:spacing w:after="0"/>
              <w:rPr>
                <w:sz w:val="21"/>
                <w:szCs w:val="21"/>
                <w:color w:val="auto"/>
              </w:rPr>
            </w:pPr>
          </w:p>
        </w:tc>
        <w:tc>
          <w:tcPr>
            <w:tcW w:w="1140" w:type="dxa"/>
            <w:vAlign w:val="bottom"/>
            <w:shd w:val="clear" w:color="auto" w:fill="D9D9D9"/>
          </w:tcPr>
          <w:p>
            <w:pPr>
              <w:spacing w:after="0"/>
              <w:rPr>
                <w:sz w:val="21"/>
                <w:szCs w:val="21"/>
                <w:color w:val="auto"/>
              </w:rPr>
            </w:pPr>
          </w:p>
        </w:tc>
        <w:tc>
          <w:tcPr>
            <w:tcW w:w="1300" w:type="dxa"/>
            <w:vAlign w:val="bottom"/>
            <w:shd w:val="clear" w:color="auto" w:fill="D9D9D9"/>
          </w:tcPr>
          <w:p>
            <w:pPr>
              <w:spacing w:after="0"/>
              <w:rPr>
                <w:sz w:val="21"/>
                <w:szCs w:val="21"/>
                <w:color w:val="auto"/>
              </w:rPr>
            </w:pPr>
          </w:p>
        </w:tc>
        <w:tc>
          <w:tcPr>
            <w:tcW w:w="1200" w:type="dxa"/>
            <w:vAlign w:val="bottom"/>
            <w:shd w:val="clear" w:color="auto" w:fill="D9D9D9"/>
          </w:tcPr>
          <w:p>
            <w:pPr>
              <w:spacing w:after="0"/>
              <w:rPr>
                <w:sz w:val="21"/>
                <w:szCs w:val="21"/>
                <w:color w:val="auto"/>
              </w:rPr>
            </w:pPr>
          </w:p>
        </w:tc>
        <w:tc>
          <w:tcPr>
            <w:tcW w:w="1360" w:type="dxa"/>
            <w:vAlign w:val="bottom"/>
            <w:shd w:val="clear" w:color="auto" w:fill="D9D9D9"/>
          </w:tcPr>
          <w:p>
            <w:pPr>
              <w:spacing w:after="0"/>
              <w:rPr>
                <w:sz w:val="21"/>
                <w:szCs w:val="21"/>
                <w:color w:val="auto"/>
              </w:rPr>
            </w:pPr>
          </w:p>
        </w:tc>
        <w:tc>
          <w:tcPr>
            <w:tcW w:w="1400" w:type="dxa"/>
            <w:vAlign w:val="bottom"/>
            <w:shd w:val="clear" w:color="auto" w:fill="D9D9D9"/>
          </w:tcPr>
          <w:p>
            <w:pPr>
              <w:spacing w:after="0"/>
              <w:rPr>
                <w:sz w:val="21"/>
                <w:szCs w:val="21"/>
                <w:color w:val="auto"/>
              </w:rPr>
            </w:pPr>
          </w:p>
        </w:tc>
        <w:tc>
          <w:tcPr>
            <w:tcW w:w="1260" w:type="dxa"/>
            <w:vAlign w:val="bottom"/>
            <w:tcBorders>
              <w:right w:val="single" w:sz="8" w:color="auto"/>
            </w:tcBorders>
            <w:shd w:val="clear" w:color="auto" w:fill="D9D9D9"/>
          </w:tcPr>
          <w:p>
            <w:pPr>
              <w:spacing w:after="0"/>
              <w:rPr>
                <w:sz w:val="21"/>
                <w:szCs w:val="21"/>
                <w:color w:val="auto"/>
              </w:rPr>
            </w:pPr>
          </w:p>
        </w:tc>
      </w:tr>
      <w:tr>
        <w:trPr>
          <w:trHeight w:val="193"/>
        </w:trPr>
        <w:tc>
          <w:tcPr>
            <w:tcW w:w="2120" w:type="dxa"/>
            <w:vAlign w:val="bottom"/>
            <w:tcBorders>
              <w:left w:val="single" w:sz="8" w:color="auto"/>
            </w:tcBorders>
          </w:tcPr>
          <w:p>
            <w:pPr>
              <w:ind w:left="100"/>
              <w:spacing w:after="0"/>
              <w:rPr>
                <w:sz w:val="20"/>
                <w:szCs w:val="20"/>
                <w:color w:val="auto"/>
              </w:rPr>
            </w:pPr>
            <w:r>
              <w:rPr>
                <w:rFonts w:ascii="Arial" w:cs="Arial" w:eastAsia="Arial" w:hAnsi="Arial"/>
                <w:sz w:val="16"/>
                <w:szCs w:val="16"/>
                <w:color w:val="auto"/>
              </w:rPr>
              <w:t>Robert Bourque</w:t>
            </w:r>
          </w:p>
        </w:tc>
        <w:tc>
          <w:tcPr>
            <w:tcW w:w="800" w:type="dxa"/>
            <w:vAlign w:val="bottom"/>
          </w:tcPr>
          <w:p>
            <w:pPr>
              <w:spacing w:after="0"/>
              <w:rPr>
                <w:sz w:val="16"/>
                <w:szCs w:val="16"/>
                <w:color w:val="auto"/>
              </w:rPr>
            </w:pPr>
          </w:p>
        </w:tc>
        <w:tc>
          <w:tcPr>
            <w:tcW w:w="680" w:type="dxa"/>
            <w:vAlign w:val="bottom"/>
          </w:tcPr>
          <w:p>
            <w:pPr>
              <w:ind w:left="100"/>
              <w:spacing w:after="0"/>
              <w:rPr>
                <w:sz w:val="20"/>
                <w:szCs w:val="20"/>
                <w:color w:val="auto"/>
              </w:rPr>
            </w:pPr>
            <w:r>
              <w:rPr>
                <w:rFonts w:ascii="Arial" w:cs="Arial" w:eastAsia="Arial" w:hAnsi="Arial"/>
                <w:sz w:val="16"/>
                <w:szCs w:val="16"/>
                <w:color w:val="auto"/>
              </w:rPr>
              <w:t>2019</w:t>
            </w: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525,000</w:t>
            </w:r>
          </w:p>
        </w:tc>
        <w:tc>
          <w:tcPr>
            <w:tcW w:w="1300" w:type="dxa"/>
            <w:vAlign w:val="bottom"/>
          </w:tcPr>
          <w:p>
            <w:pPr>
              <w:jc w:val="right"/>
              <w:ind w:right="83"/>
              <w:spacing w:after="0"/>
              <w:rPr>
                <w:sz w:val="20"/>
                <w:szCs w:val="20"/>
                <w:color w:val="auto"/>
              </w:rPr>
            </w:pPr>
            <w:r>
              <w:rPr>
                <w:rFonts w:ascii="Arial" w:cs="Arial" w:eastAsia="Arial" w:hAnsi="Arial"/>
                <w:sz w:val="16"/>
                <w:szCs w:val="16"/>
                <w:color w:val="auto"/>
              </w:rPr>
              <w:t>892,456</w:t>
            </w:r>
          </w:p>
        </w:tc>
        <w:tc>
          <w:tcPr>
            <w:tcW w:w="1200" w:type="dxa"/>
            <w:vAlign w:val="bottom"/>
          </w:tcPr>
          <w:p>
            <w:pPr>
              <w:jc w:val="right"/>
              <w:ind w:right="44"/>
              <w:spacing w:after="0"/>
              <w:rPr>
                <w:sz w:val="20"/>
                <w:szCs w:val="20"/>
                <w:color w:val="auto"/>
              </w:rPr>
            </w:pPr>
            <w:r>
              <w:rPr>
                <w:rFonts w:ascii="Arial" w:cs="Arial" w:eastAsia="Arial" w:hAnsi="Arial"/>
                <w:sz w:val="16"/>
                <w:szCs w:val="16"/>
                <w:color w:val="auto"/>
              </w:rPr>
              <w:t>632,940</w:t>
            </w:r>
          </w:p>
        </w:tc>
        <w:tc>
          <w:tcPr>
            <w:tcW w:w="1360" w:type="dxa"/>
            <w:vAlign w:val="bottom"/>
          </w:tcPr>
          <w:p>
            <w:pPr>
              <w:jc w:val="right"/>
              <w:ind w:right="105"/>
              <w:spacing w:after="0"/>
              <w:rPr>
                <w:sz w:val="20"/>
                <w:szCs w:val="20"/>
                <w:color w:val="auto"/>
              </w:rPr>
            </w:pPr>
            <w:r>
              <w:rPr>
                <w:rFonts w:ascii="Arial" w:cs="Arial" w:eastAsia="Arial" w:hAnsi="Arial"/>
                <w:sz w:val="16"/>
                <w:szCs w:val="16"/>
                <w:color w:val="auto"/>
              </w:rPr>
              <w:t>1,429,464</w:t>
            </w:r>
          </w:p>
        </w:tc>
        <w:tc>
          <w:tcPr>
            <w:tcW w:w="1400" w:type="dxa"/>
            <w:vAlign w:val="bottom"/>
          </w:tcPr>
          <w:p>
            <w:pPr>
              <w:jc w:val="right"/>
              <w:ind w:right="183"/>
              <w:spacing w:after="0"/>
              <w:rPr>
                <w:sz w:val="20"/>
                <w:szCs w:val="20"/>
                <w:color w:val="auto"/>
              </w:rPr>
            </w:pPr>
            <w:r>
              <w:rPr>
                <w:rFonts w:ascii="Arial" w:cs="Arial" w:eastAsia="Arial" w:hAnsi="Arial"/>
                <w:sz w:val="16"/>
                <w:szCs w:val="16"/>
                <w:color w:val="auto"/>
              </w:rPr>
              <w:t>283,152</w:t>
            </w:r>
          </w:p>
        </w:tc>
        <w:tc>
          <w:tcPr>
            <w:tcW w:w="1260" w:type="dxa"/>
            <w:vAlign w:val="bottom"/>
            <w:tcBorders>
              <w:right w:val="single" w:sz="8" w:color="auto"/>
            </w:tcBorders>
          </w:tcPr>
          <w:p>
            <w:pPr>
              <w:jc w:val="right"/>
              <w:ind w:right="3"/>
              <w:spacing w:after="0"/>
              <w:rPr>
                <w:sz w:val="20"/>
                <w:szCs w:val="20"/>
                <w:color w:val="auto"/>
              </w:rPr>
            </w:pPr>
            <w:r>
              <w:rPr>
                <w:rFonts w:ascii="Arial" w:cs="Arial" w:eastAsia="Arial" w:hAnsi="Arial"/>
                <w:sz w:val="16"/>
                <w:szCs w:val="16"/>
                <w:color w:val="auto"/>
              </w:rPr>
              <w:t>3,763,012</w:t>
            </w:r>
          </w:p>
        </w:tc>
      </w:tr>
      <w:tr>
        <w:trPr>
          <w:trHeight w:val="198"/>
        </w:trPr>
        <w:tc>
          <w:tcPr>
            <w:tcW w:w="2120" w:type="dxa"/>
            <w:vAlign w:val="bottom"/>
            <w:tcBorders>
              <w:left w:val="single" w:sz="8" w:color="auto"/>
            </w:tcBorders>
          </w:tcPr>
          <w:p>
            <w:pPr>
              <w:ind w:left="220"/>
              <w:spacing w:after="0"/>
              <w:rPr>
                <w:sz w:val="20"/>
                <w:szCs w:val="20"/>
                <w:color w:val="auto"/>
              </w:rPr>
            </w:pPr>
            <w:r>
              <w:rPr>
                <w:rFonts w:ascii="Arial" w:cs="Arial" w:eastAsia="Arial" w:hAnsi="Arial"/>
                <w:sz w:val="16"/>
                <w:szCs w:val="16"/>
                <w:color w:val="auto"/>
                <w:w w:val="93"/>
              </w:rPr>
              <w:t>President-Transit Packaging</w:t>
            </w:r>
          </w:p>
        </w:tc>
        <w:tc>
          <w:tcPr>
            <w:tcW w:w="800" w:type="dxa"/>
            <w:vAlign w:val="bottom"/>
          </w:tcPr>
          <w:p>
            <w:pPr>
              <w:ind w:left="20"/>
              <w:spacing w:after="0"/>
              <w:rPr>
                <w:sz w:val="20"/>
                <w:szCs w:val="20"/>
                <w:color w:val="auto"/>
              </w:rPr>
            </w:pPr>
            <w:r>
              <w:rPr>
                <w:rFonts w:ascii="Arial" w:cs="Arial" w:eastAsia="Arial" w:hAnsi="Arial"/>
                <w:sz w:val="16"/>
                <w:szCs w:val="16"/>
                <w:color w:val="auto"/>
              </w:rPr>
              <w:t>Division</w:t>
            </w:r>
          </w:p>
        </w:tc>
        <w:tc>
          <w:tcPr>
            <w:tcW w:w="680" w:type="dxa"/>
            <w:vAlign w:val="bottom"/>
          </w:tcPr>
          <w:p>
            <w:pPr>
              <w:ind w:left="100"/>
              <w:spacing w:after="0"/>
              <w:rPr>
                <w:sz w:val="20"/>
                <w:szCs w:val="20"/>
                <w:color w:val="auto"/>
              </w:rPr>
            </w:pPr>
            <w:r>
              <w:rPr>
                <w:rFonts w:ascii="Arial" w:cs="Arial" w:eastAsia="Arial" w:hAnsi="Arial"/>
                <w:sz w:val="16"/>
                <w:szCs w:val="16"/>
                <w:color w:val="auto"/>
              </w:rPr>
              <w:t>2018</w:t>
            </w: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470,833</w:t>
            </w:r>
          </w:p>
        </w:tc>
        <w:tc>
          <w:tcPr>
            <w:tcW w:w="1300" w:type="dxa"/>
            <w:vAlign w:val="bottom"/>
          </w:tcPr>
          <w:p>
            <w:pPr>
              <w:jc w:val="right"/>
              <w:ind w:right="83"/>
              <w:spacing w:after="0"/>
              <w:rPr>
                <w:sz w:val="20"/>
                <w:szCs w:val="20"/>
                <w:color w:val="auto"/>
              </w:rPr>
            </w:pPr>
            <w:r>
              <w:rPr>
                <w:rFonts w:ascii="Arial" w:cs="Arial" w:eastAsia="Arial" w:hAnsi="Arial"/>
                <w:sz w:val="16"/>
                <w:szCs w:val="16"/>
                <w:color w:val="auto"/>
              </w:rPr>
              <w:t>703,229</w:t>
            </w:r>
          </w:p>
        </w:tc>
        <w:tc>
          <w:tcPr>
            <w:tcW w:w="1200" w:type="dxa"/>
            <w:vAlign w:val="bottom"/>
          </w:tcPr>
          <w:p>
            <w:pPr>
              <w:jc w:val="right"/>
              <w:ind w:right="44"/>
              <w:spacing w:after="0"/>
              <w:rPr>
                <w:sz w:val="20"/>
                <w:szCs w:val="20"/>
                <w:color w:val="auto"/>
              </w:rPr>
            </w:pPr>
            <w:r>
              <w:rPr>
                <w:rFonts w:ascii="Arial" w:cs="Arial" w:eastAsia="Arial" w:hAnsi="Arial"/>
                <w:sz w:val="16"/>
                <w:szCs w:val="16"/>
                <w:color w:val="auto"/>
              </w:rPr>
              <w:t>753,333</w:t>
            </w:r>
          </w:p>
        </w:tc>
        <w:tc>
          <w:tcPr>
            <w:tcW w:w="1360" w:type="dxa"/>
            <w:vAlign w:val="bottom"/>
          </w:tcPr>
          <w:p>
            <w:pPr>
              <w:jc w:val="right"/>
              <w:ind w:right="105"/>
              <w:spacing w:after="0"/>
              <w:rPr>
                <w:sz w:val="20"/>
                <w:szCs w:val="20"/>
                <w:color w:val="auto"/>
              </w:rPr>
            </w:pPr>
            <w:r>
              <w:rPr>
                <w:rFonts w:ascii="Arial" w:cs="Arial" w:eastAsia="Arial" w:hAnsi="Arial"/>
                <w:sz w:val="16"/>
                <w:szCs w:val="16"/>
                <w:color w:val="auto"/>
              </w:rPr>
              <w:t>434,745</w:t>
            </w:r>
          </w:p>
        </w:tc>
        <w:tc>
          <w:tcPr>
            <w:tcW w:w="1400" w:type="dxa"/>
            <w:vAlign w:val="bottom"/>
          </w:tcPr>
          <w:p>
            <w:pPr>
              <w:jc w:val="right"/>
              <w:ind w:right="183"/>
              <w:spacing w:after="0"/>
              <w:rPr>
                <w:sz w:val="20"/>
                <w:szCs w:val="20"/>
                <w:color w:val="auto"/>
              </w:rPr>
            </w:pPr>
            <w:r>
              <w:rPr>
                <w:rFonts w:ascii="Arial" w:cs="Arial" w:eastAsia="Arial" w:hAnsi="Arial"/>
                <w:sz w:val="16"/>
                <w:szCs w:val="16"/>
                <w:color w:val="auto"/>
              </w:rPr>
              <w:t>1,136,480</w:t>
            </w:r>
          </w:p>
        </w:tc>
        <w:tc>
          <w:tcPr>
            <w:tcW w:w="1260" w:type="dxa"/>
            <w:vAlign w:val="bottom"/>
            <w:tcBorders>
              <w:right w:val="single" w:sz="8" w:color="auto"/>
            </w:tcBorders>
          </w:tcPr>
          <w:p>
            <w:pPr>
              <w:jc w:val="right"/>
              <w:ind w:right="3"/>
              <w:spacing w:after="0"/>
              <w:rPr>
                <w:sz w:val="20"/>
                <w:szCs w:val="20"/>
                <w:color w:val="auto"/>
              </w:rPr>
            </w:pPr>
            <w:r>
              <w:rPr>
                <w:rFonts w:ascii="Arial" w:cs="Arial" w:eastAsia="Arial" w:hAnsi="Arial"/>
                <w:sz w:val="16"/>
                <w:szCs w:val="16"/>
                <w:color w:val="auto"/>
              </w:rPr>
              <w:t>3,498,620</w:t>
            </w:r>
          </w:p>
        </w:tc>
      </w:tr>
      <w:tr>
        <w:trPr>
          <w:trHeight w:val="200"/>
        </w:trPr>
        <w:tc>
          <w:tcPr>
            <w:tcW w:w="2120" w:type="dxa"/>
            <w:vAlign w:val="bottom"/>
            <w:tcBorders>
              <w:left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680" w:type="dxa"/>
            <w:vAlign w:val="bottom"/>
          </w:tcPr>
          <w:p>
            <w:pPr>
              <w:ind w:left="100"/>
              <w:spacing w:after="0"/>
              <w:rPr>
                <w:sz w:val="20"/>
                <w:szCs w:val="20"/>
                <w:color w:val="auto"/>
              </w:rPr>
            </w:pPr>
            <w:r>
              <w:rPr>
                <w:rFonts w:ascii="Arial" w:cs="Arial" w:eastAsia="Arial" w:hAnsi="Arial"/>
                <w:sz w:val="16"/>
                <w:szCs w:val="16"/>
                <w:color w:val="auto"/>
              </w:rPr>
              <w:t>2017</w:t>
            </w: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420,000</w:t>
            </w:r>
          </w:p>
        </w:tc>
        <w:tc>
          <w:tcPr>
            <w:tcW w:w="1300" w:type="dxa"/>
            <w:vAlign w:val="bottom"/>
          </w:tcPr>
          <w:p>
            <w:pPr>
              <w:jc w:val="right"/>
              <w:ind w:right="83"/>
              <w:spacing w:after="0"/>
              <w:rPr>
                <w:sz w:val="20"/>
                <w:szCs w:val="20"/>
                <w:color w:val="auto"/>
              </w:rPr>
            </w:pPr>
            <w:r>
              <w:rPr>
                <w:rFonts w:ascii="Arial" w:cs="Arial" w:eastAsia="Arial" w:hAnsi="Arial"/>
                <w:sz w:val="16"/>
                <w:szCs w:val="16"/>
                <w:color w:val="auto"/>
              </w:rPr>
              <w:t>558,572</w:t>
            </w:r>
          </w:p>
        </w:tc>
        <w:tc>
          <w:tcPr>
            <w:tcW w:w="1200" w:type="dxa"/>
            <w:vAlign w:val="bottom"/>
          </w:tcPr>
          <w:p>
            <w:pPr>
              <w:jc w:val="right"/>
              <w:ind w:right="44"/>
              <w:spacing w:after="0"/>
              <w:rPr>
                <w:sz w:val="20"/>
                <w:szCs w:val="20"/>
                <w:color w:val="auto"/>
              </w:rPr>
            </w:pPr>
            <w:r>
              <w:rPr>
                <w:rFonts w:ascii="Arial" w:cs="Arial" w:eastAsia="Arial" w:hAnsi="Arial"/>
                <w:sz w:val="16"/>
                <w:szCs w:val="16"/>
                <w:color w:val="auto"/>
              </w:rPr>
              <w:t>672,000</w:t>
            </w:r>
          </w:p>
        </w:tc>
        <w:tc>
          <w:tcPr>
            <w:tcW w:w="1360" w:type="dxa"/>
            <w:vAlign w:val="bottom"/>
          </w:tcPr>
          <w:p>
            <w:pPr>
              <w:jc w:val="right"/>
              <w:ind w:right="105"/>
              <w:spacing w:after="0"/>
              <w:rPr>
                <w:sz w:val="20"/>
                <w:szCs w:val="20"/>
                <w:color w:val="auto"/>
              </w:rPr>
            </w:pPr>
            <w:r>
              <w:rPr>
                <w:rFonts w:ascii="Arial" w:cs="Arial" w:eastAsia="Arial" w:hAnsi="Arial"/>
                <w:sz w:val="16"/>
                <w:szCs w:val="16"/>
                <w:color w:val="auto"/>
              </w:rPr>
              <w:t>681,040</w:t>
            </w:r>
          </w:p>
        </w:tc>
        <w:tc>
          <w:tcPr>
            <w:tcW w:w="1400" w:type="dxa"/>
            <w:vAlign w:val="bottom"/>
          </w:tcPr>
          <w:p>
            <w:pPr>
              <w:jc w:val="right"/>
              <w:ind w:right="183"/>
              <w:spacing w:after="0"/>
              <w:rPr>
                <w:sz w:val="20"/>
                <w:szCs w:val="20"/>
                <w:color w:val="auto"/>
              </w:rPr>
            </w:pPr>
            <w:r>
              <w:rPr>
                <w:rFonts w:ascii="Arial" w:cs="Arial" w:eastAsia="Arial" w:hAnsi="Arial"/>
                <w:sz w:val="16"/>
                <w:szCs w:val="16"/>
                <w:color w:val="auto"/>
              </w:rPr>
              <w:t>479,716</w:t>
            </w:r>
          </w:p>
        </w:tc>
        <w:tc>
          <w:tcPr>
            <w:tcW w:w="1260" w:type="dxa"/>
            <w:vAlign w:val="bottom"/>
            <w:tcBorders>
              <w:right w:val="single" w:sz="8" w:color="auto"/>
            </w:tcBorders>
          </w:tcPr>
          <w:p>
            <w:pPr>
              <w:jc w:val="right"/>
              <w:ind w:right="3"/>
              <w:spacing w:after="0"/>
              <w:rPr>
                <w:sz w:val="20"/>
                <w:szCs w:val="20"/>
                <w:color w:val="auto"/>
              </w:rPr>
            </w:pPr>
            <w:r>
              <w:rPr>
                <w:rFonts w:ascii="Arial" w:cs="Arial" w:eastAsia="Arial" w:hAnsi="Arial"/>
                <w:sz w:val="16"/>
                <w:szCs w:val="16"/>
                <w:color w:val="auto"/>
              </w:rPr>
              <w:t>2,811,328</w:t>
            </w:r>
          </w:p>
        </w:tc>
      </w:tr>
      <w:tr>
        <w:trPr>
          <w:trHeight w:val="252"/>
        </w:trPr>
        <w:tc>
          <w:tcPr>
            <w:tcW w:w="2120" w:type="dxa"/>
            <w:vAlign w:val="bottom"/>
            <w:tcBorders>
              <w:left w:val="single" w:sz="8" w:color="auto"/>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spacing w:after="0"/>
              <w:rPr>
                <w:sz w:val="21"/>
                <w:szCs w:val="21"/>
                <w:color w:val="auto"/>
              </w:rPr>
            </w:pPr>
          </w:p>
        </w:tc>
        <w:tc>
          <w:tcPr>
            <w:tcW w:w="1260" w:type="dxa"/>
            <w:vAlign w:val="bottom"/>
            <w:tcBorders>
              <w:bottom w:val="single" w:sz="8" w:color="auto"/>
              <w:right w:val="single" w:sz="8" w:color="auto"/>
            </w:tcBorders>
          </w:tcPr>
          <w:p>
            <w:pPr>
              <w:spacing w:after="0"/>
              <w:rPr>
                <w:sz w:val="21"/>
                <w:szCs w:val="21"/>
                <w:color w:val="auto"/>
              </w:rPr>
            </w:pPr>
          </w:p>
        </w:tc>
      </w:tr>
    </w:tbl>
    <w:p>
      <w:pPr>
        <w:spacing w:after="0" w:line="200" w:lineRule="exact"/>
        <w:rPr>
          <w:sz w:val="20"/>
          <w:szCs w:val="20"/>
          <w:color w:val="auto"/>
        </w:rPr>
      </w:pPr>
    </w:p>
    <w:p>
      <w:pPr>
        <w:spacing w:after="0" w:line="391" w:lineRule="exact"/>
        <w:rPr>
          <w:sz w:val="20"/>
          <w:szCs w:val="20"/>
          <w:color w:val="auto"/>
        </w:rPr>
      </w:pPr>
    </w:p>
    <w:p>
      <w:pPr>
        <w:jc w:val="both"/>
        <w:ind w:left="461" w:hanging="461"/>
        <w:spacing w:after="0" w:line="262" w:lineRule="auto"/>
        <w:tabs>
          <w:tab w:leader="none" w:pos="461"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amounts in this column, computed in accordance with current Financial Accounting Standards Board guidance for accounting for and reporting of stock-based compensation, represent the aggregate grant-date fair value of time-based restricted stock and performance-based restricted stock (market condition for TSR, performance condition for ROIC) awards issued by the Company for the respective fiscal years. The grant-date fair market values of the time-based restricted stock awards were as follows: Mr. Donahue: $2,001,980 for 2019, $1,906,692 for 2018 and $1,733,342 for 2017; Mr. Kelly: $411,017 for 2019, $389,982 for 2018 and $362,993 for 2017; Mr. Gifford: $595,830 for 2019, $566,675 for 2018 and $541,666 for 2017; Mr. Novaes: $335,429 for 2019, $314,978 for 2018 and $297,606 for 2017; and Mr. Bourque: $297,484 for 2019, $234,412 for 2018 and $186,192 for 2017. The grant-date fair market values of the performance-based restricted stock, assuming instead that the highest level of performance conditions were to be achieved, would be as follows: Mr. Donahue: $7,485,049 for 2019, $7,408,227 for 2018 and $7,126,066 for 2017; Mr. Kelly: $1,536,651 for 2019, $1,515,283 for 2018 and $1,492,306 for 2017; Mr. Gifford: $2,227,667 for 2019, $2,201,733 for 2018 and $2,224,432 for 2017; Mr. Novaes: $1,254,112 for 2019, $1,257,921 for 2018 and $1,295,018 for 2017; and Mr. Bourque: $1,112,240 for 2019, $987,132 for 2018 and $765,466 for 2017. If the minimum level of performance conditions were not to be achieved, the value of the performance-based restricted stock awards would be $0 in all cases. Further detail surrounding the shares awarded, the method of valuation and the assumptions made are set forth in Note W, “Stock-Based Compensation” to the financial statements in the Company’s Annual Report on Form 10-K for the fiscal year ended December 31, 2019. There can be no assurance that the amounts related to performance-based shares will ever be realized by the NEOs.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49</w:t>
      </w:r>
    </w:p>
    <w:p>
      <w:pPr>
        <w:sectPr>
          <w:pgSz w:w="11900" w:h="16838" w:orient="portrait"/>
          <w:cols w:equalWidth="0" w:num="1">
            <w:col w:w="11241"/>
          </w:cols>
          <w:pgMar w:left="319" w:top="423" w:right="339" w:bottom="1440" w:gutter="0" w:footer="0" w:header="0"/>
        </w:sectPr>
      </w:pPr>
    </w:p>
    <w:bookmarkStart w:id="53" w:name="page54"/>
    <w:bookmarkEnd w:id="53"/>
    <w:p>
      <w:pPr>
        <w:jc w:val="both"/>
        <w:ind w:left="301" w:hanging="301"/>
        <w:spacing w:after="0" w:line="249" w:lineRule="auto"/>
        <w:tabs>
          <w:tab w:leader="none" w:pos="301"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amounts in this column reflect the increase in actuarial lump sum present value of defined benefit retirement plans, including supplemental plans, for the respective fiscal years. Actuarial valuations were based on assumptions that were in accordance with the guidelines of FASB ASC Topic 715 and that are discussed in Note R, “Pension and Other Postretirement Benefits” to the financial statements in the Company’s Annual Report on Form 10-K for the fiscal year ended December 31, 2019. Interest rates continue to be at historic lows which inflate the present value of such benefits, not all of which are payable in a lump sum. Future increases in interest rates could cause a significant reduction in the lump sum value of such benefits. The change in value represents the difference between the highest year-end value disclosed for such benefit in prior years and the value of such benefit at the end of the reporting year.</w:t>
      </w:r>
    </w:p>
    <w:p>
      <w:pPr>
        <w:spacing w:after="0" w:line="183" w:lineRule="exact"/>
        <w:rPr>
          <w:rFonts w:ascii="Arial" w:cs="Arial" w:eastAsia="Arial" w:hAnsi="Arial"/>
          <w:sz w:val="18"/>
          <w:szCs w:val="18"/>
          <w:color w:val="auto"/>
        </w:rPr>
      </w:pPr>
    </w:p>
    <w:p>
      <w:pPr>
        <w:ind w:left="301" w:hanging="301"/>
        <w:spacing w:after="0"/>
        <w:tabs>
          <w:tab w:leader="none" w:pos="301"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amounts in this column for 2019 include the following items:</w:t>
      </w:r>
    </w:p>
    <w:p>
      <w:pPr>
        <w:spacing w:after="0" w:line="231" w:lineRule="exact"/>
        <w:rPr>
          <w:sz w:val="20"/>
          <w:szCs w:val="20"/>
          <w:color w:val="auto"/>
        </w:rPr>
      </w:pPr>
    </w:p>
    <w:tbl>
      <w:tblPr>
        <w:tblLayout w:type="fixed"/>
        <w:tblInd w:w="861" w:type="dxa"/>
        <w:tblCellMar>
          <w:top w:w="0" w:type="dxa"/>
          <w:left w:w="0" w:type="dxa"/>
          <w:bottom w:w="0" w:type="dxa"/>
          <w:right w:w="0" w:type="dxa"/>
        </w:tblCellMar>
      </w:tblPr>
      <w:tr>
        <w:trPr>
          <w:trHeight w:val="224"/>
        </w:trPr>
        <w:tc>
          <w:tcPr>
            <w:tcW w:w="3520" w:type="dxa"/>
            <w:vAlign w:val="bottom"/>
          </w:tcPr>
          <w:p>
            <w:pPr>
              <w:spacing w:after="0"/>
              <w:rPr>
                <w:sz w:val="19"/>
                <w:szCs w:val="19"/>
                <w:color w:val="auto"/>
              </w:rPr>
            </w:pPr>
          </w:p>
        </w:tc>
        <w:tc>
          <w:tcPr>
            <w:tcW w:w="1380" w:type="dxa"/>
            <w:vAlign w:val="bottom"/>
            <w:tcBorders>
              <w:bottom w:val="single" w:sz="8" w:color="auto"/>
            </w:tcBorders>
            <w:shd w:val="clear" w:color="auto" w:fill="29650B"/>
          </w:tcPr>
          <w:p>
            <w:pPr>
              <w:jc w:val="right"/>
              <w:ind w:right="129"/>
              <w:spacing w:after="0"/>
              <w:rPr>
                <w:sz w:val="20"/>
                <w:szCs w:val="20"/>
                <w:color w:val="auto"/>
              </w:rPr>
            </w:pPr>
            <w:r>
              <w:rPr>
                <w:rFonts w:ascii="Arial" w:cs="Arial" w:eastAsia="Arial" w:hAnsi="Arial"/>
                <w:sz w:val="18"/>
                <w:szCs w:val="18"/>
                <w:b w:val="1"/>
                <w:bCs w:val="1"/>
                <w:color w:val="FFFFFF"/>
              </w:rPr>
              <w:t>T. Donahue</w:t>
            </w:r>
          </w:p>
        </w:tc>
        <w:tc>
          <w:tcPr>
            <w:tcW w:w="1040" w:type="dxa"/>
            <w:vAlign w:val="bottom"/>
            <w:tcBorders>
              <w:bottom w:val="single" w:sz="8" w:color="auto"/>
            </w:tcBorders>
            <w:shd w:val="clear" w:color="auto" w:fill="29650B"/>
          </w:tcPr>
          <w:p>
            <w:pPr>
              <w:jc w:val="right"/>
              <w:ind w:right="109"/>
              <w:spacing w:after="0"/>
              <w:rPr>
                <w:sz w:val="20"/>
                <w:szCs w:val="20"/>
                <w:color w:val="auto"/>
              </w:rPr>
            </w:pPr>
            <w:r>
              <w:rPr>
                <w:rFonts w:ascii="Arial" w:cs="Arial" w:eastAsia="Arial" w:hAnsi="Arial"/>
                <w:sz w:val="18"/>
                <w:szCs w:val="18"/>
                <w:b w:val="1"/>
                <w:bCs w:val="1"/>
                <w:color w:val="FFFFFF"/>
              </w:rPr>
              <w:t>T. Kelly</w:t>
            </w:r>
          </w:p>
        </w:tc>
        <w:tc>
          <w:tcPr>
            <w:tcW w:w="1220" w:type="dxa"/>
            <w:vAlign w:val="bottom"/>
            <w:tcBorders>
              <w:bottom w:val="single" w:sz="8" w:color="auto"/>
            </w:tcBorders>
            <w:shd w:val="clear" w:color="auto" w:fill="29650B"/>
          </w:tcPr>
          <w:p>
            <w:pPr>
              <w:jc w:val="right"/>
              <w:ind w:right="189"/>
              <w:spacing w:after="0"/>
              <w:rPr>
                <w:sz w:val="20"/>
                <w:szCs w:val="20"/>
                <w:color w:val="auto"/>
              </w:rPr>
            </w:pPr>
            <w:r>
              <w:rPr>
                <w:rFonts w:ascii="Arial" w:cs="Arial" w:eastAsia="Arial" w:hAnsi="Arial"/>
                <w:sz w:val="18"/>
                <w:szCs w:val="18"/>
                <w:b w:val="1"/>
                <w:bCs w:val="1"/>
                <w:color w:val="FFFFFF"/>
              </w:rPr>
              <w:t>G. Gifford</w:t>
            </w:r>
          </w:p>
        </w:tc>
        <w:tc>
          <w:tcPr>
            <w:tcW w:w="1220" w:type="dxa"/>
            <w:vAlign w:val="bottom"/>
            <w:tcBorders>
              <w:bottom w:val="single" w:sz="8" w:color="auto"/>
            </w:tcBorders>
            <w:shd w:val="clear" w:color="auto" w:fill="29650B"/>
          </w:tcPr>
          <w:p>
            <w:pPr>
              <w:jc w:val="right"/>
              <w:ind w:right="169"/>
              <w:spacing w:after="0"/>
              <w:rPr>
                <w:sz w:val="20"/>
                <w:szCs w:val="20"/>
                <w:color w:val="auto"/>
              </w:rPr>
            </w:pPr>
            <w:r>
              <w:rPr>
                <w:rFonts w:ascii="Arial" w:cs="Arial" w:eastAsia="Arial" w:hAnsi="Arial"/>
                <w:sz w:val="18"/>
                <w:szCs w:val="18"/>
                <w:b w:val="1"/>
                <w:bCs w:val="1"/>
                <w:color w:val="FFFFFF"/>
              </w:rPr>
              <w:t>D. Novaes</w:t>
            </w:r>
          </w:p>
        </w:tc>
        <w:tc>
          <w:tcPr>
            <w:tcW w:w="1160" w:type="dxa"/>
            <w:vAlign w:val="bottom"/>
            <w:tcBorders>
              <w:bottom w:val="single" w:sz="8" w:color="auto"/>
            </w:tcBorders>
            <w:shd w:val="clear" w:color="auto" w:fill="29650B"/>
          </w:tcPr>
          <w:p>
            <w:pPr>
              <w:jc w:val="right"/>
              <w:ind w:right="9"/>
              <w:spacing w:after="0"/>
              <w:rPr>
                <w:sz w:val="20"/>
                <w:szCs w:val="20"/>
                <w:color w:val="auto"/>
              </w:rPr>
            </w:pPr>
            <w:r>
              <w:rPr>
                <w:rFonts w:ascii="Arial" w:cs="Arial" w:eastAsia="Arial" w:hAnsi="Arial"/>
                <w:sz w:val="18"/>
                <w:szCs w:val="18"/>
                <w:b w:val="1"/>
                <w:bCs w:val="1"/>
                <w:color w:val="FFFFFF"/>
              </w:rPr>
              <w:t>R. Bourque</w:t>
            </w:r>
          </w:p>
        </w:tc>
        <w:tc>
          <w:tcPr>
            <w:tcW w:w="0" w:type="dxa"/>
            <w:vAlign w:val="bottom"/>
          </w:tcPr>
          <w:p>
            <w:pPr>
              <w:spacing w:after="0"/>
              <w:rPr>
                <w:sz w:val="1"/>
                <w:szCs w:val="1"/>
                <w:color w:val="auto"/>
              </w:rPr>
            </w:pPr>
          </w:p>
        </w:tc>
      </w:tr>
      <w:tr>
        <w:trPr>
          <w:trHeight w:val="344"/>
        </w:trPr>
        <w:tc>
          <w:tcPr>
            <w:tcW w:w="3520" w:type="dxa"/>
            <w:vAlign w:val="bottom"/>
          </w:tcPr>
          <w:p>
            <w:pPr>
              <w:ind w:left="80"/>
              <w:spacing w:after="0"/>
              <w:rPr>
                <w:sz w:val="20"/>
                <w:szCs w:val="20"/>
                <w:color w:val="auto"/>
              </w:rPr>
            </w:pPr>
            <w:r>
              <w:rPr>
                <w:rFonts w:ascii="Arial" w:cs="Arial" w:eastAsia="Arial" w:hAnsi="Arial"/>
                <w:sz w:val="18"/>
                <w:szCs w:val="18"/>
                <w:color w:val="auto"/>
              </w:rPr>
              <w:t>Change in Value of SERP Life Insurance</w:t>
            </w:r>
          </w:p>
        </w:tc>
        <w:tc>
          <w:tcPr>
            <w:tcW w:w="1380" w:type="dxa"/>
            <w:vAlign w:val="bottom"/>
            <w:vMerge w:val="restart"/>
          </w:tcPr>
          <w:p>
            <w:pPr>
              <w:jc w:val="right"/>
              <w:ind w:right="169"/>
              <w:spacing w:after="0"/>
              <w:rPr>
                <w:sz w:val="20"/>
                <w:szCs w:val="20"/>
                <w:color w:val="auto"/>
              </w:rPr>
            </w:pPr>
            <w:r>
              <w:rPr>
                <w:rFonts w:ascii="Arial" w:cs="Arial" w:eastAsia="Arial" w:hAnsi="Arial"/>
                <w:sz w:val="18"/>
                <w:szCs w:val="18"/>
                <w:color w:val="auto"/>
              </w:rPr>
              <w:t>$1,035,413</w:t>
            </w:r>
          </w:p>
        </w:tc>
        <w:tc>
          <w:tcPr>
            <w:tcW w:w="1040" w:type="dxa"/>
            <w:vAlign w:val="bottom"/>
            <w:vMerge w:val="restart"/>
          </w:tcPr>
          <w:p>
            <w:pPr>
              <w:jc w:val="right"/>
              <w:ind w:right="29"/>
              <w:spacing w:after="0"/>
              <w:rPr>
                <w:sz w:val="20"/>
                <w:szCs w:val="20"/>
                <w:color w:val="auto"/>
              </w:rPr>
            </w:pPr>
            <w:r>
              <w:rPr>
                <w:rFonts w:ascii="Arial" w:cs="Arial" w:eastAsia="Arial" w:hAnsi="Arial"/>
                <w:sz w:val="18"/>
                <w:szCs w:val="18"/>
                <w:color w:val="auto"/>
              </w:rPr>
              <w:t>$425,683</w:t>
            </w:r>
          </w:p>
        </w:tc>
        <w:tc>
          <w:tcPr>
            <w:tcW w:w="1220" w:type="dxa"/>
            <w:vAlign w:val="bottom"/>
            <w:vMerge w:val="restart"/>
          </w:tcPr>
          <w:p>
            <w:pPr>
              <w:jc w:val="right"/>
              <w:ind w:right="109"/>
              <w:spacing w:after="0"/>
              <w:rPr>
                <w:sz w:val="20"/>
                <w:szCs w:val="20"/>
                <w:color w:val="auto"/>
              </w:rPr>
            </w:pPr>
            <w:r>
              <w:rPr>
                <w:rFonts w:ascii="Arial" w:cs="Arial" w:eastAsia="Arial" w:hAnsi="Arial"/>
                <w:sz w:val="18"/>
                <w:szCs w:val="18"/>
                <w:color w:val="auto"/>
              </w:rPr>
              <w:t>$447,036</w:t>
            </w:r>
          </w:p>
        </w:tc>
        <w:tc>
          <w:tcPr>
            <w:tcW w:w="1220" w:type="dxa"/>
            <w:vAlign w:val="bottom"/>
            <w:vMerge w:val="restart"/>
          </w:tcPr>
          <w:p>
            <w:pPr>
              <w:jc w:val="right"/>
              <w:ind w:right="89"/>
              <w:spacing w:after="0"/>
              <w:rPr>
                <w:sz w:val="20"/>
                <w:szCs w:val="20"/>
                <w:color w:val="auto"/>
              </w:rPr>
            </w:pPr>
            <w:r>
              <w:rPr>
                <w:rFonts w:ascii="Arial" w:cs="Arial" w:eastAsia="Arial" w:hAnsi="Arial"/>
                <w:sz w:val="18"/>
                <w:szCs w:val="18"/>
                <w:color w:val="auto"/>
              </w:rPr>
              <w:t>$364,060</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$278,952</w:t>
            </w:r>
          </w:p>
        </w:tc>
        <w:tc>
          <w:tcPr>
            <w:tcW w:w="0" w:type="dxa"/>
            <w:vAlign w:val="bottom"/>
          </w:tcPr>
          <w:p>
            <w:pPr>
              <w:spacing w:after="0"/>
              <w:rPr>
                <w:sz w:val="1"/>
                <w:szCs w:val="1"/>
                <w:color w:val="auto"/>
              </w:rPr>
            </w:pPr>
          </w:p>
        </w:tc>
      </w:tr>
      <w:tr>
        <w:trPr>
          <w:trHeight w:val="58"/>
        </w:trPr>
        <w:tc>
          <w:tcPr>
            <w:tcW w:w="3520" w:type="dxa"/>
            <w:vAlign w:val="bottom"/>
          </w:tcPr>
          <w:p>
            <w:pPr>
              <w:spacing w:after="0"/>
              <w:rPr>
                <w:sz w:val="5"/>
                <w:szCs w:val="5"/>
                <w:color w:val="auto"/>
              </w:rPr>
            </w:pPr>
          </w:p>
        </w:tc>
        <w:tc>
          <w:tcPr>
            <w:tcW w:w="138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220" w:type="dxa"/>
            <w:vAlign w:val="bottom"/>
            <w:vMerge w:val="continue"/>
          </w:tcPr>
          <w:p>
            <w:pPr>
              <w:spacing w:after="0"/>
              <w:rPr>
                <w:sz w:val="5"/>
                <w:szCs w:val="5"/>
                <w:color w:val="auto"/>
              </w:rPr>
            </w:pPr>
          </w:p>
        </w:tc>
        <w:tc>
          <w:tcPr>
            <w:tcW w:w="1220" w:type="dxa"/>
            <w:vAlign w:val="bottom"/>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3520" w:type="dxa"/>
            <w:vAlign w:val="bottom"/>
            <w:shd w:val="clear" w:color="auto" w:fill="D9D9D9"/>
          </w:tcPr>
          <w:p>
            <w:pPr>
              <w:ind w:left="80"/>
              <w:spacing w:after="0"/>
              <w:rPr>
                <w:sz w:val="20"/>
                <w:szCs w:val="20"/>
                <w:color w:val="auto"/>
              </w:rPr>
            </w:pPr>
            <w:r>
              <w:rPr>
                <w:rFonts w:ascii="Arial" w:cs="Arial" w:eastAsia="Arial" w:hAnsi="Arial"/>
                <w:sz w:val="18"/>
                <w:szCs w:val="18"/>
                <w:color w:val="auto"/>
              </w:rPr>
              <w:t>FICA on Change in SERP Valuation</w:t>
            </w:r>
          </w:p>
        </w:tc>
        <w:tc>
          <w:tcPr>
            <w:tcW w:w="1380" w:type="dxa"/>
            <w:vAlign w:val="bottom"/>
            <w:shd w:val="clear" w:color="auto" w:fill="D9D9D9"/>
          </w:tcPr>
          <w:p>
            <w:pPr>
              <w:jc w:val="right"/>
              <w:ind w:right="169"/>
              <w:spacing w:after="0"/>
              <w:rPr>
                <w:sz w:val="20"/>
                <w:szCs w:val="20"/>
                <w:color w:val="auto"/>
              </w:rPr>
            </w:pPr>
            <w:r>
              <w:rPr>
                <w:rFonts w:ascii="Arial" w:cs="Arial" w:eastAsia="Arial" w:hAnsi="Arial"/>
                <w:sz w:val="18"/>
                <w:szCs w:val="18"/>
                <w:color w:val="auto"/>
              </w:rPr>
              <w:t>41,440</w:t>
            </w:r>
          </w:p>
        </w:tc>
        <w:tc>
          <w:tcPr>
            <w:tcW w:w="1040" w:type="dxa"/>
            <w:vAlign w:val="bottom"/>
            <w:shd w:val="clear" w:color="auto" w:fill="D9D9D9"/>
          </w:tcPr>
          <w:p>
            <w:pPr>
              <w:jc w:val="right"/>
              <w:ind w:right="29"/>
              <w:spacing w:after="0"/>
              <w:rPr>
                <w:sz w:val="20"/>
                <w:szCs w:val="20"/>
                <w:color w:val="auto"/>
              </w:rPr>
            </w:pPr>
            <w:r>
              <w:rPr>
                <w:rFonts w:ascii="Arial" w:cs="Arial" w:eastAsia="Arial" w:hAnsi="Arial"/>
                <w:sz w:val="18"/>
                <w:szCs w:val="18"/>
                <w:color w:val="auto"/>
              </w:rPr>
              <w:t>14,056</w:t>
            </w:r>
          </w:p>
        </w:tc>
        <w:tc>
          <w:tcPr>
            <w:tcW w:w="1220" w:type="dxa"/>
            <w:vAlign w:val="bottom"/>
            <w:shd w:val="clear" w:color="auto" w:fill="D9D9D9"/>
          </w:tcPr>
          <w:p>
            <w:pPr>
              <w:jc w:val="right"/>
              <w:ind w:right="109"/>
              <w:spacing w:after="0"/>
              <w:rPr>
                <w:sz w:val="20"/>
                <w:szCs w:val="20"/>
                <w:color w:val="auto"/>
              </w:rPr>
            </w:pPr>
            <w:r>
              <w:rPr>
                <w:rFonts w:ascii="Arial" w:cs="Arial" w:eastAsia="Arial" w:hAnsi="Arial"/>
                <w:sz w:val="18"/>
                <w:szCs w:val="18"/>
                <w:color w:val="auto"/>
              </w:rPr>
              <w:t>14,345</w:t>
            </w:r>
          </w:p>
        </w:tc>
        <w:tc>
          <w:tcPr>
            <w:tcW w:w="1220" w:type="dxa"/>
            <w:vAlign w:val="bottom"/>
            <w:shd w:val="clear" w:color="auto" w:fill="D9D9D9"/>
          </w:tcPr>
          <w:p>
            <w:pPr>
              <w:jc w:val="right"/>
              <w:ind w:right="89"/>
              <w:spacing w:after="0"/>
              <w:rPr>
                <w:sz w:val="20"/>
                <w:szCs w:val="20"/>
                <w:color w:val="auto"/>
              </w:rPr>
            </w:pPr>
            <w:r>
              <w:rPr>
                <w:rFonts w:ascii="Arial" w:cs="Arial" w:eastAsia="Arial" w:hAnsi="Arial"/>
                <w:sz w:val="18"/>
                <w:szCs w:val="18"/>
                <w:color w:val="auto"/>
              </w:rPr>
              <w:t>112,346</w:t>
            </w:r>
          </w:p>
        </w:tc>
        <w:tc>
          <w:tcPr>
            <w:tcW w:w="1160" w:type="dxa"/>
            <w:vAlign w:val="bottom"/>
            <w:shd w:val="clear" w:color="auto" w:fill="D9D9D9"/>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93"/>
        </w:trPr>
        <w:tc>
          <w:tcPr>
            <w:tcW w:w="3520" w:type="dxa"/>
            <w:vAlign w:val="bottom"/>
          </w:tcPr>
          <w:p>
            <w:pPr>
              <w:ind w:left="80"/>
              <w:spacing w:after="0"/>
              <w:rPr>
                <w:sz w:val="20"/>
                <w:szCs w:val="20"/>
                <w:color w:val="auto"/>
              </w:rPr>
            </w:pPr>
            <w:r>
              <w:rPr>
                <w:rFonts w:ascii="Arial" w:cs="Arial" w:eastAsia="Arial" w:hAnsi="Arial"/>
                <w:sz w:val="18"/>
                <w:szCs w:val="18"/>
                <w:color w:val="auto"/>
              </w:rPr>
              <w:t>Defined Contribution Plan Company</w:t>
            </w:r>
          </w:p>
        </w:tc>
        <w:tc>
          <w:tcPr>
            <w:tcW w:w="1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520" w:type="dxa"/>
            <w:vAlign w:val="bottom"/>
          </w:tcPr>
          <w:p>
            <w:pPr>
              <w:ind w:left="80"/>
              <w:spacing w:after="0"/>
              <w:rPr>
                <w:sz w:val="20"/>
                <w:szCs w:val="20"/>
                <w:color w:val="auto"/>
              </w:rPr>
            </w:pPr>
            <w:r>
              <w:rPr>
                <w:rFonts w:ascii="Arial" w:cs="Arial" w:eastAsia="Arial" w:hAnsi="Arial"/>
                <w:sz w:val="18"/>
                <w:szCs w:val="18"/>
                <w:color w:val="auto"/>
              </w:rPr>
              <w:t>Contributions *</w:t>
            </w:r>
          </w:p>
        </w:tc>
        <w:tc>
          <w:tcPr>
            <w:tcW w:w="1380" w:type="dxa"/>
            <w:vAlign w:val="bottom"/>
            <w:vMerge w:val="restart"/>
          </w:tcPr>
          <w:p>
            <w:pPr>
              <w:jc w:val="right"/>
              <w:ind w:right="269"/>
              <w:spacing w:after="0"/>
              <w:rPr>
                <w:sz w:val="20"/>
                <w:szCs w:val="20"/>
                <w:color w:val="auto"/>
              </w:rPr>
            </w:pPr>
            <w:r>
              <w:rPr>
                <w:rFonts w:ascii="Arial" w:cs="Arial" w:eastAsia="Arial" w:hAnsi="Arial"/>
                <w:sz w:val="18"/>
                <w:szCs w:val="18"/>
                <w:color w:val="auto"/>
              </w:rPr>
              <w:t>4,200</w:t>
            </w:r>
          </w:p>
        </w:tc>
        <w:tc>
          <w:tcPr>
            <w:tcW w:w="1040" w:type="dxa"/>
            <w:vAlign w:val="bottom"/>
            <w:vMerge w:val="restart"/>
          </w:tcPr>
          <w:p>
            <w:pPr>
              <w:jc w:val="right"/>
              <w:ind w:right="109"/>
              <w:spacing w:after="0"/>
              <w:rPr>
                <w:sz w:val="20"/>
                <w:szCs w:val="20"/>
                <w:color w:val="auto"/>
              </w:rPr>
            </w:pPr>
            <w:r>
              <w:rPr>
                <w:rFonts w:ascii="Arial" w:cs="Arial" w:eastAsia="Arial" w:hAnsi="Arial"/>
                <w:sz w:val="18"/>
                <w:szCs w:val="18"/>
                <w:color w:val="auto"/>
              </w:rPr>
              <w:t>4,200</w:t>
            </w:r>
          </w:p>
        </w:tc>
        <w:tc>
          <w:tcPr>
            <w:tcW w:w="1220" w:type="dxa"/>
            <w:vAlign w:val="bottom"/>
            <w:vMerge w:val="restart"/>
          </w:tcPr>
          <w:p>
            <w:pPr>
              <w:jc w:val="right"/>
              <w:ind w:right="189"/>
              <w:spacing w:after="0"/>
              <w:rPr>
                <w:sz w:val="20"/>
                <w:szCs w:val="20"/>
                <w:color w:val="auto"/>
              </w:rPr>
            </w:pPr>
            <w:r>
              <w:rPr>
                <w:rFonts w:ascii="Arial" w:cs="Arial" w:eastAsia="Arial" w:hAnsi="Arial"/>
                <w:sz w:val="18"/>
                <w:szCs w:val="18"/>
                <w:color w:val="auto"/>
              </w:rPr>
              <w:t>4,200</w:t>
            </w:r>
          </w:p>
        </w:tc>
        <w:tc>
          <w:tcPr>
            <w:tcW w:w="1220" w:type="dxa"/>
            <w:vAlign w:val="bottom"/>
            <w:vMerge w:val="restart"/>
          </w:tcPr>
          <w:p>
            <w:pPr>
              <w:jc w:val="right"/>
              <w:ind w:right="169"/>
              <w:spacing w:after="0"/>
              <w:rPr>
                <w:sz w:val="20"/>
                <w:szCs w:val="20"/>
                <w:color w:val="auto"/>
              </w:rPr>
            </w:pPr>
            <w:r>
              <w:rPr>
                <w:rFonts w:ascii="Arial" w:cs="Arial" w:eastAsia="Arial" w:hAnsi="Arial"/>
                <w:sz w:val="18"/>
                <w:szCs w:val="18"/>
                <w:color w:val="auto"/>
              </w:rPr>
              <w:t>4,200</w:t>
            </w:r>
          </w:p>
        </w:tc>
        <w:tc>
          <w:tcPr>
            <w:tcW w:w="1160" w:type="dxa"/>
            <w:vAlign w:val="bottom"/>
            <w:vMerge w:val="restart"/>
          </w:tcPr>
          <w:p>
            <w:pPr>
              <w:jc w:val="right"/>
              <w:ind w:right="9"/>
              <w:spacing w:after="0"/>
              <w:rPr>
                <w:sz w:val="20"/>
                <w:szCs w:val="20"/>
                <w:color w:val="auto"/>
              </w:rPr>
            </w:pPr>
            <w:r>
              <w:rPr>
                <w:rFonts w:ascii="Arial" w:cs="Arial" w:eastAsia="Arial" w:hAnsi="Arial"/>
                <w:sz w:val="18"/>
                <w:szCs w:val="18"/>
                <w:color w:val="auto"/>
              </w:rPr>
              <w:t>4,200</w:t>
            </w:r>
          </w:p>
        </w:tc>
        <w:tc>
          <w:tcPr>
            <w:tcW w:w="0" w:type="dxa"/>
            <w:vAlign w:val="bottom"/>
          </w:tcPr>
          <w:p>
            <w:pPr>
              <w:spacing w:after="0"/>
              <w:rPr>
                <w:sz w:val="1"/>
                <w:szCs w:val="1"/>
                <w:color w:val="auto"/>
              </w:rPr>
            </w:pPr>
          </w:p>
        </w:tc>
      </w:tr>
      <w:tr>
        <w:trPr>
          <w:trHeight w:val="95"/>
        </w:trPr>
        <w:tc>
          <w:tcPr>
            <w:tcW w:w="3520" w:type="dxa"/>
            <w:vAlign w:val="bottom"/>
            <w:tcBorders>
              <w:bottom w:val="single" w:sz="8" w:color="D9D9D9"/>
            </w:tcBorders>
          </w:tcPr>
          <w:p>
            <w:pPr>
              <w:spacing w:after="0"/>
              <w:rPr>
                <w:sz w:val="8"/>
                <w:szCs w:val="8"/>
                <w:color w:val="auto"/>
              </w:rPr>
            </w:pPr>
          </w:p>
        </w:tc>
        <w:tc>
          <w:tcPr>
            <w:tcW w:w="1380" w:type="dxa"/>
            <w:vAlign w:val="bottom"/>
            <w:tcBorders>
              <w:bottom w:val="single" w:sz="8" w:color="auto"/>
            </w:tcBorders>
            <w:vMerge w:val="continue"/>
          </w:tcPr>
          <w:p>
            <w:pPr>
              <w:spacing w:after="0"/>
              <w:rPr>
                <w:sz w:val="8"/>
                <w:szCs w:val="8"/>
                <w:color w:val="auto"/>
              </w:rPr>
            </w:pPr>
          </w:p>
        </w:tc>
        <w:tc>
          <w:tcPr>
            <w:tcW w:w="1040" w:type="dxa"/>
            <w:vAlign w:val="bottom"/>
            <w:tcBorders>
              <w:bottom w:val="single" w:sz="8" w:color="auto"/>
            </w:tcBorders>
            <w:vMerge w:val="continue"/>
          </w:tcPr>
          <w:p>
            <w:pPr>
              <w:spacing w:after="0"/>
              <w:rPr>
                <w:sz w:val="8"/>
                <w:szCs w:val="8"/>
                <w:color w:val="auto"/>
              </w:rPr>
            </w:pPr>
          </w:p>
        </w:tc>
        <w:tc>
          <w:tcPr>
            <w:tcW w:w="1220" w:type="dxa"/>
            <w:vAlign w:val="bottom"/>
            <w:tcBorders>
              <w:bottom w:val="single" w:sz="8" w:color="auto"/>
            </w:tcBorders>
            <w:vMerge w:val="continue"/>
          </w:tcPr>
          <w:p>
            <w:pPr>
              <w:spacing w:after="0"/>
              <w:rPr>
                <w:sz w:val="8"/>
                <w:szCs w:val="8"/>
                <w:color w:val="auto"/>
              </w:rPr>
            </w:pPr>
          </w:p>
        </w:tc>
        <w:tc>
          <w:tcPr>
            <w:tcW w:w="1220" w:type="dxa"/>
            <w:vAlign w:val="bottom"/>
            <w:tcBorders>
              <w:bottom w:val="single" w:sz="8" w:color="auto"/>
            </w:tcBorders>
            <w:vMerge w:val="continue"/>
          </w:tcPr>
          <w:p>
            <w:pPr>
              <w:spacing w:after="0"/>
              <w:rPr>
                <w:sz w:val="8"/>
                <w:szCs w:val="8"/>
                <w:color w:val="auto"/>
              </w:rPr>
            </w:pPr>
          </w:p>
        </w:tc>
        <w:tc>
          <w:tcPr>
            <w:tcW w:w="116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07"/>
        </w:trPr>
        <w:tc>
          <w:tcPr>
            <w:tcW w:w="3520" w:type="dxa"/>
            <w:vAlign w:val="bottom"/>
            <w:tcBorders>
              <w:bottom w:val="single" w:sz="8" w:color="D9D9D9"/>
            </w:tcBorders>
            <w:shd w:val="clear" w:color="auto" w:fill="D9D9D9"/>
          </w:tcPr>
          <w:p>
            <w:pPr>
              <w:ind w:left="80"/>
              <w:spacing w:after="0"/>
              <w:rPr>
                <w:sz w:val="20"/>
                <w:szCs w:val="20"/>
                <w:color w:val="auto"/>
              </w:rPr>
            </w:pPr>
            <w:r>
              <w:rPr>
                <w:rFonts w:ascii="Arial" w:cs="Arial" w:eastAsia="Arial" w:hAnsi="Arial"/>
                <w:sz w:val="18"/>
                <w:szCs w:val="18"/>
                <w:color w:val="auto"/>
              </w:rPr>
              <w:t>Total</w:t>
            </w:r>
          </w:p>
        </w:tc>
        <w:tc>
          <w:tcPr>
            <w:tcW w:w="1380" w:type="dxa"/>
            <w:vAlign w:val="bottom"/>
            <w:tcBorders>
              <w:bottom w:val="single" w:sz="8" w:color="auto"/>
            </w:tcBorders>
            <w:shd w:val="clear" w:color="auto" w:fill="D9D9D9"/>
          </w:tcPr>
          <w:p>
            <w:pPr>
              <w:jc w:val="right"/>
              <w:ind w:right="169"/>
              <w:spacing w:after="0"/>
              <w:rPr>
                <w:sz w:val="20"/>
                <w:szCs w:val="20"/>
                <w:color w:val="auto"/>
              </w:rPr>
            </w:pPr>
            <w:r>
              <w:rPr>
                <w:rFonts w:ascii="Arial" w:cs="Arial" w:eastAsia="Arial" w:hAnsi="Arial"/>
                <w:sz w:val="18"/>
                <w:szCs w:val="18"/>
                <w:color w:val="auto"/>
              </w:rPr>
              <w:t>$1,081,053</w:t>
            </w:r>
          </w:p>
        </w:tc>
        <w:tc>
          <w:tcPr>
            <w:tcW w:w="1040" w:type="dxa"/>
            <w:vAlign w:val="bottom"/>
            <w:tcBorders>
              <w:bottom w:val="single" w:sz="8" w:color="auto"/>
            </w:tcBorders>
            <w:shd w:val="clear" w:color="auto" w:fill="D9D9D9"/>
          </w:tcPr>
          <w:p>
            <w:pPr>
              <w:jc w:val="right"/>
              <w:ind w:right="29"/>
              <w:spacing w:after="0"/>
              <w:rPr>
                <w:sz w:val="20"/>
                <w:szCs w:val="20"/>
                <w:color w:val="auto"/>
              </w:rPr>
            </w:pPr>
            <w:r>
              <w:rPr>
                <w:rFonts w:ascii="Arial" w:cs="Arial" w:eastAsia="Arial" w:hAnsi="Arial"/>
                <w:sz w:val="18"/>
                <w:szCs w:val="18"/>
                <w:color w:val="auto"/>
              </w:rPr>
              <w:t>$443,939</w:t>
            </w:r>
          </w:p>
        </w:tc>
        <w:tc>
          <w:tcPr>
            <w:tcW w:w="1220" w:type="dxa"/>
            <w:vAlign w:val="bottom"/>
            <w:tcBorders>
              <w:bottom w:val="single" w:sz="8" w:color="auto"/>
            </w:tcBorders>
            <w:shd w:val="clear" w:color="auto" w:fill="D9D9D9"/>
          </w:tcPr>
          <w:p>
            <w:pPr>
              <w:jc w:val="right"/>
              <w:ind w:right="109"/>
              <w:spacing w:after="0"/>
              <w:rPr>
                <w:sz w:val="20"/>
                <w:szCs w:val="20"/>
                <w:color w:val="auto"/>
              </w:rPr>
            </w:pPr>
            <w:r>
              <w:rPr>
                <w:rFonts w:ascii="Arial" w:cs="Arial" w:eastAsia="Arial" w:hAnsi="Arial"/>
                <w:sz w:val="18"/>
                <w:szCs w:val="18"/>
                <w:color w:val="auto"/>
              </w:rPr>
              <w:t>$465,581</w:t>
            </w:r>
          </w:p>
        </w:tc>
        <w:tc>
          <w:tcPr>
            <w:tcW w:w="1220" w:type="dxa"/>
            <w:vAlign w:val="bottom"/>
            <w:tcBorders>
              <w:bottom w:val="single" w:sz="8" w:color="auto"/>
            </w:tcBorders>
            <w:shd w:val="clear" w:color="auto" w:fill="D9D9D9"/>
          </w:tcPr>
          <w:p>
            <w:pPr>
              <w:jc w:val="right"/>
              <w:ind w:right="89"/>
              <w:spacing w:after="0"/>
              <w:rPr>
                <w:sz w:val="20"/>
                <w:szCs w:val="20"/>
                <w:color w:val="auto"/>
              </w:rPr>
            </w:pPr>
            <w:r>
              <w:rPr>
                <w:rFonts w:ascii="Arial" w:cs="Arial" w:eastAsia="Arial" w:hAnsi="Arial"/>
                <w:sz w:val="18"/>
                <w:szCs w:val="18"/>
                <w:color w:val="auto"/>
              </w:rPr>
              <w:t>$480,606</w:t>
            </w:r>
          </w:p>
        </w:tc>
        <w:tc>
          <w:tcPr>
            <w:tcW w:w="116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8"/>
                <w:szCs w:val="18"/>
                <w:color w:val="auto"/>
              </w:rPr>
              <w:t>$283,152</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301" w:hanging="301"/>
        <w:spacing w:after="0" w:line="273" w:lineRule="auto"/>
        <w:tabs>
          <w:tab w:leader="none" w:pos="301"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See the “Retirement Benefits” subsection of the Compensation Discussion and Analysis section of this Proxy Statement for a more complete description of the defined contribution benefit plans applicable to the NEOs.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50</w:t>
      </w:r>
    </w:p>
    <w:p>
      <w:pPr>
        <w:sectPr>
          <w:pgSz w:w="11900" w:h="16838" w:orient="portrait"/>
          <w:cols w:equalWidth="0" w:num="1">
            <w:col w:w="11241"/>
          </w:cols>
          <w:pgMar w:left="319" w:top="1053" w:right="339" w:bottom="1440" w:gutter="0" w:footer="0" w:header="0"/>
        </w:sectPr>
      </w:pPr>
    </w:p>
    <w:bookmarkStart w:id="54" w:name="page55"/>
    <w:bookmarkEnd w:id="54"/>
    <w:p>
      <w:pPr>
        <w:jc w:val="center"/>
        <w:spacing w:after="0"/>
        <w:rPr>
          <w:sz w:val="20"/>
          <w:szCs w:val="20"/>
          <w:color w:val="auto"/>
        </w:rPr>
      </w:pPr>
      <w:r>
        <w:rPr>
          <w:rFonts w:ascii="Arial" w:cs="Arial" w:eastAsia="Arial" w:hAnsi="Arial"/>
          <w:sz w:val="20"/>
          <w:szCs w:val="20"/>
          <w:b w:val="1"/>
          <w:bCs w:val="1"/>
          <w:color w:val="auto"/>
        </w:rPr>
        <w:t>Grants of Plan-Based Awards</w:t>
      </w:r>
    </w:p>
    <w:p>
      <w:pPr>
        <w:spacing w:after="0" w:line="198" w:lineRule="exact"/>
        <w:rPr>
          <w:sz w:val="20"/>
          <w:szCs w:val="20"/>
          <w:color w:val="auto"/>
        </w:rPr>
      </w:pPr>
    </w:p>
    <w:p>
      <w:pPr>
        <w:jc w:val="both"/>
        <w:ind w:left="1" w:firstLine="595"/>
        <w:spacing w:after="0" w:line="237" w:lineRule="auto"/>
        <w:rPr>
          <w:sz w:val="20"/>
          <w:szCs w:val="20"/>
          <w:color w:val="auto"/>
        </w:rPr>
      </w:pPr>
      <w:r>
        <w:rPr>
          <w:rFonts w:ascii="Arial" w:cs="Arial" w:eastAsia="Arial" w:hAnsi="Arial"/>
          <w:sz w:val="20"/>
          <w:szCs w:val="20"/>
          <w:color w:val="auto"/>
        </w:rPr>
        <w:t>The following table provides information about the annual incentive bonuses that the Company’s NEOs were eligible to receive for 2019 under the Company’s Annual Incentive Bonus Plan and stock-based awards granted in 2019 to each of the Company’s NEOs under the Company’s Stock-Based Incentive Compensation Plan. There can be no assurance that the fair value of the performance-based stock awarded to the Company’s NEOs in 2019 will ever be realized by the NEOs. For further information and the assumptions made in determining the grant-date fair values of the stock awards, see Notes A and W to the Company’s financial statements in the Company’s Annual Report on Form 10-K for the fiscal year ended December 31, 2019.</w:t>
      </w:r>
    </w:p>
    <w:p>
      <w:pPr>
        <w:spacing w:after="0" w:line="175" w:lineRule="exact"/>
        <w:rPr>
          <w:sz w:val="20"/>
          <w:szCs w:val="20"/>
          <w:color w:val="auto"/>
        </w:rPr>
      </w:pPr>
    </w:p>
    <w:tbl>
      <w:tblPr>
        <w:tblLayout w:type="fixed"/>
        <w:tblInd w:w="11" w:type="dxa"/>
        <w:tblCellMar>
          <w:top w:w="0" w:type="dxa"/>
          <w:left w:w="0" w:type="dxa"/>
          <w:bottom w:w="0" w:type="dxa"/>
          <w:right w:w="0" w:type="dxa"/>
        </w:tblCellMar>
      </w:tblPr>
      <w:tr>
        <w:trPr>
          <w:trHeight w:val="177"/>
        </w:trPr>
        <w:tc>
          <w:tcPr>
            <w:tcW w:w="1040" w:type="dxa"/>
            <w:vAlign w:val="bottom"/>
            <w:tcBorders>
              <w:top w:val="single" w:sz="8" w:color="auto"/>
              <w:left w:val="single" w:sz="8" w:color="auto"/>
              <w:right w:val="single" w:sz="8" w:color="auto"/>
            </w:tcBorders>
            <w:shd w:val="clear" w:color="auto" w:fill="29650B"/>
          </w:tcPr>
          <w:p>
            <w:pPr>
              <w:spacing w:after="0"/>
              <w:rPr>
                <w:sz w:val="15"/>
                <w:szCs w:val="15"/>
                <w:color w:val="auto"/>
              </w:rPr>
            </w:pPr>
          </w:p>
        </w:tc>
        <w:tc>
          <w:tcPr>
            <w:tcW w:w="1240" w:type="dxa"/>
            <w:vAlign w:val="bottom"/>
            <w:tcBorders>
              <w:top w:val="single" w:sz="8" w:color="auto"/>
              <w:right w:val="single" w:sz="8" w:color="auto"/>
            </w:tcBorders>
            <w:shd w:val="clear" w:color="auto" w:fill="29650B"/>
          </w:tcPr>
          <w:p>
            <w:pPr>
              <w:spacing w:after="0"/>
              <w:rPr>
                <w:sz w:val="15"/>
                <w:szCs w:val="15"/>
                <w:color w:val="auto"/>
              </w:rPr>
            </w:pPr>
          </w:p>
        </w:tc>
        <w:tc>
          <w:tcPr>
            <w:tcW w:w="1020" w:type="dxa"/>
            <w:vAlign w:val="bottom"/>
            <w:tcBorders>
              <w:top w:val="single" w:sz="8" w:color="auto"/>
            </w:tcBorders>
            <w:shd w:val="clear" w:color="auto" w:fill="29650B"/>
          </w:tcPr>
          <w:p>
            <w:pPr>
              <w:spacing w:after="0"/>
              <w:rPr>
                <w:sz w:val="15"/>
                <w:szCs w:val="15"/>
                <w:color w:val="auto"/>
              </w:rPr>
            </w:pPr>
          </w:p>
        </w:tc>
        <w:tc>
          <w:tcPr>
            <w:tcW w:w="100" w:type="dxa"/>
            <w:vAlign w:val="bottom"/>
            <w:tcBorders>
              <w:top w:val="single" w:sz="8" w:color="auto"/>
              <w:right w:val="single" w:sz="8" w:color="29650B"/>
            </w:tcBorders>
            <w:shd w:val="clear" w:color="auto" w:fill="29650B"/>
          </w:tcPr>
          <w:p>
            <w:pPr>
              <w:spacing w:after="0"/>
              <w:rPr>
                <w:sz w:val="15"/>
                <w:szCs w:val="15"/>
                <w:color w:val="auto"/>
              </w:rPr>
            </w:pPr>
          </w:p>
        </w:tc>
        <w:tc>
          <w:tcPr>
            <w:tcW w:w="920" w:type="dxa"/>
            <w:vAlign w:val="bottom"/>
            <w:tcBorders>
              <w:top w:val="single" w:sz="8" w:color="auto"/>
              <w:right w:val="single" w:sz="8" w:color="29650B"/>
            </w:tcBorders>
            <w:shd w:val="clear" w:color="auto" w:fill="29650B"/>
          </w:tcPr>
          <w:p>
            <w:pPr>
              <w:spacing w:after="0"/>
              <w:rPr>
                <w:sz w:val="15"/>
                <w:szCs w:val="15"/>
                <w:color w:val="auto"/>
              </w:rPr>
            </w:pPr>
          </w:p>
        </w:tc>
        <w:tc>
          <w:tcPr>
            <w:tcW w:w="1780" w:type="dxa"/>
            <w:vAlign w:val="bottom"/>
            <w:tcBorders>
              <w:top w:val="single" w:sz="8" w:color="auto"/>
              <w:right w:val="single" w:sz="8" w:color="auto"/>
            </w:tcBorders>
            <w:shd w:val="clear" w:color="auto" w:fill="29650B"/>
          </w:tcPr>
          <w:p>
            <w:pPr>
              <w:spacing w:after="0"/>
              <w:rPr>
                <w:sz w:val="15"/>
                <w:szCs w:val="15"/>
                <w:color w:val="auto"/>
              </w:rPr>
            </w:pPr>
          </w:p>
        </w:tc>
        <w:tc>
          <w:tcPr>
            <w:tcW w:w="1020" w:type="dxa"/>
            <w:vAlign w:val="bottom"/>
            <w:tcBorders>
              <w:top w:val="single" w:sz="8" w:color="auto"/>
              <w:right w:val="single" w:sz="8" w:color="29650B"/>
            </w:tcBorders>
            <w:shd w:val="clear" w:color="auto" w:fill="29650B"/>
          </w:tcPr>
          <w:p>
            <w:pPr>
              <w:spacing w:after="0"/>
              <w:rPr>
                <w:sz w:val="15"/>
                <w:szCs w:val="15"/>
                <w:color w:val="auto"/>
              </w:rPr>
            </w:pPr>
          </w:p>
        </w:tc>
        <w:tc>
          <w:tcPr>
            <w:tcW w:w="900" w:type="dxa"/>
            <w:vAlign w:val="bottom"/>
            <w:tcBorders>
              <w:top w:val="single" w:sz="8" w:color="auto"/>
              <w:right w:val="single" w:sz="8" w:color="29650B"/>
            </w:tcBorders>
            <w:shd w:val="clear" w:color="auto" w:fill="29650B"/>
          </w:tcPr>
          <w:p>
            <w:pPr>
              <w:spacing w:after="0"/>
              <w:rPr>
                <w:sz w:val="15"/>
                <w:szCs w:val="15"/>
                <w:color w:val="auto"/>
              </w:rPr>
            </w:pPr>
          </w:p>
        </w:tc>
        <w:tc>
          <w:tcPr>
            <w:tcW w:w="1000" w:type="dxa"/>
            <w:vAlign w:val="bottom"/>
            <w:tcBorders>
              <w:top w:val="single" w:sz="8" w:color="auto"/>
              <w:right w:val="single" w:sz="8" w:color="auto"/>
            </w:tcBorders>
            <w:shd w:val="clear" w:color="auto" w:fill="29650B"/>
          </w:tcPr>
          <w:p>
            <w:pPr>
              <w:spacing w:after="0"/>
              <w:rPr>
                <w:sz w:val="15"/>
                <w:szCs w:val="15"/>
                <w:color w:val="auto"/>
              </w:rPr>
            </w:pPr>
          </w:p>
        </w:tc>
        <w:tc>
          <w:tcPr>
            <w:tcW w:w="1120" w:type="dxa"/>
            <w:vAlign w:val="bottom"/>
            <w:tcBorders>
              <w:top w:val="single" w:sz="8" w:color="auto"/>
              <w:right w:val="single" w:sz="8" w:color="auto"/>
            </w:tcBorders>
            <w:shd w:val="clear" w:color="auto" w:fill="29650B"/>
          </w:tcPr>
          <w:p>
            <w:pPr>
              <w:jc w:val="center"/>
              <w:spacing w:after="0" w:line="177" w:lineRule="exact"/>
              <w:rPr>
                <w:sz w:val="20"/>
                <w:szCs w:val="20"/>
                <w:color w:val="auto"/>
              </w:rPr>
            </w:pPr>
            <w:r>
              <w:rPr>
                <w:rFonts w:ascii="Arial" w:cs="Arial" w:eastAsia="Arial" w:hAnsi="Arial"/>
                <w:sz w:val="16"/>
                <w:szCs w:val="16"/>
                <w:b w:val="1"/>
                <w:bCs w:val="1"/>
                <w:color w:val="FFFFFF"/>
                <w:w w:val="94"/>
              </w:rPr>
              <w:t>All Other</w:t>
            </w:r>
          </w:p>
        </w:tc>
        <w:tc>
          <w:tcPr>
            <w:tcW w:w="1120" w:type="dxa"/>
            <w:vAlign w:val="bottom"/>
            <w:tcBorders>
              <w:top w:val="single" w:sz="8" w:color="auto"/>
              <w:right w:val="single" w:sz="8" w:color="auto"/>
            </w:tcBorders>
            <w:shd w:val="clear" w:color="auto" w:fill="29650B"/>
          </w:tcPr>
          <w:p>
            <w:pPr>
              <w:jc w:val="center"/>
              <w:spacing w:after="0" w:line="177" w:lineRule="exact"/>
              <w:rPr>
                <w:sz w:val="20"/>
                <w:szCs w:val="20"/>
                <w:color w:val="auto"/>
              </w:rPr>
            </w:pPr>
            <w:r>
              <w:rPr>
                <w:rFonts w:ascii="Arial" w:cs="Arial" w:eastAsia="Arial" w:hAnsi="Arial"/>
                <w:sz w:val="16"/>
                <w:szCs w:val="16"/>
                <w:b w:val="1"/>
                <w:bCs w:val="1"/>
                <w:color w:val="FFFFFF"/>
                <w:w w:val="91"/>
              </w:rPr>
              <w:t>2019 Grant</w:t>
            </w:r>
          </w:p>
        </w:tc>
        <w:tc>
          <w:tcPr>
            <w:tcW w:w="0" w:type="dxa"/>
            <w:vAlign w:val="bottom"/>
          </w:tcPr>
          <w:p>
            <w:pPr>
              <w:spacing w:after="0"/>
              <w:rPr>
                <w:sz w:val="1"/>
                <w:szCs w:val="1"/>
                <w:color w:val="auto"/>
              </w:rPr>
            </w:pPr>
          </w:p>
        </w:tc>
      </w:tr>
      <w:tr>
        <w:trPr>
          <w:trHeight w:val="186"/>
        </w:trPr>
        <w:tc>
          <w:tcPr>
            <w:tcW w:w="1040" w:type="dxa"/>
            <w:vAlign w:val="bottom"/>
            <w:tcBorders>
              <w:left w:val="single" w:sz="8" w:color="auto"/>
              <w:right w:val="single" w:sz="8" w:color="auto"/>
            </w:tcBorders>
            <w:shd w:val="clear" w:color="auto" w:fill="29650B"/>
          </w:tcPr>
          <w:p>
            <w:pPr>
              <w:spacing w:after="0"/>
              <w:rPr>
                <w:sz w:val="16"/>
                <w:szCs w:val="16"/>
                <w:color w:val="auto"/>
              </w:rPr>
            </w:pPr>
          </w:p>
        </w:tc>
        <w:tc>
          <w:tcPr>
            <w:tcW w:w="1240" w:type="dxa"/>
            <w:vAlign w:val="bottom"/>
            <w:tcBorders>
              <w:right w:val="single" w:sz="8" w:color="auto"/>
            </w:tcBorders>
            <w:shd w:val="clear" w:color="auto" w:fill="29650B"/>
          </w:tcPr>
          <w:p>
            <w:pPr>
              <w:spacing w:after="0"/>
              <w:rPr>
                <w:sz w:val="16"/>
                <w:szCs w:val="16"/>
                <w:color w:val="auto"/>
              </w:rPr>
            </w:pPr>
          </w:p>
        </w:tc>
        <w:tc>
          <w:tcPr>
            <w:tcW w:w="3820" w:type="dxa"/>
            <w:vAlign w:val="bottom"/>
            <w:tcBorders>
              <w:right w:val="single" w:sz="8" w:color="auto"/>
            </w:tcBorders>
            <w:gridSpan w:val="4"/>
            <w:shd w:val="clear" w:color="auto" w:fill="29650B"/>
          </w:tcPr>
          <w:p>
            <w:pPr>
              <w:jc w:val="right"/>
              <w:ind w:right="341"/>
              <w:spacing w:after="0"/>
              <w:rPr>
                <w:sz w:val="20"/>
                <w:szCs w:val="20"/>
                <w:color w:val="auto"/>
              </w:rPr>
            </w:pPr>
            <w:r>
              <w:rPr>
                <w:rFonts w:ascii="Arial" w:cs="Arial" w:eastAsia="Arial" w:hAnsi="Arial"/>
                <w:sz w:val="16"/>
                <w:szCs w:val="16"/>
                <w:b w:val="1"/>
                <w:bCs w:val="1"/>
                <w:color w:val="FFFFFF"/>
              </w:rPr>
              <w:t>Estimated Future Payouts under Non-Equity</w:t>
            </w:r>
          </w:p>
        </w:tc>
        <w:tc>
          <w:tcPr>
            <w:tcW w:w="2920" w:type="dxa"/>
            <w:vAlign w:val="bottom"/>
            <w:tcBorders>
              <w:right w:val="single" w:sz="8" w:color="auto"/>
            </w:tcBorders>
            <w:gridSpan w:val="3"/>
            <w:shd w:val="clear" w:color="auto" w:fill="29650B"/>
          </w:tcPr>
          <w:p>
            <w:pPr>
              <w:jc w:val="center"/>
              <w:spacing w:after="0"/>
              <w:rPr>
                <w:sz w:val="20"/>
                <w:szCs w:val="20"/>
                <w:color w:val="auto"/>
              </w:rPr>
            </w:pPr>
            <w:r>
              <w:rPr>
                <w:rFonts w:ascii="Arial" w:cs="Arial" w:eastAsia="Arial" w:hAnsi="Arial"/>
                <w:sz w:val="16"/>
                <w:szCs w:val="16"/>
                <w:b w:val="1"/>
                <w:bCs w:val="1"/>
                <w:color w:val="FFFFFF"/>
                <w:w w:val="89"/>
              </w:rPr>
              <w:t>Estimated Future Payouts under Equity</w:t>
            </w:r>
          </w:p>
        </w:tc>
        <w:tc>
          <w:tcPr>
            <w:tcW w:w="112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6"/>
                <w:szCs w:val="16"/>
                <w:b w:val="1"/>
                <w:bCs w:val="1"/>
                <w:color w:val="FFFFFF"/>
                <w:w w:val="87"/>
              </w:rPr>
              <w:t>Stock</w:t>
            </w:r>
          </w:p>
        </w:tc>
        <w:tc>
          <w:tcPr>
            <w:tcW w:w="112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6"/>
                <w:szCs w:val="16"/>
                <w:b w:val="1"/>
                <w:bCs w:val="1"/>
                <w:color w:val="FFFFFF"/>
                <w:w w:val="93"/>
              </w:rPr>
              <w:t>Date Fair</w:t>
            </w:r>
          </w:p>
        </w:tc>
        <w:tc>
          <w:tcPr>
            <w:tcW w:w="0" w:type="dxa"/>
            <w:vAlign w:val="bottom"/>
          </w:tcPr>
          <w:p>
            <w:pPr>
              <w:spacing w:after="0"/>
              <w:rPr>
                <w:sz w:val="1"/>
                <w:szCs w:val="1"/>
                <w:color w:val="auto"/>
              </w:rPr>
            </w:pPr>
          </w:p>
        </w:tc>
      </w:tr>
      <w:tr>
        <w:trPr>
          <w:trHeight w:val="186"/>
        </w:trPr>
        <w:tc>
          <w:tcPr>
            <w:tcW w:w="1040" w:type="dxa"/>
            <w:vAlign w:val="bottom"/>
            <w:tcBorders>
              <w:left w:val="single" w:sz="8" w:color="auto"/>
              <w:right w:val="single" w:sz="8" w:color="auto"/>
            </w:tcBorders>
            <w:shd w:val="clear" w:color="auto" w:fill="29650B"/>
          </w:tcPr>
          <w:p>
            <w:pPr>
              <w:spacing w:after="0"/>
              <w:rPr>
                <w:sz w:val="16"/>
                <w:szCs w:val="16"/>
                <w:color w:val="auto"/>
              </w:rPr>
            </w:pPr>
          </w:p>
        </w:tc>
        <w:tc>
          <w:tcPr>
            <w:tcW w:w="1240" w:type="dxa"/>
            <w:vAlign w:val="bottom"/>
            <w:tcBorders>
              <w:right w:val="single" w:sz="8" w:color="auto"/>
            </w:tcBorders>
            <w:shd w:val="clear" w:color="auto" w:fill="29650B"/>
          </w:tcPr>
          <w:p>
            <w:pPr>
              <w:spacing w:after="0"/>
              <w:rPr>
                <w:sz w:val="16"/>
                <w:szCs w:val="16"/>
                <w:color w:val="auto"/>
              </w:rPr>
            </w:pPr>
          </w:p>
        </w:tc>
        <w:tc>
          <w:tcPr>
            <w:tcW w:w="1020" w:type="dxa"/>
            <w:vAlign w:val="bottom"/>
            <w:shd w:val="clear" w:color="auto" w:fill="29650B"/>
          </w:tcPr>
          <w:p>
            <w:pPr>
              <w:spacing w:after="0"/>
              <w:rPr>
                <w:sz w:val="16"/>
                <w:szCs w:val="16"/>
                <w:color w:val="auto"/>
              </w:rPr>
            </w:pPr>
          </w:p>
        </w:tc>
        <w:tc>
          <w:tcPr>
            <w:tcW w:w="2800" w:type="dxa"/>
            <w:vAlign w:val="bottom"/>
            <w:tcBorders>
              <w:right w:val="single" w:sz="8" w:color="auto"/>
            </w:tcBorders>
            <w:gridSpan w:val="3"/>
            <w:shd w:val="clear" w:color="auto" w:fill="29650B"/>
          </w:tcPr>
          <w:p>
            <w:pPr>
              <w:jc w:val="right"/>
              <w:ind w:right="981"/>
              <w:spacing w:after="0"/>
              <w:rPr>
                <w:sz w:val="20"/>
                <w:szCs w:val="20"/>
                <w:color w:val="auto"/>
              </w:rPr>
            </w:pPr>
            <w:r>
              <w:rPr>
                <w:rFonts w:ascii="Arial" w:cs="Arial" w:eastAsia="Arial" w:hAnsi="Arial"/>
                <w:sz w:val="16"/>
                <w:szCs w:val="16"/>
                <w:b w:val="1"/>
                <w:bCs w:val="1"/>
                <w:color w:val="FFFFFF"/>
                <w:w w:val="88"/>
              </w:rPr>
              <w:t>Incentive Plan Awards (1)</w:t>
            </w:r>
          </w:p>
        </w:tc>
        <w:tc>
          <w:tcPr>
            <w:tcW w:w="2920" w:type="dxa"/>
            <w:vAlign w:val="bottom"/>
            <w:tcBorders>
              <w:right w:val="single" w:sz="8" w:color="auto"/>
            </w:tcBorders>
            <w:gridSpan w:val="3"/>
            <w:shd w:val="clear" w:color="auto" w:fill="29650B"/>
          </w:tcPr>
          <w:p>
            <w:pPr>
              <w:jc w:val="center"/>
              <w:spacing w:after="0"/>
              <w:rPr>
                <w:sz w:val="20"/>
                <w:szCs w:val="20"/>
                <w:color w:val="auto"/>
              </w:rPr>
            </w:pPr>
            <w:r>
              <w:rPr>
                <w:rFonts w:ascii="Arial" w:cs="Arial" w:eastAsia="Arial" w:hAnsi="Arial"/>
                <w:sz w:val="16"/>
                <w:szCs w:val="16"/>
                <w:b w:val="1"/>
                <w:bCs w:val="1"/>
                <w:color w:val="FFFFFF"/>
                <w:w w:val="89"/>
              </w:rPr>
              <w:t>Incentive Plan Awards (2)</w:t>
            </w:r>
          </w:p>
        </w:tc>
        <w:tc>
          <w:tcPr>
            <w:tcW w:w="112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6"/>
                <w:szCs w:val="16"/>
                <w:b w:val="1"/>
                <w:bCs w:val="1"/>
                <w:color w:val="FFFFFF"/>
                <w:w w:val="91"/>
              </w:rPr>
              <w:t>Awards:</w:t>
            </w:r>
          </w:p>
        </w:tc>
        <w:tc>
          <w:tcPr>
            <w:tcW w:w="112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6"/>
                <w:szCs w:val="16"/>
                <w:b w:val="1"/>
                <w:bCs w:val="1"/>
                <w:color w:val="FFFFFF"/>
                <w:w w:val="86"/>
              </w:rPr>
              <w:t>Value of</w:t>
            </w:r>
          </w:p>
        </w:tc>
        <w:tc>
          <w:tcPr>
            <w:tcW w:w="0" w:type="dxa"/>
            <w:vAlign w:val="bottom"/>
          </w:tcPr>
          <w:p>
            <w:pPr>
              <w:spacing w:after="0"/>
              <w:rPr>
                <w:sz w:val="1"/>
                <w:szCs w:val="1"/>
                <w:color w:val="auto"/>
              </w:rPr>
            </w:pPr>
          </w:p>
        </w:tc>
      </w:tr>
      <w:tr>
        <w:trPr>
          <w:trHeight w:val="237"/>
        </w:trPr>
        <w:tc>
          <w:tcPr>
            <w:tcW w:w="1040" w:type="dxa"/>
            <w:vAlign w:val="bottom"/>
            <w:tcBorders>
              <w:left w:val="single" w:sz="8" w:color="auto"/>
              <w:bottom w:val="single" w:sz="8" w:color="29650B"/>
              <w:right w:val="single" w:sz="8" w:color="auto"/>
            </w:tcBorders>
            <w:shd w:val="clear" w:color="auto" w:fill="29650B"/>
          </w:tcPr>
          <w:p>
            <w:pPr>
              <w:spacing w:after="0"/>
              <w:rPr>
                <w:sz w:val="20"/>
                <w:szCs w:val="20"/>
                <w:color w:val="auto"/>
              </w:rPr>
            </w:pPr>
          </w:p>
        </w:tc>
        <w:tc>
          <w:tcPr>
            <w:tcW w:w="1240" w:type="dxa"/>
            <w:vAlign w:val="bottom"/>
            <w:tcBorders>
              <w:bottom w:val="single" w:sz="8" w:color="29650B"/>
              <w:right w:val="single" w:sz="8" w:color="auto"/>
            </w:tcBorders>
            <w:shd w:val="clear" w:color="auto" w:fill="29650B"/>
          </w:tcPr>
          <w:p>
            <w:pPr>
              <w:spacing w:after="0"/>
              <w:rPr>
                <w:sz w:val="20"/>
                <w:szCs w:val="20"/>
                <w:color w:val="auto"/>
              </w:rPr>
            </w:pPr>
          </w:p>
        </w:tc>
        <w:tc>
          <w:tcPr>
            <w:tcW w:w="1020" w:type="dxa"/>
            <w:vAlign w:val="bottom"/>
            <w:tcBorders>
              <w:bottom w:val="single" w:sz="8" w:color="29650B"/>
            </w:tcBorders>
            <w:shd w:val="clear" w:color="auto" w:fill="29650B"/>
          </w:tcPr>
          <w:p>
            <w:pPr>
              <w:spacing w:after="0"/>
              <w:rPr>
                <w:sz w:val="20"/>
                <w:szCs w:val="20"/>
                <w:color w:val="auto"/>
              </w:rPr>
            </w:pPr>
          </w:p>
        </w:tc>
        <w:tc>
          <w:tcPr>
            <w:tcW w:w="100" w:type="dxa"/>
            <w:vAlign w:val="bottom"/>
            <w:tcBorders>
              <w:bottom w:val="single" w:sz="8" w:color="29650B"/>
              <w:right w:val="single" w:sz="8" w:color="29650B"/>
            </w:tcBorders>
            <w:shd w:val="clear" w:color="auto" w:fill="29650B"/>
          </w:tcPr>
          <w:p>
            <w:pPr>
              <w:spacing w:after="0"/>
              <w:rPr>
                <w:sz w:val="20"/>
                <w:szCs w:val="20"/>
                <w:color w:val="auto"/>
              </w:rPr>
            </w:pPr>
          </w:p>
        </w:tc>
        <w:tc>
          <w:tcPr>
            <w:tcW w:w="920" w:type="dxa"/>
            <w:vAlign w:val="bottom"/>
            <w:tcBorders>
              <w:bottom w:val="single" w:sz="8" w:color="29650B"/>
              <w:right w:val="single" w:sz="8" w:color="29650B"/>
            </w:tcBorders>
            <w:shd w:val="clear" w:color="auto" w:fill="29650B"/>
          </w:tcPr>
          <w:p>
            <w:pPr>
              <w:spacing w:after="0"/>
              <w:rPr>
                <w:sz w:val="20"/>
                <w:szCs w:val="20"/>
                <w:color w:val="auto"/>
              </w:rPr>
            </w:pPr>
          </w:p>
        </w:tc>
        <w:tc>
          <w:tcPr>
            <w:tcW w:w="1780" w:type="dxa"/>
            <w:vAlign w:val="bottom"/>
            <w:tcBorders>
              <w:bottom w:val="single" w:sz="8" w:color="29650B"/>
              <w:right w:val="single" w:sz="8" w:color="auto"/>
            </w:tcBorders>
            <w:shd w:val="clear" w:color="auto" w:fill="29650B"/>
          </w:tcPr>
          <w:p>
            <w:pPr>
              <w:spacing w:after="0"/>
              <w:rPr>
                <w:sz w:val="20"/>
                <w:szCs w:val="20"/>
                <w:color w:val="auto"/>
              </w:rPr>
            </w:pPr>
          </w:p>
        </w:tc>
        <w:tc>
          <w:tcPr>
            <w:tcW w:w="1020" w:type="dxa"/>
            <w:vAlign w:val="bottom"/>
            <w:tcBorders>
              <w:bottom w:val="single" w:sz="8" w:color="29650B"/>
              <w:right w:val="single" w:sz="8" w:color="29650B"/>
            </w:tcBorders>
            <w:shd w:val="clear" w:color="auto" w:fill="29650B"/>
          </w:tcPr>
          <w:p>
            <w:pPr>
              <w:spacing w:after="0"/>
              <w:rPr>
                <w:sz w:val="20"/>
                <w:szCs w:val="20"/>
                <w:color w:val="auto"/>
              </w:rPr>
            </w:pPr>
          </w:p>
        </w:tc>
        <w:tc>
          <w:tcPr>
            <w:tcW w:w="900" w:type="dxa"/>
            <w:vAlign w:val="bottom"/>
            <w:tcBorders>
              <w:bottom w:val="single" w:sz="8" w:color="29650B"/>
              <w:right w:val="single" w:sz="8" w:color="29650B"/>
            </w:tcBorders>
            <w:shd w:val="clear" w:color="auto" w:fill="29650B"/>
          </w:tcPr>
          <w:p>
            <w:pPr>
              <w:spacing w:after="0"/>
              <w:rPr>
                <w:sz w:val="20"/>
                <w:szCs w:val="20"/>
                <w:color w:val="auto"/>
              </w:rPr>
            </w:pPr>
          </w:p>
        </w:tc>
        <w:tc>
          <w:tcPr>
            <w:tcW w:w="1000" w:type="dxa"/>
            <w:vAlign w:val="bottom"/>
            <w:tcBorders>
              <w:bottom w:val="single" w:sz="8" w:color="29650B"/>
              <w:right w:val="single" w:sz="8" w:color="auto"/>
            </w:tcBorders>
            <w:shd w:val="clear" w:color="auto" w:fill="29650B"/>
          </w:tcPr>
          <w:p>
            <w:pPr>
              <w:spacing w:after="0"/>
              <w:rPr>
                <w:sz w:val="20"/>
                <w:szCs w:val="20"/>
                <w:color w:val="auto"/>
              </w:rPr>
            </w:pPr>
          </w:p>
        </w:tc>
        <w:tc>
          <w:tcPr>
            <w:tcW w:w="1120" w:type="dxa"/>
            <w:vAlign w:val="bottom"/>
            <w:tcBorders>
              <w:bottom w:val="single" w:sz="8" w:color="29650B"/>
              <w:right w:val="single" w:sz="8" w:color="auto"/>
            </w:tcBorders>
            <w:shd w:val="clear" w:color="auto" w:fill="29650B"/>
          </w:tcPr>
          <w:p>
            <w:pPr>
              <w:jc w:val="center"/>
              <w:spacing w:after="0"/>
              <w:rPr>
                <w:sz w:val="20"/>
                <w:szCs w:val="20"/>
                <w:color w:val="auto"/>
              </w:rPr>
            </w:pPr>
            <w:r>
              <w:rPr>
                <w:rFonts w:ascii="Arial" w:cs="Arial" w:eastAsia="Arial" w:hAnsi="Arial"/>
                <w:sz w:val="16"/>
                <w:szCs w:val="16"/>
                <w:b w:val="1"/>
                <w:bCs w:val="1"/>
                <w:color w:val="FFFFFF"/>
                <w:w w:val="92"/>
              </w:rPr>
              <w:t>Number of</w:t>
            </w:r>
          </w:p>
        </w:tc>
        <w:tc>
          <w:tcPr>
            <w:tcW w:w="1120" w:type="dxa"/>
            <w:vAlign w:val="bottom"/>
            <w:tcBorders>
              <w:bottom w:val="single" w:sz="8" w:color="29650B"/>
              <w:right w:val="single" w:sz="8" w:color="auto"/>
            </w:tcBorders>
            <w:shd w:val="clear" w:color="auto" w:fill="29650B"/>
          </w:tcPr>
          <w:p>
            <w:pPr>
              <w:jc w:val="center"/>
              <w:spacing w:after="0"/>
              <w:rPr>
                <w:sz w:val="20"/>
                <w:szCs w:val="20"/>
                <w:color w:val="auto"/>
              </w:rPr>
            </w:pPr>
            <w:r>
              <w:rPr>
                <w:rFonts w:ascii="Arial" w:cs="Arial" w:eastAsia="Arial" w:hAnsi="Arial"/>
                <w:sz w:val="16"/>
                <w:szCs w:val="16"/>
                <w:b w:val="1"/>
                <w:bCs w:val="1"/>
                <w:color w:val="FFFFFF"/>
                <w:w w:val="86"/>
              </w:rPr>
              <w:t>Stock and</w:t>
            </w:r>
          </w:p>
        </w:tc>
        <w:tc>
          <w:tcPr>
            <w:tcW w:w="0" w:type="dxa"/>
            <w:vAlign w:val="bottom"/>
          </w:tcPr>
          <w:p>
            <w:pPr>
              <w:spacing w:after="0"/>
              <w:rPr>
                <w:sz w:val="1"/>
                <w:szCs w:val="1"/>
                <w:color w:val="auto"/>
              </w:rPr>
            </w:pPr>
          </w:p>
        </w:tc>
      </w:tr>
      <w:tr>
        <w:trPr>
          <w:trHeight w:val="120"/>
        </w:trPr>
        <w:tc>
          <w:tcPr>
            <w:tcW w:w="1040" w:type="dxa"/>
            <w:vAlign w:val="bottom"/>
            <w:tcBorders>
              <w:top w:val="single" w:sz="8" w:color="29650B"/>
              <w:left w:val="single" w:sz="8" w:color="auto"/>
              <w:right w:val="single" w:sz="8" w:color="auto"/>
            </w:tcBorders>
            <w:shd w:val="clear" w:color="auto" w:fill="29650B"/>
          </w:tcPr>
          <w:p>
            <w:pPr>
              <w:spacing w:after="0"/>
              <w:rPr>
                <w:sz w:val="10"/>
                <w:szCs w:val="10"/>
                <w:color w:val="auto"/>
              </w:rPr>
            </w:pPr>
          </w:p>
        </w:tc>
        <w:tc>
          <w:tcPr>
            <w:tcW w:w="1240" w:type="dxa"/>
            <w:vAlign w:val="bottom"/>
            <w:tcBorders>
              <w:top w:val="single" w:sz="8" w:color="29650B"/>
              <w:right w:val="single" w:sz="8" w:color="auto"/>
            </w:tcBorders>
            <w:shd w:val="clear" w:color="auto" w:fill="29650B"/>
          </w:tcPr>
          <w:p>
            <w:pPr>
              <w:jc w:val="center"/>
              <w:spacing w:after="0" w:line="120" w:lineRule="exact"/>
              <w:rPr>
                <w:sz w:val="20"/>
                <w:szCs w:val="20"/>
                <w:color w:val="auto"/>
              </w:rPr>
            </w:pPr>
            <w:r>
              <w:rPr>
                <w:rFonts w:ascii="Arial" w:cs="Arial" w:eastAsia="Arial" w:hAnsi="Arial"/>
                <w:sz w:val="13"/>
                <w:szCs w:val="13"/>
                <w:b w:val="1"/>
                <w:bCs w:val="1"/>
                <w:color w:val="FFFFFF"/>
              </w:rPr>
              <w:t>Grant Dates</w:t>
            </w:r>
          </w:p>
        </w:tc>
        <w:tc>
          <w:tcPr>
            <w:tcW w:w="1020" w:type="dxa"/>
            <w:vAlign w:val="bottom"/>
            <w:tcBorders>
              <w:top w:val="single" w:sz="8" w:color="auto"/>
            </w:tcBorders>
            <w:shd w:val="clear" w:color="auto" w:fill="29650B"/>
          </w:tcPr>
          <w:p>
            <w:pPr>
              <w:spacing w:after="0"/>
              <w:rPr>
                <w:sz w:val="10"/>
                <w:szCs w:val="10"/>
                <w:color w:val="auto"/>
              </w:rPr>
            </w:pPr>
          </w:p>
        </w:tc>
        <w:tc>
          <w:tcPr>
            <w:tcW w:w="100" w:type="dxa"/>
            <w:vAlign w:val="bottom"/>
            <w:tcBorders>
              <w:top w:val="single" w:sz="8" w:color="auto"/>
              <w:right w:val="single" w:sz="8" w:color="auto"/>
            </w:tcBorders>
            <w:shd w:val="clear" w:color="auto" w:fill="29650B"/>
          </w:tcPr>
          <w:p>
            <w:pPr>
              <w:spacing w:after="0"/>
              <w:rPr>
                <w:sz w:val="10"/>
                <w:szCs w:val="10"/>
                <w:color w:val="auto"/>
              </w:rPr>
            </w:pPr>
          </w:p>
        </w:tc>
        <w:tc>
          <w:tcPr>
            <w:tcW w:w="920" w:type="dxa"/>
            <w:vAlign w:val="bottom"/>
            <w:tcBorders>
              <w:top w:val="single" w:sz="8" w:color="auto"/>
              <w:right w:val="single" w:sz="8" w:color="auto"/>
            </w:tcBorders>
            <w:shd w:val="clear" w:color="auto" w:fill="29650B"/>
          </w:tcPr>
          <w:p>
            <w:pPr>
              <w:spacing w:after="0"/>
              <w:rPr>
                <w:sz w:val="10"/>
                <w:szCs w:val="10"/>
                <w:color w:val="auto"/>
              </w:rPr>
            </w:pPr>
          </w:p>
        </w:tc>
        <w:tc>
          <w:tcPr>
            <w:tcW w:w="1780" w:type="dxa"/>
            <w:vAlign w:val="bottom"/>
            <w:tcBorders>
              <w:top w:val="single" w:sz="8" w:color="auto"/>
              <w:right w:val="single" w:sz="8" w:color="auto"/>
            </w:tcBorders>
            <w:shd w:val="clear" w:color="auto" w:fill="29650B"/>
          </w:tcPr>
          <w:p>
            <w:pPr>
              <w:spacing w:after="0"/>
              <w:rPr>
                <w:sz w:val="10"/>
                <w:szCs w:val="10"/>
                <w:color w:val="auto"/>
              </w:rPr>
            </w:pPr>
          </w:p>
        </w:tc>
        <w:tc>
          <w:tcPr>
            <w:tcW w:w="1020" w:type="dxa"/>
            <w:vAlign w:val="bottom"/>
            <w:tcBorders>
              <w:top w:val="single" w:sz="8" w:color="auto"/>
              <w:right w:val="single" w:sz="8" w:color="auto"/>
            </w:tcBorders>
            <w:shd w:val="clear" w:color="auto" w:fill="29650B"/>
          </w:tcPr>
          <w:p>
            <w:pPr>
              <w:spacing w:after="0"/>
              <w:rPr>
                <w:sz w:val="10"/>
                <w:szCs w:val="10"/>
                <w:color w:val="auto"/>
              </w:rPr>
            </w:pPr>
          </w:p>
        </w:tc>
        <w:tc>
          <w:tcPr>
            <w:tcW w:w="900" w:type="dxa"/>
            <w:vAlign w:val="bottom"/>
            <w:tcBorders>
              <w:top w:val="single" w:sz="8" w:color="auto"/>
              <w:right w:val="single" w:sz="8" w:color="auto"/>
            </w:tcBorders>
            <w:shd w:val="clear" w:color="auto" w:fill="29650B"/>
          </w:tcPr>
          <w:p>
            <w:pPr>
              <w:spacing w:after="0"/>
              <w:rPr>
                <w:sz w:val="10"/>
                <w:szCs w:val="10"/>
                <w:color w:val="auto"/>
              </w:rPr>
            </w:pPr>
          </w:p>
        </w:tc>
        <w:tc>
          <w:tcPr>
            <w:tcW w:w="1000" w:type="dxa"/>
            <w:vAlign w:val="bottom"/>
            <w:tcBorders>
              <w:top w:val="single" w:sz="8" w:color="auto"/>
              <w:right w:val="single" w:sz="8" w:color="auto"/>
            </w:tcBorders>
            <w:shd w:val="clear" w:color="auto" w:fill="29650B"/>
          </w:tcPr>
          <w:p>
            <w:pPr>
              <w:spacing w:after="0"/>
              <w:rPr>
                <w:sz w:val="10"/>
                <w:szCs w:val="10"/>
                <w:color w:val="auto"/>
              </w:rPr>
            </w:pPr>
          </w:p>
        </w:tc>
        <w:tc>
          <w:tcPr>
            <w:tcW w:w="1120" w:type="dxa"/>
            <w:vAlign w:val="bottom"/>
            <w:tcBorders>
              <w:top w:val="single" w:sz="8" w:color="29650B"/>
              <w:right w:val="single" w:sz="8" w:color="auto"/>
            </w:tcBorders>
            <w:shd w:val="clear" w:color="auto" w:fill="29650B"/>
          </w:tcPr>
          <w:p>
            <w:pPr>
              <w:jc w:val="center"/>
              <w:spacing w:after="0" w:line="120" w:lineRule="exact"/>
              <w:rPr>
                <w:sz w:val="20"/>
                <w:szCs w:val="20"/>
                <w:color w:val="auto"/>
              </w:rPr>
            </w:pPr>
            <w:r>
              <w:rPr>
                <w:rFonts w:ascii="Arial" w:cs="Arial" w:eastAsia="Arial" w:hAnsi="Arial"/>
                <w:sz w:val="13"/>
                <w:szCs w:val="13"/>
                <w:b w:val="1"/>
                <w:bCs w:val="1"/>
                <w:color w:val="FFFFFF"/>
              </w:rPr>
              <w:t>Shares</w:t>
            </w:r>
          </w:p>
        </w:tc>
        <w:tc>
          <w:tcPr>
            <w:tcW w:w="1120" w:type="dxa"/>
            <w:vAlign w:val="bottom"/>
            <w:tcBorders>
              <w:top w:val="single" w:sz="8" w:color="29650B"/>
              <w:right w:val="single" w:sz="8" w:color="auto"/>
            </w:tcBorders>
            <w:shd w:val="clear" w:color="auto" w:fill="29650B"/>
          </w:tcPr>
          <w:p>
            <w:pPr>
              <w:jc w:val="center"/>
              <w:spacing w:after="0" w:line="120" w:lineRule="exact"/>
              <w:rPr>
                <w:sz w:val="20"/>
                <w:szCs w:val="20"/>
                <w:color w:val="auto"/>
              </w:rPr>
            </w:pPr>
            <w:r>
              <w:rPr>
                <w:rFonts w:ascii="Arial" w:cs="Arial" w:eastAsia="Arial" w:hAnsi="Arial"/>
                <w:sz w:val="13"/>
                <w:szCs w:val="13"/>
                <w:b w:val="1"/>
                <w:bCs w:val="1"/>
                <w:color w:val="FFFFFF"/>
              </w:rPr>
              <w:t>Option</w:t>
            </w:r>
          </w:p>
        </w:tc>
        <w:tc>
          <w:tcPr>
            <w:tcW w:w="0" w:type="dxa"/>
            <w:vAlign w:val="bottom"/>
          </w:tcPr>
          <w:p>
            <w:pPr>
              <w:spacing w:after="0"/>
              <w:rPr>
                <w:sz w:val="1"/>
                <w:szCs w:val="1"/>
                <w:color w:val="auto"/>
              </w:rPr>
            </w:pPr>
          </w:p>
        </w:tc>
      </w:tr>
      <w:tr>
        <w:trPr>
          <w:trHeight w:val="186"/>
        </w:trPr>
        <w:tc>
          <w:tcPr>
            <w:tcW w:w="1040" w:type="dxa"/>
            <w:vAlign w:val="bottom"/>
            <w:tcBorders>
              <w:left w:val="single" w:sz="8" w:color="auto"/>
              <w:right w:val="single" w:sz="8" w:color="auto"/>
            </w:tcBorders>
            <w:shd w:val="clear" w:color="auto" w:fill="29650B"/>
          </w:tcPr>
          <w:p>
            <w:pPr>
              <w:ind w:left="320"/>
              <w:spacing w:after="0"/>
              <w:rPr>
                <w:sz w:val="20"/>
                <w:szCs w:val="20"/>
                <w:color w:val="auto"/>
              </w:rPr>
            </w:pPr>
            <w:r>
              <w:rPr>
                <w:rFonts w:ascii="Arial" w:cs="Arial" w:eastAsia="Arial" w:hAnsi="Arial"/>
                <w:sz w:val="16"/>
                <w:szCs w:val="16"/>
                <w:b w:val="1"/>
                <w:bCs w:val="1"/>
                <w:color w:val="FFFFFF"/>
              </w:rPr>
              <w:t>Name</w:t>
            </w:r>
          </w:p>
        </w:tc>
        <w:tc>
          <w:tcPr>
            <w:tcW w:w="124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6"/>
                <w:szCs w:val="16"/>
                <w:b w:val="1"/>
                <w:bCs w:val="1"/>
                <w:color w:val="FFFFFF"/>
                <w:w w:val="90"/>
              </w:rPr>
              <w:t>of Equity</w:t>
            </w:r>
          </w:p>
        </w:tc>
        <w:tc>
          <w:tcPr>
            <w:tcW w:w="1020" w:type="dxa"/>
            <w:vAlign w:val="bottom"/>
            <w:shd w:val="clear" w:color="auto" w:fill="29650B"/>
          </w:tcPr>
          <w:p>
            <w:pPr>
              <w:spacing w:after="0"/>
              <w:rPr>
                <w:sz w:val="16"/>
                <w:szCs w:val="16"/>
                <w:color w:val="auto"/>
              </w:rPr>
            </w:pPr>
          </w:p>
        </w:tc>
        <w:tc>
          <w:tcPr>
            <w:tcW w:w="100" w:type="dxa"/>
            <w:vAlign w:val="bottom"/>
            <w:tcBorders>
              <w:right w:val="single" w:sz="8" w:color="auto"/>
            </w:tcBorders>
            <w:shd w:val="clear" w:color="auto" w:fill="29650B"/>
          </w:tcPr>
          <w:p>
            <w:pPr>
              <w:spacing w:after="0"/>
              <w:rPr>
                <w:sz w:val="16"/>
                <w:szCs w:val="16"/>
                <w:color w:val="auto"/>
              </w:rPr>
            </w:pPr>
          </w:p>
        </w:tc>
        <w:tc>
          <w:tcPr>
            <w:tcW w:w="920" w:type="dxa"/>
            <w:vAlign w:val="bottom"/>
            <w:tcBorders>
              <w:right w:val="single" w:sz="8" w:color="auto"/>
            </w:tcBorders>
            <w:shd w:val="clear" w:color="auto" w:fill="29650B"/>
          </w:tcPr>
          <w:p>
            <w:pPr>
              <w:jc w:val="right"/>
              <w:ind w:right="201"/>
              <w:spacing w:after="0"/>
              <w:rPr>
                <w:sz w:val="20"/>
                <w:szCs w:val="20"/>
                <w:color w:val="auto"/>
              </w:rPr>
            </w:pPr>
            <w:r>
              <w:rPr>
                <w:rFonts w:ascii="Arial" w:cs="Arial" w:eastAsia="Arial" w:hAnsi="Arial"/>
                <w:sz w:val="16"/>
                <w:szCs w:val="16"/>
                <w:b w:val="1"/>
                <w:bCs w:val="1"/>
                <w:color w:val="FFFFFF"/>
              </w:rPr>
              <w:t>Target</w:t>
            </w:r>
          </w:p>
        </w:tc>
        <w:tc>
          <w:tcPr>
            <w:tcW w:w="1780" w:type="dxa"/>
            <w:vAlign w:val="bottom"/>
            <w:tcBorders>
              <w:right w:val="single" w:sz="8" w:color="auto"/>
            </w:tcBorders>
            <w:shd w:val="clear" w:color="auto" w:fill="29650B"/>
          </w:tcPr>
          <w:p>
            <w:pPr>
              <w:jc w:val="right"/>
              <w:ind w:right="501"/>
              <w:spacing w:after="0"/>
              <w:rPr>
                <w:sz w:val="20"/>
                <w:szCs w:val="20"/>
                <w:color w:val="auto"/>
              </w:rPr>
            </w:pPr>
            <w:r>
              <w:rPr>
                <w:rFonts w:ascii="Arial" w:cs="Arial" w:eastAsia="Arial" w:hAnsi="Arial"/>
                <w:sz w:val="16"/>
                <w:szCs w:val="16"/>
                <w:b w:val="1"/>
                <w:bCs w:val="1"/>
                <w:color w:val="FFFFFF"/>
              </w:rPr>
              <w:t>Maximum</w:t>
            </w:r>
          </w:p>
        </w:tc>
        <w:tc>
          <w:tcPr>
            <w:tcW w:w="102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6"/>
                <w:szCs w:val="16"/>
                <w:b w:val="1"/>
                <w:bCs w:val="1"/>
                <w:color w:val="FFFFFF"/>
                <w:w w:val="96"/>
              </w:rPr>
              <w:t>Minimum</w:t>
            </w:r>
          </w:p>
        </w:tc>
        <w:tc>
          <w:tcPr>
            <w:tcW w:w="90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6"/>
                <w:szCs w:val="16"/>
                <w:b w:val="1"/>
                <w:bCs w:val="1"/>
                <w:color w:val="FFFFFF"/>
                <w:w w:val="89"/>
              </w:rPr>
              <w:t>Target</w:t>
            </w:r>
          </w:p>
        </w:tc>
        <w:tc>
          <w:tcPr>
            <w:tcW w:w="1000" w:type="dxa"/>
            <w:vAlign w:val="bottom"/>
            <w:tcBorders>
              <w:right w:val="single" w:sz="8" w:color="auto"/>
            </w:tcBorders>
            <w:shd w:val="clear" w:color="auto" w:fill="29650B"/>
          </w:tcPr>
          <w:p>
            <w:pPr>
              <w:jc w:val="right"/>
              <w:ind w:right="81"/>
              <w:spacing w:after="0"/>
              <w:rPr>
                <w:sz w:val="20"/>
                <w:szCs w:val="20"/>
                <w:color w:val="auto"/>
              </w:rPr>
            </w:pPr>
            <w:r>
              <w:rPr>
                <w:rFonts w:ascii="Arial" w:cs="Arial" w:eastAsia="Arial" w:hAnsi="Arial"/>
                <w:sz w:val="16"/>
                <w:szCs w:val="16"/>
                <w:b w:val="1"/>
                <w:bCs w:val="1"/>
                <w:color w:val="FFFFFF"/>
              </w:rPr>
              <w:t>Maximum</w:t>
            </w:r>
          </w:p>
        </w:tc>
        <w:tc>
          <w:tcPr>
            <w:tcW w:w="112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6"/>
                <w:szCs w:val="16"/>
                <w:b w:val="1"/>
                <w:bCs w:val="1"/>
                <w:color w:val="FFFFFF"/>
                <w:w w:val="88"/>
              </w:rPr>
              <w:t>of Stock or</w:t>
            </w:r>
          </w:p>
        </w:tc>
        <w:tc>
          <w:tcPr>
            <w:tcW w:w="112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6"/>
                <w:szCs w:val="16"/>
                <w:b w:val="1"/>
                <w:bCs w:val="1"/>
                <w:color w:val="FFFFFF"/>
                <w:w w:val="90"/>
              </w:rPr>
              <w:t>Awards (4)</w:t>
            </w:r>
          </w:p>
        </w:tc>
        <w:tc>
          <w:tcPr>
            <w:tcW w:w="0" w:type="dxa"/>
            <w:vAlign w:val="bottom"/>
          </w:tcPr>
          <w:p>
            <w:pPr>
              <w:spacing w:after="0"/>
              <w:rPr>
                <w:sz w:val="1"/>
                <w:szCs w:val="1"/>
                <w:color w:val="auto"/>
              </w:rPr>
            </w:pPr>
          </w:p>
        </w:tc>
      </w:tr>
      <w:tr>
        <w:trPr>
          <w:trHeight w:val="206"/>
        </w:trPr>
        <w:tc>
          <w:tcPr>
            <w:tcW w:w="1040" w:type="dxa"/>
            <w:vAlign w:val="bottom"/>
            <w:tcBorders>
              <w:left w:val="single" w:sz="8" w:color="auto"/>
              <w:bottom w:val="single" w:sz="8" w:color="auto"/>
              <w:right w:val="single" w:sz="8" w:color="auto"/>
            </w:tcBorders>
            <w:shd w:val="clear" w:color="auto" w:fill="29650B"/>
          </w:tcPr>
          <w:p>
            <w:pPr>
              <w:spacing w:after="0"/>
              <w:rPr>
                <w:sz w:val="17"/>
                <w:szCs w:val="17"/>
                <w:color w:val="auto"/>
              </w:rPr>
            </w:pPr>
          </w:p>
        </w:tc>
        <w:tc>
          <w:tcPr>
            <w:tcW w:w="124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Arial" w:cs="Arial" w:eastAsia="Arial" w:hAnsi="Arial"/>
                <w:sz w:val="16"/>
                <w:szCs w:val="16"/>
                <w:b w:val="1"/>
                <w:bCs w:val="1"/>
                <w:color w:val="FFFFFF"/>
                <w:w w:val="89"/>
              </w:rPr>
              <w:t>Awards</w:t>
            </w:r>
          </w:p>
        </w:tc>
        <w:tc>
          <w:tcPr>
            <w:tcW w:w="1020" w:type="dxa"/>
            <w:vAlign w:val="bottom"/>
            <w:tcBorders>
              <w:bottom w:val="single" w:sz="8" w:color="auto"/>
            </w:tcBorders>
            <w:shd w:val="clear" w:color="auto" w:fill="29650B"/>
          </w:tcPr>
          <w:p>
            <w:pPr>
              <w:jc w:val="center"/>
              <w:ind w:left="1"/>
              <w:spacing w:after="0"/>
              <w:rPr>
                <w:sz w:val="20"/>
                <w:szCs w:val="20"/>
                <w:color w:val="auto"/>
              </w:rPr>
            </w:pPr>
            <w:r>
              <w:rPr>
                <w:rFonts w:ascii="Arial" w:cs="Arial" w:eastAsia="Arial" w:hAnsi="Arial"/>
                <w:sz w:val="16"/>
                <w:szCs w:val="16"/>
                <w:b w:val="1"/>
                <w:bCs w:val="1"/>
                <w:color w:val="FFFFFF"/>
                <w:w w:val="95"/>
              </w:rPr>
              <w:t>Minimum ($)</w:t>
            </w:r>
          </w:p>
        </w:tc>
        <w:tc>
          <w:tcPr>
            <w:tcW w:w="100" w:type="dxa"/>
            <w:vAlign w:val="bottom"/>
            <w:tcBorders>
              <w:bottom w:val="single" w:sz="8" w:color="auto"/>
              <w:right w:val="single" w:sz="8" w:color="auto"/>
            </w:tcBorders>
            <w:shd w:val="clear" w:color="auto" w:fill="29650B"/>
          </w:tcPr>
          <w:p>
            <w:pPr>
              <w:spacing w:after="0"/>
              <w:rPr>
                <w:sz w:val="17"/>
                <w:szCs w:val="17"/>
                <w:color w:val="auto"/>
              </w:rPr>
            </w:pPr>
          </w:p>
        </w:tc>
        <w:tc>
          <w:tcPr>
            <w:tcW w:w="920" w:type="dxa"/>
            <w:vAlign w:val="bottom"/>
            <w:tcBorders>
              <w:bottom w:val="single" w:sz="8" w:color="auto"/>
              <w:right w:val="single" w:sz="8" w:color="auto"/>
            </w:tcBorders>
            <w:shd w:val="clear" w:color="auto" w:fill="29650B"/>
          </w:tcPr>
          <w:p>
            <w:pPr>
              <w:jc w:val="right"/>
              <w:ind w:right="301"/>
              <w:spacing w:after="0"/>
              <w:rPr>
                <w:sz w:val="20"/>
                <w:szCs w:val="20"/>
                <w:color w:val="auto"/>
              </w:rPr>
            </w:pPr>
            <w:r>
              <w:rPr>
                <w:rFonts w:ascii="Arial" w:cs="Arial" w:eastAsia="Arial" w:hAnsi="Arial"/>
                <w:sz w:val="16"/>
                <w:szCs w:val="16"/>
                <w:b w:val="1"/>
                <w:bCs w:val="1"/>
                <w:color w:val="FFFFFF"/>
              </w:rPr>
              <w:t>($)</w:t>
            </w:r>
          </w:p>
        </w:tc>
        <w:tc>
          <w:tcPr>
            <w:tcW w:w="1780" w:type="dxa"/>
            <w:vAlign w:val="bottom"/>
            <w:tcBorders>
              <w:bottom w:val="single" w:sz="8" w:color="auto"/>
              <w:right w:val="single" w:sz="8" w:color="auto"/>
            </w:tcBorders>
            <w:shd w:val="clear" w:color="auto" w:fill="29650B"/>
          </w:tcPr>
          <w:p>
            <w:pPr>
              <w:jc w:val="right"/>
              <w:ind w:right="741"/>
              <w:spacing w:after="0"/>
              <w:rPr>
                <w:sz w:val="20"/>
                <w:szCs w:val="20"/>
                <w:color w:val="auto"/>
              </w:rPr>
            </w:pPr>
            <w:r>
              <w:rPr>
                <w:rFonts w:ascii="Arial" w:cs="Arial" w:eastAsia="Arial" w:hAnsi="Arial"/>
                <w:sz w:val="16"/>
                <w:szCs w:val="16"/>
                <w:b w:val="1"/>
                <w:bCs w:val="1"/>
                <w:color w:val="FFFFFF"/>
              </w:rPr>
              <w:t>($)</w:t>
            </w:r>
          </w:p>
        </w:tc>
        <w:tc>
          <w:tcPr>
            <w:tcW w:w="102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Arial" w:cs="Arial" w:eastAsia="Arial" w:hAnsi="Arial"/>
                <w:sz w:val="16"/>
                <w:szCs w:val="16"/>
                <w:b w:val="1"/>
                <w:bCs w:val="1"/>
                <w:color w:val="FFFFFF"/>
                <w:w w:val="87"/>
              </w:rPr>
              <w:t>(Shares)</w:t>
            </w:r>
          </w:p>
        </w:tc>
        <w:tc>
          <w:tcPr>
            <w:tcW w:w="90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Arial" w:cs="Arial" w:eastAsia="Arial" w:hAnsi="Arial"/>
                <w:sz w:val="16"/>
                <w:szCs w:val="16"/>
                <w:b w:val="1"/>
                <w:bCs w:val="1"/>
                <w:color w:val="FFFFFF"/>
                <w:w w:val="87"/>
              </w:rPr>
              <w:t>(Shares)</w:t>
            </w:r>
          </w:p>
        </w:tc>
        <w:tc>
          <w:tcPr>
            <w:tcW w:w="1000" w:type="dxa"/>
            <w:vAlign w:val="bottom"/>
            <w:tcBorders>
              <w:bottom w:val="single" w:sz="8" w:color="auto"/>
              <w:right w:val="single" w:sz="8" w:color="auto"/>
            </w:tcBorders>
            <w:shd w:val="clear" w:color="auto" w:fill="29650B"/>
          </w:tcPr>
          <w:p>
            <w:pPr>
              <w:jc w:val="right"/>
              <w:ind w:right="161"/>
              <w:spacing w:after="0"/>
              <w:rPr>
                <w:sz w:val="20"/>
                <w:szCs w:val="20"/>
                <w:color w:val="auto"/>
              </w:rPr>
            </w:pPr>
            <w:r>
              <w:rPr>
                <w:rFonts w:ascii="Arial" w:cs="Arial" w:eastAsia="Arial" w:hAnsi="Arial"/>
                <w:sz w:val="16"/>
                <w:szCs w:val="16"/>
                <w:b w:val="1"/>
                <w:bCs w:val="1"/>
                <w:color w:val="FFFFFF"/>
              </w:rPr>
              <w:t>(Shares)</w:t>
            </w:r>
          </w:p>
        </w:tc>
        <w:tc>
          <w:tcPr>
            <w:tcW w:w="112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Arial" w:cs="Arial" w:eastAsia="Arial" w:hAnsi="Arial"/>
                <w:sz w:val="16"/>
                <w:szCs w:val="16"/>
                <w:b w:val="1"/>
                <w:bCs w:val="1"/>
                <w:color w:val="FFFFFF"/>
                <w:w w:val="90"/>
              </w:rPr>
              <w:t>Units (3)</w:t>
            </w:r>
          </w:p>
        </w:tc>
        <w:tc>
          <w:tcPr>
            <w:tcW w:w="112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Arial" w:cs="Arial" w:eastAsia="Arial" w:hAnsi="Arial"/>
                <w:sz w:val="16"/>
                <w:szCs w:val="16"/>
                <w:b w:val="1"/>
                <w:bCs w:val="1"/>
                <w:color w:val="FFFFFF"/>
                <w:w w:val="91"/>
              </w:rPr>
              <w:t>($)</w:t>
            </w:r>
          </w:p>
        </w:tc>
        <w:tc>
          <w:tcPr>
            <w:tcW w:w="0" w:type="dxa"/>
            <w:vAlign w:val="bottom"/>
          </w:tcPr>
          <w:p>
            <w:pPr>
              <w:spacing w:after="0"/>
              <w:rPr>
                <w:sz w:val="1"/>
                <w:szCs w:val="1"/>
                <w:color w:val="auto"/>
              </w:rPr>
            </w:pPr>
          </w:p>
        </w:tc>
      </w:tr>
      <w:tr>
        <w:trPr>
          <w:trHeight w:val="262"/>
        </w:trPr>
        <w:tc>
          <w:tcPr>
            <w:tcW w:w="10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Timothy</w:t>
            </w:r>
          </w:p>
        </w:tc>
        <w:tc>
          <w:tcPr>
            <w:tcW w:w="12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1/7/2019</w:t>
            </w: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00" w:type="dxa"/>
            <w:vAlign w:val="bottom"/>
            <w:tcBorders>
              <w:right w:val="single" w:sz="8" w:color="auto"/>
            </w:tcBorders>
          </w:tcPr>
          <w:p>
            <w:pPr>
              <w:spacing w:after="0"/>
              <w:rPr>
                <w:sz w:val="22"/>
                <w:szCs w:val="22"/>
                <w:color w:val="auto"/>
              </w:rPr>
            </w:pPr>
          </w:p>
        </w:tc>
        <w:tc>
          <w:tcPr>
            <w:tcW w:w="920" w:type="dxa"/>
            <w:vAlign w:val="bottom"/>
            <w:tcBorders>
              <w:right w:val="single" w:sz="8" w:color="auto"/>
            </w:tcBorders>
          </w:tcPr>
          <w:p>
            <w:pPr>
              <w:jc w:val="right"/>
              <w:ind w:right="41"/>
              <w:spacing w:after="0"/>
              <w:rPr>
                <w:sz w:val="20"/>
                <w:szCs w:val="20"/>
                <w:color w:val="auto"/>
              </w:rPr>
            </w:pPr>
            <w:r>
              <w:rPr>
                <w:rFonts w:ascii="Arial" w:cs="Arial" w:eastAsia="Arial" w:hAnsi="Arial"/>
                <w:sz w:val="16"/>
                <w:szCs w:val="16"/>
                <w:color w:val="auto"/>
              </w:rPr>
              <w:t>1,386,000</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2,772,000</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0</w:t>
            </w:r>
          </w:p>
        </w:tc>
        <w:tc>
          <w:tcPr>
            <w:tcW w:w="900" w:type="dxa"/>
            <w:vAlign w:val="bottom"/>
            <w:tcBorders>
              <w:right w:val="single" w:sz="8" w:color="auto"/>
            </w:tcBorders>
          </w:tcPr>
          <w:p>
            <w:pPr>
              <w:jc w:val="right"/>
              <w:ind w:right="41"/>
              <w:spacing w:after="0"/>
              <w:rPr>
                <w:sz w:val="20"/>
                <w:szCs w:val="20"/>
                <w:color w:val="auto"/>
              </w:rPr>
            </w:pPr>
            <w:r>
              <w:rPr>
                <w:rFonts w:ascii="Arial" w:cs="Arial" w:eastAsia="Arial" w:hAnsi="Arial"/>
                <w:sz w:val="16"/>
                <w:szCs w:val="16"/>
                <w:color w:val="auto"/>
              </w:rPr>
              <w:t>86,894</w:t>
            </w:r>
          </w:p>
        </w:tc>
        <w:tc>
          <w:tcPr>
            <w:tcW w:w="1000" w:type="dxa"/>
            <w:vAlign w:val="bottom"/>
            <w:tcBorders>
              <w:right w:val="single" w:sz="8" w:color="auto"/>
            </w:tcBorders>
          </w:tcPr>
          <w:p>
            <w:pPr>
              <w:jc w:val="right"/>
              <w:ind w:right="41"/>
              <w:spacing w:after="0"/>
              <w:rPr>
                <w:sz w:val="20"/>
                <w:szCs w:val="20"/>
                <w:color w:val="auto"/>
              </w:rPr>
            </w:pPr>
            <w:r>
              <w:rPr>
                <w:rFonts w:ascii="Arial" w:cs="Arial" w:eastAsia="Arial" w:hAnsi="Arial"/>
                <w:sz w:val="16"/>
                <w:szCs w:val="16"/>
                <w:color w:val="auto"/>
              </w:rPr>
              <w:t>173,788</w:t>
            </w:r>
          </w:p>
        </w:tc>
        <w:tc>
          <w:tcPr>
            <w:tcW w:w="1120" w:type="dxa"/>
            <w:vAlign w:val="bottom"/>
            <w:tcBorders>
              <w:right w:val="single" w:sz="8" w:color="auto"/>
            </w:tcBorders>
          </w:tcPr>
          <w:p>
            <w:pPr>
              <w:jc w:val="right"/>
              <w:ind w:right="62"/>
              <w:spacing w:after="0"/>
              <w:rPr>
                <w:sz w:val="20"/>
                <w:szCs w:val="20"/>
                <w:color w:val="auto"/>
              </w:rPr>
            </w:pPr>
            <w:r>
              <w:rPr>
                <w:rFonts w:ascii="Arial" w:cs="Arial" w:eastAsia="Arial" w:hAnsi="Arial"/>
                <w:sz w:val="16"/>
                <w:szCs w:val="16"/>
                <w:color w:val="auto"/>
              </w:rPr>
              <w:t>46,482</w:t>
            </w:r>
          </w:p>
        </w:tc>
        <w:tc>
          <w:tcPr>
            <w:tcW w:w="1120" w:type="dxa"/>
            <w:vAlign w:val="bottom"/>
            <w:tcBorders>
              <w:right w:val="single" w:sz="8" w:color="auto"/>
            </w:tcBorders>
          </w:tcPr>
          <w:p>
            <w:pPr>
              <w:jc w:val="right"/>
              <w:ind w:right="42"/>
              <w:spacing w:after="0"/>
              <w:rPr>
                <w:sz w:val="20"/>
                <w:szCs w:val="20"/>
                <w:color w:val="auto"/>
              </w:rPr>
            </w:pPr>
            <w:r>
              <w:rPr>
                <w:rFonts w:ascii="Arial" w:cs="Arial" w:eastAsia="Arial" w:hAnsi="Arial"/>
                <w:sz w:val="16"/>
                <w:szCs w:val="16"/>
                <w:color w:val="auto"/>
              </w:rPr>
              <w:t>6,005,970</w:t>
            </w:r>
          </w:p>
        </w:tc>
        <w:tc>
          <w:tcPr>
            <w:tcW w:w="0" w:type="dxa"/>
            <w:vAlign w:val="bottom"/>
          </w:tcPr>
          <w:p>
            <w:pPr>
              <w:spacing w:after="0"/>
              <w:rPr>
                <w:sz w:val="1"/>
                <w:szCs w:val="1"/>
                <w:color w:val="auto"/>
              </w:rPr>
            </w:pPr>
          </w:p>
        </w:tc>
      </w:tr>
      <w:tr>
        <w:trPr>
          <w:trHeight w:val="200"/>
        </w:trPr>
        <w:tc>
          <w:tcPr>
            <w:tcW w:w="10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Donahue</w:t>
            </w:r>
          </w:p>
        </w:tc>
        <w:tc>
          <w:tcPr>
            <w:tcW w:w="12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(5)</w:t>
            </w:r>
          </w:p>
        </w:tc>
        <w:tc>
          <w:tcPr>
            <w:tcW w:w="102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53"/>
        </w:trPr>
        <w:tc>
          <w:tcPr>
            <w:tcW w:w="1040" w:type="dxa"/>
            <w:vAlign w:val="bottom"/>
            <w:tcBorders>
              <w:left w:val="single" w:sz="8" w:color="auto"/>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178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1040" w:type="dxa"/>
            <w:vAlign w:val="bottom"/>
            <w:tcBorders>
              <w:left w:val="single" w:sz="8" w:color="auto"/>
              <w:right w:val="single" w:sz="8" w:color="auto"/>
            </w:tcBorders>
            <w:shd w:val="clear" w:color="auto" w:fill="D9D9D9"/>
          </w:tcPr>
          <w:p>
            <w:pPr>
              <w:ind w:left="100"/>
              <w:spacing w:after="0"/>
              <w:rPr>
                <w:sz w:val="20"/>
                <w:szCs w:val="20"/>
                <w:color w:val="auto"/>
              </w:rPr>
            </w:pPr>
            <w:r>
              <w:rPr>
                <w:rFonts w:ascii="Arial" w:cs="Arial" w:eastAsia="Arial" w:hAnsi="Arial"/>
                <w:sz w:val="16"/>
                <w:szCs w:val="16"/>
                <w:color w:val="auto"/>
              </w:rPr>
              <w:t>Thomas</w:t>
            </w:r>
          </w:p>
        </w:tc>
        <w:tc>
          <w:tcPr>
            <w:tcW w:w="1240" w:type="dxa"/>
            <w:vAlign w:val="bottom"/>
            <w:tcBorders>
              <w:right w:val="single" w:sz="8" w:color="auto"/>
            </w:tcBorders>
            <w:shd w:val="clear" w:color="auto" w:fill="D9D9D9"/>
          </w:tcPr>
          <w:p>
            <w:pPr>
              <w:ind w:left="80"/>
              <w:spacing w:after="0"/>
              <w:rPr>
                <w:sz w:val="20"/>
                <w:szCs w:val="20"/>
                <w:color w:val="auto"/>
              </w:rPr>
            </w:pPr>
            <w:r>
              <w:rPr>
                <w:rFonts w:ascii="Arial" w:cs="Arial" w:eastAsia="Arial" w:hAnsi="Arial"/>
                <w:sz w:val="16"/>
                <w:szCs w:val="16"/>
                <w:color w:val="auto"/>
              </w:rPr>
              <w:t>1/7/2019</w:t>
            </w:r>
          </w:p>
        </w:tc>
        <w:tc>
          <w:tcPr>
            <w:tcW w:w="1020" w:type="dxa"/>
            <w:vAlign w:val="bottom"/>
            <w:shd w:val="clear" w:color="auto" w:fill="D9D9D9"/>
          </w:tcPr>
          <w:p>
            <w:pPr>
              <w:jc w:val="center"/>
              <w:spacing w:after="0"/>
              <w:rPr>
                <w:sz w:val="20"/>
                <w:szCs w:val="20"/>
                <w:color w:val="auto"/>
              </w:rPr>
            </w:pPr>
            <w:r>
              <w:rPr>
                <w:rFonts w:ascii="Arial" w:cs="Arial" w:eastAsia="Arial" w:hAnsi="Arial"/>
                <w:sz w:val="16"/>
                <w:szCs w:val="16"/>
                <w:color w:val="auto"/>
                <w:w w:val="89"/>
              </w:rPr>
              <w:t>0</w:t>
            </w:r>
          </w:p>
        </w:tc>
        <w:tc>
          <w:tcPr>
            <w:tcW w:w="100" w:type="dxa"/>
            <w:vAlign w:val="bottom"/>
            <w:tcBorders>
              <w:right w:val="single" w:sz="8" w:color="auto"/>
            </w:tcBorders>
            <w:shd w:val="clear" w:color="auto" w:fill="D9D9D9"/>
          </w:tcPr>
          <w:p>
            <w:pPr>
              <w:spacing w:after="0"/>
              <w:rPr>
                <w:sz w:val="22"/>
                <w:szCs w:val="22"/>
                <w:color w:val="auto"/>
              </w:rPr>
            </w:pPr>
          </w:p>
        </w:tc>
        <w:tc>
          <w:tcPr>
            <w:tcW w:w="920" w:type="dxa"/>
            <w:vAlign w:val="bottom"/>
            <w:tcBorders>
              <w:right w:val="single" w:sz="8" w:color="auto"/>
            </w:tcBorders>
            <w:shd w:val="clear" w:color="auto" w:fill="D9D9D9"/>
          </w:tcPr>
          <w:p>
            <w:pPr>
              <w:jc w:val="right"/>
              <w:ind w:right="41"/>
              <w:spacing w:after="0"/>
              <w:rPr>
                <w:sz w:val="20"/>
                <w:szCs w:val="20"/>
                <w:color w:val="auto"/>
              </w:rPr>
            </w:pPr>
            <w:r>
              <w:rPr>
                <w:rFonts w:ascii="Arial" w:cs="Arial" w:eastAsia="Arial" w:hAnsi="Arial"/>
                <w:sz w:val="16"/>
                <w:szCs w:val="16"/>
                <w:color w:val="auto"/>
              </w:rPr>
              <w:t>548,000</w:t>
            </w:r>
          </w:p>
        </w:tc>
        <w:tc>
          <w:tcPr>
            <w:tcW w:w="1780" w:type="dxa"/>
            <w:vAlign w:val="bottom"/>
            <w:tcBorders>
              <w:right w:val="single" w:sz="8" w:color="auto"/>
            </w:tcBorders>
            <w:shd w:val="clear" w:color="auto" w:fill="D9D9D9"/>
          </w:tcPr>
          <w:p>
            <w:pPr>
              <w:jc w:val="right"/>
              <w:spacing w:after="0"/>
              <w:rPr>
                <w:sz w:val="20"/>
                <w:szCs w:val="20"/>
                <w:color w:val="auto"/>
              </w:rPr>
            </w:pPr>
            <w:r>
              <w:rPr>
                <w:rFonts w:ascii="Arial" w:cs="Arial" w:eastAsia="Arial" w:hAnsi="Arial"/>
                <w:sz w:val="16"/>
                <w:szCs w:val="16"/>
                <w:color w:val="auto"/>
              </w:rPr>
              <w:t>1,096,000</w:t>
            </w:r>
          </w:p>
        </w:tc>
        <w:tc>
          <w:tcPr>
            <w:tcW w:w="102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w w:val="89"/>
              </w:rPr>
              <w:t>0</w:t>
            </w:r>
          </w:p>
        </w:tc>
        <w:tc>
          <w:tcPr>
            <w:tcW w:w="900" w:type="dxa"/>
            <w:vAlign w:val="bottom"/>
            <w:tcBorders>
              <w:right w:val="single" w:sz="8" w:color="auto"/>
            </w:tcBorders>
            <w:shd w:val="clear" w:color="auto" w:fill="D9D9D9"/>
          </w:tcPr>
          <w:p>
            <w:pPr>
              <w:jc w:val="right"/>
              <w:ind w:right="41"/>
              <w:spacing w:after="0"/>
              <w:rPr>
                <w:sz w:val="20"/>
                <w:szCs w:val="20"/>
                <w:color w:val="auto"/>
              </w:rPr>
            </w:pPr>
            <w:r>
              <w:rPr>
                <w:rFonts w:ascii="Arial" w:cs="Arial" w:eastAsia="Arial" w:hAnsi="Arial"/>
                <w:sz w:val="16"/>
                <w:szCs w:val="16"/>
                <w:color w:val="auto"/>
              </w:rPr>
              <w:t>17,839</w:t>
            </w:r>
          </w:p>
        </w:tc>
        <w:tc>
          <w:tcPr>
            <w:tcW w:w="1000" w:type="dxa"/>
            <w:vAlign w:val="bottom"/>
            <w:tcBorders>
              <w:right w:val="single" w:sz="8" w:color="auto"/>
            </w:tcBorders>
            <w:shd w:val="clear" w:color="auto" w:fill="D9D9D9"/>
          </w:tcPr>
          <w:p>
            <w:pPr>
              <w:jc w:val="right"/>
              <w:ind w:right="41"/>
              <w:spacing w:after="0"/>
              <w:rPr>
                <w:sz w:val="20"/>
                <w:szCs w:val="20"/>
                <w:color w:val="auto"/>
              </w:rPr>
            </w:pPr>
            <w:r>
              <w:rPr>
                <w:rFonts w:ascii="Arial" w:cs="Arial" w:eastAsia="Arial" w:hAnsi="Arial"/>
                <w:sz w:val="16"/>
                <w:szCs w:val="16"/>
                <w:color w:val="auto"/>
              </w:rPr>
              <w:t>35,678</w:t>
            </w:r>
          </w:p>
        </w:tc>
        <w:tc>
          <w:tcPr>
            <w:tcW w:w="1120" w:type="dxa"/>
            <w:vAlign w:val="bottom"/>
            <w:tcBorders>
              <w:right w:val="single" w:sz="8" w:color="auto"/>
            </w:tcBorders>
            <w:shd w:val="clear" w:color="auto" w:fill="D9D9D9"/>
          </w:tcPr>
          <w:p>
            <w:pPr>
              <w:jc w:val="right"/>
              <w:ind w:right="62"/>
              <w:spacing w:after="0"/>
              <w:rPr>
                <w:sz w:val="20"/>
                <w:szCs w:val="20"/>
                <w:color w:val="auto"/>
              </w:rPr>
            </w:pPr>
            <w:r>
              <w:rPr>
                <w:rFonts w:ascii="Arial" w:cs="Arial" w:eastAsia="Arial" w:hAnsi="Arial"/>
                <w:sz w:val="16"/>
                <w:szCs w:val="16"/>
                <w:color w:val="auto"/>
              </w:rPr>
              <w:t>9,543</w:t>
            </w:r>
          </w:p>
        </w:tc>
        <w:tc>
          <w:tcPr>
            <w:tcW w:w="1120" w:type="dxa"/>
            <w:vAlign w:val="bottom"/>
            <w:tcBorders>
              <w:right w:val="single" w:sz="8" w:color="auto"/>
            </w:tcBorders>
            <w:shd w:val="clear" w:color="auto" w:fill="D9D9D9"/>
          </w:tcPr>
          <w:p>
            <w:pPr>
              <w:jc w:val="right"/>
              <w:ind w:right="42"/>
              <w:spacing w:after="0"/>
              <w:rPr>
                <w:sz w:val="20"/>
                <w:szCs w:val="20"/>
                <w:color w:val="auto"/>
              </w:rPr>
            </w:pPr>
            <w:r>
              <w:rPr>
                <w:rFonts w:ascii="Arial" w:cs="Arial" w:eastAsia="Arial" w:hAnsi="Arial"/>
                <w:sz w:val="16"/>
                <w:szCs w:val="16"/>
                <w:color w:val="auto"/>
              </w:rPr>
              <w:t>1,233,018</w:t>
            </w:r>
          </w:p>
        </w:tc>
        <w:tc>
          <w:tcPr>
            <w:tcW w:w="0" w:type="dxa"/>
            <w:vAlign w:val="bottom"/>
          </w:tcPr>
          <w:p>
            <w:pPr>
              <w:spacing w:after="0"/>
              <w:rPr>
                <w:sz w:val="1"/>
                <w:szCs w:val="1"/>
                <w:color w:val="auto"/>
              </w:rPr>
            </w:pPr>
          </w:p>
        </w:tc>
      </w:tr>
      <w:tr>
        <w:trPr>
          <w:trHeight w:val="258"/>
        </w:trPr>
        <w:tc>
          <w:tcPr>
            <w:tcW w:w="1040" w:type="dxa"/>
            <w:vAlign w:val="bottom"/>
            <w:tcBorders>
              <w:left w:val="single" w:sz="8" w:color="auto"/>
              <w:bottom w:val="single" w:sz="8" w:color="D9D9D9"/>
              <w:right w:val="single" w:sz="8" w:color="auto"/>
            </w:tcBorders>
            <w:shd w:val="clear" w:color="auto" w:fill="D9D9D9"/>
          </w:tcPr>
          <w:p>
            <w:pPr>
              <w:ind w:left="100"/>
              <w:spacing w:after="0"/>
              <w:rPr>
                <w:sz w:val="20"/>
                <w:szCs w:val="20"/>
                <w:color w:val="auto"/>
              </w:rPr>
            </w:pPr>
            <w:r>
              <w:rPr>
                <w:rFonts w:ascii="Arial" w:cs="Arial" w:eastAsia="Arial" w:hAnsi="Arial"/>
                <w:sz w:val="16"/>
                <w:szCs w:val="16"/>
                <w:color w:val="auto"/>
              </w:rPr>
              <w:t>Kelly</w:t>
            </w:r>
          </w:p>
        </w:tc>
        <w:tc>
          <w:tcPr>
            <w:tcW w:w="1240" w:type="dxa"/>
            <w:vAlign w:val="bottom"/>
            <w:tcBorders>
              <w:bottom w:val="single" w:sz="8" w:color="D9D9D9"/>
              <w:right w:val="single" w:sz="8" w:color="auto"/>
            </w:tcBorders>
            <w:shd w:val="clear" w:color="auto" w:fill="D9D9D9"/>
          </w:tcPr>
          <w:p>
            <w:pPr>
              <w:ind w:left="80"/>
              <w:spacing w:after="0"/>
              <w:rPr>
                <w:sz w:val="20"/>
                <w:szCs w:val="20"/>
                <w:color w:val="auto"/>
              </w:rPr>
            </w:pPr>
            <w:r>
              <w:rPr>
                <w:rFonts w:ascii="Arial" w:cs="Arial" w:eastAsia="Arial" w:hAnsi="Arial"/>
                <w:sz w:val="16"/>
                <w:szCs w:val="16"/>
                <w:color w:val="auto"/>
              </w:rPr>
              <w:t>(6)</w:t>
            </w:r>
          </w:p>
        </w:tc>
        <w:tc>
          <w:tcPr>
            <w:tcW w:w="1020" w:type="dxa"/>
            <w:vAlign w:val="bottom"/>
            <w:tcBorders>
              <w:bottom w:val="single" w:sz="8" w:color="D9D9D9"/>
            </w:tcBorders>
            <w:shd w:val="clear" w:color="auto" w:fill="D9D9D9"/>
          </w:tcPr>
          <w:p>
            <w:pPr>
              <w:spacing w:after="0"/>
              <w:rPr>
                <w:sz w:val="22"/>
                <w:szCs w:val="22"/>
                <w:color w:val="auto"/>
              </w:rPr>
            </w:pPr>
          </w:p>
        </w:tc>
        <w:tc>
          <w:tcPr>
            <w:tcW w:w="100" w:type="dxa"/>
            <w:vAlign w:val="bottom"/>
            <w:tcBorders>
              <w:bottom w:val="single" w:sz="8" w:color="D9D9D9"/>
              <w:right w:val="single" w:sz="8" w:color="auto"/>
            </w:tcBorders>
            <w:shd w:val="clear" w:color="auto" w:fill="D9D9D9"/>
          </w:tcPr>
          <w:p>
            <w:pPr>
              <w:spacing w:after="0"/>
              <w:rPr>
                <w:sz w:val="22"/>
                <w:szCs w:val="22"/>
                <w:color w:val="auto"/>
              </w:rPr>
            </w:pPr>
          </w:p>
        </w:tc>
        <w:tc>
          <w:tcPr>
            <w:tcW w:w="920" w:type="dxa"/>
            <w:vAlign w:val="bottom"/>
            <w:tcBorders>
              <w:bottom w:val="single" w:sz="8" w:color="D9D9D9"/>
              <w:right w:val="single" w:sz="8" w:color="auto"/>
            </w:tcBorders>
            <w:shd w:val="clear" w:color="auto" w:fill="D9D9D9"/>
          </w:tcPr>
          <w:p>
            <w:pPr>
              <w:spacing w:after="0"/>
              <w:rPr>
                <w:sz w:val="22"/>
                <w:szCs w:val="22"/>
                <w:color w:val="auto"/>
              </w:rPr>
            </w:pPr>
          </w:p>
        </w:tc>
        <w:tc>
          <w:tcPr>
            <w:tcW w:w="1780" w:type="dxa"/>
            <w:vAlign w:val="bottom"/>
            <w:tcBorders>
              <w:bottom w:val="single" w:sz="8" w:color="D9D9D9"/>
              <w:right w:val="single" w:sz="8" w:color="auto"/>
            </w:tcBorders>
            <w:shd w:val="clear" w:color="auto" w:fill="D9D9D9"/>
          </w:tcPr>
          <w:p>
            <w:pPr>
              <w:spacing w:after="0"/>
              <w:rPr>
                <w:sz w:val="22"/>
                <w:szCs w:val="22"/>
                <w:color w:val="auto"/>
              </w:rPr>
            </w:pPr>
          </w:p>
        </w:tc>
        <w:tc>
          <w:tcPr>
            <w:tcW w:w="1020" w:type="dxa"/>
            <w:vAlign w:val="bottom"/>
            <w:tcBorders>
              <w:bottom w:val="single" w:sz="8" w:color="D9D9D9"/>
              <w:right w:val="single" w:sz="8" w:color="auto"/>
            </w:tcBorders>
            <w:shd w:val="clear" w:color="auto" w:fill="D9D9D9"/>
          </w:tcPr>
          <w:p>
            <w:pPr>
              <w:spacing w:after="0"/>
              <w:rPr>
                <w:sz w:val="22"/>
                <w:szCs w:val="22"/>
                <w:color w:val="auto"/>
              </w:rPr>
            </w:pPr>
          </w:p>
        </w:tc>
        <w:tc>
          <w:tcPr>
            <w:tcW w:w="900" w:type="dxa"/>
            <w:vAlign w:val="bottom"/>
            <w:tcBorders>
              <w:bottom w:val="single" w:sz="8" w:color="D9D9D9"/>
              <w:right w:val="single" w:sz="8" w:color="auto"/>
            </w:tcBorders>
            <w:shd w:val="clear" w:color="auto" w:fill="D9D9D9"/>
          </w:tcPr>
          <w:p>
            <w:pPr>
              <w:spacing w:after="0"/>
              <w:rPr>
                <w:sz w:val="22"/>
                <w:szCs w:val="22"/>
                <w:color w:val="auto"/>
              </w:rPr>
            </w:pPr>
          </w:p>
        </w:tc>
        <w:tc>
          <w:tcPr>
            <w:tcW w:w="1000" w:type="dxa"/>
            <w:vAlign w:val="bottom"/>
            <w:tcBorders>
              <w:bottom w:val="single" w:sz="8" w:color="D9D9D9"/>
              <w:right w:val="single" w:sz="8" w:color="auto"/>
            </w:tcBorders>
            <w:shd w:val="clear" w:color="auto" w:fill="D9D9D9"/>
          </w:tcPr>
          <w:p>
            <w:pPr>
              <w:spacing w:after="0"/>
              <w:rPr>
                <w:sz w:val="22"/>
                <w:szCs w:val="22"/>
                <w:color w:val="auto"/>
              </w:rPr>
            </w:pPr>
          </w:p>
        </w:tc>
        <w:tc>
          <w:tcPr>
            <w:tcW w:w="1120" w:type="dxa"/>
            <w:vAlign w:val="bottom"/>
            <w:tcBorders>
              <w:bottom w:val="single" w:sz="8" w:color="D9D9D9"/>
              <w:right w:val="single" w:sz="8" w:color="auto"/>
            </w:tcBorders>
            <w:shd w:val="clear" w:color="auto" w:fill="D9D9D9"/>
          </w:tcPr>
          <w:p>
            <w:pPr>
              <w:spacing w:after="0"/>
              <w:rPr>
                <w:sz w:val="22"/>
                <w:szCs w:val="22"/>
                <w:color w:val="auto"/>
              </w:rPr>
            </w:pPr>
          </w:p>
        </w:tc>
        <w:tc>
          <w:tcPr>
            <w:tcW w:w="1120" w:type="dxa"/>
            <w:vAlign w:val="bottom"/>
            <w:tcBorders>
              <w:bottom w:val="single" w:sz="8" w:color="D9D9D9"/>
              <w:right w:val="single" w:sz="8" w:color="auto"/>
            </w:tcBorders>
            <w:shd w:val="clear" w:color="auto" w:fill="D9D9D9"/>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1040" w:type="dxa"/>
            <w:vAlign w:val="bottom"/>
            <w:tcBorders>
              <w:top w:val="single" w:sz="8" w:color="auto"/>
              <w:left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Gerard</w:t>
            </w:r>
          </w:p>
        </w:tc>
        <w:tc>
          <w:tcPr>
            <w:tcW w:w="124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1/7/2019</w:t>
            </w:r>
          </w:p>
        </w:tc>
        <w:tc>
          <w:tcPr>
            <w:tcW w:w="1020" w:type="dxa"/>
            <w:vAlign w:val="bottom"/>
            <w:tcBorders>
              <w:top w:val="single" w:sz="8" w:color="auto"/>
            </w:tcBorders>
            <w:vMerge w:val="restart"/>
          </w:tcPr>
          <w:p>
            <w:pPr>
              <w:jc w:val="center"/>
              <w:spacing w:after="0"/>
              <w:rPr>
                <w:sz w:val="20"/>
                <w:szCs w:val="20"/>
                <w:color w:val="auto"/>
              </w:rPr>
            </w:pPr>
            <w:r>
              <w:rPr>
                <w:rFonts w:ascii="Arial" w:cs="Arial" w:eastAsia="Arial" w:hAnsi="Arial"/>
                <w:sz w:val="16"/>
                <w:szCs w:val="16"/>
                <w:color w:val="auto"/>
                <w:w w:val="89"/>
              </w:rPr>
              <w:t>0</w:t>
            </w:r>
          </w:p>
        </w:tc>
        <w:tc>
          <w:tcPr>
            <w:tcW w:w="100" w:type="dxa"/>
            <w:vAlign w:val="bottom"/>
            <w:tcBorders>
              <w:top w:val="single" w:sz="8" w:color="auto"/>
              <w:right w:val="single" w:sz="8" w:color="auto"/>
            </w:tcBorders>
          </w:tcPr>
          <w:p>
            <w:pPr>
              <w:spacing w:after="0"/>
              <w:rPr>
                <w:sz w:val="22"/>
                <w:szCs w:val="22"/>
                <w:color w:val="auto"/>
              </w:rPr>
            </w:pPr>
          </w:p>
        </w:tc>
        <w:tc>
          <w:tcPr>
            <w:tcW w:w="920" w:type="dxa"/>
            <w:vAlign w:val="bottom"/>
            <w:tcBorders>
              <w:top w:val="single" w:sz="8" w:color="auto"/>
              <w:right w:val="single" w:sz="8" w:color="auto"/>
            </w:tcBorders>
            <w:vMerge w:val="restart"/>
          </w:tcPr>
          <w:p>
            <w:pPr>
              <w:jc w:val="right"/>
              <w:ind w:right="41"/>
              <w:spacing w:after="0"/>
              <w:rPr>
                <w:sz w:val="20"/>
                <w:szCs w:val="20"/>
                <w:color w:val="auto"/>
              </w:rPr>
            </w:pPr>
            <w:r>
              <w:rPr>
                <w:rFonts w:ascii="Arial" w:cs="Arial" w:eastAsia="Arial" w:hAnsi="Arial"/>
                <w:sz w:val="16"/>
                <w:szCs w:val="16"/>
                <w:color w:val="auto"/>
              </w:rPr>
              <w:t>679,250</w:t>
            </w:r>
          </w:p>
        </w:tc>
        <w:tc>
          <w:tcPr>
            <w:tcW w:w="1780" w:type="dxa"/>
            <w:vAlign w:val="bottom"/>
            <w:tcBorders>
              <w:top w:val="single" w:sz="8" w:color="auto"/>
              <w:right w:val="single" w:sz="8" w:color="auto"/>
            </w:tcBorders>
            <w:vMerge w:val="restart"/>
          </w:tcPr>
          <w:p>
            <w:pPr>
              <w:jc w:val="right"/>
              <w:spacing w:after="0"/>
              <w:rPr>
                <w:sz w:val="20"/>
                <w:szCs w:val="20"/>
                <w:color w:val="auto"/>
              </w:rPr>
            </w:pPr>
            <w:r>
              <w:rPr>
                <w:rFonts w:ascii="Arial" w:cs="Arial" w:eastAsia="Arial" w:hAnsi="Arial"/>
                <w:sz w:val="16"/>
                <w:szCs w:val="16"/>
                <w:color w:val="auto"/>
              </w:rPr>
              <w:t>1,358,500</w:t>
            </w:r>
          </w:p>
        </w:tc>
        <w:tc>
          <w:tcPr>
            <w:tcW w:w="10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89"/>
              </w:rPr>
              <w:t>0</w:t>
            </w:r>
          </w:p>
        </w:tc>
        <w:tc>
          <w:tcPr>
            <w:tcW w:w="900" w:type="dxa"/>
            <w:vAlign w:val="bottom"/>
            <w:tcBorders>
              <w:top w:val="single" w:sz="8" w:color="auto"/>
              <w:right w:val="single" w:sz="8" w:color="auto"/>
            </w:tcBorders>
            <w:vMerge w:val="restart"/>
          </w:tcPr>
          <w:p>
            <w:pPr>
              <w:jc w:val="right"/>
              <w:ind w:right="41"/>
              <w:spacing w:after="0"/>
              <w:rPr>
                <w:sz w:val="20"/>
                <w:szCs w:val="20"/>
                <w:color w:val="auto"/>
              </w:rPr>
            </w:pPr>
            <w:r>
              <w:rPr>
                <w:rFonts w:ascii="Arial" w:cs="Arial" w:eastAsia="Arial" w:hAnsi="Arial"/>
                <w:sz w:val="16"/>
                <w:szCs w:val="16"/>
                <w:color w:val="auto"/>
              </w:rPr>
              <w:t>25,861</w:t>
            </w:r>
          </w:p>
        </w:tc>
        <w:tc>
          <w:tcPr>
            <w:tcW w:w="1000" w:type="dxa"/>
            <w:vAlign w:val="bottom"/>
            <w:tcBorders>
              <w:top w:val="single" w:sz="8" w:color="auto"/>
              <w:right w:val="single" w:sz="8" w:color="auto"/>
            </w:tcBorders>
            <w:vMerge w:val="restart"/>
          </w:tcPr>
          <w:p>
            <w:pPr>
              <w:jc w:val="right"/>
              <w:ind w:right="41"/>
              <w:spacing w:after="0"/>
              <w:rPr>
                <w:sz w:val="20"/>
                <w:szCs w:val="20"/>
                <w:color w:val="auto"/>
              </w:rPr>
            </w:pPr>
            <w:r>
              <w:rPr>
                <w:rFonts w:ascii="Arial" w:cs="Arial" w:eastAsia="Arial" w:hAnsi="Arial"/>
                <w:sz w:val="16"/>
                <w:szCs w:val="16"/>
                <w:color w:val="auto"/>
              </w:rPr>
              <w:t>51,722</w:t>
            </w:r>
          </w:p>
        </w:tc>
        <w:tc>
          <w:tcPr>
            <w:tcW w:w="1120" w:type="dxa"/>
            <w:vAlign w:val="bottom"/>
            <w:tcBorders>
              <w:top w:val="single" w:sz="8" w:color="auto"/>
              <w:right w:val="single" w:sz="8" w:color="auto"/>
            </w:tcBorders>
            <w:vMerge w:val="restart"/>
          </w:tcPr>
          <w:p>
            <w:pPr>
              <w:jc w:val="right"/>
              <w:ind w:right="62"/>
              <w:spacing w:after="0"/>
              <w:rPr>
                <w:sz w:val="20"/>
                <w:szCs w:val="20"/>
                <w:color w:val="auto"/>
              </w:rPr>
            </w:pPr>
            <w:r>
              <w:rPr>
                <w:rFonts w:ascii="Arial" w:cs="Arial" w:eastAsia="Arial" w:hAnsi="Arial"/>
                <w:sz w:val="16"/>
                <w:szCs w:val="16"/>
                <w:color w:val="auto"/>
              </w:rPr>
              <w:t>13,834</w:t>
            </w:r>
          </w:p>
        </w:tc>
        <w:tc>
          <w:tcPr>
            <w:tcW w:w="1120" w:type="dxa"/>
            <w:vAlign w:val="bottom"/>
            <w:tcBorders>
              <w:top w:val="single" w:sz="8" w:color="auto"/>
              <w:right w:val="single" w:sz="8" w:color="auto"/>
            </w:tcBorders>
            <w:vMerge w:val="restart"/>
          </w:tcPr>
          <w:p>
            <w:pPr>
              <w:jc w:val="right"/>
              <w:ind w:right="42"/>
              <w:spacing w:after="0"/>
              <w:rPr>
                <w:sz w:val="20"/>
                <w:szCs w:val="20"/>
                <w:color w:val="auto"/>
              </w:rPr>
            </w:pPr>
            <w:r>
              <w:rPr>
                <w:rFonts w:ascii="Arial" w:cs="Arial" w:eastAsia="Arial" w:hAnsi="Arial"/>
                <w:sz w:val="16"/>
                <w:szCs w:val="16"/>
                <w:color w:val="auto"/>
              </w:rPr>
              <w:t>1,787,478</w:t>
            </w:r>
          </w:p>
        </w:tc>
        <w:tc>
          <w:tcPr>
            <w:tcW w:w="0" w:type="dxa"/>
            <w:vAlign w:val="bottom"/>
          </w:tcPr>
          <w:p>
            <w:pPr>
              <w:spacing w:after="0"/>
              <w:rPr>
                <w:sz w:val="1"/>
                <w:szCs w:val="1"/>
                <w:color w:val="auto"/>
              </w:rPr>
            </w:pPr>
          </w:p>
        </w:tc>
      </w:tr>
      <w:tr>
        <w:trPr>
          <w:trHeight w:val="125"/>
        </w:trPr>
        <w:tc>
          <w:tcPr>
            <w:tcW w:w="104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16"/>
                <w:szCs w:val="16"/>
                <w:color w:val="auto"/>
              </w:rPr>
              <w:t>Gifford</w:t>
            </w:r>
          </w:p>
        </w:tc>
        <w:tc>
          <w:tcPr>
            <w:tcW w:w="124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(7)</w:t>
            </w:r>
          </w:p>
        </w:tc>
        <w:tc>
          <w:tcPr>
            <w:tcW w:w="1020" w:type="dxa"/>
            <w:vAlign w:val="bottom"/>
            <w:vMerge w:val="continue"/>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920" w:type="dxa"/>
            <w:vAlign w:val="bottom"/>
            <w:tcBorders>
              <w:right w:val="single" w:sz="8" w:color="auto"/>
            </w:tcBorders>
            <w:vMerge w:val="continue"/>
          </w:tcPr>
          <w:p>
            <w:pPr>
              <w:spacing w:after="0"/>
              <w:rPr>
                <w:sz w:val="10"/>
                <w:szCs w:val="10"/>
                <w:color w:val="auto"/>
              </w:rPr>
            </w:pPr>
          </w:p>
        </w:tc>
        <w:tc>
          <w:tcPr>
            <w:tcW w:w="1780" w:type="dxa"/>
            <w:vAlign w:val="bottom"/>
            <w:tcBorders>
              <w:right w:val="single" w:sz="8" w:color="auto"/>
            </w:tcBorders>
            <w:vMerge w:val="continue"/>
          </w:tcPr>
          <w:p>
            <w:pPr>
              <w:spacing w:after="0"/>
              <w:rPr>
                <w:sz w:val="10"/>
                <w:szCs w:val="10"/>
                <w:color w:val="auto"/>
              </w:rPr>
            </w:pPr>
          </w:p>
        </w:tc>
        <w:tc>
          <w:tcPr>
            <w:tcW w:w="1020" w:type="dxa"/>
            <w:vAlign w:val="bottom"/>
            <w:tcBorders>
              <w:right w:val="single" w:sz="8" w:color="auto"/>
            </w:tcBorders>
            <w:vMerge w:val="continue"/>
          </w:tcPr>
          <w:p>
            <w:pPr>
              <w:spacing w:after="0"/>
              <w:rPr>
                <w:sz w:val="10"/>
                <w:szCs w:val="10"/>
                <w:color w:val="auto"/>
              </w:rPr>
            </w:pPr>
          </w:p>
        </w:tc>
        <w:tc>
          <w:tcPr>
            <w:tcW w:w="900" w:type="dxa"/>
            <w:vAlign w:val="bottom"/>
            <w:tcBorders>
              <w:right w:val="single" w:sz="8" w:color="auto"/>
            </w:tcBorders>
            <w:vMerge w:val="continue"/>
          </w:tcPr>
          <w:p>
            <w:pPr>
              <w:spacing w:after="0"/>
              <w:rPr>
                <w:sz w:val="10"/>
                <w:szCs w:val="10"/>
                <w:color w:val="auto"/>
              </w:rPr>
            </w:pPr>
          </w:p>
        </w:tc>
        <w:tc>
          <w:tcPr>
            <w:tcW w:w="1000" w:type="dxa"/>
            <w:vAlign w:val="bottom"/>
            <w:tcBorders>
              <w:right w:val="single" w:sz="8" w:color="auto"/>
            </w:tcBorders>
            <w:vMerge w:val="continue"/>
          </w:tcPr>
          <w:p>
            <w:pPr>
              <w:spacing w:after="0"/>
              <w:rPr>
                <w:sz w:val="10"/>
                <w:szCs w:val="10"/>
                <w:color w:val="auto"/>
              </w:rPr>
            </w:pPr>
          </w:p>
        </w:tc>
        <w:tc>
          <w:tcPr>
            <w:tcW w:w="1120" w:type="dxa"/>
            <w:vAlign w:val="bottom"/>
            <w:tcBorders>
              <w:right w:val="single" w:sz="8" w:color="auto"/>
            </w:tcBorders>
            <w:vMerge w:val="continue"/>
          </w:tcPr>
          <w:p>
            <w:pPr>
              <w:spacing w:after="0"/>
              <w:rPr>
                <w:sz w:val="10"/>
                <w:szCs w:val="10"/>
                <w:color w:val="auto"/>
              </w:rPr>
            </w:pPr>
          </w:p>
        </w:tc>
        <w:tc>
          <w:tcPr>
            <w:tcW w:w="11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040" w:type="dxa"/>
            <w:vAlign w:val="bottom"/>
            <w:tcBorders>
              <w:left w:val="single" w:sz="8" w:color="auto"/>
              <w:right w:val="single" w:sz="8" w:color="auto"/>
            </w:tcBorders>
            <w:vMerge w:val="continue"/>
          </w:tcPr>
          <w:p>
            <w:pPr>
              <w:spacing w:after="0"/>
              <w:rPr>
                <w:sz w:val="6"/>
                <w:szCs w:val="6"/>
                <w:color w:val="auto"/>
              </w:rPr>
            </w:pPr>
          </w:p>
        </w:tc>
        <w:tc>
          <w:tcPr>
            <w:tcW w:w="1240" w:type="dxa"/>
            <w:vAlign w:val="bottom"/>
            <w:tcBorders>
              <w:right w:val="single" w:sz="8" w:color="auto"/>
            </w:tcBorders>
            <w:vMerge w:val="continue"/>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Borders>
              <w:right w:val="single" w:sz="8" w:color="auto"/>
            </w:tcBorders>
          </w:tcPr>
          <w:p>
            <w:pPr>
              <w:spacing w:after="0"/>
              <w:rPr>
                <w:sz w:val="6"/>
                <w:szCs w:val="6"/>
                <w:color w:val="auto"/>
              </w:rPr>
            </w:pPr>
          </w:p>
        </w:tc>
        <w:tc>
          <w:tcPr>
            <w:tcW w:w="920" w:type="dxa"/>
            <w:vAlign w:val="bottom"/>
            <w:tcBorders>
              <w:right w:val="single" w:sz="8" w:color="auto"/>
            </w:tcBorders>
          </w:tcPr>
          <w:p>
            <w:pPr>
              <w:spacing w:after="0"/>
              <w:rPr>
                <w:sz w:val="6"/>
                <w:szCs w:val="6"/>
                <w:color w:val="auto"/>
              </w:rPr>
            </w:pPr>
          </w:p>
        </w:tc>
        <w:tc>
          <w:tcPr>
            <w:tcW w:w="1780" w:type="dxa"/>
            <w:vAlign w:val="bottom"/>
            <w:tcBorders>
              <w:right w:val="single" w:sz="8" w:color="auto"/>
            </w:tcBorders>
          </w:tcPr>
          <w:p>
            <w:pPr>
              <w:spacing w:after="0"/>
              <w:rPr>
                <w:sz w:val="6"/>
                <w:szCs w:val="6"/>
                <w:color w:val="auto"/>
              </w:rPr>
            </w:pPr>
          </w:p>
        </w:tc>
        <w:tc>
          <w:tcPr>
            <w:tcW w:w="1020" w:type="dxa"/>
            <w:vAlign w:val="bottom"/>
            <w:tcBorders>
              <w:right w:val="single" w:sz="8" w:color="auto"/>
            </w:tcBorders>
          </w:tcPr>
          <w:p>
            <w:pPr>
              <w:spacing w:after="0"/>
              <w:rPr>
                <w:sz w:val="6"/>
                <w:szCs w:val="6"/>
                <w:color w:val="auto"/>
              </w:rPr>
            </w:pPr>
          </w:p>
        </w:tc>
        <w:tc>
          <w:tcPr>
            <w:tcW w:w="900" w:type="dxa"/>
            <w:vAlign w:val="bottom"/>
            <w:tcBorders>
              <w:right w:val="single" w:sz="8" w:color="auto"/>
            </w:tcBorders>
          </w:tcPr>
          <w:p>
            <w:pPr>
              <w:spacing w:after="0"/>
              <w:rPr>
                <w:sz w:val="6"/>
                <w:szCs w:val="6"/>
                <w:color w:val="auto"/>
              </w:rPr>
            </w:pPr>
          </w:p>
        </w:tc>
        <w:tc>
          <w:tcPr>
            <w:tcW w:w="1000" w:type="dxa"/>
            <w:vAlign w:val="bottom"/>
            <w:tcBorders>
              <w:right w:val="single" w:sz="8" w:color="auto"/>
            </w:tcBorders>
          </w:tcPr>
          <w:p>
            <w:pPr>
              <w:spacing w:after="0"/>
              <w:rPr>
                <w:sz w:val="6"/>
                <w:szCs w:val="6"/>
                <w:color w:val="auto"/>
              </w:rPr>
            </w:pPr>
          </w:p>
        </w:tc>
        <w:tc>
          <w:tcPr>
            <w:tcW w:w="1120" w:type="dxa"/>
            <w:vAlign w:val="bottom"/>
            <w:tcBorders>
              <w:right w:val="single" w:sz="8" w:color="auto"/>
            </w:tcBorders>
          </w:tcPr>
          <w:p>
            <w:pPr>
              <w:spacing w:after="0"/>
              <w:rPr>
                <w:sz w:val="6"/>
                <w:szCs w:val="6"/>
                <w:color w:val="auto"/>
              </w:rPr>
            </w:pPr>
          </w:p>
        </w:tc>
        <w:tc>
          <w:tcPr>
            <w:tcW w:w="1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53"/>
        </w:trPr>
        <w:tc>
          <w:tcPr>
            <w:tcW w:w="1040" w:type="dxa"/>
            <w:vAlign w:val="bottom"/>
            <w:tcBorders>
              <w:left w:val="single" w:sz="8" w:color="auto"/>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178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1040" w:type="dxa"/>
            <w:vAlign w:val="bottom"/>
            <w:tcBorders>
              <w:left w:val="single" w:sz="8" w:color="auto"/>
              <w:right w:val="single" w:sz="8" w:color="auto"/>
            </w:tcBorders>
            <w:shd w:val="clear" w:color="auto" w:fill="D9D9D9"/>
          </w:tcPr>
          <w:p>
            <w:pPr>
              <w:ind w:left="100"/>
              <w:spacing w:after="0"/>
              <w:rPr>
                <w:sz w:val="20"/>
                <w:szCs w:val="20"/>
                <w:color w:val="auto"/>
              </w:rPr>
            </w:pPr>
            <w:r>
              <w:rPr>
                <w:rFonts w:ascii="Arial" w:cs="Arial" w:eastAsia="Arial" w:hAnsi="Arial"/>
                <w:sz w:val="16"/>
                <w:szCs w:val="16"/>
                <w:color w:val="auto"/>
              </w:rPr>
              <w:t>Djalma</w:t>
            </w:r>
          </w:p>
        </w:tc>
        <w:tc>
          <w:tcPr>
            <w:tcW w:w="1240" w:type="dxa"/>
            <w:vAlign w:val="bottom"/>
            <w:tcBorders>
              <w:right w:val="single" w:sz="8" w:color="auto"/>
            </w:tcBorders>
            <w:shd w:val="clear" w:color="auto" w:fill="D9D9D9"/>
          </w:tcPr>
          <w:p>
            <w:pPr>
              <w:ind w:left="80"/>
              <w:spacing w:after="0"/>
              <w:rPr>
                <w:sz w:val="20"/>
                <w:szCs w:val="20"/>
                <w:color w:val="auto"/>
              </w:rPr>
            </w:pPr>
            <w:r>
              <w:rPr>
                <w:rFonts w:ascii="Arial" w:cs="Arial" w:eastAsia="Arial" w:hAnsi="Arial"/>
                <w:sz w:val="16"/>
                <w:szCs w:val="16"/>
                <w:color w:val="auto"/>
              </w:rPr>
              <w:t>1/7/2019</w:t>
            </w:r>
          </w:p>
        </w:tc>
        <w:tc>
          <w:tcPr>
            <w:tcW w:w="1020" w:type="dxa"/>
            <w:vAlign w:val="bottom"/>
            <w:vMerge w:val="restart"/>
            <w:shd w:val="clear" w:color="auto" w:fill="D9D9D9"/>
          </w:tcPr>
          <w:p>
            <w:pPr>
              <w:jc w:val="center"/>
              <w:spacing w:after="0"/>
              <w:rPr>
                <w:sz w:val="20"/>
                <w:szCs w:val="20"/>
                <w:color w:val="auto"/>
              </w:rPr>
            </w:pPr>
            <w:r>
              <w:rPr>
                <w:rFonts w:ascii="Arial" w:cs="Arial" w:eastAsia="Arial" w:hAnsi="Arial"/>
                <w:sz w:val="16"/>
                <w:szCs w:val="16"/>
                <w:color w:val="auto"/>
                <w:w w:val="89"/>
              </w:rPr>
              <w:t>0</w:t>
            </w:r>
          </w:p>
        </w:tc>
        <w:tc>
          <w:tcPr>
            <w:tcW w:w="100" w:type="dxa"/>
            <w:vAlign w:val="bottom"/>
            <w:tcBorders>
              <w:right w:val="single" w:sz="8" w:color="auto"/>
            </w:tcBorders>
            <w:shd w:val="clear" w:color="auto" w:fill="D9D9D9"/>
          </w:tcPr>
          <w:p>
            <w:pPr>
              <w:spacing w:after="0"/>
              <w:rPr>
                <w:sz w:val="22"/>
                <w:szCs w:val="22"/>
                <w:color w:val="auto"/>
              </w:rPr>
            </w:pPr>
          </w:p>
        </w:tc>
        <w:tc>
          <w:tcPr>
            <w:tcW w:w="920" w:type="dxa"/>
            <w:vAlign w:val="bottom"/>
            <w:tcBorders>
              <w:right w:val="single" w:sz="8" w:color="auto"/>
            </w:tcBorders>
            <w:vMerge w:val="restart"/>
            <w:shd w:val="clear" w:color="auto" w:fill="D9D9D9"/>
          </w:tcPr>
          <w:p>
            <w:pPr>
              <w:jc w:val="right"/>
              <w:ind w:right="41"/>
              <w:spacing w:after="0"/>
              <w:rPr>
                <w:sz w:val="20"/>
                <w:szCs w:val="20"/>
                <w:color w:val="auto"/>
              </w:rPr>
            </w:pPr>
            <w:r>
              <w:rPr>
                <w:rFonts w:ascii="Arial" w:cs="Arial" w:eastAsia="Arial" w:hAnsi="Arial"/>
                <w:sz w:val="16"/>
                <w:szCs w:val="16"/>
                <w:color w:val="auto"/>
              </w:rPr>
              <w:t>460,000</w:t>
            </w:r>
          </w:p>
        </w:tc>
        <w:tc>
          <w:tcPr>
            <w:tcW w:w="1780" w:type="dxa"/>
            <w:vAlign w:val="bottom"/>
            <w:tcBorders>
              <w:right w:val="single" w:sz="8" w:color="auto"/>
            </w:tcBorders>
            <w:vMerge w:val="restart"/>
            <w:shd w:val="clear" w:color="auto" w:fill="D9D9D9"/>
          </w:tcPr>
          <w:p>
            <w:pPr>
              <w:jc w:val="right"/>
              <w:spacing w:after="0"/>
              <w:rPr>
                <w:sz w:val="20"/>
                <w:szCs w:val="20"/>
                <w:color w:val="auto"/>
              </w:rPr>
            </w:pPr>
            <w:r>
              <w:rPr>
                <w:rFonts w:ascii="Arial" w:cs="Arial" w:eastAsia="Arial" w:hAnsi="Arial"/>
                <w:sz w:val="16"/>
                <w:szCs w:val="16"/>
                <w:color w:val="auto"/>
              </w:rPr>
              <w:t>920,000</w:t>
            </w:r>
          </w:p>
        </w:tc>
        <w:tc>
          <w:tcPr>
            <w:tcW w:w="102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6"/>
                <w:szCs w:val="16"/>
                <w:color w:val="auto"/>
                <w:w w:val="89"/>
              </w:rPr>
              <w:t>0</w:t>
            </w:r>
          </w:p>
        </w:tc>
        <w:tc>
          <w:tcPr>
            <w:tcW w:w="900" w:type="dxa"/>
            <w:vAlign w:val="bottom"/>
            <w:tcBorders>
              <w:right w:val="single" w:sz="8" w:color="auto"/>
            </w:tcBorders>
            <w:vMerge w:val="restart"/>
            <w:shd w:val="clear" w:color="auto" w:fill="D9D9D9"/>
          </w:tcPr>
          <w:p>
            <w:pPr>
              <w:jc w:val="right"/>
              <w:ind w:right="41"/>
              <w:spacing w:after="0"/>
              <w:rPr>
                <w:sz w:val="20"/>
                <w:szCs w:val="20"/>
                <w:color w:val="auto"/>
              </w:rPr>
            </w:pPr>
            <w:r>
              <w:rPr>
                <w:rFonts w:ascii="Arial" w:cs="Arial" w:eastAsia="Arial" w:hAnsi="Arial"/>
                <w:sz w:val="16"/>
                <w:szCs w:val="16"/>
                <w:color w:val="auto"/>
              </w:rPr>
              <w:t>14,559</w:t>
            </w:r>
          </w:p>
        </w:tc>
        <w:tc>
          <w:tcPr>
            <w:tcW w:w="1000" w:type="dxa"/>
            <w:vAlign w:val="bottom"/>
            <w:tcBorders>
              <w:right w:val="single" w:sz="8" w:color="auto"/>
            </w:tcBorders>
            <w:vMerge w:val="restart"/>
            <w:shd w:val="clear" w:color="auto" w:fill="D9D9D9"/>
          </w:tcPr>
          <w:p>
            <w:pPr>
              <w:jc w:val="right"/>
              <w:ind w:right="41"/>
              <w:spacing w:after="0"/>
              <w:rPr>
                <w:sz w:val="20"/>
                <w:szCs w:val="20"/>
                <w:color w:val="auto"/>
              </w:rPr>
            </w:pPr>
            <w:r>
              <w:rPr>
                <w:rFonts w:ascii="Arial" w:cs="Arial" w:eastAsia="Arial" w:hAnsi="Arial"/>
                <w:sz w:val="16"/>
                <w:szCs w:val="16"/>
                <w:color w:val="auto"/>
              </w:rPr>
              <w:t>29,118</w:t>
            </w:r>
          </w:p>
        </w:tc>
        <w:tc>
          <w:tcPr>
            <w:tcW w:w="1120" w:type="dxa"/>
            <w:vAlign w:val="bottom"/>
            <w:tcBorders>
              <w:right w:val="single" w:sz="8" w:color="auto"/>
            </w:tcBorders>
            <w:vMerge w:val="restart"/>
            <w:shd w:val="clear" w:color="auto" w:fill="D9D9D9"/>
          </w:tcPr>
          <w:p>
            <w:pPr>
              <w:jc w:val="right"/>
              <w:ind w:right="62"/>
              <w:spacing w:after="0"/>
              <w:rPr>
                <w:sz w:val="20"/>
                <w:szCs w:val="20"/>
                <w:color w:val="auto"/>
              </w:rPr>
            </w:pPr>
            <w:r>
              <w:rPr>
                <w:rFonts w:ascii="Arial" w:cs="Arial" w:eastAsia="Arial" w:hAnsi="Arial"/>
                <w:sz w:val="16"/>
                <w:szCs w:val="16"/>
                <w:color w:val="auto"/>
              </w:rPr>
              <w:t>7,788</w:t>
            </w:r>
          </w:p>
        </w:tc>
        <w:tc>
          <w:tcPr>
            <w:tcW w:w="1120" w:type="dxa"/>
            <w:vAlign w:val="bottom"/>
            <w:tcBorders>
              <w:right w:val="single" w:sz="8" w:color="auto"/>
            </w:tcBorders>
            <w:vMerge w:val="restart"/>
            <w:shd w:val="clear" w:color="auto" w:fill="D9D9D9"/>
          </w:tcPr>
          <w:p>
            <w:pPr>
              <w:jc w:val="right"/>
              <w:ind w:right="42"/>
              <w:spacing w:after="0"/>
              <w:rPr>
                <w:sz w:val="20"/>
                <w:szCs w:val="20"/>
                <w:color w:val="auto"/>
              </w:rPr>
            </w:pPr>
            <w:r>
              <w:rPr>
                <w:rFonts w:ascii="Arial" w:cs="Arial" w:eastAsia="Arial" w:hAnsi="Arial"/>
                <w:sz w:val="16"/>
                <w:szCs w:val="16"/>
                <w:color w:val="auto"/>
              </w:rPr>
              <w:t>1,006,293</w:t>
            </w:r>
          </w:p>
        </w:tc>
        <w:tc>
          <w:tcPr>
            <w:tcW w:w="0" w:type="dxa"/>
            <w:vAlign w:val="bottom"/>
          </w:tcPr>
          <w:p>
            <w:pPr>
              <w:spacing w:after="0"/>
              <w:rPr>
                <w:sz w:val="1"/>
                <w:szCs w:val="1"/>
                <w:color w:val="auto"/>
              </w:rPr>
            </w:pPr>
          </w:p>
        </w:tc>
      </w:tr>
      <w:tr>
        <w:trPr>
          <w:trHeight w:val="125"/>
        </w:trPr>
        <w:tc>
          <w:tcPr>
            <w:tcW w:w="1040" w:type="dxa"/>
            <w:vAlign w:val="bottom"/>
            <w:tcBorders>
              <w:left w:val="single" w:sz="8" w:color="auto"/>
              <w:right w:val="single" w:sz="8" w:color="auto"/>
            </w:tcBorders>
            <w:vMerge w:val="restart"/>
            <w:shd w:val="clear" w:color="auto" w:fill="D9D9D9"/>
          </w:tcPr>
          <w:p>
            <w:pPr>
              <w:ind w:left="100"/>
              <w:spacing w:after="0"/>
              <w:rPr>
                <w:sz w:val="20"/>
                <w:szCs w:val="20"/>
                <w:color w:val="auto"/>
              </w:rPr>
            </w:pPr>
            <w:r>
              <w:rPr>
                <w:rFonts w:ascii="Arial" w:cs="Arial" w:eastAsia="Arial" w:hAnsi="Arial"/>
                <w:sz w:val="16"/>
                <w:szCs w:val="16"/>
                <w:color w:val="auto"/>
              </w:rPr>
              <w:t>Novaes</w:t>
            </w:r>
          </w:p>
        </w:tc>
        <w:tc>
          <w:tcPr>
            <w:tcW w:w="1240" w:type="dxa"/>
            <w:vAlign w:val="bottom"/>
            <w:tcBorders>
              <w:right w:val="single" w:sz="8" w:color="auto"/>
            </w:tcBorders>
            <w:vMerge w:val="restart"/>
            <w:shd w:val="clear" w:color="auto" w:fill="D9D9D9"/>
          </w:tcPr>
          <w:p>
            <w:pPr>
              <w:ind w:left="80"/>
              <w:spacing w:after="0"/>
              <w:rPr>
                <w:sz w:val="20"/>
                <w:szCs w:val="20"/>
                <w:color w:val="auto"/>
              </w:rPr>
            </w:pPr>
            <w:r>
              <w:rPr>
                <w:rFonts w:ascii="Arial" w:cs="Arial" w:eastAsia="Arial" w:hAnsi="Arial"/>
                <w:sz w:val="16"/>
                <w:szCs w:val="16"/>
                <w:color w:val="auto"/>
              </w:rPr>
              <w:t>(8)</w:t>
            </w:r>
          </w:p>
        </w:tc>
        <w:tc>
          <w:tcPr>
            <w:tcW w:w="1020" w:type="dxa"/>
            <w:vAlign w:val="bottom"/>
            <w:vMerge w:val="continue"/>
            <w:shd w:val="clear" w:color="auto" w:fill="D9D9D9"/>
          </w:tcPr>
          <w:p>
            <w:pPr>
              <w:spacing w:after="0"/>
              <w:rPr>
                <w:sz w:val="10"/>
                <w:szCs w:val="10"/>
                <w:color w:val="auto"/>
              </w:rPr>
            </w:pPr>
          </w:p>
        </w:tc>
        <w:tc>
          <w:tcPr>
            <w:tcW w:w="100" w:type="dxa"/>
            <w:vAlign w:val="bottom"/>
            <w:tcBorders>
              <w:right w:val="single" w:sz="8" w:color="auto"/>
            </w:tcBorders>
            <w:shd w:val="clear" w:color="auto" w:fill="D9D9D9"/>
          </w:tcPr>
          <w:p>
            <w:pPr>
              <w:spacing w:after="0"/>
              <w:rPr>
                <w:sz w:val="10"/>
                <w:szCs w:val="10"/>
                <w:color w:val="auto"/>
              </w:rPr>
            </w:pPr>
          </w:p>
        </w:tc>
        <w:tc>
          <w:tcPr>
            <w:tcW w:w="920" w:type="dxa"/>
            <w:vAlign w:val="bottom"/>
            <w:tcBorders>
              <w:right w:val="single" w:sz="8" w:color="auto"/>
            </w:tcBorders>
            <w:vMerge w:val="continue"/>
            <w:shd w:val="clear" w:color="auto" w:fill="D9D9D9"/>
          </w:tcPr>
          <w:p>
            <w:pPr>
              <w:spacing w:after="0"/>
              <w:rPr>
                <w:sz w:val="10"/>
                <w:szCs w:val="10"/>
                <w:color w:val="auto"/>
              </w:rPr>
            </w:pPr>
          </w:p>
        </w:tc>
        <w:tc>
          <w:tcPr>
            <w:tcW w:w="1780" w:type="dxa"/>
            <w:vAlign w:val="bottom"/>
            <w:tcBorders>
              <w:right w:val="single" w:sz="8" w:color="auto"/>
            </w:tcBorders>
            <w:vMerge w:val="continue"/>
            <w:shd w:val="clear" w:color="auto" w:fill="D9D9D9"/>
          </w:tcPr>
          <w:p>
            <w:pPr>
              <w:spacing w:after="0"/>
              <w:rPr>
                <w:sz w:val="10"/>
                <w:szCs w:val="10"/>
                <w:color w:val="auto"/>
              </w:rPr>
            </w:pPr>
          </w:p>
        </w:tc>
        <w:tc>
          <w:tcPr>
            <w:tcW w:w="1020" w:type="dxa"/>
            <w:vAlign w:val="bottom"/>
            <w:tcBorders>
              <w:right w:val="single" w:sz="8" w:color="auto"/>
            </w:tcBorders>
            <w:vMerge w:val="continue"/>
            <w:shd w:val="clear" w:color="auto" w:fill="D9D9D9"/>
          </w:tcPr>
          <w:p>
            <w:pPr>
              <w:spacing w:after="0"/>
              <w:rPr>
                <w:sz w:val="10"/>
                <w:szCs w:val="10"/>
                <w:color w:val="auto"/>
              </w:rPr>
            </w:pPr>
          </w:p>
        </w:tc>
        <w:tc>
          <w:tcPr>
            <w:tcW w:w="900" w:type="dxa"/>
            <w:vAlign w:val="bottom"/>
            <w:tcBorders>
              <w:right w:val="single" w:sz="8" w:color="auto"/>
            </w:tcBorders>
            <w:vMerge w:val="continue"/>
            <w:shd w:val="clear" w:color="auto" w:fill="D9D9D9"/>
          </w:tcPr>
          <w:p>
            <w:pPr>
              <w:spacing w:after="0"/>
              <w:rPr>
                <w:sz w:val="10"/>
                <w:szCs w:val="10"/>
                <w:color w:val="auto"/>
              </w:rPr>
            </w:pPr>
          </w:p>
        </w:tc>
        <w:tc>
          <w:tcPr>
            <w:tcW w:w="1000" w:type="dxa"/>
            <w:vAlign w:val="bottom"/>
            <w:tcBorders>
              <w:right w:val="single" w:sz="8" w:color="auto"/>
            </w:tcBorders>
            <w:vMerge w:val="continue"/>
            <w:shd w:val="clear" w:color="auto" w:fill="D9D9D9"/>
          </w:tcPr>
          <w:p>
            <w:pPr>
              <w:spacing w:after="0"/>
              <w:rPr>
                <w:sz w:val="10"/>
                <w:szCs w:val="10"/>
                <w:color w:val="auto"/>
              </w:rPr>
            </w:pPr>
          </w:p>
        </w:tc>
        <w:tc>
          <w:tcPr>
            <w:tcW w:w="1120" w:type="dxa"/>
            <w:vAlign w:val="bottom"/>
            <w:tcBorders>
              <w:right w:val="single" w:sz="8" w:color="auto"/>
            </w:tcBorders>
            <w:vMerge w:val="continue"/>
            <w:shd w:val="clear" w:color="auto" w:fill="D9D9D9"/>
          </w:tcPr>
          <w:p>
            <w:pPr>
              <w:spacing w:after="0"/>
              <w:rPr>
                <w:sz w:val="10"/>
                <w:szCs w:val="10"/>
                <w:color w:val="auto"/>
              </w:rPr>
            </w:pPr>
          </w:p>
        </w:tc>
        <w:tc>
          <w:tcPr>
            <w:tcW w:w="1120" w:type="dxa"/>
            <w:vAlign w:val="bottom"/>
            <w:tcBorders>
              <w:right w:val="single" w:sz="8" w:color="auto"/>
            </w:tcBorders>
            <w:vMerge w:val="continue"/>
            <w:shd w:val="clear" w:color="auto" w:fill="D9D9D9"/>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1040" w:type="dxa"/>
            <w:vAlign w:val="bottom"/>
            <w:tcBorders>
              <w:left w:val="single" w:sz="8" w:color="auto"/>
              <w:bottom w:val="single" w:sz="8" w:color="D9D9D9"/>
              <w:right w:val="single" w:sz="8" w:color="auto"/>
            </w:tcBorders>
            <w:vMerge w:val="continue"/>
            <w:shd w:val="clear" w:color="auto" w:fill="D9D9D9"/>
          </w:tcPr>
          <w:p>
            <w:pPr>
              <w:spacing w:after="0"/>
              <w:rPr>
                <w:sz w:val="11"/>
                <w:szCs w:val="11"/>
                <w:color w:val="auto"/>
              </w:rPr>
            </w:pPr>
          </w:p>
        </w:tc>
        <w:tc>
          <w:tcPr>
            <w:tcW w:w="1240" w:type="dxa"/>
            <w:vAlign w:val="bottom"/>
            <w:tcBorders>
              <w:bottom w:val="single" w:sz="8" w:color="D9D9D9"/>
              <w:right w:val="single" w:sz="8" w:color="auto"/>
            </w:tcBorders>
            <w:vMerge w:val="continue"/>
            <w:shd w:val="clear" w:color="auto" w:fill="D9D9D9"/>
          </w:tcPr>
          <w:p>
            <w:pPr>
              <w:spacing w:after="0"/>
              <w:rPr>
                <w:sz w:val="11"/>
                <w:szCs w:val="11"/>
                <w:color w:val="auto"/>
              </w:rPr>
            </w:pPr>
          </w:p>
        </w:tc>
        <w:tc>
          <w:tcPr>
            <w:tcW w:w="1020" w:type="dxa"/>
            <w:vAlign w:val="bottom"/>
            <w:tcBorders>
              <w:bottom w:val="single" w:sz="8" w:color="D9D9D9"/>
            </w:tcBorders>
            <w:shd w:val="clear" w:color="auto" w:fill="D9D9D9"/>
          </w:tcPr>
          <w:p>
            <w:pPr>
              <w:spacing w:after="0"/>
              <w:rPr>
                <w:sz w:val="11"/>
                <w:szCs w:val="11"/>
                <w:color w:val="auto"/>
              </w:rPr>
            </w:pPr>
          </w:p>
        </w:tc>
        <w:tc>
          <w:tcPr>
            <w:tcW w:w="100" w:type="dxa"/>
            <w:vAlign w:val="bottom"/>
            <w:tcBorders>
              <w:bottom w:val="single" w:sz="8" w:color="D9D9D9"/>
              <w:right w:val="single" w:sz="8" w:color="auto"/>
            </w:tcBorders>
            <w:shd w:val="clear" w:color="auto" w:fill="D9D9D9"/>
          </w:tcPr>
          <w:p>
            <w:pPr>
              <w:spacing w:after="0"/>
              <w:rPr>
                <w:sz w:val="11"/>
                <w:szCs w:val="11"/>
                <w:color w:val="auto"/>
              </w:rPr>
            </w:pPr>
          </w:p>
        </w:tc>
        <w:tc>
          <w:tcPr>
            <w:tcW w:w="920" w:type="dxa"/>
            <w:vAlign w:val="bottom"/>
            <w:tcBorders>
              <w:bottom w:val="single" w:sz="8" w:color="D9D9D9"/>
              <w:right w:val="single" w:sz="8" w:color="auto"/>
            </w:tcBorders>
            <w:shd w:val="clear" w:color="auto" w:fill="D9D9D9"/>
          </w:tcPr>
          <w:p>
            <w:pPr>
              <w:spacing w:after="0"/>
              <w:rPr>
                <w:sz w:val="11"/>
                <w:szCs w:val="11"/>
                <w:color w:val="auto"/>
              </w:rPr>
            </w:pPr>
          </w:p>
        </w:tc>
        <w:tc>
          <w:tcPr>
            <w:tcW w:w="1780" w:type="dxa"/>
            <w:vAlign w:val="bottom"/>
            <w:tcBorders>
              <w:bottom w:val="single" w:sz="8" w:color="D9D9D9"/>
              <w:right w:val="single" w:sz="8" w:color="auto"/>
            </w:tcBorders>
            <w:shd w:val="clear" w:color="auto" w:fill="D9D9D9"/>
          </w:tcPr>
          <w:p>
            <w:pPr>
              <w:spacing w:after="0"/>
              <w:rPr>
                <w:sz w:val="11"/>
                <w:szCs w:val="11"/>
                <w:color w:val="auto"/>
              </w:rPr>
            </w:pPr>
          </w:p>
        </w:tc>
        <w:tc>
          <w:tcPr>
            <w:tcW w:w="1020" w:type="dxa"/>
            <w:vAlign w:val="bottom"/>
            <w:tcBorders>
              <w:bottom w:val="single" w:sz="8" w:color="D9D9D9"/>
              <w:right w:val="single" w:sz="8" w:color="auto"/>
            </w:tcBorders>
            <w:shd w:val="clear" w:color="auto" w:fill="D9D9D9"/>
          </w:tcPr>
          <w:p>
            <w:pPr>
              <w:spacing w:after="0"/>
              <w:rPr>
                <w:sz w:val="11"/>
                <w:szCs w:val="11"/>
                <w:color w:val="auto"/>
              </w:rPr>
            </w:pPr>
          </w:p>
        </w:tc>
        <w:tc>
          <w:tcPr>
            <w:tcW w:w="900" w:type="dxa"/>
            <w:vAlign w:val="bottom"/>
            <w:tcBorders>
              <w:bottom w:val="single" w:sz="8" w:color="D9D9D9"/>
              <w:right w:val="single" w:sz="8" w:color="auto"/>
            </w:tcBorders>
            <w:shd w:val="clear" w:color="auto" w:fill="D9D9D9"/>
          </w:tcPr>
          <w:p>
            <w:pPr>
              <w:spacing w:after="0"/>
              <w:rPr>
                <w:sz w:val="11"/>
                <w:szCs w:val="11"/>
                <w:color w:val="auto"/>
              </w:rPr>
            </w:pPr>
          </w:p>
        </w:tc>
        <w:tc>
          <w:tcPr>
            <w:tcW w:w="1000" w:type="dxa"/>
            <w:vAlign w:val="bottom"/>
            <w:tcBorders>
              <w:bottom w:val="single" w:sz="8" w:color="D9D9D9"/>
              <w:right w:val="single" w:sz="8" w:color="auto"/>
            </w:tcBorders>
            <w:shd w:val="clear" w:color="auto" w:fill="D9D9D9"/>
          </w:tcPr>
          <w:p>
            <w:pPr>
              <w:spacing w:after="0"/>
              <w:rPr>
                <w:sz w:val="11"/>
                <w:szCs w:val="11"/>
                <w:color w:val="auto"/>
              </w:rPr>
            </w:pPr>
          </w:p>
        </w:tc>
        <w:tc>
          <w:tcPr>
            <w:tcW w:w="1120" w:type="dxa"/>
            <w:vAlign w:val="bottom"/>
            <w:tcBorders>
              <w:bottom w:val="single" w:sz="8" w:color="D9D9D9"/>
              <w:right w:val="single" w:sz="8" w:color="auto"/>
            </w:tcBorders>
            <w:shd w:val="clear" w:color="auto" w:fill="D9D9D9"/>
          </w:tcPr>
          <w:p>
            <w:pPr>
              <w:spacing w:after="0"/>
              <w:rPr>
                <w:sz w:val="11"/>
                <w:szCs w:val="11"/>
                <w:color w:val="auto"/>
              </w:rPr>
            </w:pPr>
          </w:p>
        </w:tc>
        <w:tc>
          <w:tcPr>
            <w:tcW w:w="1120" w:type="dxa"/>
            <w:vAlign w:val="bottom"/>
            <w:tcBorders>
              <w:bottom w:val="single" w:sz="8" w:color="D9D9D9"/>
              <w:right w:val="single" w:sz="8" w:color="auto"/>
            </w:tcBorders>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260"/>
        </w:trPr>
        <w:tc>
          <w:tcPr>
            <w:tcW w:w="1040" w:type="dxa"/>
            <w:vAlign w:val="bottom"/>
            <w:tcBorders>
              <w:top w:val="single" w:sz="8" w:color="auto"/>
              <w:left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Robert</w:t>
            </w:r>
          </w:p>
        </w:tc>
        <w:tc>
          <w:tcPr>
            <w:tcW w:w="124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1/7/2019</w:t>
            </w:r>
          </w:p>
        </w:tc>
        <w:tc>
          <w:tcPr>
            <w:tcW w:w="10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89"/>
              </w:rPr>
              <w:t>0</w:t>
            </w:r>
          </w:p>
        </w:tc>
        <w:tc>
          <w:tcPr>
            <w:tcW w:w="100" w:type="dxa"/>
            <w:vAlign w:val="bottom"/>
            <w:tcBorders>
              <w:top w:val="single" w:sz="8" w:color="auto"/>
              <w:right w:val="single" w:sz="8" w:color="auto"/>
            </w:tcBorders>
          </w:tcPr>
          <w:p>
            <w:pPr>
              <w:spacing w:after="0"/>
              <w:rPr>
                <w:sz w:val="22"/>
                <w:szCs w:val="22"/>
                <w:color w:val="auto"/>
              </w:rPr>
            </w:pPr>
          </w:p>
        </w:tc>
        <w:tc>
          <w:tcPr>
            <w:tcW w:w="920" w:type="dxa"/>
            <w:vAlign w:val="bottom"/>
            <w:tcBorders>
              <w:top w:val="single" w:sz="8" w:color="auto"/>
              <w:right w:val="single" w:sz="8" w:color="auto"/>
            </w:tcBorders>
          </w:tcPr>
          <w:p>
            <w:pPr>
              <w:jc w:val="right"/>
              <w:ind w:right="41"/>
              <w:spacing w:after="0"/>
              <w:rPr>
                <w:sz w:val="20"/>
                <w:szCs w:val="20"/>
                <w:color w:val="auto"/>
              </w:rPr>
            </w:pPr>
            <w:r>
              <w:rPr>
                <w:rFonts w:ascii="Arial" w:cs="Arial" w:eastAsia="Arial" w:hAnsi="Arial"/>
                <w:sz w:val="16"/>
                <w:szCs w:val="16"/>
                <w:color w:val="auto"/>
              </w:rPr>
              <w:t>420,000</w:t>
            </w:r>
          </w:p>
        </w:tc>
        <w:tc>
          <w:tcPr>
            <w:tcW w:w="178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840,000</w:t>
            </w:r>
          </w:p>
        </w:tc>
        <w:tc>
          <w:tcPr>
            <w:tcW w:w="10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0</w:t>
            </w:r>
          </w:p>
        </w:tc>
        <w:tc>
          <w:tcPr>
            <w:tcW w:w="900" w:type="dxa"/>
            <w:vAlign w:val="bottom"/>
            <w:tcBorders>
              <w:top w:val="single" w:sz="8" w:color="auto"/>
              <w:right w:val="single" w:sz="8" w:color="auto"/>
            </w:tcBorders>
          </w:tcPr>
          <w:p>
            <w:pPr>
              <w:jc w:val="right"/>
              <w:ind w:right="41"/>
              <w:spacing w:after="0"/>
              <w:rPr>
                <w:sz w:val="20"/>
                <w:szCs w:val="20"/>
                <w:color w:val="auto"/>
              </w:rPr>
            </w:pPr>
            <w:r>
              <w:rPr>
                <w:rFonts w:ascii="Arial" w:cs="Arial" w:eastAsia="Arial" w:hAnsi="Arial"/>
                <w:sz w:val="16"/>
                <w:szCs w:val="16"/>
                <w:color w:val="auto"/>
              </w:rPr>
              <w:t>12,912</w:t>
            </w:r>
          </w:p>
        </w:tc>
        <w:tc>
          <w:tcPr>
            <w:tcW w:w="1000" w:type="dxa"/>
            <w:vAlign w:val="bottom"/>
            <w:tcBorders>
              <w:top w:val="single" w:sz="8" w:color="auto"/>
              <w:right w:val="single" w:sz="8" w:color="auto"/>
            </w:tcBorders>
          </w:tcPr>
          <w:p>
            <w:pPr>
              <w:jc w:val="right"/>
              <w:ind w:right="41"/>
              <w:spacing w:after="0"/>
              <w:rPr>
                <w:sz w:val="20"/>
                <w:szCs w:val="20"/>
                <w:color w:val="auto"/>
              </w:rPr>
            </w:pPr>
            <w:r>
              <w:rPr>
                <w:rFonts w:ascii="Arial" w:cs="Arial" w:eastAsia="Arial" w:hAnsi="Arial"/>
                <w:sz w:val="16"/>
                <w:szCs w:val="16"/>
                <w:color w:val="auto"/>
              </w:rPr>
              <w:t>25,824</w:t>
            </w:r>
          </w:p>
        </w:tc>
        <w:tc>
          <w:tcPr>
            <w:tcW w:w="1120" w:type="dxa"/>
            <w:vAlign w:val="bottom"/>
            <w:tcBorders>
              <w:top w:val="single" w:sz="8" w:color="auto"/>
              <w:right w:val="single" w:sz="8" w:color="auto"/>
            </w:tcBorders>
          </w:tcPr>
          <w:p>
            <w:pPr>
              <w:jc w:val="right"/>
              <w:ind w:right="62"/>
              <w:spacing w:after="0"/>
              <w:rPr>
                <w:sz w:val="20"/>
                <w:szCs w:val="20"/>
                <w:color w:val="auto"/>
              </w:rPr>
            </w:pPr>
            <w:r>
              <w:rPr>
                <w:rFonts w:ascii="Arial" w:cs="Arial" w:eastAsia="Arial" w:hAnsi="Arial"/>
                <w:sz w:val="16"/>
                <w:szCs w:val="16"/>
                <w:color w:val="auto"/>
              </w:rPr>
              <w:t>6,907</w:t>
            </w:r>
          </w:p>
        </w:tc>
        <w:tc>
          <w:tcPr>
            <w:tcW w:w="1120" w:type="dxa"/>
            <w:vAlign w:val="bottom"/>
            <w:tcBorders>
              <w:top w:val="single" w:sz="8" w:color="auto"/>
              <w:right w:val="single" w:sz="8" w:color="auto"/>
            </w:tcBorders>
          </w:tcPr>
          <w:p>
            <w:pPr>
              <w:jc w:val="right"/>
              <w:ind w:right="42"/>
              <w:spacing w:after="0"/>
              <w:rPr>
                <w:sz w:val="20"/>
                <w:szCs w:val="20"/>
                <w:color w:val="auto"/>
              </w:rPr>
            </w:pPr>
            <w:r>
              <w:rPr>
                <w:rFonts w:ascii="Arial" w:cs="Arial" w:eastAsia="Arial" w:hAnsi="Arial"/>
                <w:sz w:val="16"/>
                <w:szCs w:val="16"/>
                <w:color w:val="auto"/>
              </w:rPr>
              <w:t>892,456</w:t>
            </w:r>
          </w:p>
        </w:tc>
        <w:tc>
          <w:tcPr>
            <w:tcW w:w="0" w:type="dxa"/>
            <w:vAlign w:val="bottom"/>
          </w:tcPr>
          <w:p>
            <w:pPr>
              <w:spacing w:after="0"/>
              <w:rPr>
                <w:sz w:val="1"/>
                <w:szCs w:val="1"/>
                <w:color w:val="auto"/>
              </w:rPr>
            </w:pPr>
          </w:p>
        </w:tc>
      </w:tr>
      <w:tr>
        <w:trPr>
          <w:trHeight w:val="200"/>
        </w:trPr>
        <w:tc>
          <w:tcPr>
            <w:tcW w:w="10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Bourque</w:t>
            </w:r>
          </w:p>
        </w:tc>
        <w:tc>
          <w:tcPr>
            <w:tcW w:w="12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(9)</w:t>
            </w:r>
          </w:p>
        </w:tc>
        <w:tc>
          <w:tcPr>
            <w:tcW w:w="102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53"/>
        </w:trPr>
        <w:tc>
          <w:tcPr>
            <w:tcW w:w="1040" w:type="dxa"/>
            <w:vAlign w:val="bottom"/>
            <w:tcBorders>
              <w:left w:val="single" w:sz="8" w:color="auto"/>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178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jc w:val="both"/>
        <w:ind w:left="301" w:hanging="301"/>
        <w:spacing w:after="0" w:line="252" w:lineRule="auto"/>
        <w:tabs>
          <w:tab w:leader="none" w:pos="301"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These amounts represent the range of annual non-equity incentive bonuses for which the NEOs were eligible in 2019 under the Company’s AIB Plan. For further information relating to the AIB Plan, see “Compensation Discussion and Analysis – Annual Incentive Bonus.” For the actual awards earned under the AIB Plan for 2019, see the “Summary Compensation Table” above.</w:t>
      </w:r>
    </w:p>
    <w:p>
      <w:pPr>
        <w:spacing w:after="0" w:line="140" w:lineRule="exact"/>
        <w:rPr>
          <w:rFonts w:ascii="Arial" w:cs="Arial" w:eastAsia="Arial" w:hAnsi="Arial"/>
          <w:sz w:val="17"/>
          <w:szCs w:val="17"/>
          <w:color w:val="auto"/>
        </w:rPr>
      </w:pPr>
    </w:p>
    <w:p>
      <w:pPr>
        <w:jc w:val="both"/>
        <w:ind w:left="301" w:hanging="301"/>
        <w:spacing w:after="0" w:line="279" w:lineRule="auto"/>
        <w:tabs>
          <w:tab w:leader="none" w:pos="301" w:val="left"/>
        </w:tabs>
        <w:numPr>
          <w:ilvl w:val="0"/>
          <w:numId w:val="35"/>
        </w:numPr>
        <w:rPr>
          <w:rFonts w:ascii="Arial" w:cs="Arial" w:eastAsia="Arial" w:hAnsi="Arial"/>
          <w:sz w:val="15"/>
          <w:szCs w:val="15"/>
          <w:color w:val="auto"/>
        </w:rPr>
      </w:pPr>
      <w:r>
        <w:rPr>
          <w:rFonts w:ascii="Arial" w:cs="Arial" w:eastAsia="Arial" w:hAnsi="Arial"/>
          <w:sz w:val="15"/>
          <w:szCs w:val="15"/>
          <w:color w:val="auto"/>
        </w:rPr>
        <w:t>These amounts represent the range of stock-based compensation that might be realized under the 2019 performance-based restricted stock awards. The potential payouts are based on performance and are therefore at risk. The performance awards make up approximately two-thirds of the stock-based compensation. The first performance measure, representing approximately one-third of the total stock-based compensation (or half of the performance-based portion), is based upon the total shareholder return (“TSR”) achieved by the Company from January 1, 2019 to December 31, 2021 versus the TSR during that same period of a defined peer group of companies that are described in “Compensation Discussion and Analysis – Long-Term Equity Incentives” above. The second performance measure, representing approximately one-third of the total stock-based compensation (or half of the performance-based portion), is based on the Return on Invested Capital (“ROIC”) achieved by the Company from January 1, 2019 to December 31, 2021 compared to the ROIC target established by the Compensation Committee. The vesting of the performance-based shares from the 2019 award will occur in 2022, with the actual number of shares vesting dependent upon the Company’s TSR compared to that of the peer group and performance against the ROIC target. For further details, refer to Note W, “Stock-Based Compensation” to the Company’s financial statements in its Annual Report on Form 10-K for the fiscal year ended December 31, 2019. Rights to the performance-based shares are not forfeited upon death or disability and remain subject to attainment of the performance goal. Performance-based shares may not be forfeited upon retirement at the discretion of the Committee and, if not forfeited, remain subject to attainment of the performance goal. TSR performance-based shares vest upon a “change in control” of the Company based on the Company’s TSR as compared to that of the peer group from January 1, 2019 until the time of the “change in control.” ROIC performance-based shares vest upon a “change in control” of the Company based on the ROIC of the Company compared to that of the ROIC target from January 1, 2019 until the date of the “change in control.”</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51</w:t>
      </w:r>
    </w:p>
    <w:p>
      <w:pPr>
        <w:sectPr>
          <w:pgSz w:w="11900" w:h="16838" w:orient="portrait"/>
          <w:cols w:equalWidth="0" w:num="1">
            <w:col w:w="11241"/>
          </w:cols>
          <w:pgMar w:left="319" w:top="437" w:right="339" w:bottom="1440" w:gutter="0" w:footer="0" w:header="0"/>
        </w:sectPr>
      </w:pPr>
    </w:p>
    <w:bookmarkStart w:id="55" w:name="page56"/>
    <w:bookmarkEnd w:id="55"/>
    <w:p>
      <w:pPr>
        <w:jc w:val="both"/>
        <w:ind w:left="301" w:hanging="301"/>
        <w:spacing w:after="0" w:line="252" w:lineRule="auto"/>
        <w:tabs>
          <w:tab w:leader="none" w:pos="301"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These amounts represent time-based restricted stock awarded in 2019, which constitute approximately one-third of the total stock-based compensation. Time-based restricted stock vests annually over three years from the date of the award. If a participant terminates employment due to retirement with Committee approval, disability or death, or upon a “change in control” of the Company, vesting of the award accelerates.</w:t>
      </w:r>
    </w:p>
    <w:p>
      <w:pPr>
        <w:spacing w:after="0" w:line="103" w:lineRule="exact"/>
        <w:rPr>
          <w:rFonts w:ascii="Arial" w:cs="Arial" w:eastAsia="Arial" w:hAnsi="Arial"/>
          <w:sz w:val="17"/>
          <w:szCs w:val="17"/>
          <w:color w:val="auto"/>
        </w:rPr>
      </w:pPr>
    </w:p>
    <w:p>
      <w:pPr>
        <w:jc w:val="both"/>
        <w:ind w:left="301" w:hanging="301"/>
        <w:spacing w:after="0" w:line="304" w:lineRule="auto"/>
        <w:tabs>
          <w:tab w:leader="none" w:pos="301"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These amounts represent the grant-date fair value of time-based restricted stock and performance-based restricted stock awarded in 2019. The grant-date fair value of the time-based restricted stock and ROIC performance-based shares is the $43.07 per share closing price of the Company’s Common Stock on the date of the award on January 4, 2019. The grant-date fair value of the TSR performance-based shares is $49.54 for the January 4, 2019 awards and is based on a Monte Carlo valuation model. The Committee has determined that approximately two-thirds of the targeted value of stock awards to NEOs should be performance-based. In order for the Company in 2019 to deliver two-thirds of the value of an NEO’s targeted long-term equity incentive in performance-based restricted stock, somewhat more than one-third of the total number of shares granted were time-based restricted shares, and somewhat less than two-thirds were performance-based restricted shares because the prescribed valuation methods under FASB ASC Topic 718 result in higher per unit values for TSR performance-based restricted stock than for time-based restricted stock and ROIC performance-based restricted stock. Further details regarding these shares, the method of valuation and the assumptions made are set forth in Note W, “Stock-Based Compensation” to the financial statements in the Company’s Annual Report on Form 10-K for the fiscal year ended December 31, 2019.</w:t>
      </w:r>
    </w:p>
    <w:p>
      <w:pPr>
        <w:spacing w:after="0" w:line="87" w:lineRule="exact"/>
        <w:rPr>
          <w:rFonts w:ascii="Arial" w:cs="Arial" w:eastAsia="Arial" w:hAnsi="Arial"/>
          <w:sz w:val="14"/>
          <w:szCs w:val="14"/>
          <w:color w:val="auto"/>
        </w:rPr>
      </w:pPr>
    </w:p>
    <w:p>
      <w:pPr>
        <w:jc w:val="both"/>
        <w:ind w:left="301" w:hanging="301"/>
        <w:spacing w:after="0" w:line="288" w:lineRule="auto"/>
        <w:tabs>
          <w:tab w:leader="none" w:pos="301" w:val="left"/>
        </w:tabs>
        <w:numPr>
          <w:ilvl w:val="0"/>
          <w:numId w:val="36"/>
        </w:numPr>
        <w:rPr>
          <w:rFonts w:ascii="Arial" w:cs="Arial" w:eastAsia="Arial" w:hAnsi="Arial"/>
          <w:sz w:val="15"/>
          <w:szCs w:val="15"/>
          <w:color w:val="auto"/>
        </w:rPr>
      </w:pPr>
      <w:r>
        <w:rPr>
          <w:rFonts w:ascii="Arial" w:cs="Arial" w:eastAsia="Arial" w:hAnsi="Arial"/>
          <w:sz w:val="15"/>
          <w:szCs w:val="15"/>
          <w:color w:val="auto"/>
        </w:rPr>
        <w:t>Represents grant to Mr. Donahue of 133,376 shares of stock-based compensation under the 2013 Stock-Based Incentive Compensation Plan (the “2013 Stock Plan”). Time-based restricted stock totaling 46,482 shares vests over a three-year period as follows: 15,494 shares on January 7, 2020, 2021 and 2022. The remaining 86,894 shares of performance-based restricted stock vest on January 7, 2022 as follows: 46,482 shares based on the Company’s ROIC from January 1, 2019 to December 31, 2021 compared to the established ROIC target; 40,412 shares based on the Company’s TSR for that same period versus the TSR of a defined peer group of companies. The final number of performance-based shares actually vesting may vary from 0 to 173,788.</w:t>
      </w:r>
    </w:p>
    <w:p>
      <w:pPr>
        <w:spacing w:after="0" w:line="93" w:lineRule="exact"/>
        <w:rPr>
          <w:rFonts w:ascii="Arial" w:cs="Arial" w:eastAsia="Arial" w:hAnsi="Arial"/>
          <w:sz w:val="15"/>
          <w:szCs w:val="15"/>
          <w:color w:val="auto"/>
        </w:rPr>
      </w:pPr>
    </w:p>
    <w:p>
      <w:pPr>
        <w:jc w:val="both"/>
        <w:ind w:left="301" w:hanging="301"/>
        <w:spacing w:after="0" w:line="247" w:lineRule="auto"/>
        <w:tabs>
          <w:tab w:leader="none" w:pos="301" w:val="left"/>
        </w:tabs>
        <w:numPr>
          <w:ilvl w:val="0"/>
          <w:numId w:val="36"/>
        </w:numPr>
        <w:rPr>
          <w:rFonts w:ascii="Arial" w:cs="Arial" w:eastAsia="Arial" w:hAnsi="Arial"/>
          <w:sz w:val="17"/>
          <w:szCs w:val="17"/>
          <w:color w:val="auto"/>
        </w:rPr>
      </w:pPr>
      <w:r>
        <w:rPr>
          <w:rFonts w:ascii="Arial" w:cs="Arial" w:eastAsia="Arial" w:hAnsi="Arial"/>
          <w:sz w:val="17"/>
          <w:szCs w:val="17"/>
          <w:color w:val="auto"/>
        </w:rPr>
        <w:t>Represents grant to Mr. Kelly of 27,382 shares of stock-based compensation under the 2013 Stock Plan. Time-based restricted stock totaling 9,543 shares vests over a three-year period as follows: 3,181 shares on January 7, 2020, 2021 and 2022. The remaining 17,839 shares of performance-based restricted stock vest on January 7, 2022 as follows: 9,543 shares based on the Company’s ROIC from January 1, 2019 to December 31, 2021 compared to the established ROIC target; 8,296 shares based on the Company’s TSR for that same period versus the TSR of a defined peer group of companies. The final number of performance-based shares actually vesting may vary from 0 to 35,678.</w:t>
      </w:r>
    </w:p>
    <w:p>
      <w:pPr>
        <w:spacing w:after="0" w:line="110" w:lineRule="exact"/>
        <w:rPr>
          <w:rFonts w:ascii="Arial" w:cs="Arial" w:eastAsia="Arial" w:hAnsi="Arial"/>
          <w:sz w:val="17"/>
          <w:szCs w:val="17"/>
          <w:color w:val="auto"/>
        </w:rPr>
      </w:pPr>
    </w:p>
    <w:p>
      <w:pPr>
        <w:jc w:val="both"/>
        <w:ind w:left="301" w:hanging="301"/>
        <w:spacing w:after="0" w:line="288" w:lineRule="auto"/>
        <w:tabs>
          <w:tab w:leader="none" w:pos="301" w:val="left"/>
        </w:tabs>
        <w:numPr>
          <w:ilvl w:val="0"/>
          <w:numId w:val="36"/>
        </w:numPr>
        <w:rPr>
          <w:rFonts w:ascii="Arial" w:cs="Arial" w:eastAsia="Arial" w:hAnsi="Arial"/>
          <w:sz w:val="15"/>
          <w:szCs w:val="15"/>
          <w:color w:val="auto"/>
        </w:rPr>
      </w:pPr>
      <w:r>
        <w:rPr>
          <w:rFonts w:ascii="Arial" w:cs="Arial" w:eastAsia="Arial" w:hAnsi="Arial"/>
          <w:sz w:val="15"/>
          <w:szCs w:val="15"/>
          <w:color w:val="auto"/>
        </w:rPr>
        <w:t>Represents grant to Mr. Gifford of 39,695 shares of stock-based compensation under the 2013 Stock Plan. Time-based restricted stock totaling 13,834 shares vests over a three-year period as follows: 4,612 shares on January 7, 2020 and 4,611 shares on January 7, 2021 and 2022. The remaining 25,861 shares of performance-based restricted stock vest on January 7, 2022 as follows: 13,834 shares based on the Company’s ROIC from January 1, 2019 to December 31, 2021 compared to the established ROIC target; 12,027 shares based on the Company’s TSR for that same period versus the TSR of a defined peer group of companies. The final number of performance-based shares actually vesting may vary from 0 to 51,722.</w:t>
      </w:r>
    </w:p>
    <w:p>
      <w:pPr>
        <w:spacing w:after="0" w:line="93" w:lineRule="exact"/>
        <w:rPr>
          <w:rFonts w:ascii="Arial" w:cs="Arial" w:eastAsia="Arial" w:hAnsi="Arial"/>
          <w:sz w:val="15"/>
          <w:szCs w:val="15"/>
          <w:color w:val="auto"/>
        </w:rPr>
      </w:pPr>
    </w:p>
    <w:p>
      <w:pPr>
        <w:jc w:val="both"/>
        <w:ind w:left="301" w:hanging="301"/>
        <w:spacing w:after="0" w:line="247" w:lineRule="auto"/>
        <w:tabs>
          <w:tab w:leader="none" w:pos="301" w:val="left"/>
        </w:tabs>
        <w:numPr>
          <w:ilvl w:val="0"/>
          <w:numId w:val="36"/>
        </w:numPr>
        <w:rPr>
          <w:rFonts w:ascii="Arial" w:cs="Arial" w:eastAsia="Arial" w:hAnsi="Arial"/>
          <w:sz w:val="17"/>
          <w:szCs w:val="17"/>
          <w:color w:val="auto"/>
        </w:rPr>
      </w:pPr>
      <w:r>
        <w:rPr>
          <w:rFonts w:ascii="Arial" w:cs="Arial" w:eastAsia="Arial" w:hAnsi="Arial"/>
          <w:sz w:val="17"/>
          <w:szCs w:val="17"/>
          <w:color w:val="auto"/>
        </w:rPr>
        <w:t>Represents grant to Mr. Novaes of 22,347 shares of stock-based compensation under the 2013 Stock Plan. Time-based restricted stock totaling 7,788 shares vests over a three-year period as follows: 2,596 shares on January 7, 2020, 2021 and 2022. The remaining 14,559 shares of performance-based restricted stock vest on January 7, 2022 as follows: 7,788 shares based on the Company’s ROIC from January 1, 2019 to December 31, 2021 compared to the established ROIC target; 6,771 shares based on the Company’s TSR for that same period versus the TSR of a defined peer group of companies. The final number of performance-based shares actually vesting may vary from 0 to 29,118.</w:t>
      </w:r>
    </w:p>
    <w:p>
      <w:pPr>
        <w:spacing w:after="0" w:line="122" w:lineRule="exact"/>
        <w:rPr>
          <w:rFonts w:ascii="Arial" w:cs="Arial" w:eastAsia="Arial" w:hAnsi="Arial"/>
          <w:sz w:val="17"/>
          <w:szCs w:val="17"/>
          <w:color w:val="auto"/>
        </w:rPr>
      </w:pPr>
    </w:p>
    <w:p>
      <w:pPr>
        <w:jc w:val="both"/>
        <w:ind w:left="301" w:hanging="301"/>
        <w:spacing w:after="0" w:line="288" w:lineRule="auto"/>
        <w:tabs>
          <w:tab w:leader="none" w:pos="301" w:val="left"/>
        </w:tabs>
        <w:numPr>
          <w:ilvl w:val="0"/>
          <w:numId w:val="36"/>
        </w:numPr>
        <w:rPr>
          <w:rFonts w:ascii="Arial" w:cs="Arial" w:eastAsia="Arial" w:hAnsi="Arial"/>
          <w:sz w:val="15"/>
          <w:szCs w:val="15"/>
          <w:color w:val="auto"/>
        </w:rPr>
      </w:pPr>
      <w:r>
        <w:rPr>
          <w:rFonts w:ascii="Arial" w:cs="Arial" w:eastAsia="Arial" w:hAnsi="Arial"/>
          <w:sz w:val="15"/>
          <w:szCs w:val="15"/>
          <w:color w:val="auto"/>
        </w:rPr>
        <w:t>Represents grant to Mr. Bourque of 19,819 shares of stock-based compensation under the 2013 Stock Plan. Time-based restricted stock totaling 6,907 shares will be issued over a three-year period as follows: 2,303 shares on January 7, 2020 and 2,302 shares on January 7, 2021 and 2022. The remaining 12,912 shares of performance-based restricted stock vest on January 7, 2022 as follows: 6,907 shares based on the Company’s ROIC from January 1, 2019 to December 31, 2021 compared to the established ROIC target; 6,005 shares based on the Company’s TSR for that same period versus the TSR of a defined peer group of companies. The final number of performance-based shares actually issued may vary from 0 to 25,824.</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52</w:t>
      </w:r>
    </w:p>
    <w:p>
      <w:pPr>
        <w:sectPr>
          <w:pgSz w:w="11900" w:h="16838" w:orient="portrait"/>
          <w:cols w:equalWidth="0" w:num="1">
            <w:col w:w="11241"/>
          </w:cols>
          <w:pgMar w:left="319" w:top="784" w:right="339" w:bottom="1440" w:gutter="0" w:footer="0" w:header="0"/>
        </w:sectPr>
      </w:pPr>
    </w:p>
    <w:bookmarkStart w:id="56" w:name="page57"/>
    <w:bookmarkEnd w:id="56"/>
    <w:p>
      <w:pPr>
        <w:jc w:val="center"/>
        <w:spacing w:after="0"/>
        <w:rPr>
          <w:sz w:val="20"/>
          <w:szCs w:val="20"/>
          <w:color w:val="auto"/>
        </w:rPr>
      </w:pPr>
      <w:r>
        <w:rPr>
          <w:rFonts w:ascii="Arial" w:cs="Arial" w:eastAsia="Arial" w:hAnsi="Arial"/>
          <w:sz w:val="20"/>
          <w:szCs w:val="20"/>
          <w:b w:val="1"/>
          <w:bCs w:val="1"/>
          <w:color w:val="auto"/>
        </w:rPr>
        <w:t>Outstanding Equity Awards at Fiscal Year-End</w:t>
      </w:r>
    </w:p>
    <w:p>
      <w:pPr>
        <w:spacing w:after="0" w:line="198" w:lineRule="exact"/>
        <w:rPr>
          <w:sz w:val="20"/>
          <w:szCs w:val="20"/>
          <w:color w:val="auto"/>
        </w:rPr>
      </w:pPr>
    </w:p>
    <w:p>
      <w:pPr>
        <w:jc w:val="both"/>
        <w:ind w:left="1" w:firstLine="595"/>
        <w:spacing w:after="0" w:line="262" w:lineRule="auto"/>
        <w:rPr>
          <w:sz w:val="20"/>
          <w:szCs w:val="20"/>
          <w:color w:val="auto"/>
        </w:rPr>
      </w:pPr>
      <w:r>
        <w:rPr>
          <w:rFonts w:ascii="Arial" w:cs="Arial" w:eastAsia="Arial" w:hAnsi="Arial"/>
          <w:sz w:val="19"/>
          <w:szCs w:val="19"/>
          <w:color w:val="auto"/>
        </w:rPr>
        <w:t>The following table shows unvested time-based restricted Common Stock and unvested performance-based restricted Common Stock held by the Company’s NEOs on December 31, 2019. There are no outstanding options. These outstanding equity awards have been granted to the Company’s NEOs under the Company’s 2013 Stock-Based Incentive Compensation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266700</wp:posOffset>
            </wp:positionV>
            <wp:extent cx="6781165" cy="23469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81165" cy="234696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FFFFFF"/>
        </w:rPr>
        <w:t>Stock Awards</w:t>
      </w:r>
    </w:p>
    <w:p>
      <w:pPr>
        <w:spacing w:after="0" w:line="104" w:lineRule="exact"/>
        <w:rPr>
          <w:sz w:val="20"/>
          <w:szCs w:val="20"/>
          <w:color w:val="auto"/>
        </w:rPr>
      </w:pPr>
    </w:p>
    <w:tbl>
      <w:tblPr>
        <w:tblLayout w:type="fixed"/>
        <w:tblInd w:w="281" w:type="dxa"/>
        <w:tblCellMar>
          <w:top w:w="0" w:type="dxa"/>
          <w:left w:w="0" w:type="dxa"/>
          <w:bottom w:w="0" w:type="dxa"/>
          <w:right w:w="0" w:type="dxa"/>
        </w:tblCellMar>
      </w:tblPr>
      <w:tr>
        <w:trPr>
          <w:trHeight w:val="202"/>
        </w:trPr>
        <w:tc>
          <w:tcPr>
            <w:tcW w:w="2180" w:type="dxa"/>
            <w:vAlign w:val="bottom"/>
            <w:tcBorders>
              <w:top w:val="single" w:sz="8" w:color="auto"/>
              <w:right w:val="single" w:sz="8" w:color="auto"/>
            </w:tcBorders>
          </w:tcPr>
          <w:p>
            <w:pPr>
              <w:spacing w:after="0"/>
              <w:rPr>
                <w:sz w:val="17"/>
                <w:szCs w:val="17"/>
                <w:color w:val="auto"/>
              </w:rPr>
            </w:pPr>
          </w:p>
        </w:tc>
        <w:tc>
          <w:tcPr>
            <w:tcW w:w="1700" w:type="dxa"/>
            <w:vAlign w:val="bottom"/>
            <w:tcBorders>
              <w:top w:val="single" w:sz="8" w:color="auto"/>
              <w:right w:val="single" w:sz="8" w:color="auto"/>
            </w:tcBorders>
          </w:tcPr>
          <w:p>
            <w:pPr>
              <w:spacing w:after="0"/>
              <w:rPr>
                <w:sz w:val="17"/>
                <w:szCs w:val="17"/>
                <w:color w:val="auto"/>
              </w:rPr>
            </w:pPr>
          </w:p>
        </w:tc>
        <w:tc>
          <w:tcPr>
            <w:tcW w:w="1700" w:type="dxa"/>
            <w:vAlign w:val="bottom"/>
            <w:tcBorders>
              <w:top w:val="single" w:sz="8" w:color="auto"/>
              <w:right w:val="single" w:sz="8" w:color="auto"/>
            </w:tcBorders>
          </w:tcPr>
          <w:p>
            <w:pPr>
              <w:spacing w:after="0"/>
              <w:rPr>
                <w:sz w:val="17"/>
                <w:szCs w:val="17"/>
                <w:color w:val="auto"/>
              </w:rPr>
            </w:pPr>
          </w:p>
        </w:tc>
        <w:tc>
          <w:tcPr>
            <w:tcW w:w="2440" w:type="dxa"/>
            <w:vAlign w:val="bottom"/>
            <w:tcBorders>
              <w:top w:val="single" w:sz="8" w:color="auto"/>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FFFFFF"/>
                <w:w w:val="94"/>
              </w:rPr>
              <w:t>Equity Incentive</w:t>
            </w:r>
          </w:p>
        </w:tc>
        <w:tc>
          <w:tcPr>
            <w:tcW w:w="2660" w:type="dxa"/>
            <w:vAlign w:val="bottom"/>
            <w:tcBorders>
              <w:top w:val="single" w:sz="8" w:color="auto"/>
            </w:tcBorders>
          </w:tcPr>
          <w:p>
            <w:pPr>
              <w:spacing w:after="0"/>
              <w:rPr>
                <w:sz w:val="17"/>
                <w:szCs w:val="17"/>
                <w:color w:val="auto"/>
              </w:rPr>
            </w:pPr>
          </w:p>
        </w:tc>
      </w:tr>
      <w:tr>
        <w:trPr>
          <w:trHeight w:val="211"/>
        </w:trPr>
        <w:tc>
          <w:tcPr>
            <w:tcW w:w="218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FFFFFF"/>
                <w:w w:val="97"/>
              </w:rPr>
              <w:t>Market Value</w:t>
            </w:r>
          </w:p>
        </w:tc>
        <w:tc>
          <w:tcPr>
            <w:tcW w:w="24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FFFFFF"/>
                <w:w w:val="92"/>
              </w:rPr>
              <w:t>Plan Awards:</w:t>
            </w:r>
          </w:p>
        </w:tc>
        <w:tc>
          <w:tcPr>
            <w:tcW w:w="2660" w:type="dxa"/>
            <w:vAlign w:val="bottom"/>
          </w:tcPr>
          <w:p>
            <w:pPr>
              <w:jc w:val="center"/>
              <w:spacing w:after="0"/>
              <w:rPr>
                <w:sz w:val="20"/>
                <w:szCs w:val="20"/>
                <w:color w:val="auto"/>
              </w:rPr>
            </w:pPr>
            <w:r>
              <w:rPr>
                <w:rFonts w:ascii="Arial" w:cs="Arial" w:eastAsia="Arial" w:hAnsi="Arial"/>
                <w:sz w:val="18"/>
                <w:szCs w:val="18"/>
                <w:b w:val="1"/>
                <w:bCs w:val="1"/>
                <w:color w:val="FFFFFF"/>
                <w:w w:val="92"/>
              </w:rPr>
              <w:t>Equity Incentive Plan</w:t>
            </w:r>
          </w:p>
        </w:tc>
      </w:tr>
      <w:tr>
        <w:trPr>
          <w:trHeight w:val="211"/>
        </w:trPr>
        <w:tc>
          <w:tcPr>
            <w:tcW w:w="218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FFFFFF"/>
                <w:w w:val="93"/>
              </w:rPr>
              <w:t>Number of</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FFFFFF"/>
                <w:w w:val="89"/>
              </w:rPr>
              <w:t>of Shares or</w:t>
            </w:r>
          </w:p>
        </w:tc>
        <w:tc>
          <w:tcPr>
            <w:tcW w:w="24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FFFFFF"/>
                <w:w w:val="93"/>
              </w:rPr>
              <w:t>Number of Unearned</w:t>
            </w:r>
          </w:p>
        </w:tc>
        <w:tc>
          <w:tcPr>
            <w:tcW w:w="2660" w:type="dxa"/>
            <w:vAlign w:val="bottom"/>
          </w:tcPr>
          <w:p>
            <w:pPr>
              <w:jc w:val="center"/>
              <w:spacing w:after="0"/>
              <w:rPr>
                <w:sz w:val="20"/>
                <w:szCs w:val="20"/>
                <w:color w:val="auto"/>
              </w:rPr>
            </w:pPr>
            <w:r>
              <w:rPr>
                <w:rFonts w:ascii="Arial" w:cs="Arial" w:eastAsia="Arial" w:hAnsi="Arial"/>
                <w:sz w:val="18"/>
                <w:szCs w:val="18"/>
                <w:b w:val="1"/>
                <w:bCs w:val="1"/>
                <w:color w:val="FFFFFF"/>
                <w:w w:val="95"/>
              </w:rPr>
              <w:t>Awards: Market or</w:t>
            </w:r>
          </w:p>
        </w:tc>
      </w:tr>
      <w:tr>
        <w:trPr>
          <w:trHeight w:val="211"/>
        </w:trPr>
        <w:tc>
          <w:tcPr>
            <w:tcW w:w="218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FFFFFF"/>
                <w:w w:val="90"/>
              </w:rPr>
              <w:t>Shares or Units of</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FFFFFF"/>
                <w:w w:val="89"/>
              </w:rPr>
              <w:t>Units of Stock</w:t>
            </w:r>
          </w:p>
        </w:tc>
        <w:tc>
          <w:tcPr>
            <w:tcW w:w="24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FFFFFF"/>
                <w:w w:val="88"/>
              </w:rPr>
              <w:t>Shares, Units</w:t>
            </w:r>
          </w:p>
        </w:tc>
        <w:tc>
          <w:tcPr>
            <w:tcW w:w="2660" w:type="dxa"/>
            <w:vAlign w:val="bottom"/>
          </w:tcPr>
          <w:p>
            <w:pPr>
              <w:jc w:val="center"/>
              <w:spacing w:after="0"/>
              <w:rPr>
                <w:sz w:val="20"/>
                <w:szCs w:val="20"/>
                <w:color w:val="auto"/>
              </w:rPr>
            </w:pPr>
            <w:r>
              <w:rPr>
                <w:rFonts w:ascii="Arial" w:cs="Arial" w:eastAsia="Arial" w:hAnsi="Arial"/>
                <w:sz w:val="18"/>
                <w:szCs w:val="18"/>
                <w:b w:val="1"/>
                <w:bCs w:val="1"/>
                <w:color w:val="FFFFFF"/>
                <w:w w:val="91"/>
              </w:rPr>
              <w:t>Payout Value of Unearned</w:t>
            </w:r>
          </w:p>
        </w:tc>
      </w:tr>
      <w:tr>
        <w:trPr>
          <w:trHeight w:val="211"/>
        </w:trPr>
        <w:tc>
          <w:tcPr>
            <w:tcW w:w="2180" w:type="dxa"/>
            <w:vAlign w:val="bottom"/>
            <w:tcBorders>
              <w:right w:val="single" w:sz="8" w:color="auto"/>
            </w:tcBorders>
          </w:tcPr>
          <w:p>
            <w:pPr>
              <w:ind w:left="860"/>
              <w:spacing w:after="0"/>
              <w:rPr>
                <w:sz w:val="20"/>
                <w:szCs w:val="20"/>
                <w:color w:val="auto"/>
              </w:rPr>
            </w:pPr>
            <w:r>
              <w:rPr>
                <w:rFonts w:ascii="Arial" w:cs="Arial" w:eastAsia="Arial" w:hAnsi="Arial"/>
                <w:sz w:val="18"/>
                <w:szCs w:val="18"/>
                <w:b w:val="1"/>
                <w:bCs w:val="1"/>
                <w:color w:val="FFFFFF"/>
              </w:rPr>
              <w:t>Name</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FFFFFF"/>
                <w:w w:val="92"/>
              </w:rPr>
              <w:t>Stock That Have</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FFFFFF"/>
                <w:w w:val="95"/>
              </w:rPr>
              <w:t>That Have</w:t>
            </w:r>
          </w:p>
        </w:tc>
        <w:tc>
          <w:tcPr>
            <w:tcW w:w="24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FFFFFF"/>
                <w:w w:val="94"/>
              </w:rPr>
              <w:t>or Other Rights That</w:t>
            </w:r>
          </w:p>
        </w:tc>
        <w:tc>
          <w:tcPr>
            <w:tcW w:w="2660" w:type="dxa"/>
            <w:vAlign w:val="bottom"/>
          </w:tcPr>
          <w:p>
            <w:pPr>
              <w:jc w:val="center"/>
              <w:spacing w:after="0"/>
              <w:rPr>
                <w:sz w:val="20"/>
                <w:szCs w:val="20"/>
                <w:color w:val="auto"/>
              </w:rPr>
            </w:pPr>
            <w:r>
              <w:rPr>
                <w:rFonts w:ascii="Arial" w:cs="Arial" w:eastAsia="Arial" w:hAnsi="Arial"/>
                <w:sz w:val="18"/>
                <w:szCs w:val="18"/>
                <w:b w:val="1"/>
                <w:bCs w:val="1"/>
                <w:color w:val="FFFFFF"/>
                <w:w w:val="91"/>
              </w:rPr>
              <w:t>Shares, Units or Other Rights</w:t>
            </w:r>
          </w:p>
        </w:tc>
      </w:tr>
      <w:tr>
        <w:trPr>
          <w:trHeight w:val="211"/>
        </w:trPr>
        <w:tc>
          <w:tcPr>
            <w:tcW w:w="218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FFFFFF"/>
                <w:w w:val="90"/>
              </w:rPr>
              <w:t>Not Vested (1)</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FFFFFF"/>
                <w:w w:val="89"/>
              </w:rPr>
              <w:t>Not Vested (2)</w:t>
            </w:r>
          </w:p>
        </w:tc>
        <w:tc>
          <w:tcPr>
            <w:tcW w:w="24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FFFFFF"/>
                <w:w w:val="91"/>
              </w:rPr>
              <w:t>Have Not Vested (3)</w:t>
            </w:r>
          </w:p>
        </w:tc>
        <w:tc>
          <w:tcPr>
            <w:tcW w:w="2660" w:type="dxa"/>
            <w:vAlign w:val="bottom"/>
          </w:tcPr>
          <w:p>
            <w:pPr>
              <w:jc w:val="center"/>
              <w:spacing w:after="0"/>
              <w:rPr>
                <w:sz w:val="20"/>
                <w:szCs w:val="20"/>
                <w:color w:val="auto"/>
              </w:rPr>
            </w:pPr>
            <w:r>
              <w:rPr>
                <w:rFonts w:ascii="Arial" w:cs="Arial" w:eastAsia="Arial" w:hAnsi="Arial"/>
                <w:sz w:val="18"/>
                <w:szCs w:val="18"/>
                <w:b w:val="1"/>
                <w:bCs w:val="1"/>
                <w:color w:val="FFFFFF"/>
                <w:w w:val="92"/>
              </w:rPr>
              <w:t>That Have Not Vested (2)</w:t>
            </w:r>
          </w:p>
        </w:tc>
      </w:tr>
      <w:tr>
        <w:trPr>
          <w:trHeight w:val="232"/>
        </w:trPr>
        <w:tc>
          <w:tcPr>
            <w:tcW w:w="218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FFFFFF"/>
                <w:w w:val="88"/>
              </w:rPr>
              <w:t>(Shares)</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FFFFFF"/>
                <w:w w:val="90"/>
              </w:rPr>
              <w:t>($)</w:t>
            </w:r>
          </w:p>
        </w:tc>
        <w:tc>
          <w:tcPr>
            <w:tcW w:w="2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FFFFFF"/>
                <w:w w:val="91"/>
              </w:rPr>
              <w:t>(Shares)</w:t>
            </w:r>
          </w:p>
        </w:tc>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FFFFFF"/>
                <w:w w:val="99"/>
              </w:rPr>
              <w:t>($)</w:t>
            </w:r>
          </w:p>
        </w:tc>
      </w:tr>
      <w:tr>
        <w:trPr>
          <w:trHeight w:val="356"/>
        </w:trPr>
        <w:tc>
          <w:tcPr>
            <w:tcW w:w="21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Timothy Donahue</w:t>
            </w:r>
          </w:p>
        </w:tc>
        <w:tc>
          <w:tcPr>
            <w:tcW w:w="1700" w:type="dxa"/>
            <w:vAlign w:val="bottom"/>
            <w:tcBorders>
              <w:right w:val="single" w:sz="8" w:color="auto"/>
            </w:tcBorders>
          </w:tcPr>
          <w:p>
            <w:pPr>
              <w:jc w:val="right"/>
              <w:ind w:right="9"/>
              <w:spacing w:after="0"/>
              <w:rPr>
                <w:sz w:val="20"/>
                <w:szCs w:val="20"/>
                <w:color w:val="auto"/>
              </w:rPr>
            </w:pPr>
            <w:r>
              <w:rPr>
                <w:rFonts w:ascii="Arial" w:cs="Arial" w:eastAsia="Arial" w:hAnsi="Arial"/>
                <w:sz w:val="18"/>
                <w:szCs w:val="18"/>
                <w:color w:val="auto"/>
              </w:rPr>
              <w:t>79,577</w:t>
            </w:r>
          </w:p>
        </w:tc>
        <w:tc>
          <w:tcPr>
            <w:tcW w:w="1700" w:type="dxa"/>
            <w:vAlign w:val="bottom"/>
            <w:tcBorders>
              <w:right w:val="single" w:sz="8" w:color="auto"/>
            </w:tcBorders>
          </w:tcPr>
          <w:p>
            <w:pPr>
              <w:jc w:val="right"/>
              <w:ind w:right="9"/>
              <w:spacing w:after="0"/>
              <w:rPr>
                <w:sz w:val="20"/>
                <w:szCs w:val="20"/>
                <w:color w:val="auto"/>
              </w:rPr>
            </w:pPr>
            <w:r>
              <w:rPr>
                <w:rFonts w:ascii="Arial" w:cs="Arial" w:eastAsia="Arial" w:hAnsi="Arial"/>
                <w:sz w:val="18"/>
                <w:szCs w:val="18"/>
                <w:color w:val="auto"/>
              </w:rPr>
              <w:t>5,772,516</w:t>
            </w:r>
          </w:p>
        </w:tc>
        <w:tc>
          <w:tcPr>
            <w:tcW w:w="2440" w:type="dxa"/>
            <w:vAlign w:val="bottom"/>
            <w:tcBorders>
              <w:right w:val="single" w:sz="8" w:color="auto"/>
            </w:tcBorders>
          </w:tcPr>
          <w:p>
            <w:pPr>
              <w:jc w:val="right"/>
              <w:ind w:right="9"/>
              <w:spacing w:after="0"/>
              <w:rPr>
                <w:sz w:val="20"/>
                <w:szCs w:val="20"/>
                <w:color w:val="auto"/>
              </w:rPr>
            </w:pPr>
            <w:r>
              <w:rPr>
                <w:rFonts w:ascii="Arial" w:cs="Arial" w:eastAsia="Arial" w:hAnsi="Arial"/>
                <w:sz w:val="18"/>
                <w:szCs w:val="18"/>
                <w:color w:val="auto"/>
              </w:rPr>
              <w:t>218,562</w:t>
            </w:r>
          </w:p>
        </w:tc>
        <w:tc>
          <w:tcPr>
            <w:tcW w:w="2660" w:type="dxa"/>
            <w:vAlign w:val="bottom"/>
          </w:tcPr>
          <w:p>
            <w:pPr>
              <w:jc w:val="right"/>
              <w:ind w:right="9"/>
              <w:spacing w:after="0"/>
              <w:rPr>
                <w:sz w:val="20"/>
                <w:szCs w:val="20"/>
                <w:color w:val="auto"/>
              </w:rPr>
            </w:pPr>
            <w:r>
              <w:rPr>
                <w:rFonts w:ascii="Arial" w:cs="Arial" w:eastAsia="Arial" w:hAnsi="Arial"/>
                <w:sz w:val="18"/>
                <w:szCs w:val="18"/>
                <w:color w:val="auto"/>
              </w:rPr>
              <w:t>15,854,488</w:t>
            </w:r>
          </w:p>
        </w:tc>
      </w:tr>
      <w:tr>
        <w:trPr>
          <w:trHeight w:val="95"/>
        </w:trPr>
        <w:tc>
          <w:tcPr>
            <w:tcW w:w="2180" w:type="dxa"/>
            <w:vAlign w:val="bottom"/>
            <w:tcBorders>
              <w:bottom w:val="single" w:sz="8" w:color="auto"/>
              <w:right w:val="single" w:sz="8" w:color="auto"/>
            </w:tcBorders>
          </w:tcPr>
          <w:p>
            <w:pPr>
              <w:spacing w:after="0"/>
              <w:rPr>
                <w:sz w:val="8"/>
                <w:szCs w:val="8"/>
                <w:color w:val="auto"/>
              </w:rPr>
            </w:pPr>
          </w:p>
        </w:tc>
        <w:tc>
          <w:tcPr>
            <w:tcW w:w="1700" w:type="dxa"/>
            <w:vAlign w:val="bottom"/>
            <w:tcBorders>
              <w:bottom w:val="single" w:sz="8" w:color="auto"/>
              <w:right w:val="single" w:sz="8" w:color="auto"/>
            </w:tcBorders>
          </w:tcPr>
          <w:p>
            <w:pPr>
              <w:spacing w:after="0"/>
              <w:rPr>
                <w:sz w:val="8"/>
                <w:szCs w:val="8"/>
                <w:color w:val="auto"/>
              </w:rPr>
            </w:pPr>
          </w:p>
        </w:tc>
        <w:tc>
          <w:tcPr>
            <w:tcW w:w="1700" w:type="dxa"/>
            <w:vAlign w:val="bottom"/>
            <w:tcBorders>
              <w:bottom w:val="single" w:sz="8" w:color="auto"/>
              <w:right w:val="single" w:sz="8" w:color="auto"/>
            </w:tcBorders>
          </w:tcPr>
          <w:p>
            <w:pPr>
              <w:spacing w:after="0"/>
              <w:rPr>
                <w:sz w:val="8"/>
                <w:szCs w:val="8"/>
                <w:color w:val="auto"/>
              </w:rPr>
            </w:pPr>
          </w:p>
        </w:tc>
        <w:tc>
          <w:tcPr>
            <w:tcW w:w="2440" w:type="dxa"/>
            <w:vAlign w:val="bottom"/>
            <w:tcBorders>
              <w:bottom w:val="single" w:sz="8" w:color="auto"/>
              <w:right w:val="single" w:sz="8" w:color="auto"/>
            </w:tcBorders>
          </w:tcPr>
          <w:p>
            <w:pPr>
              <w:spacing w:after="0"/>
              <w:rPr>
                <w:sz w:val="8"/>
                <w:szCs w:val="8"/>
                <w:color w:val="auto"/>
              </w:rPr>
            </w:pPr>
          </w:p>
        </w:tc>
        <w:tc>
          <w:tcPr>
            <w:tcW w:w="2660" w:type="dxa"/>
            <w:vAlign w:val="bottom"/>
            <w:tcBorders>
              <w:bottom w:val="single" w:sz="8" w:color="auto"/>
            </w:tcBorders>
          </w:tcPr>
          <w:p>
            <w:pPr>
              <w:spacing w:after="0"/>
              <w:rPr>
                <w:sz w:val="8"/>
                <w:szCs w:val="8"/>
                <w:color w:val="auto"/>
              </w:rPr>
            </w:pPr>
          </w:p>
        </w:tc>
      </w:tr>
      <w:tr>
        <w:trPr>
          <w:trHeight w:val="224"/>
        </w:trPr>
        <w:tc>
          <w:tcPr>
            <w:tcW w:w="2180" w:type="dxa"/>
            <w:vAlign w:val="bottom"/>
            <w:tcBorders>
              <w:right w:val="single" w:sz="8" w:color="auto"/>
            </w:tcBorders>
            <w:shd w:val="clear" w:color="auto" w:fill="D9D9D9"/>
          </w:tcPr>
          <w:p>
            <w:pPr>
              <w:ind w:left="120"/>
              <w:spacing w:after="0"/>
              <w:rPr>
                <w:sz w:val="20"/>
                <w:szCs w:val="20"/>
                <w:color w:val="auto"/>
              </w:rPr>
            </w:pPr>
            <w:r>
              <w:rPr>
                <w:rFonts w:ascii="Arial" w:cs="Arial" w:eastAsia="Arial" w:hAnsi="Arial"/>
                <w:sz w:val="18"/>
                <w:szCs w:val="18"/>
                <w:color w:val="auto"/>
              </w:rPr>
              <w:t>Thomas Kelly</w:t>
            </w:r>
          </w:p>
        </w:tc>
        <w:tc>
          <w:tcPr>
            <w:tcW w:w="1700" w:type="dxa"/>
            <w:vAlign w:val="bottom"/>
            <w:tcBorders>
              <w:right w:val="single" w:sz="8" w:color="auto"/>
            </w:tcBorders>
            <w:shd w:val="clear" w:color="auto" w:fill="D9D9D9"/>
          </w:tcPr>
          <w:p>
            <w:pPr>
              <w:jc w:val="right"/>
              <w:ind w:right="9"/>
              <w:spacing w:after="0"/>
              <w:rPr>
                <w:sz w:val="20"/>
                <w:szCs w:val="20"/>
                <w:color w:val="auto"/>
              </w:rPr>
            </w:pPr>
            <w:r>
              <w:rPr>
                <w:rFonts w:ascii="Arial" w:cs="Arial" w:eastAsia="Arial" w:hAnsi="Arial"/>
                <w:sz w:val="18"/>
                <w:szCs w:val="18"/>
                <w:color w:val="auto"/>
              </w:rPr>
              <w:t>16,365</w:t>
            </w:r>
          </w:p>
        </w:tc>
        <w:tc>
          <w:tcPr>
            <w:tcW w:w="1700" w:type="dxa"/>
            <w:vAlign w:val="bottom"/>
            <w:tcBorders>
              <w:right w:val="single" w:sz="8" w:color="auto"/>
            </w:tcBorders>
            <w:shd w:val="clear" w:color="auto" w:fill="D9D9D9"/>
          </w:tcPr>
          <w:p>
            <w:pPr>
              <w:jc w:val="right"/>
              <w:ind w:right="9"/>
              <w:spacing w:after="0"/>
              <w:rPr>
                <w:sz w:val="20"/>
                <w:szCs w:val="20"/>
                <w:color w:val="auto"/>
              </w:rPr>
            </w:pPr>
            <w:r>
              <w:rPr>
                <w:rFonts w:ascii="Arial" w:cs="Arial" w:eastAsia="Arial" w:hAnsi="Arial"/>
                <w:sz w:val="18"/>
                <w:szCs w:val="18"/>
                <w:color w:val="auto"/>
              </w:rPr>
              <w:t>1,187,117</w:t>
            </w:r>
          </w:p>
        </w:tc>
        <w:tc>
          <w:tcPr>
            <w:tcW w:w="2440" w:type="dxa"/>
            <w:vAlign w:val="bottom"/>
            <w:tcBorders>
              <w:right w:val="single" w:sz="8" w:color="auto"/>
            </w:tcBorders>
            <w:shd w:val="clear" w:color="auto" w:fill="D9D9D9"/>
          </w:tcPr>
          <w:p>
            <w:pPr>
              <w:jc w:val="right"/>
              <w:ind w:right="9"/>
              <w:spacing w:after="0"/>
              <w:rPr>
                <w:sz w:val="20"/>
                <w:szCs w:val="20"/>
                <w:color w:val="auto"/>
              </w:rPr>
            </w:pPr>
            <w:r>
              <w:rPr>
                <w:rFonts w:ascii="Arial" w:cs="Arial" w:eastAsia="Arial" w:hAnsi="Arial"/>
                <w:sz w:val="18"/>
                <w:szCs w:val="18"/>
                <w:color w:val="auto"/>
              </w:rPr>
              <w:t>45,096</w:t>
            </w:r>
          </w:p>
        </w:tc>
        <w:tc>
          <w:tcPr>
            <w:tcW w:w="2660" w:type="dxa"/>
            <w:vAlign w:val="bottom"/>
            <w:shd w:val="clear" w:color="auto" w:fill="D9D9D9"/>
          </w:tcPr>
          <w:p>
            <w:pPr>
              <w:jc w:val="right"/>
              <w:ind w:right="9"/>
              <w:spacing w:after="0"/>
              <w:rPr>
                <w:sz w:val="20"/>
                <w:szCs w:val="20"/>
                <w:color w:val="auto"/>
              </w:rPr>
            </w:pPr>
            <w:r>
              <w:rPr>
                <w:rFonts w:ascii="Arial" w:cs="Arial" w:eastAsia="Arial" w:hAnsi="Arial"/>
                <w:sz w:val="18"/>
                <w:szCs w:val="18"/>
                <w:color w:val="auto"/>
              </w:rPr>
              <w:t>3,271,264</w:t>
            </w:r>
          </w:p>
        </w:tc>
      </w:tr>
      <w:tr>
        <w:trPr>
          <w:trHeight w:val="78"/>
        </w:trPr>
        <w:tc>
          <w:tcPr>
            <w:tcW w:w="2180" w:type="dxa"/>
            <w:vAlign w:val="bottom"/>
            <w:tcBorders>
              <w:bottom w:val="single" w:sz="8" w:color="auto"/>
              <w:right w:val="single" w:sz="8" w:color="auto"/>
            </w:tcBorders>
            <w:shd w:val="clear" w:color="auto" w:fill="D9D9D9"/>
          </w:tcPr>
          <w:p>
            <w:pPr>
              <w:spacing w:after="0"/>
              <w:rPr>
                <w:sz w:val="6"/>
                <w:szCs w:val="6"/>
                <w:color w:val="auto"/>
              </w:rPr>
            </w:pPr>
          </w:p>
        </w:tc>
        <w:tc>
          <w:tcPr>
            <w:tcW w:w="1700" w:type="dxa"/>
            <w:vAlign w:val="bottom"/>
            <w:tcBorders>
              <w:bottom w:val="single" w:sz="8" w:color="auto"/>
              <w:right w:val="single" w:sz="8" w:color="auto"/>
            </w:tcBorders>
            <w:shd w:val="clear" w:color="auto" w:fill="D9D9D9"/>
          </w:tcPr>
          <w:p>
            <w:pPr>
              <w:spacing w:after="0"/>
              <w:rPr>
                <w:sz w:val="6"/>
                <w:szCs w:val="6"/>
                <w:color w:val="auto"/>
              </w:rPr>
            </w:pPr>
          </w:p>
        </w:tc>
        <w:tc>
          <w:tcPr>
            <w:tcW w:w="1700" w:type="dxa"/>
            <w:vAlign w:val="bottom"/>
            <w:tcBorders>
              <w:bottom w:val="single" w:sz="8" w:color="auto"/>
              <w:right w:val="single" w:sz="8" w:color="auto"/>
            </w:tcBorders>
            <w:shd w:val="clear" w:color="auto" w:fill="D9D9D9"/>
          </w:tcPr>
          <w:p>
            <w:pPr>
              <w:spacing w:after="0"/>
              <w:rPr>
                <w:sz w:val="6"/>
                <w:szCs w:val="6"/>
                <w:color w:val="auto"/>
              </w:rPr>
            </w:pPr>
          </w:p>
        </w:tc>
        <w:tc>
          <w:tcPr>
            <w:tcW w:w="2440" w:type="dxa"/>
            <w:vAlign w:val="bottom"/>
            <w:tcBorders>
              <w:bottom w:val="single" w:sz="8" w:color="auto"/>
              <w:right w:val="single" w:sz="8" w:color="auto"/>
            </w:tcBorders>
            <w:shd w:val="clear" w:color="auto" w:fill="D9D9D9"/>
          </w:tcPr>
          <w:p>
            <w:pPr>
              <w:spacing w:after="0"/>
              <w:rPr>
                <w:sz w:val="6"/>
                <w:szCs w:val="6"/>
                <w:color w:val="auto"/>
              </w:rPr>
            </w:pPr>
          </w:p>
        </w:tc>
        <w:tc>
          <w:tcPr>
            <w:tcW w:w="2660" w:type="dxa"/>
            <w:vAlign w:val="bottom"/>
            <w:tcBorders>
              <w:bottom w:val="single" w:sz="8" w:color="auto"/>
            </w:tcBorders>
            <w:shd w:val="clear" w:color="auto" w:fill="D9D9D9"/>
          </w:tcPr>
          <w:p>
            <w:pPr>
              <w:spacing w:after="0"/>
              <w:rPr>
                <w:sz w:val="6"/>
                <w:szCs w:val="6"/>
                <w:color w:val="auto"/>
              </w:rPr>
            </w:pPr>
          </w:p>
        </w:tc>
      </w:tr>
      <w:tr>
        <w:trPr>
          <w:trHeight w:val="224"/>
        </w:trPr>
        <w:tc>
          <w:tcPr>
            <w:tcW w:w="21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Gerard Gifford</w:t>
            </w:r>
          </w:p>
        </w:tc>
        <w:tc>
          <w:tcPr>
            <w:tcW w:w="1700" w:type="dxa"/>
            <w:vAlign w:val="bottom"/>
            <w:tcBorders>
              <w:right w:val="single" w:sz="8" w:color="auto"/>
            </w:tcBorders>
          </w:tcPr>
          <w:p>
            <w:pPr>
              <w:jc w:val="right"/>
              <w:ind w:right="9"/>
              <w:spacing w:after="0"/>
              <w:rPr>
                <w:sz w:val="20"/>
                <w:szCs w:val="20"/>
                <w:color w:val="auto"/>
              </w:rPr>
            </w:pPr>
            <w:r>
              <w:rPr>
                <w:rFonts w:ascii="Arial" w:cs="Arial" w:eastAsia="Arial" w:hAnsi="Arial"/>
                <w:sz w:val="18"/>
                <w:szCs w:val="18"/>
                <w:color w:val="auto"/>
              </w:rPr>
              <w:t>23,839</w:t>
            </w:r>
          </w:p>
        </w:tc>
        <w:tc>
          <w:tcPr>
            <w:tcW w:w="1700" w:type="dxa"/>
            <w:vAlign w:val="bottom"/>
            <w:tcBorders>
              <w:right w:val="single" w:sz="8" w:color="auto"/>
            </w:tcBorders>
          </w:tcPr>
          <w:p>
            <w:pPr>
              <w:jc w:val="right"/>
              <w:ind w:right="9"/>
              <w:spacing w:after="0"/>
              <w:rPr>
                <w:sz w:val="20"/>
                <w:szCs w:val="20"/>
                <w:color w:val="auto"/>
              </w:rPr>
            </w:pPr>
            <w:r>
              <w:rPr>
                <w:rFonts w:ascii="Arial" w:cs="Arial" w:eastAsia="Arial" w:hAnsi="Arial"/>
                <w:sz w:val="18"/>
                <w:szCs w:val="18"/>
                <w:color w:val="auto"/>
              </w:rPr>
              <w:t>1,729,281</w:t>
            </w:r>
          </w:p>
        </w:tc>
        <w:tc>
          <w:tcPr>
            <w:tcW w:w="2440" w:type="dxa"/>
            <w:vAlign w:val="bottom"/>
            <w:tcBorders>
              <w:right w:val="single" w:sz="8" w:color="auto"/>
            </w:tcBorders>
          </w:tcPr>
          <w:p>
            <w:pPr>
              <w:jc w:val="right"/>
              <w:ind w:right="9"/>
              <w:spacing w:after="0"/>
              <w:rPr>
                <w:sz w:val="20"/>
                <w:szCs w:val="20"/>
                <w:color w:val="auto"/>
              </w:rPr>
            </w:pPr>
            <w:r>
              <w:rPr>
                <w:rFonts w:ascii="Arial" w:cs="Arial" w:eastAsia="Arial" w:hAnsi="Arial"/>
                <w:sz w:val="18"/>
                <w:szCs w:val="18"/>
                <w:color w:val="auto"/>
              </w:rPr>
              <w:t>66,020</w:t>
            </w:r>
          </w:p>
        </w:tc>
        <w:tc>
          <w:tcPr>
            <w:tcW w:w="2660" w:type="dxa"/>
            <w:vAlign w:val="bottom"/>
          </w:tcPr>
          <w:p>
            <w:pPr>
              <w:jc w:val="right"/>
              <w:ind w:right="9"/>
              <w:spacing w:after="0"/>
              <w:rPr>
                <w:sz w:val="20"/>
                <w:szCs w:val="20"/>
                <w:color w:val="auto"/>
              </w:rPr>
            </w:pPr>
            <w:r>
              <w:rPr>
                <w:rFonts w:ascii="Arial" w:cs="Arial" w:eastAsia="Arial" w:hAnsi="Arial"/>
                <w:sz w:val="18"/>
                <w:szCs w:val="18"/>
                <w:color w:val="auto"/>
              </w:rPr>
              <w:t>4,789,091</w:t>
            </w:r>
          </w:p>
        </w:tc>
      </w:tr>
      <w:tr>
        <w:trPr>
          <w:trHeight w:val="78"/>
        </w:trPr>
        <w:tc>
          <w:tcPr>
            <w:tcW w:w="2180" w:type="dxa"/>
            <w:vAlign w:val="bottom"/>
            <w:tcBorders>
              <w:bottom w:val="single" w:sz="8" w:color="auto"/>
              <w:right w:val="single" w:sz="8" w:color="auto"/>
            </w:tcBorders>
          </w:tcPr>
          <w:p>
            <w:pPr>
              <w:spacing w:after="0"/>
              <w:rPr>
                <w:sz w:val="6"/>
                <w:szCs w:val="6"/>
                <w:color w:val="auto"/>
              </w:rPr>
            </w:pPr>
          </w:p>
        </w:tc>
        <w:tc>
          <w:tcPr>
            <w:tcW w:w="1700" w:type="dxa"/>
            <w:vAlign w:val="bottom"/>
            <w:tcBorders>
              <w:bottom w:val="single" w:sz="8" w:color="auto"/>
              <w:right w:val="single" w:sz="8" w:color="auto"/>
            </w:tcBorders>
          </w:tcPr>
          <w:p>
            <w:pPr>
              <w:spacing w:after="0"/>
              <w:rPr>
                <w:sz w:val="6"/>
                <w:szCs w:val="6"/>
                <w:color w:val="auto"/>
              </w:rPr>
            </w:pPr>
          </w:p>
        </w:tc>
        <w:tc>
          <w:tcPr>
            <w:tcW w:w="1700" w:type="dxa"/>
            <w:vAlign w:val="bottom"/>
            <w:tcBorders>
              <w:bottom w:val="single" w:sz="8" w:color="auto"/>
              <w:right w:val="single" w:sz="8" w:color="auto"/>
            </w:tcBorders>
          </w:tcPr>
          <w:p>
            <w:pPr>
              <w:spacing w:after="0"/>
              <w:rPr>
                <w:sz w:val="6"/>
                <w:szCs w:val="6"/>
                <w:color w:val="auto"/>
              </w:rPr>
            </w:pPr>
          </w:p>
        </w:tc>
        <w:tc>
          <w:tcPr>
            <w:tcW w:w="2440" w:type="dxa"/>
            <w:vAlign w:val="bottom"/>
            <w:tcBorders>
              <w:bottom w:val="single" w:sz="8" w:color="auto"/>
              <w:right w:val="single" w:sz="8" w:color="auto"/>
            </w:tcBorders>
          </w:tcPr>
          <w:p>
            <w:pPr>
              <w:spacing w:after="0"/>
              <w:rPr>
                <w:sz w:val="6"/>
                <w:szCs w:val="6"/>
                <w:color w:val="auto"/>
              </w:rPr>
            </w:pPr>
          </w:p>
        </w:tc>
        <w:tc>
          <w:tcPr>
            <w:tcW w:w="2660" w:type="dxa"/>
            <w:vAlign w:val="bottom"/>
            <w:tcBorders>
              <w:bottom w:val="single" w:sz="8" w:color="auto"/>
            </w:tcBorders>
          </w:tcPr>
          <w:p>
            <w:pPr>
              <w:spacing w:after="0"/>
              <w:rPr>
                <w:sz w:val="6"/>
                <w:szCs w:val="6"/>
                <w:color w:val="auto"/>
              </w:rPr>
            </w:pPr>
          </w:p>
        </w:tc>
      </w:tr>
      <w:tr>
        <w:trPr>
          <w:trHeight w:val="224"/>
        </w:trPr>
        <w:tc>
          <w:tcPr>
            <w:tcW w:w="2180" w:type="dxa"/>
            <w:vAlign w:val="bottom"/>
            <w:tcBorders>
              <w:right w:val="single" w:sz="8" w:color="auto"/>
            </w:tcBorders>
            <w:shd w:val="clear" w:color="auto" w:fill="D9D9D9"/>
          </w:tcPr>
          <w:p>
            <w:pPr>
              <w:ind w:left="100"/>
              <w:spacing w:after="0"/>
              <w:rPr>
                <w:sz w:val="20"/>
                <w:szCs w:val="20"/>
                <w:color w:val="auto"/>
              </w:rPr>
            </w:pPr>
            <w:r>
              <w:rPr>
                <w:rFonts w:ascii="Arial" w:cs="Arial" w:eastAsia="Arial" w:hAnsi="Arial"/>
                <w:sz w:val="18"/>
                <w:szCs w:val="18"/>
                <w:color w:val="auto"/>
              </w:rPr>
              <w:t>Djalma Novaes</w:t>
            </w:r>
          </w:p>
        </w:tc>
        <w:tc>
          <w:tcPr>
            <w:tcW w:w="1700" w:type="dxa"/>
            <w:vAlign w:val="bottom"/>
            <w:tcBorders>
              <w:right w:val="single" w:sz="8" w:color="auto"/>
            </w:tcBorders>
            <w:shd w:val="clear" w:color="auto" w:fill="D9D9D9"/>
          </w:tcPr>
          <w:p>
            <w:pPr>
              <w:jc w:val="right"/>
              <w:ind w:right="9"/>
              <w:spacing w:after="0"/>
              <w:rPr>
                <w:sz w:val="20"/>
                <w:szCs w:val="20"/>
                <w:color w:val="auto"/>
              </w:rPr>
            </w:pPr>
            <w:r>
              <w:rPr>
                <w:rFonts w:ascii="Arial" w:cs="Arial" w:eastAsia="Arial" w:hAnsi="Arial"/>
                <w:sz w:val="18"/>
                <w:szCs w:val="18"/>
                <w:color w:val="auto"/>
              </w:rPr>
              <w:t>13,536</w:t>
            </w:r>
          </w:p>
        </w:tc>
        <w:tc>
          <w:tcPr>
            <w:tcW w:w="1700" w:type="dxa"/>
            <w:vAlign w:val="bottom"/>
            <w:tcBorders>
              <w:right w:val="single" w:sz="8" w:color="auto"/>
            </w:tcBorders>
            <w:shd w:val="clear" w:color="auto" w:fill="D9D9D9"/>
          </w:tcPr>
          <w:p>
            <w:pPr>
              <w:jc w:val="right"/>
              <w:ind w:right="9"/>
              <w:spacing w:after="0"/>
              <w:rPr>
                <w:sz w:val="20"/>
                <w:szCs w:val="20"/>
                <w:color w:val="auto"/>
              </w:rPr>
            </w:pPr>
            <w:r>
              <w:rPr>
                <w:rFonts w:ascii="Arial" w:cs="Arial" w:eastAsia="Arial" w:hAnsi="Arial"/>
                <w:sz w:val="18"/>
                <w:szCs w:val="18"/>
                <w:color w:val="auto"/>
              </w:rPr>
              <w:t>981,901</w:t>
            </w:r>
          </w:p>
        </w:tc>
        <w:tc>
          <w:tcPr>
            <w:tcW w:w="2440" w:type="dxa"/>
            <w:vAlign w:val="bottom"/>
            <w:tcBorders>
              <w:right w:val="single" w:sz="8" w:color="auto"/>
            </w:tcBorders>
            <w:shd w:val="clear" w:color="auto" w:fill="D9D9D9"/>
          </w:tcPr>
          <w:p>
            <w:pPr>
              <w:jc w:val="right"/>
              <w:ind w:right="9"/>
              <w:spacing w:after="0"/>
              <w:rPr>
                <w:sz w:val="20"/>
                <w:szCs w:val="20"/>
                <w:color w:val="auto"/>
              </w:rPr>
            </w:pPr>
            <w:r>
              <w:rPr>
                <w:rFonts w:ascii="Arial" w:cs="Arial" w:eastAsia="Arial" w:hAnsi="Arial"/>
                <w:sz w:val="18"/>
                <w:szCs w:val="18"/>
                <w:color w:val="auto"/>
              </w:rPr>
              <w:t>37,713</w:t>
            </w:r>
          </w:p>
        </w:tc>
        <w:tc>
          <w:tcPr>
            <w:tcW w:w="2660" w:type="dxa"/>
            <w:vAlign w:val="bottom"/>
            <w:shd w:val="clear" w:color="auto" w:fill="D9D9D9"/>
          </w:tcPr>
          <w:p>
            <w:pPr>
              <w:jc w:val="right"/>
              <w:ind w:right="9"/>
              <w:spacing w:after="0"/>
              <w:rPr>
                <w:sz w:val="20"/>
                <w:szCs w:val="20"/>
                <w:color w:val="auto"/>
              </w:rPr>
            </w:pPr>
            <w:r>
              <w:rPr>
                <w:rFonts w:ascii="Arial" w:cs="Arial" w:eastAsia="Arial" w:hAnsi="Arial"/>
                <w:sz w:val="18"/>
                <w:szCs w:val="18"/>
                <w:color w:val="auto"/>
              </w:rPr>
              <w:t>2,735,701</w:t>
            </w:r>
          </w:p>
        </w:tc>
      </w:tr>
      <w:tr>
        <w:trPr>
          <w:trHeight w:val="78"/>
        </w:trPr>
        <w:tc>
          <w:tcPr>
            <w:tcW w:w="2180" w:type="dxa"/>
            <w:vAlign w:val="bottom"/>
            <w:tcBorders>
              <w:bottom w:val="single" w:sz="8" w:color="auto"/>
              <w:right w:val="single" w:sz="8" w:color="auto"/>
            </w:tcBorders>
            <w:shd w:val="clear" w:color="auto" w:fill="D9D9D9"/>
          </w:tcPr>
          <w:p>
            <w:pPr>
              <w:spacing w:after="0"/>
              <w:rPr>
                <w:sz w:val="6"/>
                <w:szCs w:val="6"/>
                <w:color w:val="auto"/>
              </w:rPr>
            </w:pPr>
          </w:p>
        </w:tc>
        <w:tc>
          <w:tcPr>
            <w:tcW w:w="1700" w:type="dxa"/>
            <w:vAlign w:val="bottom"/>
            <w:tcBorders>
              <w:bottom w:val="single" w:sz="8" w:color="auto"/>
              <w:right w:val="single" w:sz="8" w:color="auto"/>
            </w:tcBorders>
            <w:shd w:val="clear" w:color="auto" w:fill="D9D9D9"/>
          </w:tcPr>
          <w:p>
            <w:pPr>
              <w:spacing w:after="0"/>
              <w:rPr>
                <w:sz w:val="6"/>
                <w:szCs w:val="6"/>
                <w:color w:val="auto"/>
              </w:rPr>
            </w:pPr>
          </w:p>
        </w:tc>
        <w:tc>
          <w:tcPr>
            <w:tcW w:w="1700" w:type="dxa"/>
            <w:vAlign w:val="bottom"/>
            <w:tcBorders>
              <w:bottom w:val="single" w:sz="8" w:color="auto"/>
              <w:right w:val="single" w:sz="8" w:color="auto"/>
            </w:tcBorders>
            <w:shd w:val="clear" w:color="auto" w:fill="D9D9D9"/>
          </w:tcPr>
          <w:p>
            <w:pPr>
              <w:spacing w:after="0"/>
              <w:rPr>
                <w:sz w:val="6"/>
                <w:szCs w:val="6"/>
                <w:color w:val="auto"/>
              </w:rPr>
            </w:pPr>
          </w:p>
        </w:tc>
        <w:tc>
          <w:tcPr>
            <w:tcW w:w="2440" w:type="dxa"/>
            <w:vAlign w:val="bottom"/>
            <w:tcBorders>
              <w:bottom w:val="single" w:sz="8" w:color="auto"/>
              <w:right w:val="single" w:sz="8" w:color="auto"/>
            </w:tcBorders>
            <w:shd w:val="clear" w:color="auto" w:fill="D9D9D9"/>
          </w:tcPr>
          <w:p>
            <w:pPr>
              <w:spacing w:after="0"/>
              <w:rPr>
                <w:sz w:val="6"/>
                <w:szCs w:val="6"/>
                <w:color w:val="auto"/>
              </w:rPr>
            </w:pPr>
          </w:p>
        </w:tc>
        <w:tc>
          <w:tcPr>
            <w:tcW w:w="2660" w:type="dxa"/>
            <w:vAlign w:val="bottom"/>
            <w:tcBorders>
              <w:bottom w:val="single" w:sz="8" w:color="auto"/>
            </w:tcBorders>
            <w:shd w:val="clear" w:color="auto" w:fill="D9D9D9"/>
          </w:tcPr>
          <w:p>
            <w:pPr>
              <w:spacing w:after="0"/>
              <w:rPr>
                <w:sz w:val="6"/>
                <w:szCs w:val="6"/>
                <w:color w:val="auto"/>
              </w:rPr>
            </w:pPr>
          </w:p>
        </w:tc>
      </w:tr>
      <w:tr>
        <w:trPr>
          <w:trHeight w:val="224"/>
        </w:trPr>
        <w:tc>
          <w:tcPr>
            <w:tcW w:w="21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Robert Bourque</w:t>
            </w:r>
          </w:p>
        </w:tc>
        <w:tc>
          <w:tcPr>
            <w:tcW w:w="1700" w:type="dxa"/>
            <w:vAlign w:val="bottom"/>
            <w:tcBorders>
              <w:right w:val="single" w:sz="8" w:color="auto"/>
            </w:tcBorders>
          </w:tcPr>
          <w:p>
            <w:pPr>
              <w:jc w:val="right"/>
              <w:ind w:right="9"/>
              <w:spacing w:after="0"/>
              <w:rPr>
                <w:sz w:val="20"/>
                <w:szCs w:val="20"/>
                <w:color w:val="auto"/>
              </w:rPr>
            </w:pPr>
            <w:r>
              <w:rPr>
                <w:rFonts w:ascii="Arial" w:cs="Arial" w:eastAsia="Arial" w:hAnsi="Arial"/>
                <w:sz w:val="18"/>
                <w:szCs w:val="18"/>
                <w:color w:val="auto"/>
              </w:rPr>
              <w:t>10,914</w:t>
            </w:r>
          </w:p>
        </w:tc>
        <w:tc>
          <w:tcPr>
            <w:tcW w:w="1700" w:type="dxa"/>
            <w:vAlign w:val="bottom"/>
            <w:tcBorders>
              <w:right w:val="single" w:sz="8" w:color="auto"/>
            </w:tcBorders>
          </w:tcPr>
          <w:p>
            <w:pPr>
              <w:jc w:val="right"/>
              <w:ind w:right="9"/>
              <w:spacing w:after="0"/>
              <w:rPr>
                <w:sz w:val="20"/>
                <w:szCs w:val="20"/>
                <w:color w:val="auto"/>
              </w:rPr>
            </w:pPr>
            <w:r>
              <w:rPr>
                <w:rFonts w:ascii="Arial" w:cs="Arial" w:eastAsia="Arial" w:hAnsi="Arial"/>
                <w:sz w:val="18"/>
                <w:szCs w:val="18"/>
                <w:color w:val="auto"/>
              </w:rPr>
              <w:t>791,702</w:t>
            </w:r>
          </w:p>
        </w:tc>
        <w:tc>
          <w:tcPr>
            <w:tcW w:w="2440" w:type="dxa"/>
            <w:vAlign w:val="bottom"/>
            <w:tcBorders>
              <w:right w:val="single" w:sz="8" w:color="auto"/>
            </w:tcBorders>
          </w:tcPr>
          <w:p>
            <w:pPr>
              <w:jc w:val="right"/>
              <w:ind w:right="9"/>
              <w:spacing w:after="0"/>
              <w:rPr>
                <w:sz w:val="20"/>
                <w:szCs w:val="20"/>
                <w:color w:val="auto"/>
              </w:rPr>
            </w:pPr>
            <w:r>
              <w:rPr>
                <w:rFonts w:ascii="Arial" w:cs="Arial" w:eastAsia="Arial" w:hAnsi="Arial"/>
                <w:sz w:val="18"/>
                <w:szCs w:val="18"/>
                <w:color w:val="auto"/>
              </w:rPr>
              <w:t>29,220</w:t>
            </w:r>
          </w:p>
        </w:tc>
        <w:tc>
          <w:tcPr>
            <w:tcW w:w="2660" w:type="dxa"/>
            <w:vAlign w:val="bottom"/>
          </w:tcPr>
          <w:p>
            <w:pPr>
              <w:jc w:val="right"/>
              <w:ind w:right="9"/>
              <w:spacing w:after="0"/>
              <w:rPr>
                <w:sz w:val="20"/>
                <w:szCs w:val="20"/>
                <w:color w:val="auto"/>
              </w:rPr>
            </w:pPr>
            <w:r>
              <w:rPr>
                <w:rFonts w:ascii="Arial" w:cs="Arial" w:eastAsia="Arial" w:hAnsi="Arial"/>
                <w:sz w:val="18"/>
                <w:szCs w:val="18"/>
                <w:color w:val="auto"/>
              </w:rPr>
              <w:t>2,119,619</w:t>
            </w:r>
          </w:p>
        </w:tc>
      </w:tr>
      <w:tr>
        <w:trPr>
          <w:trHeight w:val="78"/>
        </w:trPr>
        <w:tc>
          <w:tcPr>
            <w:tcW w:w="2180" w:type="dxa"/>
            <w:vAlign w:val="bottom"/>
            <w:tcBorders>
              <w:bottom w:val="single" w:sz="8" w:color="auto"/>
              <w:right w:val="single" w:sz="8" w:color="auto"/>
            </w:tcBorders>
          </w:tcPr>
          <w:p>
            <w:pPr>
              <w:spacing w:after="0"/>
              <w:rPr>
                <w:sz w:val="6"/>
                <w:szCs w:val="6"/>
                <w:color w:val="auto"/>
              </w:rPr>
            </w:pPr>
          </w:p>
        </w:tc>
        <w:tc>
          <w:tcPr>
            <w:tcW w:w="1700" w:type="dxa"/>
            <w:vAlign w:val="bottom"/>
            <w:tcBorders>
              <w:bottom w:val="single" w:sz="8" w:color="auto"/>
              <w:right w:val="single" w:sz="8" w:color="auto"/>
            </w:tcBorders>
          </w:tcPr>
          <w:p>
            <w:pPr>
              <w:spacing w:after="0"/>
              <w:rPr>
                <w:sz w:val="6"/>
                <w:szCs w:val="6"/>
                <w:color w:val="auto"/>
              </w:rPr>
            </w:pPr>
          </w:p>
        </w:tc>
        <w:tc>
          <w:tcPr>
            <w:tcW w:w="1700" w:type="dxa"/>
            <w:vAlign w:val="bottom"/>
            <w:tcBorders>
              <w:bottom w:val="single" w:sz="8" w:color="auto"/>
              <w:right w:val="single" w:sz="8" w:color="auto"/>
            </w:tcBorders>
          </w:tcPr>
          <w:p>
            <w:pPr>
              <w:spacing w:after="0"/>
              <w:rPr>
                <w:sz w:val="6"/>
                <w:szCs w:val="6"/>
                <w:color w:val="auto"/>
              </w:rPr>
            </w:pPr>
          </w:p>
        </w:tc>
        <w:tc>
          <w:tcPr>
            <w:tcW w:w="2440" w:type="dxa"/>
            <w:vAlign w:val="bottom"/>
            <w:tcBorders>
              <w:bottom w:val="single" w:sz="8" w:color="auto"/>
              <w:right w:val="single" w:sz="8" w:color="auto"/>
            </w:tcBorders>
          </w:tcPr>
          <w:p>
            <w:pPr>
              <w:spacing w:after="0"/>
              <w:rPr>
                <w:sz w:val="6"/>
                <w:szCs w:val="6"/>
                <w:color w:val="auto"/>
              </w:rPr>
            </w:pPr>
          </w:p>
        </w:tc>
        <w:tc>
          <w:tcPr>
            <w:tcW w:w="2660" w:type="dxa"/>
            <w:vAlign w:val="bottom"/>
            <w:tcBorders>
              <w:bottom w:val="single" w:sz="8" w:color="auto"/>
            </w:tcBorders>
          </w:tcPr>
          <w:p>
            <w:pPr>
              <w:spacing w:after="0"/>
              <w:rPr>
                <w:sz w:val="6"/>
                <w:szCs w:val="6"/>
                <w:color w:val="auto"/>
              </w:rPr>
            </w:pPr>
          </w:p>
        </w:tc>
      </w:tr>
    </w:tbl>
    <w:p>
      <w:pPr>
        <w:spacing w:after="0" w:line="200" w:lineRule="exact"/>
        <w:rPr>
          <w:sz w:val="20"/>
          <w:szCs w:val="20"/>
          <w:color w:val="auto"/>
        </w:rPr>
      </w:pPr>
    </w:p>
    <w:p>
      <w:pPr>
        <w:spacing w:after="0" w:line="205" w:lineRule="exact"/>
        <w:rPr>
          <w:sz w:val="20"/>
          <w:szCs w:val="20"/>
          <w:color w:val="auto"/>
        </w:rPr>
      </w:pPr>
    </w:p>
    <w:p>
      <w:pPr>
        <w:jc w:val="both"/>
        <w:ind w:left="301" w:hanging="301"/>
        <w:spacing w:after="0" w:line="265" w:lineRule="auto"/>
        <w:tabs>
          <w:tab w:leader="none" w:pos="301"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These amounts represent outstanding unvested time-based restricted stock awards. Time-based restricted stock vests annually over three years from the date of the award. Accordingly, with respect to awards made in 2017, the remaining one-third vested on February 28, 2020 except that, as to a portion of Mr. Gifford’s 2017 award, the final one-third will vest on April 3, 2020. With respect to awards made in 2018, the second one-third vested on January 4, 2020 and the final one-third will vest on January 4, 2021 except that, as to a portion of Mr. Bourque’s 2018 award, the second one-third will vest on August 7, 2020 and the final one-third will vest on August 9, 2021. With respect to awards made in 2019, the first one-third vested on January 4, 2020. The second one-third will vest on January 4, 2021 and the final one-third will vest on January 4, 2022. If a participant terminates employment due to retirement with Committee approval, disability or death, or upon a “change in control” of the Company, vesting of the unvested time-based restricted stock awards accelerates to the date of termination.</w:t>
      </w:r>
    </w:p>
    <w:p>
      <w:pPr>
        <w:spacing w:after="0" w:line="96" w:lineRule="exact"/>
        <w:rPr>
          <w:rFonts w:ascii="Arial" w:cs="Arial" w:eastAsia="Arial" w:hAnsi="Arial"/>
          <w:sz w:val="17"/>
          <w:szCs w:val="17"/>
          <w:color w:val="auto"/>
        </w:rPr>
      </w:pPr>
    </w:p>
    <w:p>
      <w:pPr>
        <w:ind w:left="301" w:hanging="301"/>
        <w:spacing w:after="0"/>
        <w:tabs>
          <w:tab w:leader="none" w:pos="301"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Computed as of December 31, 2019. The closing price of the Company’s Common Stock on December 31, 2019 was $72.54.</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53</w:t>
      </w:r>
    </w:p>
    <w:p>
      <w:pPr>
        <w:sectPr>
          <w:pgSz w:w="11900" w:h="16838" w:orient="portrait"/>
          <w:cols w:equalWidth="0" w:num="1">
            <w:col w:w="11241"/>
          </w:cols>
          <w:pgMar w:left="319" w:top="858" w:right="339" w:bottom="1440" w:gutter="0" w:footer="0" w:header="0"/>
        </w:sectPr>
      </w:pPr>
    </w:p>
    <w:bookmarkStart w:id="57" w:name="page58"/>
    <w:bookmarkEnd w:id="57"/>
    <w:p>
      <w:pPr>
        <w:jc w:val="both"/>
        <w:ind w:left="301" w:hanging="301"/>
        <w:spacing w:after="0" w:line="262" w:lineRule="auto"/>
        <w:tabs>
          <w:tab w:leader="none" w:pos="301"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These amounts represent outstanding unvested performance-based restricted stock at target levels. The range of shares to be vested is 0 to 200% of the target based on the levels of performance achieved under the 2017 award from January 1, 2017 to December 31, 2019, under the 2018 award from January 1, 2018 to December 31, 2020 and under the 2019 award from January 1, 2019 to December 31, 2021. The number reported does not include any additional shares that may be awarded after December 31, 2019 based upon the Company’s performance but does include shares that may be forfeited based on the Company’s performance. The vesting date for the performance-based shares awarded in 2017 was February 28, 2020. On that date, performance-based shares earned pursuant to the 2017 awards vested as follows: for Mr. Donahue – 80,987 shares with a value on December 31, 2019 of $5,874,797; for Mr. Kelly – 16,960 shares with a value on December 31, 2019 of $1,230,279; for Mr. Gifford – 20,712 shares with a value on December 31, 2019 of $1,502,448; for Mr. Novaes – 14,718 shares with a value on December 31, 2019 of $1,067,644; and for Mr. Bourque – 8,699 shares with a value on December 31, 2019 of $631,025. For further information relating to performance-based share vesting, see “Compensation Discussion and Analysis – Long-Term Equity Incentives.” Rights to the performance-based shares are not forfeited upon death or disability and remain subject to attainment of the performance goal. Performance-based shares may not be forfeited upon retirement at the discretion of the Committee and, if not forfeited, remain subject to attainment of the performance goals. TSR performance-based shares vest upon a “change in control” of the Company based upon the Company’s TSR as compared to that of the peer group at the time of the “change in control.” ROIC performance-based shares vest upon a “change in control” of the Company based upon the ROIC of the Company compared to that of the ROIC target through the date of the “change in control.”</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54</w:t>
      </w:r>
    </w:p>
    <w:p>
      <w:pPr>
        <w:sectPr>
          <w:pgSz w:w="11900" w:h="16838" w:orient="portrait"/>
          <w:cols w:equalWidth="0" w:num="1">
            <w:col w:w="11241"/>
          </w:cols>
          <w:pgMar w:left="319" w:top="656" w:right="339" w:bottom="1440" w:gutter="0" w:footer="0" w:header="0"/>
        </w:sectPr>
      </w:pPr>
    </w:p>
    <w:bookmarkStart w:id="58" w:name="page59"/>
    <w:bookmarkEnd w:id="58"/>
    <w:p>
      <w:pPr>
        <w:jc w:val="center"/>
        <w:spacing w:after="0"/>
        <w:rPr>
          <w:sz w:val="20"/>
          <w:szCs w:val="20"/>
          <w:color w:val="auto"/>
        </w:rPr>
      </w:pPr>
      <w:r>
        <w:rPr>
          <w:rFonts w:ascii="Arial" w:cs="Arial" w:eastAsia="Arial" w:hAnsi="Arial"/>
          <w:sz w:val="20"/>
          <w:szCs w:val="20"/>
          <w:b w:val="1"/>
          <w:bCs w:val="1"/>
          <w:color w:val="auto"/>
        </w:rPr>
        <w:t>Option Exercises and Stock Vested</w:t>
      </w:r>
    </w:p>
    <w:p>
      <w:pPr>
        <w:spacing w:after="0" w:line="198" w:lineRule="exact"/>
        <w:rPr>
          <w:sz w:val="20"/>
          <w:szCs w:val="20"/>
          <w:color w:val="auto"/>
        </w:rPr>
      </w:pPr>
    </w:p>
    <w:p>
      <w:pPr>
        <w:ind w:left="1" w:firstLine="595"/>
        <w:spacing w:after="0" w:line="254" w:lineRule="auto"/>
        <w:rPr>
          <w:sz w:val="20"/>
          <w:szCs w:val="20"/>
          <w:color w:val="auto"/>
        </w:rPr>
      </w:pPr>
      <w:r>
        <w:rPr>
          <w:rFonts w:ascii="Arial" w:cs="Arial" w:eastAsia="Arial" w:hAnsi="Arial"/>
          <w:sz w:val="20"/>
          <w:szCs w:val="20"/>
          <w:color w:val="auto"/>
        </w:rPr>
        <w:t>The following table shows the number of shares of the Company’s Common Stock acquired and the actual value received during 2019 upon the exercise of stock options or vesting of stock awards.</w:t>
      </w:r>
    </w:p>
    <w:p>
      <w:pPr>
        <w:spacing w:after="0" w:line="200" w:lineRule="exact"/>
        <w:rPr>
          <w:sz w:val="20"/>
          <w:szCs w:val="20"/>
          <w:color w:val="auto"/>
        </w:rPr>
      </w:pPr>
    </w:p>
    <w:p>
      <w:pPr>
        <w:spacing w:after="0" w:line="205" w:lineRule="exact"/>
        <w:rPr>
          <w:sz w:val="20"/>
          <w:szCs w:val="20"/>
          <w:color w:val="auto"/>
        </w:rPr>
      </w:pPr>
    </w:p>
    <w:tbl>
      <w:tblPr>
        <w:tblLayout w:type="fixed"/>
        <w:tblInd w:w="11" w:type="dxa"/>
        <w:tblCellMar>
          <w:top w:w="0" w:type="dxa"/>
          <w:left w:w="0" w:type="dxa"/>
          <w:bottom w:w="0" w:type="dxa"/>
          <w:right w:w="0" w:type="dxa"/>
        </w:tblCellMar>
      </w:tblPr>
      <w:tr>
        <w:trPr>
          <w:trHeight w:val="236"/>
        </w:trPr>
        <w:tc>
          <w:tcPr>
            <w:tcW w:w="2280" w:type="dxa"/>
            <w:vAlign w:val="bottom"/>
            <w:tcBorders>
              <w:top w:val="single" w:sz="8" w:color="auto"/>
              <w:left w:val="single" w:sz="8" w:color="auto"/>
              <w:bottom w:val="single" w:sz="8" w:color="auto"/>
              <w:right w:val="single" w:sz="8" w:color="auto"/>
            </w:tcBorders>
            <w:vMerge w:val="restart"/>
            <w:shd w:val="clear" w:color="auto" w:fill="29650B"/>
          </w:tcPr>
          <w:p>
            <w:pPr>
              <w:ind w:left="900"/>
              <w:spacing w:after="0"/>
              <w:rPr>
                <w:sz w:val="20"/>
                <w:szCs w:val="20"/>
                <w:color w:val="auto"/>
              </w:rPr>
            </w:pPr>
            <w:r>
              <w:rPr>
                <w:rFonts w:ascii="Arial" w:cs="Arial" w:eastAsia="Arial" w:hAnsi="Arial"/>
                <w:sz w:val="18"/>
                <w:szCs w:val="18"/>
                <w:b w:val="1"/>
                <w:bCs w:val="1"/>
                <w:color w:val="FFFFFF"/>
              </w:rPr>
              <w:t>Name</w:t>
            </w:r>
          </w:p>
        </w:tc>
        <w:tc>
          <w:tcPr>
            <w:tcW w:w="4040" w:type="dxa"/>
            <w:vAlign w:val="bottom"/>
            <w:tcBorders>
              <w:top w:val="single" w:sz="8" w:color="auto"/>
              <w:bottom w:val="single" w:sz="8" w:color="auto"/>
              <w:right w:val="single" w:sz="8" w:color="auto"/>
            </w:tcBorders>
            <w:gridSpan w:val="2"/>
            <w:shd w:val="clear" w:color="auto" w:fill="29650B"/>
          </w:tcPr>
          <w:p>
            <w:pPr>
              <w:jc w:val="right"/>
              <w:ind w:right="1289"/>
              <w:spacing w:after="0"/>
              <w:rPr>
                <w:sz w:val="20"/>
                <w:szCs w:val="20"/>
                <w:color w:val="auto"/>
              </w:rPr>
            </w:pPr>
            <w:r>
              <w:rPr>
                <w:rFonts w:ascii="Arial" w:cs="Arial" w:eastAsia="Arial" w:hAnsi="Arial"/>
                <w:sz w:val="20"/>
                <w:szCs w:val="20"/>
                <w:b w:val="1"/>
                <w:bCs w:val="1"/>
                <w:color w:val="FFFFFF"/>
              </w:rPr>
              <w:t>Option Awards</w:t>
            </w:r>
          </w:p>
        </w:tc>
        <w:tc>
          <w:tcPr>
            <w:tcW w:w="3160" w:type="dxa"/>
            <w:vAlign w:val="bottom"/>
            <w:tcBorders>
              <w:top w:val="single" w:sz="8" w:color="auto"/>
              <w:bottom w:val="single" w:sz="8" w:color="auto"/>
            </w:tcBorders>
            <w:gridSpan w:val="2"/>
            <w:shd w:val="clear" w:color="auto" w:fill="29650B"/>
          </w:tcPr>
          <w:p>
            <w:pPr>
              <w:ind w:left="1860"/>
              <w:spacing w:after="0"/>
              <w:rPr>
                <w:sz w:val="20"/>
                <w:szCs w:val="20"/>
                <w:color w:val="auto"/>
              </w:rPr>
            </w:pPr>
            <w:r>
              <w:rPr>
                <w:rFonts w:ascii="Arial" w:cs="Arial" w:eastAsia="Arial" w:hAnsi="Arial"/>
                <w:sz w:val="20"/>
                <w:szCs w:val="20"/>
                <w:b w:val="1"/>
                <w:bCs w:val="1"/>
                <w:color w:val="FFFFFF"/>
                <w:w w:val="96"/>
              </w:rPr>
              <w:t>Stock Awards</w:t>
            </w:r>
          </w:p>
        </w:tc>
        <w:tc>
          <w:tcPr>
            <w:tcW w:w="1780" w:type="dxa"/>
            <w:vAlign w:val="bottom"/>
            <w:tcBorders>
              <w:top w:val="single" w:sz="8" w:color="auto"/>
              <w:bottom w:val="single" w:sz="8" w:color="auto"/>
              <w:right w:val="single" w:sz="8" w:color="auto"/>
            </w:tcBorders>
            <w:shd w:val="clear" w:color="auto" w:fill="29650B"/>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280" w:type="dxa"/>
            <w:vAlign w:val="bottom"/>
            <w:tcBorders>
              <w:left w:val="single" w:sz="8" w:color="auto"/>
              <w:right w:val="single" w:sz="8" w:color="auto"/>
            </w:tcBorders>
            <w:vMerge w:val="continue"/>
            <w:shd w:val="clear" w:color="auto" w:fill="29650B"/>
          </w:tcPr>
          <w:p>
            <w:pPr>
              <w:spacing w:after="0"/>
              <w:rPr>
                <w:sz w:val="15"/>
                <w:szCs w:val="15"/>
                <w:color w:val="auto"/>
              </w:rPr>
            </w:pPr>
          </w:p>
        </w:tc>
        <w:tc>
          <w:tcPr>
            <w:tcW w:w="2120" w:type="dxa"/>
            <w:vAlign w:val="bottom"/>
            <w:tcBorders>
              <w:right w:val="single" w:sz="8" w:color="auto"/>
            </w:tcBorders>
            <w:shd w:val="clear" w:color="auto" w:fill="29650B"/>
          </w:tcPr>
          <w:p>
            <w:pPr>
              <w:jc w:val="center"/>
              <w:spacing w:after="0" w:line="182" w:lineRule="exact"/>
              <w:rPr>
                <w:sz w:val="20"/>
                <w:szCs w:val="20"/>
                <w:color w:val="auto"/>
              </w:rPr>
            </w:pPr>
            <w:r>
              <w:rPr>
                <w:rFonts w:ascii="Arial" w:cs="Arial" w:eastAsia="Arial" w:hAnsi="Arial"/>
                <w:sz w:val="18"/>
                <w:szCs w:val="18"/>
                <w:b w:val="1"/>
                <w:bCs w:val="1"/>
                <w:color w:val="FFFFFF"/>
                <w:w w:val="96"/>
              </w:rPr>
              <w:t>Number</w:t>
            </w:r>
          </w:p>
        </w:tc>
        <w:tc>
          <w:tcPr>
            <w:tcW w:w="1920" w:type="dxa"/>
            <w:vAlign w:val="bottom"/>
            <w:tcBorders>
              <w:right w:val="single" w:sz="8" w:color="auto"/>
            </w:tcBorders>
            <w:shd w:val="clear" w:color="auto" w:fill="29650B"/>
          </w:tcPr>
          <w:p>
            <w:pPr>
              <w:jc w:val="center"/>
              <w:spacing w:after="0" w:line="182" w:lineRule="exact"/>
              <w:rPr>
                <w:sz w:val="20"/>
                <w:szCs w:val="20"/>
                <w:color w:val="auto"/>
              </w:rPr>
            </w:pPr>
            <w:r>
              <w:rPr>
                <w:rFonts w:ascii="Arial" w:cs="Arial" w:eastAsia="Arial" w:hAnsi="Arial"/>
                <w:sz w:val="18"/>
                <w:szCs w:val="18"/>
                <w:b w:val="1"/>
                <w:bCs w:val="1"/>
                <w:color w:val="FFFFFF"/>
                <w:w w:val="90"/>
              </w:rPr>
              <w:t>Value Realized on</w:t>
            </w:r>
          </w:p>
        </w:tc>
        <w:tc>
          <w:tcPr>
            <w:tcW w:w="2800" w:type="dxa"/>
            <w:vAlign w:val="bottom"/>
            <w:tcBorders>
              <w:right w:val="single" w:sz="8" w:color="auto"/>
            </w:tcBorders>
            <w:shd w:val="clear" w:color="auto" w:fill="29650B"/>
          </w:tcPr>
          <w:p>
            <w:pPr>
              <w:spacing w:after="0"/>
              <w:rPr>
                <w:sz w:val="15"/>
                <w:szCs w:val="15"/>
                <w:color w:val="auto"/>
              </w:rPr>
            </w:pPr>
          </w:p>
        </w:tc>
        <w:tc>
          <w:tcPr>
            <w:tcW w:w="360" w:type="dxa"/>
            <w:vAlign w:val="bottom"/>
            <w:shd w:val="clear" w:color="auto" w:fill="29650B"/>
          </w:tcPr>
          <w:p>
            <w:pPr>
              <w:spacing w:after="0"/>
              <w:rPr>
                <w:sz w:val="15"/>
                <w:szCs w:val="15"/>
                <w:color w:val="auto"/>
              </w:rPr>
            </w:pPr>
          </w:p>
        </w:tc>
        <w:tc>
          <w:tcPr>
            <w:tcW w:w="1780" w:type="dxa"/>
            <w:vAlign w:val="bottom"/>
            <w:tcBorders>
              <w:right w:val="single" w:sz="8" w:color="auto"/>
            </w:tcBorders>
            <w:shd w:val="clear" w:color="auto" w:fill="29650B"/>
          </w:tcPr>
          <w:p>
            <w:pPr>
              <w:jc w:val="center"/>
              <w:ind w:right="289"/>
              <w:spacing w:after="0" w:line="182" w:lineRule="exact"/>
              <w:rPr>
                <w:sz w:val="20"/>
                <w:szCs w:val="20"/>
                <w:color w:val="auto"/>
              </w:rPr>
            </w:pPr>
            <w:r>
              <w:rPr>
                <w:rFonts w:ascii="Arial" w:cs="Arial" w:eastAsia="Arial" w:hAnsi="Arial"/>
                <w:sz w:val="18"/>
                <w:szCs w:val="18"/>
                <w:b w:val="1"/>
                <w:bCs w:val="1"/>
                <w:color w:val="FFFFFF"/>
                <w:w w:val="91"/>
              </w:rPr>
              <w:t>Value Realized</w:t>
            </w:r>
          </w:p>
        </w:tc>
        <w:tc>
          <w:tcPr>
            <w:tcW w:w="0" w:type="dxa"/>
            <w:vAlign w:val="bottom"/>
          </w:tcPr>
          <w:p>
            <w:pPr>
              <w:spacing w:after="0"/>
              <w:rPr>
                <w:sz w:val="1"/>
                <w:szCs w:val="1"/>
                <w:color w:val="auto"/>
              </w:rPr>
            </w:pPr>
          </w:p>
        </w:tc>
      </w:tr>
      <w:tr>
        <w:trPr>
          <w:trHeight w:val="211"/>
        </w:trPr>
        <w:tc>
          <w:tcPr>
            <w:tcW w:w="2280" w:type="dxa"/>
            <w:vAlign w:val="bottom"/>
            <w:tcBorders>
              <w:left w:val="single" w:sz="8" w:color="auto"/>
              <w:right w:val="single" w:sz="8" w:color="auto"/>
            </w:tcBorders>
            <w:shd w:val="clear" w:color="auto" w:fill="29650B"/>
          </w:tcPr>
          <w:p>
            <w:pPr>
              <w:spacing w:after="0"/>
              <w:rPr>
                <w:sz w:val="18"/>
                <w:szCs w:val="18"/>
                <w:color w:val="auto"/>
              </w:rPr>
            </w:pPr>
          </w:p>
        </w:tc>
        <w:tc>
          <w:tcPr>
            <w:tcW w:w="212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90"/>
              </w:rPr>
              <w:t>of Shares Acquired on</w:t>
            </w:r>
          </w:p>
        </w:tc>
        <w:tc>
          <w:tcPr>
            <w:tcW w:w="192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89"/>
              </w:rPr>
              <w:t>Exercise</w:t>
            </w:r>
          </w:p>
        </w:tc>
        <w:tc>
          <w:tcPr>
            <w:tcW w:w="2800" w:type="dxa"/>
            <w:vAlign w:val="bottom"/>
            <w:tcBorders>
              <w:right w:val="single" w:sz="8" w:color="auto"/>
            </w:tcBorders>
            <w:shd w:val="clear" w:color="auto" w:fill="29650B"/>
          </w:tcPr>
          <w:p>
            <w:pPr>
              <w:jc w:val="right"/>
              <w:ind w:right="108"/>
              <w:spacing w:after="0"/>
              <w:rPr>
                <w:sz w:val="20"/>
                <w:szCs w:val="20"/>
                <w:color w:val="auto"/>
              </w:rPr>
            </w:pPr>
            <w:r>
              <w:rPr>
                <w:rFonts w:ascii="Arial" w:cs="Arial" w:eastAsia="Arial" w:hAnsi="Arial"/>
                <w:sz w:val="18"/>
                <w:szCs w:val="18"/>
                <w:b w:val="1"/>
                <w:bCs w:val="1"/>
                <w:color w:val="FFFFFF"/>
                <w:w w:val="97"/>
              </w:rPr>
              <w:t>Number of Shares Acquired on</w:t>
            </w:r>
          </w:p>
        </w:tc>
        <w:tc>
          <w:tcPr>
            <w:tcW w:w="360" w:type="dxa"/>
            <w:vAlign w:val="bottom"/>
            <w:shd w:val="clear" w:color="auto" w:fill="29650B"/>
          </w:tcPr>
          <w:p>
            <w:pPr>
              <w:spacing w:after="0"/>
              <w:rPr>
                <w:sz w:val="18"/>
                <w:szCs w:val="18"/>
                <w:color w:val="auto"/>
              </w:rPr>
            </w:pPr>
          </w:p>
        </w:tc>
        <w:tc>
          <w:tcPr>
            <w:tcW w:w="1780" w:type="dxa"/>
            <w:vAlign w:val="bottom"/>
            <w:tcBorders>
              <w:right w:val="single" w:sz="8" w:color="auto"/>
            </w:tcBorders>
            <w:shd w:val="clear" w:color="auto" w:fill="29650B"/>
          </w:tcPr>
          <w:p>
            <w:pPr>
              <w:jc w:val="center"/>
              <w:ind w:right="309"/>
              <w:spacing w:after="0"/>
              <w:rPr>
                <w:sz w:val="20"/>
                <w:szCs w:val="20"/>
                <w:color w:val="auto"/>
              </w:rPr>
            </w:pPr>
            <w:r>
              <w:rPr>
                <w:rFonts w:ascii="Arial" w:cs="Arial" w:eastAsia="Arial" w:hAnsi="Arial"/>
                <w:sz w:val="18"/>
                <w:szCs w:val="18"/>
                <w:b w:val="1"/>
                <w:bCs w:val="1"/>
                <w:color w:val="FFFFFF"/>
                <w:w w:val="89"/>
              </w:rPr>
              <w:t>on Vesting (2)</w:t>
            </w:r>
          </w:p>
        </w:tc>
        <w:tc>
          <w:tcPr>
            <w:tcW w:w="0" w:type="dxa"/>
            <w:vAlign w:val="bottom"/>
          </w:tcPr>
          <w:p>
            <w:pPr>
              <w:spacing w:after="0"/>
              <w:rPr>
                <w:sz w:val="1"/>
                <w:szCs w:val="1"/>
                <w:color w:val="auto"/>
              </w:rPr>
            </w:pPr>
          </w:p>
        </w:tc>
      </w:tr>
      <w:tr>
        <w:trPr>
          <w:trHeight w:val="232"/>
        </w:trPr>
        <w:tc>
          <w:tcPr>
            <w:tcW w:w="2280" w:type="dxa"/>
            <w:vAlign w:val="bottom"/>
            <w:tcBorders>
              <w:left w:val="single" w:sz="8" w:color="auto"/>
              <w:bottom w:val="single" w:sz="8" w:color="auto"/>
              <w:right w:val="single" w:sz="8" w:color="auto"/>
            </w:tcBorders>
            <w:shd w:val="clear" w:color="auto" w:fill="29650B"/>
          </w:tcPr>
          <w:p>
            <w:pPr>
              <w:spacing w:after="0"/>
              <w:rPr>
                <w:sz w:val="20"/>
                <w:szCs w:val="20"/>
                <w:color w:val="auto"/>
              </w:rPr>
            </w:pPr>
          </w:p>
        </w:tc>
        <w:tc>
          <w:tcPr>
            <w:tcW w:w="212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89"/>
              </w:rPr>
              <w:t>Exercise</w:t>
            </w:r>
          </w:p>
        </w:tc>
        <w:tc>
          <w:tcPr>
            <w:tcW w:w="192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99"/>
              </w:rPr>
              <w:t>($)</w:t>
            </w:r>
          </w:p>
        </w:tc>
        <w:tc>
          <w:tcPr>
            <w:tcW w:w="2800" w:type="dxa"/>
            <w:vAlign w:val="bottom"/>
            <w:tcBorders>
              <w:bottom w:val="single" w:sz="8" w:color="auto"/>
              <w:right w:val="single" w:sz="8" w:color="auto"/>
            </w:tcBorders>
            <w:shd w:val="clear" w:color="auto" w:fill="29650B"/>
          </w:tcPr>
          <w:p>
            <w:pPr>
              <w:jc w:val="right"/>
              <w:ind w:right="908"/>
              <w:spacing w:after="0"/>
              <w:rPr>
                <w:sz w:val="20"/>
                <w:szCs w:val="20"/>
                <w:color w:val="auto"/>
              </w:rPr>
            </w:pPr>
            <w:r>
              <w:rPr>
                <w:rFonts w:ascii="Arial" w:cs="Arial" w:eastAsia="Arial" w:hAnsi="Arial"/>
                <w:sz w:val="18"/>
                <w:szCs w:val="18"/>
                <w:b w:val="1"/>
                <w:bCs w:val="1"/>
                <w:color w:val="FFFFFF"/>
              </w:rPr>
              <w:t>Vesting (1)</w:t>
            </w:r>
          </w:p>
        </w:tc>
        <w:tc>
          <w:tcPr>
            <w:tcW w:w="360" w:type="dxa"/>
            <w:vAlign w:val="bottom"/>
            <w:tcBorders>
              <w:bottom w:val="single" w:sz="8" w:color="auto"/>
            </w:tcBorders>
            <w:shd w:val="clear" w:color="auto" w:fill="29650B"/>
          </w:tcPr>
          <w:p>
            <w:pPr>
              <w:spacing w:after="0"/>
              <w:rPr>
                <w:sz w:val="20"/>
                <w:szCs w:val="20"/>
                <w:color w:val="auto"/>
              </w:rPr>
            </w:pPr>
          </w:p>
        </w:tc>
        <w:tc>
          <w:tcPr>
            <w:tcW w:w="1780" w:type="dxa"/>
            <w:vAlign w:val="bottom"/>
            <w:tcBorders>
              <w:bottom w:val="single" w:sz="8" w:color="auto"/>
              <w:right w:val="single" w:sz="8" w:color="auto"/>
            </w:tcBorders>
            <w:shd w:val="clear" w:color="auto" w:fill="29650B"/>
          </w:tcPr>
          <w:p>
            <w:pPr>
              <w:jc w:val="center"/>
              <w:ind w:right="289"/>
              <w:spacing w:after="0"/>
              <w:rPr>
                <w:sz w:val="20"/>
                <w:szCs w:val="20"/>
                <w:color w:val="auto"/>
              </w:rPr>
            </w:pPr>
            <w:r>
              <w:rPr>
                <w:rFonts w:ascii="Arial" w:cs="Arial" w:eastAsia="Arial" w:hAnsi="Arial"/>
                <w:sz w:val="18"/>
                <w:szCs w:val="18"/>
                <w:b w:val="1"/>
                <w:bCs w:val="1"/>
                <w:color w:val="FFFFFF"/>
                <w:w w:val="90"/>
              </w:rPr>
              <w:t>($)</w:t>
            </w:r>
          </w:p>
        </w:tc>
        <w:tc>
          <w:tcPr>
            <w:tcW w:w="0" w:type="dxa"/>
            <w:vAlign w:val="bottom"/>
          </w:tcPr>
          <w:p>
            <w:pPr>
              <w:spacing w:after="0"/>
              <w:rPr>
                <w:sz w:val="1"/>
                <w:szCs w:val="1"/>
                <w:color w:val="auto"/>
              </w:rPr>
            </w:pPr>
          </w:p>
        </w:tc>
      </w:tr>
      <w:tr>
        <w:trPr>
          <w:trHeight w:val="216"/>
        </w:trPr>
        <w:tc>
          <w:tcPr>
            <w:tcW w:w="228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Timothy Donahue</w:t>
            </w:r>
          </w:p>
        </w:tc>
        <w:tc>
          <w:tcPr>
            <w:tcW w:w="2120" w:type="dxa"/>
            <w:vAlign w:val="bottom"/>
            <w:tcBorders>
              <w:bottom w:val="single" w:sz="8" w:color="auto"/>
              <w:right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spacing w:after="0"/>
              <w:rPr>
                <w:sz w:val="18"/>
                <w:szCs w:val="18"/>
                <w:color w:val="auto"/>
              </w:rPr>
            </w:pPr>
          </w:p>
        </w:tc>
        <w:tc>
          <w:tcPr>
            <w:tcW w:w="2800" w:type="dxa"/>
            <w:vAlign w:val="bottom"/>
            <w:tcBorders>
              <w:bottom w:val="single" w:sz="8" w:color="auto"/>
              <w:right w:val="single" w:sz="8" w:color="auto"/>
            </w:tcBorders>
          </w:tcPr>
          <w:p>
            <w:pPr>
              <w:jc w:val="right"/>
              <w:ind w:right="528"/>
              <w:spacing w:after="0"/>
              <w:rPr>
                <w:sz w:val="20"/>
                <w:szCs w:val="20"/>
                <w:color w:val="auto"/>
              </w:rPr>
            </w:pPr>
            <w:r>
              <w:rPr>
                <w:rFonts w:ascii="Arial" w:cs="Arial" w:eastAsia="Arial" w:hAnsi="Arial"/>
                <w:sz w:val="18"/>
                <w:szCs w:val="18"/>
                <w:color w:val="auto"/>
              </w:rPr>
              <w:t>33,542</w:t>
            </w:r>
          </w:p>
        </w:tc>
        <w:tc>
          <w:tcPr>
            <w:tcW w:w="360" w:type="dxa"/>
            <w:vAlign w:val="bottom"/>
            <w:tcBorders>
              <w:bottom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jc w:val="right"/>
              <w:ind w:right="329"/>
              <w:spacing w:after="0"/>
              <w:rPr>
                <w:sz w:val="20"/>
                <w:szCs w:val="20"/>
                <w:color w:val="auto"/>
              </w:rPr>
            </w:pPr>
            <w:r>
              <w:rPr>
                <w:rFonts w:ascii="Arial" w:cs="Arial" w:eastAsia="Arial" w:hAnsi="Arial"/>
                <w:sz w:val="18"/>
                <w:szCs w:val="18"/>
                <w:color w:val="auto"/>
              </w:rPr>
              <w:t>1,593,725</w:t>
            </w:r>
          </w:p>
        </w:tc>
        <w:tc>
          <w:tcPr>
            <w:tcW w:w="0" w:type="dxa"/>
            <w:vAlign w:val="bottom"/>
          </w:tcPr>
          <w:p>
            <w:pPr>
              <w:spacing w:after="0"/>
              <w:rPr>
                <w:sz w:val="1"/>
                <w:szCs w:val="1"/>
                <w:color w:val="auto"/>
              </w:rPr>
            </w:pPr>
          </w:p>
        </w:tc>
      </w:tr>
      <w:tr>
        <w:trPr>
          <w:trHeight w:val="216"/>
        </w:trPr>
        <w:tc>
          <w:tcPr>
            <w:tcW w:w="2280" w:type="dxa"/>
            <w:vAlign w:val="bottom"/>
            <w:tcBorders>
              <w:left w:val="single" w:sz="8" w:color="auto"/>
              <w:bottom w:val="single" w:sz="8" w:color="auto"/>
              <w:right w:val="single" w:sz="8" w:color="auto"/>
            </w:tcBorders>
            <w:shd w:val="clear" w:color="auto" w:fill="D9D9D9"/>
          </w:tcPr>
          <w:p>
            <w:pPr>
              <w:ind w:left="100"/>
              <w:spacing w:after="0"/>
              <w:rPr>
                <w:sz w:val="20"/>
                <w:szCs w:val="20"/>
                <w:color w:val="auto"/>
              </w:rPr>
            </w:pPr>
            <w:r>
              <w:rPr>
                <w:rFonts w:ascii="Arial" w:cs="Arial" w:eastAsia="Arial" w:hAnsi="Arial"/>
                <w:sz w:val="18"/>
                <w:szCs w:val="18"/>
                <w:color w:val="auto"/>
              </w:rPr>
              <w:t>Thomas Kelly</w:t>
            </w:r>
          </w:p>
        </w:tc>
        <w:tc>
          <w:tcPr>
            <w:tcW w:w="2120" w:type="dxa"/>
            <w:vAlign w:val="bottom"/>
            <w:tcBorders>
              <w:bottom w:val="single" w:sz="8" w:color="auto"/>
              <w:right w:val="single" w:sz="8" w:color="auto"/>
            </w:tcBorders>
            <w:shd w:val="clear" w:color="auto" w:fill="D9D9D9"/>
          </w:tcPr>
          <w:p>
            <w:pPr>
              <w:spacing w:after="0"/>
              <w:rPr>
                <w:sz w:val="18"/>
                <w:szCs w:val="18"/>
                <w:color w:val="auto"/>
              </w:rPr>
            </w:pPr>
          </w:p>
        </w:tc>
        <w:tc>
          <w:tcPr>
            <w:tcW w:w="1920" w:type="dxa"/>
            <w:vAlign w:val="bottom"/>
            <w:tcBorders>
              <w:bottom w:val="single" w:sz="8" w:color="auto"/>
              <w:right w:val="single" w:sz="8" w:color="auto"/>
            </w:tcBorders>
            <w:shd w:val="clear" w:color="auto" w:fill="D9D9D9"/>
          </w:tcPr>
          <w:p>
            <w:pPr>
              <w:spacing w:after="0"/>
              <w:rPr>
                <w:sz w:val="18"/>
                <w:szCs w:val="18"/>
                <w:color w:val="auto"/>
              </w:rPr>
            </w:pPr>
          </w:p>
        </w:tc>
        <w:tc>
          <w:tcPr>
            <w:tcW w:w="2800" w:type="dxa"/>
            <w:vAlign w:val="bottom"/>
            <w:tcBorders>
              <w:bottom w:val="single" w:sz="8" w:color="auto"/>
              <w:right w:val="single" w:sz="8" w:color="auto"/>
            </w:tcBorders>
            <w:shd w:val="clear" w:color="auto" w:fill="D9D9D9"/>
          </w:tcPr>
          <w:p>
            <w:pPr>
              <w:jc w:val="right"/>
              <w:ind w:right="528"/>
              <w:spacing w:after="0"/>
              <w:rPr>
                <w:sz w:val="20"/>
                <w:szCs w:val="20"/>
                <w:color w:val="auto"/>
              </w:rPr>
            </w:pPr>
            <w:r>
              <w:rPr>
                <w:rFonts w:ascii="Arial" w:cs="Arial" w:eastAsia="Arial" w:hAnsi="Arial"/>
                <w:sz w:val="18"/>
                <w:szCs w:val="18"/>
                <w:color w:val="auto"/>
              </w:rPr>
              <w:t>6,918</w:t>
            </w:r>
          </w:p>
        </w:tc>
        <w:tc>
          <w:tcPr>
            <w:tcW w:w="360" w:type="dxa"/>
            <w:vAlign w:val="bottom"/>
            <w:tcBorders>
              <w:bottom w:val="single" w:sz="8" w:color="auto"/>
            </w:tcBorders>
            <w:shd w:val="clear" w:color="auto" w:fill="D9D9D9"/>
          </w:tcPr>
          <w:p>
            <w:pPr>
              <w:spacing w:after="0"/>
              <w:rPr>
                <w:sz w:val="18"/>
                <w:szCs w:val="18"/>
                <w:color w:val="auto"/>
              </w:rPr>
            </w:pPr>
          </w:p>
        </w:tc>
        <w:tc>
          <w:tcPr>
            <w:tcW w:w="1780" w:type="dxa"/>
            <w:vAlign w:val="bottom"/>
            <w:tcBorders>
              <w:bottom w:val="single" w:sz="8" w:color="auto"/>
              <w:right w:val="single" w:sz="8" w:color="auto"/>
            </w:tcBorders>
            <w:shd w:val="clear" w:color="auto" w:fill="D9D9D9"/>
          </w:tcPr>
          <w:p>
            <w:pPr>
              <w:jc w:val="right"/>
              <w:ind w:right="329"/>
              <w:spacing w:after="0"/>
              <w:rPr>
                <w:sz w:val="20"/>
                <w:szCs w:val="20"/>
                <w:color w:val="auto"/>
              </w:rPr>
            </w:pPr>
            <w:r>
              <w:rPr>
                <w:rFonts w:ascii="Arial" w:cs="Arial" w:eastAsia="Arial" w:hAnsi="Arial"/>
                <w:sz w:val="18"/>
                <w:szCs w:val="18"/>
                <w:color w:val="auto"/>
              </w:rPr>
              <w:t>329,053</w:t>
            </w:r>
          </w:p>
        </w:tc>
        <w:tc>
          <w:tcPr>
            <w:tcW w:w="0" w:type="dxa"/>
            <w:vAlign w:val="bottom"/>
          </w:tcPr>
          <w:p>
            <w:pPr>
              <w:spacing w:after="0"/>
              <w:rPr>
                <w:sz w:val="1"/>
                <w:szCs w:val="1"/>
                <w:color w:val="auto"/>
              </w:rPr>
            </w:pPr>
          </w:p>
        </w:tc>
      </w:tr>
      <w:tr>
        <w:trPr>
          <w:trHeight w:val="203"/>
        </w:trPr>
        <w:tc>
          <w:tcPr>
            <w:tcW w:w="2280" w:type="dxa"/>
            <w:vAlign w:val="bottom"/>
            <w:tcBorders>
              <w:left w:val="single" w:sz="8" w:color="auto"/>
              <w:bottom w:val="single" w:sz="8" w:color="auto"/>
              <w:right w:val="single" w:sz="8" w:color="auto"/>
            </w:tcBorders>
          </w:tcPr>
          <w:p>
            <w:pPr>
              <w:ind w:left="100"/>
              <w:spacing w:after="0" w:line="203" w:lineRule="exact"/>
              <w:rPr>
                <w:sz w:val="20"/>
                <w:szCs w:val="20"/>
                <w:color w:val="auto"/>
              </w:rPr>
            </w:pPr>
            <w:r>
              <w:rPr>
                <w:rFonts w:ascii="Arial" w:cs="Arial" w:eastAsia="Arial" w:hAnsi="Arial"/>
                <w:sz w:val="18"/>
                <w:szCs w:val="18"/>
                <w:color w:val="auto"/>
              </w:rPr>
              <w:t>Gerard Gifford</w:t>
            </w:r>
          </w:p>
        </w:tc>
        <w:tc>
          <w:tcPr>
            <w:tcW w:w="2120" w:type="dxa"/>
            <w:vAlign w:val="bottom"/>
            <w:tcBorders>
              <w:bottom w:val="single" w:sz="8" w:color="auto"/>
              <w:right w:val="single" w:sz="8" w:color="auto"/>
            </w:tcBorders>
          </w:tcPr>
          <w:p>
            <w:pPr>
              <w:jc w:val="right"/>
              <w:ind w:right="687"/>
              <w:spacing w:after="0" w:line="203" w:lineRule="exact"/>
              <w:rPr>
                <w:sz w:val="20"/>
                <w:szCs w:val="20"/>
                <w:color w:val="auto"/>
              </w:rPr>
            </w:pPr>
            <w:r>
              <w:rPr>
                <w:rFonts w:ascii="Arial" w:cs="Arial" w:eastAsia="Arial" w:hAnsi="Arial"/>
                <w:sz w:val="18"/>
                <w:szCs w:val="18"/>
                <w:color w:val="auto"/>
              </w:rPr>
              <w:t>30,000</w:t>
            </w:r>
          </w:p>
        </w:tc>
        <w:tc>
          <w:tcPr>
            <w:tcW w:w="1920" w:type="dxa"/>
            <w:vAlign w:val="bottom"/>
            <w:tcBorders>
              <w:bottom w:val="single" w:sz="8" w:color="auto"/>
              <w:right w:val="single" w:sz="8" w:color="auto"/>
            </w:tcBorders>
          </w:tcPr>
          <w:p>
            <w:pPr>
              <w:jc w:val="right"/>
              <w:ind w:right="529"/>
              <w:spacing w:after="0" w:line="203" w:lineRule="exact"/>
              <w:rPr>
                <w:sz w:val="20"/>
                <w:szCs w:val="20"/>
                <w:color w:val="auto"/>
              </w:rPr>
            </w:pPr>
            <w:r>
              <w:rPr>
                <w:rFonts w:ascii="Arial" w:cs="Arial" w:eastAsia="Arial" w:hAnsi="Arial"/>
                <w:sz w:val="18"/>
                <w:szCs w:val="18"/>
                <w:color w:val="auto"/>
              </w:rPr>
              <w:t>838,055</w:t>
            </w:r>
          </w:p>
        </w:tc>
        <w:tc>
          <w:tcPr>
            <w:tcW w:w="2800" w:type="dxa"/>
            <w:vAlign w:val="bottom"/>
            <w:tcBorders>
              <w:bottom w:val="single" w:sz="8" w:color="auto"/>
              <w:right w:val="single" w:sz="8" w:color="auto"/>
            </w:tcBorders>
          </w:tcPr>
          <w:p>
            <w:pPr>
              <w:jc w:val="right"/>
              <w:ind w:right="528"/>
              <w:spacing w:after="0" w:line="203" w:lineRule="exact"/>
              <w:rPr>
                <w:sz w:val="20"/>
                <w:szCs w:val="20"/>
                <w:color w:val="auto"/>
              </w:rPr>
            </w:pPr>
            <w:r>
              <w:rPr>
                <w:rFonts w:ascii="Arial" w:cs="Arial" w:eastAsia="Arial" w:hAnsi="Arial"/>
                <w:sz w:val="18"/>
                <w:szCs w:val="18"/>
                <w:color w:val="auto"/>
              </w:rPr>
              <w:t>9,697</w:t>
            </w:r>
          </w:p>
        </w:tc>
        <w:tc>
          <w:tcPr>
            <w:tcW w:w="360" w:type="dxa"/>
            <w:vAlign w:val="bottom"/>
            <w:tcBorders>
              <w:bottom w:val="single" w:sz="8" w:color="auto"/>
            </w:tcBorders>
          </w:tcPr>
          <w:p>
            <w:pPr>
              <w:spacing w:after="0"/>
              <w:rPr>
                <w:sz w:val="17"/>
                <w:szCs w:val="17"/>
                <w:color w:val="auto"/>
              </w:rPr>
            </w:pPr>
          </w:p>
        </w:tc>
        <w:tc>
          <w:tcPr>
            <w:tcW w:w="1780" w:type="dxa"/>
            <w:vAlign w:val="bottom"/>
            <w:tcBorders>
              <w:bottom w:val="single" w:sz="8" w:color="auto"/>
              <w:right w:val="single" w:sz="8" w:color="auto"/>
            </w:tcBorders>
          </w:tcPr>
          <w:p>
            <w:pPr>
              <w:jc w:val="right"/>
              <w:ind w:right="329"/>
              <w:spacing w:after="0" w:line="203" w:lineRule="exact"/>
              <w:rPr>
                <w:sz w:val="20"/>
                <w:szCs w:val="20"/>
                <w:color w:val="auto"/>
              </w:rPr>
            </w:pPr>
            <w:r>
              <w:rPr>
                <w:rFonts w:ascii="Arial" w:cs="Arial" w:eastAsia="Arial" w:hAnsi="Arial"/>
                <w:sz w:val="18"/>
                <w:szCs w:val="18"/>
                <w:color w:val="auto"/>
              </w:rPr>
              <w:t>463,456</w:t>
            </w:r>
          </w:p>
        </w:tc>
        <w:tc>
          <w:tcPr>
            <w:tcW w:w="0" w:type="dxa"/>
            <w:vAlign w:val="bottom"/>
          </w:tcPr>
          <w:p>
            <w:pPr>
              <w:spacing w:after="0"/>
              <w:rPr>
                <w:sz w:val="1"/>
                <w:szCs w:val="1"/>
                <w:color w:val="auto"/>
              </w:rPr>
            </w:pPr>
          </w:p>
        </w:tc>
      </w:tr>
      <w:tr>
        <w:trPr>
          <w:trHeight w:val="216"/>
        </w:trPr>
        <w:tc>
          <w:tcPr>
            <w:tcW w:w="2280" w:type="dxa"/>
            <w:vAlign w:val="bottom"/>
            <w:tcBorders>
              <w:left w:val="single" w:sz="8" w:color="auto"/>
              <w:bottom w:val="single" w:sz="8" w:color="auto"/>
              <w:right w:val="single" w:sz="8" w:color="auto"/>
            </w:tcBorders>
            <w:shd w:val="clear" w:color="auto" w:fill="D9D9D9"/>
          </w:tcPr>
          <w:p>
            <w:pPr>
              <w:ind w:left="100"/>
              <w:spacing w:after="0"/>
              <w:rPr>
                <w:sz w:val="20"/>
                <w:szCs w:val="20"/>
                <w:color w:val="auto"/>
              </w:rPr>
            </w:pPr>
            <w:r>
              <w:rPr>
                <w:rFonts w:ascii="Arial" w:cs="Arial" w:eastAsia="Arial" w:hAnsi="Arial"/>
                <w:sz w:val="18"/>
                <w:szCs w:val="18"/>
                <w:color w:val="auto"/>
              </w:rPr>
              <w:t>Djalma Novaes</w:t>
            </w:r>
          </w:p>
        </w:tc>
        <w:tc>
          <w:tcPr>
            <w:tcW w:w="2120" w:type="dxa"/>
            <w:vAlign w:val="bottom"/>
            <w:tcBorders>
              <w:bottom w:val="single" w:sz="8" w:color="auto"/>
              <w:right w:val="single" w:sz="8" w:color="auto"/>
            </w:tcBorders>
            <w:shd w:val="clear" w:color="auto" w:fill="D9D9D9"/>
          </w:tcPr>
          <w:p>
            <w:pPr>
              <w:spacing w:after="0"/>
              <w:rPr>
                <w:sz w:val="18"/>
                <w:szCs w:val="18"/>
                <w:color w:val="auto"/>
              </w:rPr>
            </w:pPr>
          </w:p>
        </w:tc>
        <w:tc>
          <w:tcPr>
            <w:tcW w:w="1920" w:type="dxa"/>
            <w:vAlign w:val="bottom"/>
            <w:tcBorders>
              <w:bottom w:val="single" w:sz="8" w:color="auto"/>
              <w:right w:val="single" w:sz="8" w:color="auto"/>
            </w:tcBorders>
            <w:shd w:val="clear" w:color="auto" w:fill="D9D9D9"/>
          </w:tcPr>
          <w:p>
            <w:pPr>
              <w:spacing w:after="0"/>
              <w:rPr>
                <w:sz w:val="18"/>
                <w:szCs w:val="18"/>
                <w:color w:val="auto"/>
              </w:rPr>
            </w:pPr>
          </w:p>
        </w:tc>
        <w:tc>
          <w:tcPr>
            <w:tcW w:w="2800" w:type="dxa"/>
            <w:vAlign w:val="bottom"/>
            <w:tcBorders>
              <w:bottom w:val="single" w:sz="8" w:color="auto"/>
              <w:right w:val="single" w:sz="8" w:color="auto"/>
            </w:tcBorders>
            <w:shd w:val="clear" w:color="auto" w:fill="D9D9D9"/>
          </w:tcPr>
          <w:p>
            <w:pPr>
              <w:jc w:val="right"/>
              <w:ind w:right="528"/>
              <w:spacing w:after="0"/>
              <w:rPr>
                <w:sz w:val="20"/>
                <w:szCs w:val="20"/>
                <w:color w:val="auto"/>
              </w:rPr>
            </w:pPr>
            <w:r>
              <w:rPr>
                <w:rFonts w:ascii="Arial" w:cs="Arial" w:eastAsia="Arial" w:hAnsi="Arial"/>
                <w:sz w:val="18"/>
                <w:szCs w:val="18"/>
                <w:color w:val="auto"/>
              </w:rPr>
              <w:t>5,905</w:t>
            </w:r>
          </w:p>
        </w:tc>
        <w:tc>
          <w:tcPr>
            <w:tcW w:w="360" w:type="dxa"/>
            <w:vAlign w:val="bottom"/>
            <w:tcBorders>
              <w:bottom w:val="single" w:sz="8" w:color="auto"/>
            </w:tcBorders>
            <w:shd w:val="clear" w:color="auto" w:fill="D9D9D9"/>
          </w:tcPr>
          <w:p>
            <w:pPr>
              <w:spacing w:after="0"/>
              <w:rPr>
                <w:sz w:val="18"/>
                <w:szCs w:val="18"/>
                <w:color w:val="auto"/>
              </w:rPr>
            </w:pPr>
          </w:p>
        </w:tc>
        <w:tc>
          <w:tcPr>
            <w:tcW w:w="1780" w:type="dxa"/>
            <w:vAlign w:val="bottom"/>
            <w:tcBorders>
              <w:bottom w:val="single" w:sz="8" w:color="auto"/>
              <w:right w:val="single" w:sz="8" w:color="auto"/>
            </w:tcBorders>
            <w:shd w:val="clear" w:color="auto" w:fill="D9D9D9"/>
          </w:tcPr>
          <w:p>
            <w:pPr>
              <w:jc w:val="right"/>
              <w:ind w:right="329"/>
              <w:spacing w:after="0"/>
              <w:rPr>
                <w:sz w:val="20"/>
                <w:szCs w:val="20"/>
                <w:color w:val="auto"/>
              </w:rPr>
            </w:pPr>
            <w:r>
              <w:rPr>
                <w:rFonts w:ascii="Arial" w:cs="Arial" w:eastAsia="Arial" w:hAnsi="Arial"/>
                <w:sz w:val="18"/>
                <w:szCs w:val="18"/>
                <w:color w:val="auto"/>
              </w:rPr>
              <w:t>281,279</w:t>
            </w:r>
          </w:p>
        </w:tc>
        <w:tc>
          <w:tcPr>
            <w:tcW w:w="0" w:type="dxa"/>
            <w:vAlign w:val="bottom"/>
          </w:tcPr>
          <w:p>
            <w:pPr>
              <w:spacing w:after="0"/>
              <w:rPr>
                <w:sz w:val="1"/>
                <w:szCs w:val="1"/>
                <w:color w:val="auto"/>
              </w:rPr>
            </w:pPr>
          </w:p>
        </w:tc>
      </w:tr>
      <w:tr>
        <w:trPr>
          <w:trHeight w:val="216"/>
        </w:trPr>
        <w:tc>
          <w:tcPr>
            <w:tcW w:w="228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Robert Bourque</w:t>
            </w:r>
          </w:p>
        </w:tc>
        <w:tc>
          <w:tcPr>
            <w:tcW w:w="2120" w:type="dxa"/>
            <w:vAlign w:val="bottom"/>
            <w:tcBorders>
              <w:bottom w:val="single" w:sz="8" w:color="auto"/>
              <w:right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spacing w:after="0"/>
              <w:rPr>
                <w:sz w:val="18"/>
                <w:szCs w:val="18"/>
                <w:color w:val="auto"/>
              </w:rPr>
            </w:pPr>
          </w:p>
        </w:tc>
        <w:tc>
          <w:tcPr>
            <w:tcW w:w="2800" w:type="dxa"/>
            <w:vAlign w:val="bottom"/>
            <w:tcBorders>
              <w:bottom w:val="single" w:sz="8" w:color="auto"/>
              <w:right w:val="single" w:sz="8" w:color="auto"/>
            </w:tcBorders>
          </w:tcPr>
          <w:p>
            <w:pPr>
              <w:jc w:val="right"/>
              <w:ind w:right="528"/>
              <w:spacing w:after="0"/>
              <w:rPr>
                <w:sz w:val="20"/>
                <w:szCs w:val="20"/>
                <w:color w:val="auto"/>
              </w:rPr>
            </w:pPr>
            <w:r>
              <w:rPr>
                <w:rFonts w:ascii="Arial" w:cs="Arial" w:eastAsia="Arial" w:hAnsi="Arial"/>
                <w:sz w:val="18"/>
                <w:szCs w:val="18"/>
                <w:color w:val="auto"/>
              </w:rPr>
              <w:t>3,277</w:t>
            </w:r>
          </w:p>
        </w:tc>
        <w:tc>
          <w:tcPr>
            <w:tcW w:w="360" w:type="dxa"/>
            <w:vAlign w:val="bottom"/>
            <w:tcBorders>
              <w:bottom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jc w:val="right"/>
              <w:ind w:right="329"/>
              <w:spacing w:after="0"/>
              <w:rPr>
                <w:sz w:val="20"/>
                <w:szCs w:val="20"/>
                <w:color w:val="auto"/>
              </w:rPr>
            </w:pPr>
            <w:r>
              <w:rPr>
                <w:rFonts w:ascii="Arial" w:cs="Arial" w:eastAsia="Arial" w:hAnsi="Arial"/>
                <w:sz w:val="18"/>
                <w:szCs w:val="18"/>
                <w:color w:val="auto"/>
              </w:rPr>
              <w:t>159,101</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left="301" w:hanging="301"/>
        <w:spacing w:after="0" w:line="258" w:lineRule="auto"/>
        <w:tabs>
          <w:tab w:leader="none" w:pos="301" w:val="left"/>
        </w:tabs>
        <w:numPr>
          <w:ilvl w:val="0"/>
          <w:numId w:val="39"/>
        </w:numPr>
        <w:rPr>
          <w:rFonts w:ascii="Arial" w:cs="Arial" w:eastAsia="Arial" w:hAnsi="Arial"/>
          <w:sz w:val="18"/>
          <w:szCs w:val="18"/>
          <w:color w:val="auto"/>
        </w:rPr>
      </w:pPr>
      <w:r>
        <w:rPr>
          <w:rFonts w:ascii="Arial" w:cs="Arial" w:eastAsia="Arial" w:hAnsi="Arial"/>
          <w:sz w:val="18"/>
          <w:szCs w:val="18"/>
          <w:color w:val="auto"/>
        </w:rPr>
        <w:t>Amounts in this column are time-based restricted stock that vested in 2019. 100% of the performance-based restricted stock that was to vest in 2019 was forfeited. For further information relating to the vesting of performance-based share awards, see “Compensation Discussion and Analysis – Long-Term Equity Incentives.”</w:t>
      </w:r>
    </w:p>
    <w:p>
      <w:pPr>
        <w:spacing w:after="0" w:line="163" w:lineRule="exact"/>
        <w:rPr>
          <w:rFonts w:ascii="Arial" w:cs="Arial" w:eastAsia="Arial" w:hAnsi="Arial"/>
          <w:sz w:val="18"/>
          <w:szCs w:val="18"/>
          <w:color w:val="auto"/>
        </w:rPr>
      </w:pPr>
    </w:p>
    <w:p>
      <w:pPr>
        <w:ind w:left="301" w:hanging="301"/>
        <w:spacing w:after="0" w:line="273" w:lineRule="auto"/>
        <w:tabs>
          <w:tab w:leader="none" w:pos="301"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amounts in this column are the aggregate dollar amount realized upon vesting, calculated by multiplying the number of shares of stock times the market value of the Company Common Stock at the date(s) of vesting.</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55</w:t>
      </w:r>
    </w:p>
    <w:p>
      <w:pPr>
        <w:sectPr>
          <w:pgSz w:w="11900" w:h="16838" w:orient="portrait"/>
          <w:cols w:equalWidth="0" w:num="1">
            <w:col w:w="11241"/>
          </w:cols>
          <w:pgMar w:left="319" w:top="859" w:right="339" w:bottom="1440" w:gutter="0" w:footer="0" w:header="0"/>
        </w:sectPr>
      </w:pPr>
    </w:p>
    <w:bookmarkStart w:id="59" w:name="page60"/>
    <w:bookmarkEnd w:id="59"/>
    <w:p>
      <w:pPr>
        <w:jc w:val="center"/>
        <w:spacing w:after="0"/>
        <w:rPr>
          <w:sz w:val="20"/>
          <w:szCs w:val="20"/>
          <w:color w:val="auto"/>
        </w:rPr>
      </w:pPr>
      <w:r>
        <w:rPr>
          <w:rFonts w:ascii="Arial" w:cs="Arial" w:eastAsia="Arial" w:hAnsi="Arial"/>
          <w:sz w:val="20"/>
          <w:szCs w:val="20"/>
          <w:b w:val="1"/>
          <w:bCs w:val="1"/>
          <w:color w:val="auto"/>
        </w:rPr>
        <w:t>Pension Benefits</w:t>
      </w:r>
    </w:p>
    <w:p>
      <w:pPr>
        <w:spacing w:after="0" w:line="198" w:lineRule="exact"/>
        <w:rPr>
          <w:sz w:val="20"/>
          <w:szCs w:val="20"/>
          <w:color w:val="auto"/>
        </w:rPr>
      </w:pPr>
    </w:p>
    <w:p>
      <w:pPr>
        <w:jc w:val="both"/>
        <w:ind w:left="1" w:firstLine="595"/>
        <w:spacing w:after="0" w:line="243" w:lineRule="auto"/>
        <w:rPr>
          <w:sz w:val="20"/>
          <w:szCs w:val="20"/>
          <w:color w:val="auto"/>
        </w:rPr>
      </w:pPr>
      <w:r>
        <w:rPr>
          <w:rFonts w:ascii="Arial" w:cs="Arial" w:eastAsia="Arial" w:hAnsi="Arial"/>
          <w:sz w:val="20"/>
          <w:szCs w:val="20"/>
          <w:color w:val="auto"/>
        </w:rPr>
        <w:t>The following table shows the present value of estimated benefits payable upon retirement to the NEOs under the Company’s U.S. Pension Plan, Senior Executive Retirement Plan and Restoration Plan, which are the defined-benefit pension plans maintained by the Company in which the NEOs participate.</w:t>
      </w:r>
    </w:p>
    <w:p>
      <w:pPr>
        <w:spacing w:after="0" w:line="293" w:lineRule="exact"/>
        <w:rPr>
          <w:sz w:val="20"/>
          <w:szCs w:val="20"/>
          <w:color w:val="auto"/>
        </w:rPr>
      </w:pPr>
    </w:p>
    <w:tbl>
      <w:tblPr>
        <w:tblLayout w:type="fixed"/>
        <w:tblInd w:w="291" w:type="dxa"/>
        <w:tblCellMar>
          <w:top w:w="0" w:type="dxa"/>
          <w:left w:w="0" w:type="dxa"/>
          <w:bottom w:w="0" w:type="dxa"/>
          <w:right w:w="0" w:type="dxa"/>
        </w:tblCellMar>
      </w:tblPr>
      <w:tr>
        <w:trPr>
          <w:trHeight w:val="202"/>
        </w:trPr>
        <w:tc>
          <w:tcPr>
            <w:tcW w:w="2700" w:type="dxa"/>
            <w:vAlign w:val="bottom"/>
            <w:tcBorders>
              <w:top w:val="single" w:sz="8" w:color="auto"/>
              <w:left w:val="single" w:sz="8" w:color="auto"/>
              <w:right w:val="single" w:sz="8" w:color="auto"/>
            </w:tcBorders>
            <w:shd w:val="clear" w:color="auto" w:fill="29650B"/>
          </w:tcPr>
          <w:p>
            <w:pPr>
              <w:spacing w:after="0"/>
              <w:rPr>
                <w:sz w:val="17"/>
                <w:szCs w:val="17"/>
                <w:color w:val="auto"/>
              </w:rPr>
            </w:pPr>
          </w:p>
        </w:tc>
        <w:tc>
          <w:tcPr>
            <w:tcW w:w="2760" w:type="dxa"/>
            <w:vAlign w:val="bottom"/>
            <w:tcBorders>
              <w:top w:val="single" w:sz="8" w:color="auto"/>
              <w:right w:val="single" w:sz="8" w:color="auto"/>
            </w:tcBorders>
            <w:vMerge w:val="restart"/>
            <w:shd w:val="clear" w:color="auto" w:fill="29650B"/>
          </w:tcPr>
          <w:p>
            <w:pPr>
              <w:ind w:left="1200"/>
              <w:spacing w:after="0"/>
              <w:rPr>
                <w:sz w:val="20"/>
                <w:szCs w:val="20"/>
                <w:color w:val="auto"/>
              </w:rPr>
            </w:pPr>
            <w:r>
              <w:rPr>
                <w:rFonts w:ascii="Arial" w:cs="Arial" w:eastAsia="Arial" w:hAnsi="Arial"/>
                <w:sz w:val="18"/>
                <w:szCs w:val="18"/>
                <w:b w:val="1"/>
                <w:bCs w:val="1"/>
                <w:color w:val="FFFFFF"/>
              </w:rPr>
              <w:t>Plan</w:t>
            </w:r>
          </w:p>
        </w:tc>
        <w:tc>
          <w:tcPr>
            <w:tcW w:w="2140" w:type="dxa"/>
            <w:vAlign w:val="bottom"/>
            <w:tcBorders>
              <w:top w:val="single" w:sz="8" w:color="auto"/>
              <w:right w:val="single" w:sz="8" w:color="auto"/>
            </w:tcBorders>
            <w:vMerge w:val="restart"/>
            <w:shd w:val="clear" w:color="auto" w:fill="29650B"/>
          </w:tcPr>
          <w:p>
            <w:pPr>
              <w:jc w:val="right"/>
              <w:ind w:right="329"/>
              <w:spacing w:after="0"/>
              <w:rPr>
                <w:sz w:val="20"/>
                <w:szCs w:val="20"/>
                <w:color w:val="auto"/>
              </w:rPr>
            </w:pPr>
            <w:r>
              <w:rPr>
                <w:rFonts w:ascii="Arial" w:cs="Arial" w:eastAsia="Arial" w:hAnsi="Arial"/>
                <w:sz w:val="18"/>
                <w:szCs w:val="18"/>
                <w:b w:val="1"/>
                <w:bCs w:val="1"/>
                <w:color w:val="FFFFFF"/>
              </w:rPr>
              <w:t>Number of Years</w:t>
            </w:r>
          </w:p>
        </w:tc>
        <w:tc>
          <w:tcPr>
            <w:tcW w:w="3100" w:type="dxa"/>
            <w:vAlign w:val="bottom"/>
            <w:tcBorders>
              <w:top w:val="single" w:sz="8" w:color="auto"/>
              <w:right w:val="single" w:sz="8" w:color="auto"/>
            </w:tcBorders>
            <w:shd w:val="clear" w:color="auto" w:fill="29650B"/>
          </w:tcPr>
          <w:p>
            <w:pPr>
              <w:jc w:val="center"/>
              <w:spacing w:after="0" w:line="202" w:lineRule="exact"/>
              <w:rPr>
                <w:sz w:val="20"/>
                <w:szCs w:val="20"/>
                <w:color w:val="auto"/>
              </w:rPr>
            </w:pPr>
            <w:r>
              <w:rPr>
                <w:rFonts w:ascii="Arial" w:cs="Arial" w:eastAsia="Arial" w:hAnsi="Arial"/>
                <w:sz w:val="18"/>
                <w:szCs w:val="18"/>
                <w:b w:val="1"/>
                <w:bCs w:val="1"/>
                <w:color w:val="FFFFFF"/>
                <w:w w:val="90"/>
              </w:rPr>
              <w:t>Present Value of Accumulated</w:t>
            </w:r>
          </w:p>
        </w:tc>
        <w:tc>
          <w:tcPr>
            <w:tcW w:w="0" w:type="dxa"/>
            <w:vAlign w:val="bottom"/>
          </w:tcPr>
          <w:p>
            <w:pPr>
              <w:spacing w:after="0"/>
              <w:rPr>
                <w:sz w:val="1"/>
                <w:szCs w:val="1"/>
                <w:color w:val="auto"/>
              </w:rPr>
            </w:pPr>
          </w:p>
        </w:tc>
      </w:tr>
      <w:tr>
        <w:trPr>
          <w:trHeight w:val="99"/>
        </w:trPr>
        <w:tc>
          <w:tcPr>
            <w:tcW w:w="2700" w:type="dxa"/>
            <w:vAlign w:val="bottom"/>
            <w:tcBorders>
              <w:left w:val="single" w:sz="8" w:color="auto"/>
              <w:right w:val="single" w:sz="8" w:color="auto"/>
            </w:tcBorders>
            <w:vMerge w:val="restart"/>
            <w:shd w:val="clear" w:color="auto" w:fill="29650B"/>
          </w:tcPr>
          <w:p>
            <w:pPr>
              <w:ind w:left="1120"/>
              <w:spacing w:after="0"/>
              <w:rPr>
                <w:sz w:val="20"/>
                <w:szCs w:val="20"/>
                <w:color w:val="auto"/>
              </w:rPr>
            </w:pPr>
            <w:r>
              <w:rPr>
                <w:rFonts w:ascii="Arial" w:cs="Arial" w:eastAsia="Arial" w:hAnsi="Arial"/>
                <w:sz w:val="18"/>
                <w:szCs w:val="18"/>
                <w:b w:val="1"/>
                <w:bCs w:val="1"/>
                <w:color w:val="FFFFFF"/>
              </w:rPr>
              <w:t>Name</w:t>
            </w:r>
          </w:p>
        </w:tc>
        <w:tc>
          <w:tcPr>
            <w:tcW w:w="2760" w:type="dxa"/>
            <w:vAlign w:val="bottom"/>
            <w:tcBorders>
              <w:right w:val="single" w:sz="8" w:color="auto"/>
            </w:tcBorders>
            <w:vMerge w:val="continue"/>
            <w:shd w:val="clear" w:color="auto" w:fill="29650B"/>
          </w:tcPr>
          <w:p>
            <w:pPr>
              <w:spacing w:after="0"/>
              <w:rPr>
                <w:sz w:val="8"/>
                <w:szCs w:val="8"/>
                <w:color w:val="auto"/>
              </w:rPr>
            </w:pPr>
          </w:p>
        </w:tc>
        <w:tc>
          <w:tcPr>
            <w:tcW w:w="2140" w:type="dxa"/>
            <w:vAlign w:val="bottom"/>
            <w:tcBorders>
              <w:right w:val="single" w:sz="8" w:color="auto"/>
            </w:tcBorders>
            <w:vMerge w:val="continue"/>
            <w:shd w:val="clear" w:color="auto" w:fill="29650B"/>
          </w:tcPr>
          <w:p>
            <w:pPr>
              <w:spacing w:after="0"/>
              <w:rPr>
                <w:sz w:val="8"/>
                <w:szCs w:val="8"/>
                <w:color w:val="auto"/>
              </w:rPr>
            </w:pPr>
          </w:p>
        </w:tc>
        <w:tc>
          <w:tcPr>
            <w:tcW w:w="3100" w:type="dxa"/>
            <w:vAlign w:val="bottom"/>
            <w:tcBorders>
              <w:right w:val="single" w:sz="8" w:color="auto"/>
            </w:tcBorders>
            <w:vMerge w:val="restart"/>
            <w:shd w:val="clear" w:color="auto" w:fill="29650B"/>
          </w:tcPr>
          <w:p>
            <w:pPr>
              <w:jc w:val="center"/>
              <w:spacing w:after="0"/>
              <w:rPr>
                <w:sz w:val="20"/>
                <w:szCs w:val="20"/>
                <w:color w:val="auto"/>
              </w:rPr>
            </w:pPr>
            <w:r>
              <w:rPr>
                <w:rFonts w:ascii="Arial" w:cs="Arial" w:eastAsia="Arial" w:hAnsi="Arial"/>
                <w:sz w:val="18"/>
                <w:szCs w:val="18"/>
                <w:b w:val="1"/>
                <w:bCs w:val="1"/>
                <w:color w:val="FFFFFF"/>
                <w:w w:val="92"/>
              </w:rPr>
              <w:t>Benefit (4)(5)</w:t>
            </w:r>
          </w:p>
        </w:tc>
        <w:tc>
          <w:tcPr>
            <w:tcW w:w="0" w:type="dxa"/>
            <w:vAlign w:val="bottom"/>
          </w:tcPr>
          <w:p>
            <w:pPr>
              <w:spacing w:after="0"/>
              <w:rPr>
                <w:sz w:val="1"/>
                <w:szCs w:val="1"/>
                <w:color w:val="auto"/>
              </w:rPr>
            </w:pPr>
          </w:p>
        </w:tc>
      </w:tr>
      <w:tr>
        <w:trPr>
          <w:trHeight w:val="112"/>
        </w:trPr>
        <w:tc>
          <w:tcPr>
            <w:tcW w:w="2700" w:type="dxa"/>
            <w:vAlign w:val="bottom"/>
            <w:tcBorders>
              <w:left w:val="single" w:sz="8" w:color="auto"/>
              <w:right w:val="single" w:sz="8" w:color="auto"/>
            </w:tcBorders>
            <w:vMerge w:val="continue"/>
            <w:shd w:val="clear" w:color="auto" w:fill="29650B"/>
          </w:tcPr>
          <w:p>
            <w:pPr>
              <w:spacing w:after="0"/>
              <w:rPr>
                <w:sz w:val="9"/>
                <w:szCs w:val="9"/>
                <w:color w:val="auto"/>
              </w:rPr>
            </w:pPr>
          </w:p>
        </w:tc>
        <w:tc>
          <w:tcPr>
            <w:tcW w:w="2760" w:type="dxa"/>
            <w:vAlign w:val="bottom"/>
            <w:tcBorders>
              <w:right w:val="single" w:sz="8" w:color="auto"/>
            </w:tcBorders>
            <w:vMerge w:val="restart"/>
            <w:shd w:val="clear" w:color="auto" w:fill="29650B"/>
          </w:tcPr>
          <w:p>
            <w:pPr>
              <w:ind w:left="920"/>
              <w:spacing w:after="0"/>
              <w:rPr>
                <w:sz w:val="20"/>
                <w:szCs w:val="20"/>
                <w:color w:val="auto"/>
              </w:rPr>
            </w:pPr>
            <w:r>
              <w:rPr>
                <w:rFonts w:ascii="Arial" w:cs="Arial" w:eastAsia="Arial" w:hAnsi="Arial"/>
                <w:sz w:val="18"/>
                <w:szCs w:val="18"/>
                <w:b w:val="1"/>
                <w:bCs w:val="1"/>
                <w:color w:val="FFFFFF"/>
              </w:rPr>
              <w:t>Name (1)(2)</w:t>
            </w:r>
          </w:p>
        </w:tc>
        <w:tc>
          <w:tcPr>
            <w:tcW w:w="2140" w:type="dxa"/>
            <w:vAlign w:val="bottom"/>
            <w:tcBorders>
              <w:right w:val="single" w:sz="8" w:color="auto"/>
            </w:tcBorders>
            <w:vMerge w:val="restart"/>
            <w:shd w:val="clear" w:color="auto" w:fill="29650B"/>
          </w:tcPr>
          <w:p>
            <w:pPr>
              <w:jc w:val="right"/>
              <w:ind w:right="209"/>
              <w:spacing w:after="0"/>
              <w:rPr>
                <w:sz w:val="20"/>
                <w:szCs w:val="20"/>
                <w:color w:val="auto"/>
              </w:rPr>
            </w:pPr>
            <w:r>
              <w:rPr>
                <w:rFonts w:ascii="Arial" w:cs="Arial" w:eastAsia="Arial" w:hAnsi="Arial"/>
                <w:sz w:val="18"/>
                <w:szCs w:val="18"/>
                <w:b w:val="1"/>
                <w:bCs w:val="1"/>
                <w:color w:val="FFFFFF"/>
              </w:rPr>
              <w:t>Credited Service (3)</w:t>
            </w:r>
          </w:p>
        </w:tc>
        <w:tc>
          <w:tcPr>
            <w:tcW w:w="3100" w:type="dxa"/>
            <w:vAlign w:val="bottom"/>
            <w:tcBorders>
              <w:right w:val="single" w:sz="8" w:color="auto"/>
            </w:tcBorders>
            <w:vMerge w:val="continue"/>
            <w:shd w:val="clear" w:color="auto" w:fill="29650B"/>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700" w:type="dxa"/>
            <w:vAlign w:val="bottom"/>
            <w:tcBorders>
              <w:left w:val="single" w:sz="8" w:color="auto"/>
              <w:right w:val="single" w:sz="8" w:color="auto"/>
            </w:tcBorders>
            <w:shd w:val="clear" w:color="auto" w:fill="29650B"/>
          </w:tcPr>
          <w:p>
            <w:pPr>
              <w:spacing w:after="0"/>
              <w:rPr>
                <w:sz w:val="10"/>
                <w:szCs w:val="10"/>
                <w:color w:val="auto"/>
              </w:rPr>
            </w:pPr>
          </w:p>
        </w:tc>
        <w:tc>
          <w:tcPr>
            <w:tcW w:w="2760" w:type="dxa"/>
            <w:vAlign w:val="bottom"/>
            <w:tcBorders>
              <w:right w:val="single" w:sz="8" w:color="auto"/>
            </w:tcBorders>
            <w:vMerge w:val="continue"/>
            <w:shd w:val="clear" w:color="auto" w:fill="29650B"/>
          </w:tcPr>
          <w:p>
            <w:pPr>
              <w:spacing w:after="0"/>
              <w:rPr>
                <w:sz w:val="10"/>
                <w:szCs w:val="10"/>
                <w:color w:val="auto"/>
              </w:rPr>
            </w:pPr>
          </w:p>
        </w:tc>
        <w:tc>
          <w:tcPr>
            <w:tcW w:w="2140" w:type="dxa"/>
            <w:vAlign w:val="bottom"/>
            <w:tcBorders>
              <w:right w:val="single" w:sz="8" w:color="auto"/>
            </w:tcBorders>
            <w:vMerge w:val="continue"/>
            <w:shd w:val="clear" w:color="auto" w:fill="29650B"/>
          </w:tcPr>
          <w:p>
            <w:pPr>
              <w:spacing w:after="0"/>
              <w:rPr>
                <w:sz w:val="10"/>
                <w:szCs w:val="10"/>
                <w:color w:val="auto"/>
              </w:rPr>
            </w:pPr>
          </w:p>
        </w:tc>
        <w:tc>
          <w:tcPr>
            <w:tcW w:w="3100" w:type="dxa"/>
            <w:vAlign w:val="bottom"/>
            <w:tcBorders>
              <w:right w:val="single" w:sz="8" w:color="auto"/>
            </w:tcBorders>
            <w:vMerge w:val="restart"/>
            <w:shd w:val="clear" w:color="auto" w:fill="29650B"/>
          </w:tcPr>
          <w:p>
            <w:pPr>
              <w:jc w:val="center"/>
              <w:spacing w:after="0"/>
              <w:rPr>
                <w:sz w:val="20"/>
                <w:szCs w:val="20"/>
                <w:color w:val="auto"/>
              </w:rPr>
            </w:pPr>
            <w:r>
              <w:rPr>
                <w:rFonts w:ascii="Arial" w:cs="Arial" w:eastAsia="Arial" w:hAnsi="Arial"/>
                <w:sz w:val="18"/>
                <w:szCs w:val="18"/>
                <w:b w:val="1"/>
                <w:bCs w:val="1"/>
                <w:color w:val="FFFFFF"/>
                <w:w w:val="99"/>
              </w:rPr>
              <w:t>($)</w:t>
            </w:r>
          </w:p>
        </w:tc>
        <w:tc>
          <w:tcPr>
            <w:tcW w:w="0" w:type="dxa"/>
            <w:vAlign w:val="bottom"/>
          </w:tcPr>
          <w:p>
            <w:pPr>
              <w:spacing w:after="0"/>
              <w:rPr>
                <w:sz w:val="1"/>
                <w:szCs w:val="1"/>
                <w:color w:val="auto"/>
              </w:rPr>
            </w:pPr>
          </w:p>
        </w:tc>
      </w:tr>
      <w:tr>
        <w:trPr>
          <w:trHeight w:val="107"/>
        </w:trPr>
        <w:tc>
          <w:tcPr>
            <w:tcW w:w="2700" w:type="dxa"/>
            <w:vAlign w:val="bottom"/>
            <w:tcBorders>
              <w:left w:val="single" w:sz="8" w:color="auto"/>
              <w:bottom w:val="single" w:sz="8" w:color="auto"/>
              <w:right w:val="single" w:sz="8" w:color="auto"/>
            </w:tcBorders>
            <w:shd w:val="clear" w:color="auto" w:fill="29650B"/>
          </w:tcPr>
          <w:p>
            <w:pPr>
              <w:spacing w:after="0"/>
              <w:rPr>
                <w:sz w:val="9"/>
                <w:szCs w:val="9"/>
                <w:color w:val="auto"/>
              </w:rPr>
            </w:pPr>
          </w:p>
        </w:tc>
        <w:tc>
          <w:tcPr>
            <w:tcW w:w="2760" w:type="dxa"/>
            <w:vAlign w:val="bottom"/>
            <w:tcBorders>
              <w:bottom w:val="single" w:sz="8" w:color="auto"/>
              <w:right w:val="single" w:sz="8" w:color="auto"/>
            </w:tcBorders>
            <w:shd w:val="clear" w:color="auto" w:fill="29650B"/>
          </w:tcPr>
          <w:p>
            <w:pPr>
              <w:spacing w:after="0"/>
              <w:rPr>
                <w:sz w:val="9"/>
                <w:szCs w:val="9"/>
                <w:color w:val="auto"/>
              </w:rPr>
            </w:pPr>
          </w:p>
        </w:tc>
        <w:tc>
          <w:tcPr>
            <w:tcW w:w="2140" w:type="dxa"/>
            <w:vAlign w:val="bottom"/>
            <w:tcBorders>
              <w:bottom w:val="single" w:sz="8" w:color="auto"/>
              <w:right w:val="single" w:sz="8" w:color="auto"/>
            </w:tcBorders>
            <w:shd w:val="clear" w:color="auto" w:fill="29650B"/>
          </w:tcPr>
          <w:p>
            <w:pPr>
              <w:spacing w:after="0"/>
              <w:rPr>
                <w:sz w:val="9"/>
                <w:szCs w:val="9"/>
                <w:color w:val="auto"/>
              </w:rPr>
            </w:pPr>
          </w:p>
        </w:tc>
        <w:tc>
          <w:tcPr>
            <w:tcW w:w="3100" w:type="dxa"/>
            <w:vAlign w:val="bottom"/>
            <w:tcBorders>
              <w:bottom w:val="single" w:sz="8" w:color="auto"/>
              <w:right w:val="single" w:sz="8" w:color="auto"/>
            </w:tcBorders>
            <w:vMerge w:val="continue"/>
            <w:shd w:val="clear" w:color="auto" w:fill="29650B"/>
          </w:tcPr>
          <w:p>
            <w:pPr>
              <w:spacing w:after="0"/>
              <w:rPr>
                <w:sz w:val="9"/>
                <w:szCs w:val="9"/>
                <w:color w:val="auto"/>
              </w:rPr>
            </w:pPr>
          </w:p>
        </w:tc>
        <w:tc>
          <w:tcPr>
            <w:tcW w:w="0" w:type="dxa"/>
            <w:vAlign w:val="bottom"/>
          </w:tcPr>
          <w:p>
            <w:pPr>
              <w:spacing w:after="0"/>
              <w:rPr>
                <w:sz w:val="1"/>
                <w:szCs w:val="1"/>
                <w:color w:val="auto"/>
              </w:rPr>
            </w:pPr>
          </w:p>
        </w:tc>
      </w:tr>
      <w:tr>
        <w:trPr>
          <w:trHeight w:val="397"/>
        </w:trPr>
        <w:tc>
          <w:tcPr>
            <w:tcW w:w="27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Timothy Donahue</w:t>
            </w:r>
          </w:p>
        </w:tc>
        <w:tc>
          <w:tcPr>
            <w:tcW w:w="27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Pension Plan</w:t>
            </w:r>
          </w:p>
        </w:tc>
        <w:tc>
          <w:tcPr>
            <w:tcW w:w="2140" w:type="dxa"/>
            <w:vAlign w:val="bottom"/>
            <w:tcBorders>
              <w:right w:val="single" w:sz="8" w:color="auto"/>
            </w:tcBorders>
          </w:tcPr>
          <w:p>
            <w:pPr>
              <w:jc w:val="right"/>
              <w:ind w:right="749"/>
              <w:spacing w:after="0"/>
              <w:rPr>
                <w:sz w:val="20"/>
                <w:szCs w:val="20"/>
                <w:color w:val="auto"/>
              </w:rPr>
            </w:pPr>
            <w:r>
              <w:rPr>
                <w:rFonts w:ascii="Arial" w:cs="Arial" w:eastAsia="Arial" w:hAnsi="Arial"/>
                <w:sz w:val="18"/>
                <w:szCs w:val="18"/>
                <w:color w:val="auto"/>
              </w:rPr>
              <w:t>29</w:t>
            </w:r>
          </w:p>
        </w:tc>
        <w:tc>
          <w:tcPr>
            <w:tcW w:w="3100" w:type="dxa"/>
            <w:vAlign w:val="bottom"/>
            <w:tcBorders>
              <w:right w:val="single" w:sz="8" w:color="auto"/>
            </w:tcBorders>
          </w:tcPr>
          <w:p>
            <w:pPr>
              <w:jc w:val="right"/>
              <w:ind w:right="729"/>
              <w:spacing w:after="0"/>
              <w:rPr>
                <w:sz w:val="20"/>
                <w:szCs w:val="20"/>
                <w:color w:val="auto"/>
              </w:rPr>
            </w:pPr>
            <w:r>
              <w:rPr>
                <w:rFonts w:ascii="Arial" w:cs="Arial" w:eastAsia="Arial" w:hAnsi="Arial"/>
                <w:sz w:val="18"/>
                <w:szCs w:val="18"/>
                <w:color w:val="auto"/>
              </w:rPr>
              <w:t>1,072,602</w:t>
            </w:r>
          </w:p>
        </w:tc>
        <w:tc>
          <w:tcPr>
            <w:tcW w:w="0" w:type="dxa"/>
            <w:vAlign w:val="bottom"/>
          </w:tcPr>
          <w:p>
            <w:pPr>
              <w:spacing w:after="0"/>
              <w:rPr>
                <w:sz w:val="1"/>
                <w:szCs w:val="1"/>
                <w:color w:val="auto"/>
              </w:rPr>
            </w:pPr>
          </w:p>
        </w:tc>
      </w:tr>
      <w:tr>
        <w:trPr>
          <w:trHeight w:val="228"/>
        </w:trPr>
        <w:tc>
          <w:tcPr>
            <w:tcW w:w="2700" w:type="dxa"/>
            <w:vAlign w:val="bottom"/>
            <w:tcBorders>
              <w:left w:val="single" w:sz="8" w:color="auto"/>
              <w:bottom w:val="single" w:sz="8" w:color="auto"/>
              <w:right w:val="single" w:sz="8" w:color="auto"/>
            </w:tcBorders>
          </w:tcPr>
          <w:p>
            <w:pPr>
              <w:spacing w:after="0"/>
              <w:rPr>
                <w:sz w:val="19"/>
                <w:szCs w:val="19"/>
                <w:color w:val="auto"/>
              </w:rPr>
            </w:pPr>
          </w:p>
        </w:tc>
        <w:tc>
          <w:tcPr>
            <w:tcW w:w="27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SERP</w:t>
            </w:r>
          </w:p>
        </w:tc>
        <w:tc>
          <w:tcPr>
            <w:tcW w:w="2140" w:type="dxa"/>
            <w:vAlign w:val="bottom"/>
            <w:tcBorders>
              <w:bottom w:val="single" w:sz="8" w:color="auto"/>
              <w:right w:val="single" w:sz="8" w:color="auto"/>
            </w:tcBorders>
          </w:tcPr>
          <w:p>
            <w:pPr>
              <w:jc w:val="right"/>
              <w:ind w:right="749"/>
              <w:spacing w:after="0"/>
              <w:rPr>
                <w:sz w:val="20"/>
                <w:szCs w:val="20"/>
                <w:color w:val="auto"/>
              </w:rPr>
            </w:pPr>
            <w:r>
              <w:rPr>
                <w:rFonts w:ascii="Arial" w:cs="Arial" w:eastAsia="Arial" w:hAnsi="Arial"/>
                <w:sz w:val="18"/>
                <w:szCs w:val="18"/>
                <w:color w:val="auto"/>
              </w:rPr>
              <w:t>29</w:t>
            </w:r>
          </w:p>
        </w:tc>
        <w:tc>
          <w:tcPr>
            <w:tcW w:w="3100" w:type="dxa"/>
            <w:vAlign w:val="bottom"/>
            <w:tcBorders>
              <w:bottom w:val="single" w:sz="8" w:color="auto"/>
              <w:right w:val="single" w:sz="8" w:color="auto"/>
            </w:tcBorders>
          </w:tcPr>
          <w:p>
            <w:pPr>
              <w:jc w:val="right"/>
              <w:ind w:right="729"/>
              <w:spacing w:after="0"/>
              <w:rPr>
                <w:sz w:val="20"/>
                <w:szCs w:val="20"/>
                <w:color w:val="auto"/>
              </w:rPr>
            </w:pPr>
            <w:r>
              <w:rPr>
                <w:rFonts w:ascii="Arial" w:cs="Arial" w:eastAsia="Arial" w:hAnsi="Arial"/>
                <w:sz w:val="18"/>
                <w:szCs w:val="18"/>
                <w:color w:val="auto"/>
              </w:rPr>
              <w:t>14,938,924</w:t>
            </w:r>
          </w:p>
        </w:tc>
        <w:tc>
          <w:tcPr>
            <w:tcW w:w="0" w:type="dxa"/>
            <w:vAlign w:val="bottom"/>
          </w:tcPr>
          <w:p>
            <w:pPr>
              <w:spacing w:after="0"/>
              <w:rPr>
                <w:sz w:val="1"/>
                <w:szCs w:val="1"/>
                <w:color w:val="auto"/>
              </w:rPr>
            </w:pPr>
          </w:p>
        </w:tc>
      </w:tr>
      <w:tr>
        <w:trPr>
          <w:trHeight w:val="397"/>
        </w:trPr>
        <w:tc>
          <w:tcPr>
            <w:tcW w:w="2700" w:type="dxa"/>
            <w:vAlign w:val="bottom"/>
            <w:tcBorders>
              <w:left w:val="single" w:sz="8" w:color="auto"/>
              <w:right w:val="single" w:sz="8" w:color="auto"/>
            </w:tcBorders>
            <w:shd w:val="clear" w:color="auto" w:fill="D9D9D9"/>
          </w:tcPr>
          <w:p>
            <w:pPr>
              <w:ind w:left="120"/>
              <w:spacing w:after="0"/>
              <w:rPr>
                <w:sz w:val="20"/>
                <w:szCs w:val="20"/>
                <w:color w:val="auto"/>
              </w:rPr>
            </w:pPr>
            <w:r>
              <w:rPr>
                <w:rFonts w:ascii="Arial" w:cs="Arial" w:eastAsia="Arial" w:hAnsi="Arial"/>
                <w:sz w:val="18"/>
                <w:szCs w:val="18"/>
                <w:color w:val="auto"/>
              </w:rPr>
              <w:t>Thomas Kelly</w:t>
            </w:r>
          </w:p>
        </w:tc>
        <w:tc>
          <w:tcPr>
            <w:tcW w:w="2760" w:type="dxa"/>
            <w:vAlign w:val="bottom"/>
            <w:tcBorders>
              <w:right w:val="single" w:sz="8" w:color="auto"/>
            </w:tcBorders>
            <w:shd w:val="clear" w:color="auto" w:fill="D9D9D9"/>
          </w:tcPr>
          <w:p>
            <w:pPr>
              <w:ind w:left="100"/>
              <w:spacing w:after="0"/>
              <w:rPr>
                <w:sz w:val="20"/>
                <w:szCs w:val="20"/>
                <w:color w:val="auto"/>
              </w:rPr>
            </w:pPr>
            <w:r>
              <w:rPr>
                <w:rFonts w:ascii="Arial" w:cs="Arial" w:eastAsia="Arial" w:hAnsi="Arial"/>
                <w:sz w:val="18"/>
                <w:szCs w:val="18"/>
                <w:color w:val="auto"/>
              </w:rPr>
              <w:t>Pension Plan</w:t>
            </w:r>
          </w:p>
        </w:tc>
        <w:tc>
          <w:tcPr>
            <w:tcW w:w="2140" w:type="dxa"/>
            <w:vAlign w:val="bottom"/>
            <w:tcBorders>
              <w:right w:val="single" w:sz="8" w:color="auto"/>
            </w:tcBorders>
            <w:shd w:val="clear" w:color="auto" w:fill="D9D9D9"/>
          </w:tcPr>
          <w:p>
            <w:pPr>
              <w:jc w:val="right"/>
              <w:ind w:right="749"/>
              <w:spacing w:after="0"/>
              <w:rPr>
                <w:sz w:val="20"/>
                <w:szCs w:val="20"/>
                <w:color w:val="auto"/>
              </w:rPr>
            </w:pPr>
            <w:r>
              <w:rPr>
                <w:rFonts w:ascii="Arial" w:cs="Arial" w:eastAsia="Arial" w:hAnsi="Arial"/>
                <w:sz w:val="18"/>
                <w:szCs w:val="18"/>
                <w:color w:val="auto"/>
              </w:rPr>
              <w:t>28</w:t>
            </w:r>
          </w:p>
        </w:tc>
        <w:tc>
          <w:tcPr>
            <w:tcW w:w="3100" w:type="dxa"/>
            <w:vAlign w:val="bottom"/>
            <w:tcBorders>
              <w:right w:val="single" w:sz="8" w:color="auto"/>
            </w:tcBorders>
            <w:shd w:val="clear" w:color="auto" w:fill="D9D9D9"/>
          </w:tcPr>
          <w:p>
            <w:pPr>
              <w:jc w:val="right"/>
              <w:ind w:right="729"/>
              <w:spacing w:after="0"/>
              <w:rPr>
                <w:sz w:val="20"/>
                <w:szCs w:val="20"/>
                <w:color w:val="auto"/>
              </w:rPr>
            </w:pPr>
            <w:r>
              <w:rPr>
                <w:rFonts w:ascii="Arial" w:cs="Arial" w:eastAsia="Arial" w:hAnsi="Arial"/>
                <w:sz w:val="18"/>
                <w:szCs w:val="18"/>
                <w:color w:val="auto"/>
              </w:rPr>
              <w:t>1,106,623</w:t>
            </w:r>
          </w:p>
        </w:tc>
        <w:tc>
          <w:tcPr>
            <w:tcW w:w="0" w:type="dxa"/>
            <w:vAlign w:val="bottom"/>
          </w:tcPr>
          <w:p>
            <w:pPr>
              <w:spacing w:after="0"/>
              <w:rPr>
                <w:sz w:val="1"/>
                <w:szCs w:val="1"/>
                <w:color w:val="auto"/>
              </w:rPr>
            </w:pPr>
          </w:p>
        </w:tc>
      </w:tr>
      <w:tr>
        <w:trPr>
          <w:trHeight w:val="228"/>
        </w:trPr>
        <w:tc>
          <w:tcPr>
            <w:tcW w:w="2700" w:type="dxa"/>
            <w:vAlign w:val="bottom"/>
            <w:tcBorders>
              <w:left w:val="single" w:sz="8" w:color="auto"/>
              <w:bottom w:val="single" w:sz="8" w:color="auto"/>
              <w:right w:val="single" w:sz="8" w:color="auto"/>
            </w:tcBorders>
            <w:shd w:val="clear" w:color="auto" w:fill="D9D9D9"/>
          </w:tcPr>
          <w:p>
            <w:pPr>
              <w:spacing w:after="0"/>
              <w:rPr>
                <w:sz w:val="19"/>
                <w:szCs w:val="19"/>
                <w:color w:val="auto"/>
              </w:rPr>
            </w:pPr>
          </w:p>
        </w:tc>
        <w:tc>
          <w:tcPr>
            <w:tcW w:w="2760" w:type="dxa"/>
            <w:vAlign w:val="bottom"/>
            <w:tcBorders>
              <w:bottom w:val="single" w:sz="8" w:color="auto"/>
              <w:right w:val="single" w:sz="8" w:color="auto"/>
            </w:tcBorders>
            <w:shd w:val="clear" w:color="auto" w:fill="D9D9D9"/>
          </w:tcPr>
          <w:p>
            <w:pPr>
              <w:ind w:left="100"/>
              <w:spacing w:after="0"/>
              <w:rPr>
                <w:sz w:val="20"/>
                <w:szCs w:val="20"/>
                <w:color w:val="auto"/>
              </w:rPr>
            </w:pPr>
            <w:r>
              <w:rPr>
                <w:rFonts w:ascii="Arial" w:cs="Arial" w:eastAsia="Arial" w:hAnsi="Arial"/>
                <w:sz w:val="18"/>
                <w:szCs w:val="18"/>
                <w:color w:val="auto"/>
              </w:rPr>
              <w:t>SERP</w:t>
            </w:r>
          </w:p>
        </w:tc>
        <w:tc>
          <w:tcPr>
            <w:tcW w:w="2140" w:type="dxa"/>
            <w:vAlign w:val="bottom"/>
            <w:tcBorders>
              <w:bottom w:val="single" w:sz="8" w:color="auto"/>
              <w:right w:val="single" w:sz="8" w:color="auto"/>
            </w:tcBorders>
            <w:shd w:val="clear" w:color="auto" w:fill="D9D9D9"/>
          </w:tcPr>
          <w:p>
            <w:pPr>
              <w:jc w:val="right"/>
              <w:ind w:right="749"/>
              <w:spacing w:after="0"/>
              <w:rPr>
                <w:sz w:val="20"/>
                <w:szCs w:val="20"/>
                <w:color w:val="auto"/>
              </w:rPr>
            </w:pPr>
            <w:r>
              <w:rPr>
                <w:rFonts w:ascii="Arial" w:cs="Arial" w:eastAsia="Arial" w:hAnsi="Arial"/>
                <w:sz w:val="18"/>
                <w:szCs w:val="18"/>
                <w:color w:val="auto"/>
              </w:rPr>
              <w:t>28</w:t>
            </w:r>
          </w:p>
        </w:tc>
        <w:tc>
          <w:tcPr>
            <w:tcW w:w="3100" w:type="dxa"/>
            <w:vAlign w:val="bottom"/>
            <w:tcBorders>
              <w:bottom w:val="single" w:sz="8" w:color="auto"/>
              <w:right w:val="single" w:sz="8" w:color="auto"/>
            </w:tcBorders>
            <w:shd w:val="clear" w:color="auto" w:fill="D9D9D9"/>
          </w:tcPr>
          <w:p>
            <w:pPr>
              <w:jc w:val="right"/>
              <w:ind w:right="729"/>
              <w:spacing w:after="0"/>
              <w:rPr>
                <w:sz w:val="20"/>
                <w:szCs w:val="20"/>
                <w:color w:val="auto"/>
              </w:rPr>
            </w:pPr>
            <w:r>
              <w:rPr>
                <w:rFonts w:ascii="Arial" w:cs="Arial" w:eastAsia="Arial" w:hAnsi="Arial"/>
                <w:sz w:val="18"/>
                <w:szCs w:val="18"/>
                <w:color w:val="auto"/>
              </w:rPr>
              <w:t>6,957,849</w:t>
            </w:r>
          </w:p>
        </w:tc>
        <w:tc>
          <w:tcPr>
            <w:tcW w:w="0" w:type="dxa"/>
            <w:vAlign w:val="bottom"/>
          </w:tcPr>
          <w:p>
            <w:pPr>
              <w:spacing w:after="0"/>
              <w:rPr>
                <w:sz w:val="1"/>
                <w:szCs w:val="1"/>
                <w:color w:val="auto"/>
              </w:rPr>
            </w:pPr>
          </w:p>
        </w:tc>
      </w:tr>
      <w:tr>
        <w:trPr>
          <w:trHeight w:val="397"/>
        </w:trPr>
        <w:tc>
          <w:tcPr>
            <w:tcW w:w="27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Gerard Gifford</w:t>
            </w:r>
          </w:p>
        </w:tc>
        <w:tc>
          <w:tcPr>
            <w:tcW w:w="27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Pension Plan</w:t>
            </w:r>
          </w:p>
        </w:tc>
        <w:tc>
          <w:tcPr>
            <w:tcW w:w="2140" w:type="dxa"/>
            <w:vAlign w:val="bottom"/>
            <w:tcBorders>
              <w:right w:val="single" w:sz="8" w:color="auto"/>
            </w:tcBorders>
          </w:tcPr>
          <w:p>
            <w:pPr>
              <w:jc w:val="right"/>
              <w:ind w:right="749"/>
              <w:spacing w:after="0"/>
              <w:rPr>
                <w:sz w:val="20"/>
                <w:szCs w:val="20"/>
                <w:color w:val="auto"/>
              </w:rPr>
            </w:pPr>
            <w:r>
              <w:rPr>
                <w:rFonts w:ascii="Arial" w:cs="Arial" w:eastAsia="Arial" w:hAnsi="Arial"/>
                <w:sz w:val="18"/>
                <w:szCs w:val="18"/>
                <w:color w:val="auto"/>
              </w:rPr>
              <w:t>37</w:t>
            </w:r>
          </w:p>
        </w:tc>
        <w:tc>
          <w:tcPr>
            <w:tcW w:w="3100" w:type="dxa"/>
            <w:vAlign w:val="bottom"/>
            <w:tcBorders>
              <w:right w:val="single" w:sz="8" w:color="auto"/>
            </w:tcBorders>
          </w:tcPr>
          <w:p>
            <w:pPr>
              <w:jc w:val="right"/>
              <w:ind w:right="709"/>
              <w:spacing w:after="0"/>
              <w:rPr>
                <w:sz w:val="20"/>
                <w:szCs w:val="20"/>
                <w:color w:val="auto"/>
              </w:rPr>
            </w:pPr>
            <w:r>
              <w:rPr>
                <w:rFonts w:ascii="Arial" w:cs="Arial" w:eastAsia="Arial" w:hAnsi="Arial"/>
                <w:sz w:val="18"/>
                <w:szCs w:val="18"/>
                <w:color w:val="auto"/>
              </w:rPr>
              <w:t>1,637,385</w:t>
            </w:r>
          </w:p>
        </w:tc>
        <w:tc>
          <w:tcPr>
            <w:tcW w:w="0" w:type="dxa"/>
            <w:vAlign w:val="bottom"/>
          </w:tcPr>
          <w:p>
            <w:pPr>
              <w:spacing w:after="0"/>
              <w:rPr>
                <w:sz w:val="1"/>
                <w:szCs w:val="1"/>
                <w:color w:val="auto"/>
              </w:rPr>
            </w:pPr>
          </w:p>
        </w:tc>
      </w:tr>
      <w:tr>
        <w:trPr>
          <w:trHeight w:val="228"/>
        </w:trPr>
        <w:tc>
          <w:tcPr>
            <w:tcW w:w="2700" w:type="dxa"/>
            <w:vAlign w:val="bottom"/>
            <w:tcBorders>
              <w:left w:val="single" w:sz="8" w:color="auto"/>
              <w:bottom w:val="single" w:sz="8" w:color="auto"/>
              <w:right w:val="single" w:sz="8" w:color="auto"/>
            </w:tcBorders>
          </w:tcPr>
          <w:p>
            <w:pPr>
              <w:spacing w:after="0"/>
              <w:rPr>
                <w:sz w:val="19"/>
                <w:szCs w:val="19"/>
                <w:color w:val="auto"/>
              </w:rPr>
            </w:pPr>
          </w:p>
        </w:tc>
        <w:tc>
          <w:tcPr>
            <w:tcW w:w="27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SERP/Restoration Plan (6)</w:t>
            </w:r>
          </w:p>
        </w:tc>
        <w:tc>
          <w:tcPr>
            <w:tcW w:w="2140" w:type="dxa"/>
            <w:vAlign w:val="bottom"/>
            <w:tcBorders>
              <w:bottom w:val="single" w:sz="8" w:color="auto"/>
              <w:right w:val="single" w:sz="8" w:color="auto"/>
            </w:tcBorders>
          </w:tcPr>
          <w:p>
            <w:pPr>
              <w:jc w:val="right"/>
              <w:ind w:right="749"/>
              <w:spacing w:after="0"/>
              <w:rPr>
                <w:sz w:val="20"/>
                <w:szCs w:val="20"/>
                <w:color w:val="auto"/>
              </w:rPr>
            </w:pPr>
            <w:r>
              <w:rPr>
                <w:rFonts w:ascii="Arial" w:cs="Arial" w:eastAsia="Arial" w:hAnsi="Arial"/>
                <w:sz w:val="18"/>
                <w:szCs w:val="18"/>
                <w:color w:val="auto"/>
              </w:rPr>
              <w:t>37</w:t>
            </w:r>
          </w:p>
        </w:tc>
        <w:tc>
          <w:tcPr>
            <w:tcW w:w="3100" w:type="dxa"/>
            <w:vAlign w:val="bottom"/>
            <w:tcBorders>
              <w:bottom w:val="single" w:sz="8" w:color="auto"/>
              <w:right w:val="single" w:sz="8" w:color="auto"/>
            </w:tcBorders>
          </w:tcPr>
          <w:p>
            <w:pPr>
              <w:jc w:val="right"/>
              <w:ind w:right="709"/>
              <w:spacing w:after="0"/>
              <w:rPr>
                <w:sz w:val="20"/>
                <w:szCs w:val="20"/>
                <w:color w:val="auto"/>
              </w:rPr>
            </w:pPr>
            <w:r>
              <w:rPr>
                <w:rFonts w:ascii="Arial" w:cs="Arial" w:eastAsia="Arial" w:hAnsi="Arial"/>
                <w:sz w:val="18"/>
                <w:szCs w:val="18"/>
                <w:color w:val="auto"/>
              </w:rPr>
              <w:t>12,548,125</w:t>
            </w:r>
          </w:p>
        </w:tc>
        <w:tc>
          <w:tcPr>
            <w:tcW w:w="0" w:type="dxa"/>
            <w:vAlign w:val="bottom"/>
          </w:tcPr>
          <w:p>
            <w:pPr>
              <w:spacing w:after="0"/>
              <w:rPr>
                <w:sz w:val="1"/>
                <w:szCs w:val="1"/>
                <w:color w:val="auto"/>
              </w:rPr>
            </w:pPr>
          </w:p>
        </w:tc>
      </w:tr>
      <w:tr>
        <w:trPr>
          <w:trHeight w:val="397"/>
        </w:trPr>
        <w:tc>
          <w:tcPr>
            <w:tcW w:w="2700" w:type="dxa"/>
            <w:vAlign w:val="bottom"/>
            <w:tcBorders>
              <w:left w:val="single" w:sz="8" w:color="auto"/>
              <w:right w:val="single" w:sz="8" w:color="auto"/>
            </w:tcBorders>
            <w:shd w:val="clear" w:color="auto" w:fill="D9D9D9"/>
          </w:tcPr>
          <w:p>
            <w:pPr>
              <w:ind w:left="120"/>
              <w:spacing w:after="0"/>
              <w:rPr>
                <w:sz w:val="20"/>
                <w:szCs w:val="20"/>
                <w:color w:val="auto"/>
              </w:rPr>
            </w:pPr>
            <w:r>
              <w:rPr>
                <w:rFonts w:ascii="Arial" w:cs="Arial" w:eastAsia="Arial" w:hAnsi="Arial"/>
                <w:sz w:val="18"/>
                <w:szCs w:val="18"/>
                <w:color w:val="auto"/>
              </w:rPr>
              <w:t>Djalma Novaes</w:t>
            </w:r>
          </w:p>
        </w:tc>
        <w:tc>
          <w:tcPr>
            <w:tcW w:w="2760" w:type="dxa"/>
            <w:vAlign w:val="bottom"/>
            <w:tcBorders>
              <w:right w:val="single" w:sz="8" w:color="auto"/>
            </w:tcBorders>
            <w:shd w:val="clear" w:color="auto" w:fill="D9D9D9"/>
          </w:tcPr>
          <w:p>
            <w:pPr>
              <w:ind w:left="100"/>
              <w:spacing w:after="0"/>
              <w:rPr>
                <w:sz w:val="20"/>
                <w:szCs w:val="20"/>
                <w:color w:val="auto"/>
              </w:rPr>
            </w:pPr>
            <w:r>
              <w:rPr>
                <w:rFonts w:ascii="Arial" w:cs="Arial" w:eastAsia="Arial" w:hAnsi="Arial"/>
                <w:sz w:val="18"/>
                <w:szCs w:val="18"/>
                <w:color w:val="auto"/>
              </w:rPr>
              <w:t>Pension Plan</w:t>
            </w:r>
          </w:p>
        </w:tc>
        <w:tc>
          <w:tcPr>
            <w:tcW w:w="2140" w:type="dxa"/>
            <w:vAlign w:val="bottom"/>
            <w:tcBorders>
              <w:right w:val="single" w:sz="8" w:color="auto"/>
            </w:tcBorders>
            <w:shd w:val="clear" w:color="auto" w:fill="D9D9D9"/>
          </w:tcPr>
          <w:p>
            <w:pPr>
              <w:jc w:val="right"/>
              <w:ind w:right="749"/>
              <w:spacing w:after="0"/>
              <w:rPr>
                <w:sz w:val="20"/>
                <w:szCs w:val="20"/>
                <w:color w:val="auto"/>
              </w:rPr>
            </w:pPr>
            <w:r>
              <w:rPr>
                <w:rFonts w:ascii="Arial" w:cs="Arial" w:eastAsia="Arial" w:hAnsi="Arial"/>
                <w:sz w:val="18"/>
                <w:szCs w:val="18"/>
                <w:color w:val="auto"/>
              </w:rPr>
              <w:t>9</w:t>
            </w:r>
          </w:p>
        </w:tc>
        <w:tc>
          <w:tcPr>
            <w:tcW w:w="3100" w:type="dxa"/>
            <w:vAlign w:val="bottom"/>
            <w:tcBorders>
              <w:right w:val="single" w:sz="8" w:color="auto"/>
            </w:tcBorders>
            <w:shd w:val="clear" w:color="auto" w:fill="D9D9D9"/>
          </w:tcPr>
          <w:p>
            <w:pPr>
              <w:jc w:val="right"/>
              <w:ind w:right="729"/>
              <w:spacing w:after="0"/>
              <w:rPr>
                <w:sz w:val="20"/>
                <w:szCs w:val="20"/>
                <w:color w:val="auto"/>
              </w:rPr>
            </w:pPr>
            <w:r>
              <w:rPr>
                <w:rFonts w:ascii="Arial" w:cs="Arial" w:eastAsia="Arial" w:hAnsi="Arial"/>
                <w:sz w:val="18"/>
                <w:szCs w:val="18"/>
                <w:color w:val="auto"/>
              </w:rPr>
              <w:t>360,578</w:t>
            </w:r>
          </w:p>
        </w:tc>
        <w:tc>
          <w:tcPr>
            <w:tcW w:w="0" w:type="dxa"/>
            <w:vAlign w:val="bottom"/>
          </w:tcPr>
          <w:p>
            <w:pPr>
              <w:spacing w:after="0"/>
              <w:rPr>
                <w:sz w:val="1"/>
                <w:szCs w:val="1"/>
                <w:color w:val="auto"/>
              </w:rPr>
            </w:pPr>
          </w:p>
        </w:tc>
      </w:tr>
      <w:tr>
        <w:trPr>
          <w:trHeight w:val="228"/>
        </w:trPr>
        <w:tc>
          <w:tcPr>
            <w:tcW w:w="2700" w:type="dxa"/>
            <w:vAlign w:val="bottom"/>
            <w:tcBorders>
              <w:left w:val="single" w:sz="8" w:color="auto"/>
              <w:bottom w:val="single" w:sz="8" w:color="auto"/>
              <w:right w:val="single" w:sz="8" w:color="auto"/>
            </w:tcBorders>
            <w:shd w:val="clear" w:color="auto" w:fill="D9D9D9"/>
          </w:tcPr>
          <w:p>
            <w:pPr>
              <w:spacing w:after="0"/>
              <w:rPr>
                <w:sz w:val="19"/>
                <w:szCs w:val="19"/>
                <w:color w:val="auto"/>
              </w:rPr>
            </w:pPr>
          </w:p>
        </w:tc>
        <w:tc>
          <w:tcPr>
            <w:tcW w:w="2760" w:type="dxa"/>
            <w:vAlign w:val="bottom"/>
            <w:tcBorders>
              <w:bottom w:val="single" w:sz="8" w:color="auto"/>
              <w:right w:val="single" w:sz="8" w:color="auto"/>
            </w:tcBorders>
            <w:shd w:val="clear" w:color="auto" w:fill="D9D9D9"/>
          </w:tcPr>
          <w:p>
            <w:pPr>
              <w:ind w:left="100"/>
              <w:spacing w:after="0"/>
              <w:rPr>
                <w:sz w:val="20"/>
                <w:szCs w:val="20"/>
                <w:color w:val="auto"/>
              </w:rPr>
            </w:pPr>
            <w:r>
              <w:rPr>
                <w:rFonts w:ascii="Arial" w:cs="Arial" w:eastAsia="Arial" w:hAnsi="Arial"/>
                <w:sz w:val="18"/>
                <w:szCs w:val="18"/>
                <w:color w:val="auto"/>
              </w:rPr>
              <w:t>SERP</w:t>
            </w:r>
          </w:p>
        </w:tc>
        <w:tc>
          <w:tcPr>
            <w:tcW w:w="2140" w:type="dxa"/>
            <w:vAlign w:val="bottom"/>
            <w:tcBorders>
              <w:bottom w:val="single" w:sz="8" w:color="auto"/>
              <w:right w:val="single" w:sz="8" w:color="auto"/>
            </w:tcBorders>
            <w:shd w:val="clear" w:color="auto" w:fill="D9D9D9"/>
          </w:tcPr>
          <w:p>
            <w:pPr>
              <w:jc w:val="right"/>
              <w:ind w:right="749"/>
              <w:spacing w:after="0"/>
              <w:rPr>
                <w:sz w:val="20"/>
                <w:szCs w:val="20"/>
                <w:color w:val="auto"/>
              </w:rPr>
            </w:pPr>
            <w:r>
              <w:rPr>
                <w:rFonts w:ascii="Arial" w:cs="Arial" w:eastAsia="Arial" w:hAnsi="Arial"/>
                <w:sz w:val="18"/>
                <w:szCs w:val="18"/>
                <w:color w:val="auto"/>
              </w:rPr>
              <w:t>20</w:t>
            </w:r>
          </w:p>
        </w:tc>
        <w:tc>
          <w:tcPr>
            <w:tcW w:w="3100" w:type="dxa"/>
            <w:vAlign w:val="bottom"/>
            <w:tcBorders>
              <w:bottom w:val="single" w:sz="8" w:color="auto"/>
              <w:right w:val="single" w:sz="8" w:color="auto"/>
            </w:tcBorders>
            <w:shd w:val="clear" w:color="auto" w:fill="D9D9D9"/>
          </w:tcPr>
          <w:p>
            <w:pPr>
              <w:jc w:val="right"/>
              <w:ind w:right="709"/>
              <w:spacing w:after="0"/>
              <w:rPr>
                <w:sz w:val="20"/>
                <w:szCs w:val="20"/>
                <w:color w:val="auto"/>
              </w:rPr>
            </w:pPr>
            <w:r>
              <w:rPr>
                <w:rFonts w:ascii="Arial" w:cs="Arial" w:eastAsia="Arial" w:hAnsi="Arial"/>
                <w:sz w:val="18"/>
                <w:szCs w:val="18"/>
                <w:color w:val="auto"/>
              </w:rPr>
              <w:t>4,513,148</w:t>
            </w:r>
          </w:p>
        </w:tc>
        <w:tc>
          <w:tcPr>
            <w:tcW w:w="0" w:type="dxa"/>
            <w:vAlign w:val="bottom"/>
          </w:tcPr>
          <w:p>
            <w:pPr>
              <w:spacing w:after="0"/>
              <w:rPr>
                <w:sz w:val="1"/>
                <w:szCs w:val="1"/>
                <w:color w:val="auto"/>
              </w:rPr>
            </w:pPr>
          </w:p>
        </w:tc>
      </w:tr>
      <w:tr>
        <w:trPr>
          <w:trHeight w:val="397"/>
        </w:trPr>
        <w:tc>
          <w:tcPr>
            <w:tcW w:w="27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Robert Bourque</w:t>
            </w:r>
          </w:p>
        </w:tc>
        <w:tc>
          <w:tcPr>
            <w:tcW w:w="27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Pension Plan</w:t>
            </w:r>
          </w:p>
        </w:tc>
        <w:tc>
          <w:tcPr>
            <w:tcW w:w="2140" w:type="dxa"/>
            <w:vAlign w:val="bottom"/>
            <w:tcBorders>
              <w:right w:val="single" w:sz="8" w:color="auto"/>
            </w:tcBorders>
          </w:tcPr>
          <w:p>
            <w:pPr>
              <w:jc w:val="right"/>
              <w:ind w:right="749"/>
              <w:spacing w:after="0"/>
              <w:rPr>
                <w:sz w:val="20"/>
                <w:szCs w:val="20"/>
                <w:color w:val="auto"/>
              </w:rPr>
            </w:pPr>
            <w:r>
              <w:rPr>
                <w:rFonts w:ascii="Arial" w:cs="Arial" w:eastAsia="Arial" w:hAnsi="Arial"/>
                <w:sz w:val="18"/>
                <w:szCs w:val="18"/>
                <w:color w:val="auto"/>
              </w:rPr>
              <w:t>26</w:t>
            </w:r>
          </w:p>
        </w:tc>
        <w:tc>
          <w:tcPr>
            <w:tcW w:w="3100" w:type="dxa"/>
            <w:vAlign w:val="bottom"/>
            <w:tcBorders>
              <w:right w:val="single" w:sz="8" w:color="auto"/>
            </w:tcBorders>
          </w:tcPr>
          <w:p>
            <w:pPr>
              <w:jc w:val="right"/>
              <w:ind w:right="709"/>
              <w:spacing w:after="0"/>
              <w:rPr>
                <w:sz w:val="20"/>
                <w:szCs w:val="20"/>
                <w:color w:val="auto"/>
              </w:rPr>
            </w:pPr>
            <w:r>
              <w:rPr>
                <w:rFonts w:ascii="Arial" w:cs="Arial" w:eastAsia="Arial" w:hAnsi="Arial"/>
                <w:sz w:val="18"/>
                <w:szCs w:val="18"/>
                <w:color w:val="auto"/>
              </w:rPr>
              <w:t>678,957</w:t>
            </w:r>
          </w:p>
        </w:tc>
        <w:tc>
          <w:tcPr>
            <w:tcW w:w="0" w:type="dxa"/>
            <w:vAlign w:val="bottom"/>
          </w:tcPr>
          <w:p>
            <w:pPr>
              <w:spacing w:after="0"/>
              <w:rPr>
                <w:sz w:val="1"/>
                <w:szCs w:val="1"/>
                <w:color w:val="auto"/>
              </w:rPr>
            </w:pPr>
          </w:p>
        </w:tc>
      </w:tr>
      <w:tr>
        <w:trPr>
          <w:trHeight w:val="228"/>
        </w:trPr>
        <w:tc>
          <w:tcPr>
            <w:tcW w:w="2700" w:type="dxa"/>
            <w:vAlign w:val="bottom"/>
            <w:tcBorders>
              <w:left w:val="single" w:sz="8" w:color="auto"/>
              <w:bottom w:val="single" w:sz="8" w:color="auto"/>
              <w:right w:val="single" w:sz="8" w:color="auto"/>
            </w:tcBorders>
          </w:tcPr>
          <w:p>
            <w:pPr>
              <w:spacing w:after="0"/>
              <w:rPr>
                <w:sz w:val="19"/>
                <w:szCs w:val="19"/>
                <w:color w:val="auto"/>
              </w:rPr>
            </w:pPr>
          </w:p>
        </w:tc>
        <w:tc>
          <w:tcPr>
            <w:tcW w:w="27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SERP</w:t>
            </w:r>
          </w:p>
        </w:tc>
        <w:tc>
          <w:tcPr>
            <w:tcW w:w="2140" w:type="dxa"/>
            <w:vAlign w:val="bottom"/>
            <w:tcBorders>
              <w:bottom w:val="single" w:sz="8" w:color="auto"/>
              <w:right w:val="single" w:sz="8" w:color="auto"/>
            </w:tcBorders>
          </w:tcPr>
          <w:p>
            <w:pPr>
              <w:jc w:val="right"/>
              <w:ind w:right="749"/>
              <w:spacing w:after="0"/>
              <w:rPr>
                <w:sz w:val="20"/>
                <w:szCs w:val="20"/>
                <w:color w:val="auto"/>
              </w:rPr>
            </w:pPr>
            <w:r>
              <w:rPr>
                <w:rFonts w:ascii="Arial" w:cs="Arial" w:eastAsia="Arial" w:hAnsi="Arial"/>
                <w:sz w:val="18"/>
                <w:szCs w:val="18"/>
                <w:color w:val="auto"/>
              </w:rPr>
              <w:t>26</w:t>
            </w:r>
          </w:p>
        </w:tc>
        <w:tc>
          <w:tcPr>
            <w:tcW w:w="3100" w:type="dxa"/>
            <w:vAlign w:val="bottom"/>
            <w:tcBorders>
              <w:bottom w:val="single" w:sz="8" w:color="auto"/>
              <w:right w:val="single" w:sz="8" w:color="auto"/>
            </w:tcBorders>
          </w:tcPr>
          <w:p>
            <w:pPr>
              <w:jc w:val="right"/>
              <w:ind w:right="709"/>
              <w:spacing w:after="0"/>
              <w:rPr>
                <w:sz w:val="20"/>
                <w:szCs w:val="20"/>
                <w:color w:val="auto"/>
              </w:rPr>
            </w:pPr>
            <w:r>
              <w:rPr>
                <w:rFonts w:ascii="Arial" w:cs="Arial" w:eastAsia="Arial" w:hAnsi="Arial"/>
                <w:sz w:val="18"/>
                <w:szCs w:val="18"/>
                <w:color w:val="auto"/>
              </w:rPr>
              <w:t>2,892,332</w:t>
            </w:r>
          </w:p>
        </w:tc>
        <w:tc>
          <w:tcPr>
            <w:tcW w:w="0" w:type="dxa"/>
            <w:vAlign w:val="bottom"/>
          </w:tcPr>
          <w:p>
            <w:pPr>
              <w:spacing w:after="0"/>
              <w:rPr>
                <w:sz w:val="1"/>
                <w:szCs w:val="1"/>
                <w:color w:val="auto"/>
              </w:rPr>
            </w:pPr>
          </w:p>
        </w:tc>
      </w:tr>
    </w:tbl>
    <w:p>
      <w:pPr>
        <w:spacing w:after="0" w:line="278" w:lineRule="exact"/>
        <w:rPr>
          <w:sz w:val="20"/>
          <w:szCs w:val="20"/>
          <w:color w:val="auto"/>
        </w:rPr>
      </w:pPr>
    </w:p>
    <w:p>
      <w:pPr>
        <w:ind w:left="301" w:hanging="301"/>
        <w:spacing w:after="0" w:line="274" w:lineRule="auto"/>
        <w:tabs>
          <w:tab w:leader="none" w:pos="301"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U.S. Pension Plan in which all NEOs participate is designed and administered to qualify under Section 401(a) of the Code. For further information, see “Compensation Discussion and Analysis – Retirement Benefits.”</w:t>
      </w:r>
    </w:p>
    <w:p>
      <w:pPr>
        <w:spacing w:after="0" w:line="49" w:lineRule="exact"/>
        <w:rPr>
          <w:rFonts w:ascii="Arial" w:cs="Arial" w:eastAsia="Arial" w:hAnsi="Arial"/>
          <w:sz w:val="17"/>
          <w:szCs w:val="17"/>
          <w:color w:val="auto"/>
        </w:rPr>
      </w:pPr>
    </w:p>
    <w:p>
      <w:pPr>
        <w:jc w:val="both"/>
        <w:ind w:left="301" w:hanging="301"/>
        <w:spacing w:after="0" w:line="248" w:lineRule="auto"/>
        <w:tabs>
          <w:tab w:leader="none" w:pos="301"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annual benefit for the NEOs under the SERP is based upon a formula equal to (i) 2.0% of the average of the five highest consecutive years of earnings during the last 10 years of service (consisting of salary and bonus, but excluding stock compensation, and determined without regard to the limits imposed on tax-qualified plans) times years of service up to twenty years plus (ii) 1.45% of such average earnings for the next fifteen years of service plus (iii) at the discretion of the Compensation Committee, 1% of such average earnings for years of service beyond thirty-five years less (iv) Social Security old-age benefits (and similar benefits provided in foreign jurisdictions) attributable to employment with the Company and the Company-funded portion of the executive’s Pension Plan benefits. In the case of Mr. Gifford, the SERP is also reduced by his benefits under the Company’s Restoration Plan. For further information, see “Compensation Discussion and Analysis – Retirement Benefits.”</w:t>
      </w:r>
    </w:p>
    <w:p>
      <w:pPr>
        <w:spacing w:after="0" w:line="74" w:lineRule="exact"/>
        <w:rPr>
          <w:rFonts w:ascii="Arial" w:cs="Arial" w:eastAsia="Arial" w:hAnsi="Arial"/>
          <w:sz w:val="17"/>
          <w:szCs w:val="17"/>
          <w:color w:val="auto"/>
        </w:rPr>
      </w:pPr>
    </w:p>
    <w:p>
      <w:pPr>
        <w:ind w:left="301" w:hanging="301"/>
        <w:spacing w:after="0"/>
        <w:tabs>
          <w:tab w:leader="none" w:pos="301" w:val="left"/>
        </w:tabs>
        <w:numPr>
          <w:ilvl w:val="0"/>
          <w:numId w:val="40"/>
        </w:numPr>
        <w:rPr>
          <w:rFonts w:ascii="Arial" w:cs="Arial" w:eastAsia="Arial" w:hAnsi="Arial"/>
          <w:sz w:val="17"/>
          <w:szCs w:val="17"/>
          <w:color w:val="auto"/>
        </w:rPr>
      </w:pPr>
      <w:r>
        <w:rPr>
          <w:rFonts w:ascii="Arial" w:cs="Arial" w:eastAsia="Arial" w:hAnsi="Arial"/>
          <w:sz w:val="17"/>
          <w:szCs w:val="17"/>
          <w:color w:val="auto"/>
        </w:rPr>
        <w:t>Years of service are rounded to the nearest full year.</w:t>
      </w:r>
    </w:p>
    <w:p>
      <w:pPr>
        <w:spacing w:after="0" w:line="102" w:lineRule="exact"/>
        <w:rPr>
          <w:rFonts w:ascii="Arial" w:cs="Arial" w:eastAsia="Arial" w:hAnsi="Arial"/>
          <w:sz w:val="17"/>
          <w:szCs w:val="17"/>
          <w:color w:val="auto"/>
        </w:rPr>
      </w:pPr>
    </w:p>
    <w:p>
      <w:pPr>
        <w:jc w:val="both"/>
        <w:ind w:left="301" w:hanging="301"/>
        <w:spacing w:after="0" w:line="255" w:lineRule="auto"/>
        <w:tabs>
          <w:tab w:leader="none" w:pos="301" w:val="left"/>
        </w:tabs>
        <w:numPr>
          <w:ilvl w:val="0"/>
          <w:numId w:val="40"/>
        </w:numPr>
        <w:rPr>
          <w:rFonts w:ascii="Arial" w:cs="Arial" w:eastAsia="Arial" w:hAnsi="Arial"/>
          <w:sz w:val="17"/>
          <w:szCs w:val="17"/>
          <w:color w:val="auto"/>
        </w:rPr>
      </w:pPr>
      <w:r>
        <w:rPr>
          <w:rFonts w:ascii="Arial" w:cs="Arial" w:eastAsia="Arial" w:hAnsi="Arial"/>
          <w:sz w:val="17"/>
          <w:szCs w:val="17"/>
          <w:color w:val="auto"/>
        </w:rPr>
        <w:t xml:space="preserve">The calculation of the lump sum present value is based on assumptions that were in accordance with the guidelines of FASB ASC Topic 715 and that are discussed in Note R, “Pension and Other Postretirement Benefits” to the financial statements in the Company’s Annual Report on Form 10-K for the fiscal year ended December 31, 2019. </w:t>
      </w:r>
      <w:r>
        <w:rPr>
          <w:rFonts w:ascii="Arial" w:cs="Arial" w:eastAsia="Arial" w:hAnsi="Arial"/>
          <w:sz w:val="18"/>
          <w:szCs w:val="18"/>
          <w:color w:val="auto"/>
        </w:rPr>
        <w:t>Interest rates continue to be at historic lows which inflate the present value of such benefits. Future increases in interest</w:t>
      </w:r>
      <w:r>
        <w:rPr>
          <w:rFonts w:ascii="Arial" w:cs="Arial" w:eastAsia="Arial" w:hAnsi="Arial"/>
          <w:sz w:val="17"/>
          <w:szCs w:val="17"/>
          <w:color w:val="auto"/>
        </w:rPr>
        <w:t xml:space="preserve"> </w:t>
      </w:r>
      <w:r>
        <w:rPr>
          <w:rFonts w:ascii="Arial" w:cs="Arial" w:eastAsia="Arial" w:hAnsi="Arial"/>
          <w:sz w:val="18"/>
          <w:szCs w:val="18"/>
          <w:color w:val="auto"/>
        </w:rPr>
        <w:t>rates could cause a significant reduction in the lump sum value of such benefits.</w:t>
      </w:r>
    </w:p>
    <w:p>
      <w:pPr>
        <w:spacing w:after="0" w:line="62" w:lineRule="exact"/>
        <w:rPr>
          <w:rFonts w:ascii="Arial" w:cs="Arial" w:eastAsia="Arial" w:hAnsi="Arial"/>
          <w:sz w:val="17"/>
          <w:szCs w:val="17"/>
          <w:color w:val="auto"/>
        </w:rPr>
      </w:pPr>
    </w:p>
    <w:p>
      <w:pPr>
        <w:ind w:left="301" w:hanging="301"/>
        <w:spacing w:after="0"/>
        <w:tabs>
          <w:tab w:leader="none" w:pos="301" w:val="left"/>
        </w:tabs>
        <w:numPr>
          <w:ilvl w:val="0"/>
          <w:numId w:val="40"/>
        </w:numPr>
        <w:rPr>
          <w:rFonts w:ascii="Arial" w:cs="Arial" w:eastAsia="Arial" w:hAnsi="Arial"/>
          <w:sz w:val="17"/>
          <w:szCs w:val="17"/>
          <w:color w:val="auto"/>
        </w:rPr>
      </w:pPr>
      <w:r>
        <w:rPr>
          <w:rFonts w:ascii="Arial" w:cs="Arial" w:eastAsia="Arial" w:hAnsi="Arial"/>
          <w:sz w:val="17"/>
          <w:szCs w:val="17"/>
          <w:color w:val="auto"/>
        </w:rPr>
        <w:t>All of the benefits are vested with respect to the NEOs with exception of the SERP benefits for Mr. Bourque.</w:t>
      </w:r>
    </w:p>
    <w:p>
      <w:pPr>
        <w:spacing w:after="0" w:line="102" w:lineRule="exact"/>
        <w:rPr>
          <w:rFonts w:ascii="Arial" w:cs="Arial" w:eastAsia="Arial" w:hAnsi="Arial"/>
          <w:sz w:val="17"/>
          <w:szCs w:val="17"/>
          <w:color w:val="auto"/>
        </w:rPr>
      </w:pPr>
    </w:p>
    <w:p>
      <w:pPr>
        <w:jc w:val="both"/>
        <w:ind w:left="301" w:hanging="301"/>
        <w:spacing w:after="0" w:line="282" w:lineRule="auto"/>
        <w:tabs>
          <w:tab w:leader="none" w:pos="301"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annual supplemental retirement benefit for Mr. Gifford under the Restoration Plan is equal to the difference between (i) the annual benefit he would have accrued under the U.S. Pension Plan if his target bonus amount were included in compensation for purposes of calculating his benefit under such Plan and if certain statutory limitations on benefit accrual did not apply and (ii) the annual benefit he actually accrued under the U.S. Pension Plan.</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56</w:t>
      </w:r>
    </w:p>
    <w:p>
      <w:pPr>
        <w:sectPr>
          <w:pgSz w:w="11900" w:h="16838" w:orient="portrait"/>
          <w:cols w:equalWidth="0" w:num="1">
            <w:col w:w="11241"/>
          </w:cols>
          <w:pgMar w:left="319" w:top="437" w:right="339" w:bottom="1440" w:gutter="0" w:footer="0" w:header="0"/>
        </w:sectPr>
      </w:pPr>
    </w:p>
    <w:bookmarkStart w:id="60" w:name="page61"/>
    <w:bookmarkEnd w:id="60"/>
    <w:p>
      <w:pPr>
        <w:jc w:val="center"/>
        <w:spacing w:after="0"/>
        <w:rPr>
          <w:sz w:val="20"/>
          <w:szCs w:val="20"/>
          <w:color w:val="auto"/>
        </w:rPr>
      </w:pPr>
      <w:r>
        <w:rPr>
          <w:rFonts w:ascii="Arial" w:cs="Arial" w:eastAsia="Arial" w:hAnsi="Arial"/>
          <w:sz w:val="20"/>
          <w:szCs w:val="20"/>
          <w:b w:val="1"/>
          <w:bCs w:val="1"/>
          <w:color w:val="auto"/>
        </w:rPr>
        <w:t>Employment Agreements and Potential Payments upon Termination</w:t>
      </w:r>
    </w:p>
    <w:p>
      <w:pPr>
        <w:spacing w:after="0" w:line="322" w:lineRule="exact"/>
        <w:rPr>
          <w:sz w:val="20"/>
          <w:szCs w:val="20"/>
          <w:color w:val="auto"/>
        </w:rPr>
      </w:pPr>
    </w:p>
    <w:p>
      <w:pPr>
        <w:jc w:val="both"/>
        <w:ind w:firstLine="595"/>
        <w:spacing w:after="0" w:line="257" w:lineRule="auto"/>
        <w:rPr>
          <w:sz w:val="20"/>
          <w:szCs w:val="20"/>
          <w:color w:val="auto"/>
        </w:rPr>
      </w:pPr>
      <w:r>
        <w:rPr>
          <w:rFonts w:ascii="Arial" w:cs="Arial" w:eastAsia="Arial" w:hAnsi="Arial"/>
          <w:sz w:val="19"/>
          <w:szCs w:val="19"/>
          <w:color w:val="auto"/>
        </w:rPr>
        <w:t>The Company has employment agreements with all of its NEOs. In addition to the compensation and benefits described above, these contracts provide for certain post-employment severance payments in the event of employment termination under certain circumstances. The Committee believes that these contracts provide an incentive to the NEOs to remain with the Company and serve to align the interests of the NEOs and Shareholders, including in the event of a potential acquisition of the Company.</w:t>
      </w:r>
    </w:p>
    <w:p>
      <w:pPr>
        <w:spacing w:after="0" w:line="180" w:lineRule="exact"/>
        <w:rPr>
          <w:sz w:val="20"/>
          <w:szCs w:val="20"/>
          <w:color w:val="auto"/>
        </w:rPr>
      </w:pPr>
    </w:p>
    <w:p>
      <w:pPr>
        <w:jc w:val="both"/>
        <w:ind w:firstLine="595"/>
        <w:spacing w:after="0"/>
        <w:rPr>
          <w:sz w:val="20"/>
          <w:szCs w:val="20"/>
          <w:color w:val="auto"/>
        </w:rPr>
      </w:pPr>
      <w:r>
        <w:rPr>
          <w:rFonts w:ascii="Arial" w:cs="Arial" w:eastAsia="Arial" w:hAnsi="Arial"/>
          <w:sz w:val="20"/>
          <w:szCs w:val="20"/>
          <w:color w:val="auto"/>
        </w:rPr>
        <w:t>Under his employment agreement, Mr. Donahue has agreed that, during his employment and for two years thereafter, he will not compete with the Company or solicit Company employees to terminate employment with the Company. All other NEOs are subject to a similar non-competition provision that is limited to a one-year post-employment period prior to a change in control and two years following a change in control.</w:t>
      </w:r>
    </w:p>
    <w:p>
      <w:pPr>
        <w:spacing w:after="0" w:line="172" w:lineRule="exact"/>
        <w:rPr>
          <w:sz w:val="20"/>
          <w:szCs w:val="20"/>
          <w:color w:val="auto"/>
        </w:rPr>
      </w:pPr>
    </w:p>
    <w:p>
      <w:pPr>
        <w:jc w:val="both"/>
        <w:ind w:firstLine="595"/>
        <w:spacing w:after="0" w:line="262" w:lineRule="auto"/>
        <w:rPr>
          <w:sz w:val="20"/>
          <w:szCs w:val="20"/>
          <w:color w:val="auto"/>
        </w:rPr>
      </w:pPr>
      <w:r>
        <w:rPr>
          <w:rFonts w:ascii="Arial" w:cs="Arial" w:eastAsia="Arial" w:hAnsi="Arial"/>
          <w:sz w:val="18"/>
          <w:szCs w:val="18"/>
          <w:color w:val="auto"/>
        </w:rPr>
        <w:t>Under the agreement for each of the NEOs, if the executive’s employment is terminated because of a voluntary termination or retirement, the Company will pay the executive his base salary through the date of termination or retirement, a pro-rated bonus payment and any vested retirement, incentive or other benefits. The pro-rated bonus payment is based on the actual bonus for all NEOs except for Mr. Gifford, whose pro-rated payment is based on his target bonus in the event of his voluntary termination or retirement. In the event of death, the compensation is identical to the above except that the pro-rated bonus payment is based on the actual bonus for Messrs. Donahue and Bourque, but on the target bonus for Messrs. Kelly, Gifford and Novaes. All payments will be made to the executive’s estate in the event of death. In the case of a termination of employment due to a disability, each of the NEOs other than Mr. Donahue will be entitled to his base salary through the date of disability, a pro-rated bonus payment and any vested retirement, incentive or other benefits, plus an annual disability benefit equal to 75% of his base salary. The pro-rated bonus payment is based on the target bonus for Messrs. Kelly, Gifford and Novaes and the actual bonus for Mr. Bourque. In the case of Mr. Donahue’s disability, he will be entitled to his base salary through the date of disability, an annual disability benefit equal to 100% of his base salary plus a bonus equal to the average annual bonus paid or payable to him for the three most recently completed years, and any vested retirement, incentive or other benefits. If the employment of any of the NEOs is terminated for “Cause,” the Company will pay to the executive only the base salary owed through his date of termination and his vested retirement, incentive or other benefits.</w:t>
      </w:r>
    </w:p>
    <w:p>
      <w:pPr>
        <w:spacing w:after="0" w:line="161" w:lineRule="exact"/>
        <w:rPr>
          <w:sz w:val="20"/>
          <w:szCs w:val="20"/>
          <w:color w:val="auto"/>
        </w:rPr>
      </w:pPr>
    </w:p>
    <w:p>
      <w:pPr>
        <w:jc w:val="both"/>
        <w:ind w:firstLine="595"/>
        <w:spacing w:after="0" w:line="266" w:lineRule="auto"/>
        <w:rPr>
          <w:sz w:val="20"/>
          <w:szCs w:val="20"/>
          <w:color w:val="auto"/>
        </w:rPr>
      </w:pPr>
      <w:r>
        <w:rPr>
          <w:rFonts w:ascii="Arial" w:cs="Arial" w:eastAsia="Arial" w:hAnsi="Arial"/>
          <w:sz w:val="18"/>
          <w:szCs w:val="18"/>
          <w:color w:val="auto"/>
        </w:rPr>
        <w:t>Under the agreement for Mr. Donahue, if the employment of the executive is terminated by the Company without Cause or by the executive for “Good Reason” other than within the 12-month period following a “Change in Control,” in addition to the executive’s base salary through the date of termination, the Company will pay to the executive (i) a pro-rated actual bonus payment and (ii) a lump-sum payment equal to three times the sum of the executive’s base salary and his target bonus for the year of termination. Under the agreement for each of the other NEOs, upon the termination of the executive’s employment by the Company without Cause other than within the 12-month period following a Change in Control, the Company will pay to the executive (i) his base salary through the date of termination, (ii) a pro-rated actual (but, for Mr. Gifford, a pro-rated target) bonus payment and (iii) a lump-sum payment equal to the executive’s annual base salary. In all such cases, the Company will also pay to the executive any vested retirement, incentive or other benefits.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57</w:t>
      </w:r>
    </w:p>
    <w:p>
      <w:pPr>
        <w:sectPr>
          <w:pgSz w:w="11900" w:h="16838" w:orient="portrait"/>
          <w:cols w:equalWidth="0" w:num="1">
            <w:col w:w="11240"/>
          </w:cols>
          <w:pgMar w:left="320" w:top="437" w:right="339" w:bottom="1440" w:gutter="0" w:footer="0" w:header="0"/>
        </w:sectPr>
      </w:pPr>
    </w:p>
    <w:bookmarkStart w:id="61" w:name="page62"/>
    <w:bookmarkEnd w:id="61"/>
    <w:p>
      <w:pPr>
        <w:jc w:val="both"/>
        <w:ind w:firstLine="595"/>
        <w:spacing w:after="0" w:line="263" w:lineRule="auto"/>
        <w:rPr>
          <w:sz w:val="20"/>
          <w:szCs w:val="20"/>
          <w:color w:val="auto"/>
        </w:rPr>
      </w:pPr>
      <w:r>
        <w:rPr>
          <w:rFonts w:ascii="Arial" w:cs="Arial" w:eastAsia="Arial" w:hAnsi="Arial"/>
          <w:sz w:val="18"/>
          <w:szCs w:val="18"/>
          <w:color w:val="auto"/>
        </w:rPr>
        <w:t>Under the agreement for each of the NEOs, if the executive’s employment is terminated by the Company without Cause or by the executive for Good Reason, during the 12-month period following a Change in Control, the Company will pay him (i) his base salary through the date of termination plus, (ii) a lump-sum payment equal to three times the sum of the executive’s base salary and his average bonus over the three completed years prior to the year of termination. On a Change in Control, all stock options and time-based restricted stock granted to the executive by the Company will become fully vested and, in the case of stock options, immediately exercisable. In addition, on a Change in Control, performance-based restricted stock will vest based upon the Company’s performance as compared to the applicable performance goals between the relevant grant date(s) and the date of the Change in Control. In all such cases, the Company will also pay to the executive any vested retirement, incentive or other benefits. To the extent that the executive would be subject to the excise tax under Code Section 4999 on the amounts and benefits received on a Change in Control for purposes of Code Section 280G, either (i) such amounts and benefits will be reduced or delayed by the minimum amount necessary such that no portion of the amount or benefits is subject to the excise tax or (ii) the full amount and benefits shall be paid, whichever, after taking into account all applicable taxes, including the excise tax, results in the executive’s receipt, or an after-tax basis, of the greater amount and benefits.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58</w:t>
      </w:r>
    </w:p>
    <w:p>
      <w:pPr>
        <w:sectPr>
          <w:pgSz w:w="11900" w:h="16838" w:orient="portrait"/>
          <w:cols w:equalWidth="0" w:num="1">
            <w:col w:w="11240"/>
          </w:cols>
          <w:pgMar w:left="320" w:top="889" w:right="339" w:bottom="1440" w:gutter="0" w:footer="0" w:header="0"/>
        </w:sectPr>
      </w:pPr>
    </w:p>
    <w:bookmarkStart w:id="62" w:name="page63"/>
    <w:bookmarkEnd w:id="62"/>
    <w:p>
      <w:pPr>
        <w:ind w:left="1" w:firstLine="595"/>
        <w:spacing w:after="0" w:line="254" w:lineRule="auto"/>
        <w:rPr>
          <w:sz w:val="20"/>
          <w:szCs w:val="20"/>
          <w:color w:val="auto"/>
        </w:rPr>
      </w:pPr>
      <w:r>
        <w:rPr>
          <w:rFonts w:ascii="Arial" w:cs="Arial" w:eastAsia="Arial" w:hAnsi="Arial"/>
          <w:sz w:val="20"/>
          <w:szCs w:val="20"/>
          <w:color w:val="auto"/>
        </w:rPr>
        <w:t>The following table provides estimates of the potential severance and other post-termination benefits each NEO would receive assuming his employment was terminated as of December 31, 2019.</w:t>
      </w:r>
    </w:p>
    <w:p>
      <w:pPr>
        <w:spacing w:after="0" w:line="182" w:lineRule="exact"/>
        <w:rPr>
          <w:sz w:val="20"/>
          <w:szCs w:val="20"/>
          <w:color w:val="auto"/>
        </w:rPr>
      </w:pPr>
    </w:p>
    <w:tbl>
      <w:tblPr>
        <w:tblLayout w:type="fixed"/>
        <w:tblInd w:w="11" w:type="dxa"/>
        <w:tblCellMar>
          <w:top w:w="0" w:type="dxa"/>
          <w:left w:w="0" w:type="dxa"/>
          <w:bottom w:w="0" w:type="dxa"/>
          <w:right w:w="0" w:type="dxa"/>
        </w:tblCellMar>
      </w:tblPr>
      <w:tr>
        <w:trPr>
          <w:trHeight w:val="186"/>
        </w:trPr>
        <w:tc>
          <w:tcPr>
            <w:tcW w:w="1480" w:type="dxa"/>
            <w:vAlign w:val="bottom"/>
            <w:tcBorders>
              <w:top w:val="single" w:sz="8" w:color="auto"/>
              <w:left w:val="single" w:sz="8" w:color="auto"/>
              <w:right w:val="single" w:sz="8" w:color="auto"/>
            </w:tcBorders>
            <w:shd w:val="clear" w:color="auto" w:fill="29650B"/>
          </w:tcPr>
          <w:p>
            <w:pPr>
              <w:spacing w:after="0"/>
              <w:rPr>
                <w:sz w:val="16"/>
                <w:szCs w:val="16"/>
                <w:color w:val="auto"/>
              </w:rPr>
            </w:pPr>
          </w:p>
        </w:tc>
        <w:tc>
          <w:tcPr>
            <w:tcW w:w="1800" w:type="dxa"/>
            <w:vAlign w:val="bottom"/>
            <w:tcBorders>
              <w:top w:val="single" w:sz="8" w:color="auto"/>
              <w:right w:val="single" w:sz="8" w:color="auto"/>
            </w:tcBorders>
            <w:shd w:val="clear" w:color="auto" w:fill="29650B"/>
          </w:tcPr>
          <w:p>
            <w:pPr>
              <w:spacing w:after="0"/>
              <w:rPr>
                <w:sz w:val="16"/>
                <w:szCs w:val="16"/>
                <w:color w:val="auto"/>
              </w:rPr>
            </w:pPr>
          </w:p>
        </w:tc>
        <w:tc>
          <w:tcPr>
            <w:tcW w:w="2600" w:type="dxa"/>
            <w:vAlign w:val="bottom"/>
            <w:tcBorders>
              <w:top w:val="single" w:sz="8" w:color="auto"/>
              <w:right w:val="single" w:sz="8" w:color="auto"/>
            </w:tcBorders>
            <w:shd w:val="clear" w:color="auto" w:fill="29650B"/>
          </w:tcPr>
          <w:p>
            <w:pPr>
              <w:spacing w:after="0"/>
              <w:rPr>
                <w:sz w:val="16"/>
                <w:szCs w:val="16"/>
                <w:color w:val="auto"/>
              </w:rPr>
            </w:pPr>
          </w:p>
        </w:tc>
        <w:tc>
          <w:tcPr>
            <w:tcW w:w="1460" w:type="dxa"/>
            <w:vAlign w:val="bottom"/>
            <w:tcBorders>
              <w:top w:val="single" w:sz="8" w:color="auto"/>
              <w:right w:val="single" w:sz="8" w:color="auto"/>
            </w:tcBorders>
            <w:shd w:val="clear" w:color="auto" w:fill="29650B"/>
          </w:tcPr>
          <w:p>
            <w:pPr>
              <w:jc w:val="center"/>
              <w:spacing w:after="0"/>
              <w:rPr>
                <w:sz w:val="20"/>
                <w:szCs w:val="20"/>
                <w:color w:val="auto"/>
              </w:rPr>
            </w:pPr>
            <w:r>
              <w:rPr>
                <w:rFonts w:ascii="Arial" w:cs="Arial" w:eastAsia="Arial" w:hAnsi="Arial"/>
                <w:sz w:val="15"/>
                <w:szCs w:val="15"/>
                <w:b w:val="1"/>
                <w:bCs w:val="1"/>
                <w:color w:val="FFFFFF"/>
                <w:w w:val="89"/>
              </w:rPr>
              <w:t>Resignation for</w:t>
            </w:r>
          </w:p>
        </w:tc>
        <w:tc>
          <w:tcPr>
            <w:tcW w:w="1780" w:type="dxa"/>
            <w:vAlign w:val="bottom"/>
            <w:tcBorders>
              <w:top w:val="single" w:sz="8" w:color="auto"/>
              <w:right w:val="single" w:sz="8" w:color="auto"/>
            </w:tcBorders>
            <w:shd w:val="clear" w:color="auto" w:fill="29650B"/>
          </w:tcPr>
          <w:p>
            <w:pPr>
              <w:spacing w:after="0"/>
              <w:rPr>
                <w:sz w:val="16"/>
                <w:szCs w:val="16"/>
                <w:color w:val="auto"/>
              </w:rPr>
            </w:pPr>
          </w:p>
        </w:tc>
        <w:tc>
          <w:tcPr>
            <w:tcW w:w="2140" w:type="dxa"/>
            <w:vAlign w:val="bottom"/>
            <w:tcBorders>
              <w:top w:val="single" w:sz="8" w:color="auto"/>
              <w:right w:val="single" w:sz="8" w:color="auto"/>
            </w:tcBorders>
            <w:shd w:val="clear" w:color="auto" w:fill="29650B"/>
          </w:tcPr>
          <w:p>
            <w:pPr>
              <w:spacing w:after="0"/>
              <w:rPr>
                <w:sz w:val="16"/>
                <w:szCs w:val="16"/>
                <w:color w:val="auto"/>
              </w:rPr>
            </w:pPr>
          </w:p>
        </w:tc>
      </w:tr>
      <w:tr>
        <w:trPr>
          <w:trHeight w:val="186"/>
        </w:trPr>
        <w:tc>
          <w:tcPr>
            <w:tcW w:w="1480" w:type="dxa"/>
            <w:vAlign w:val="bottom"/>
            <w:tcBorders>
              <w:left w:val="single" w:sz="8" w:color="auto"/>
              <w:right w:val="single" w:sz="8" w:color="auto"/>
            </w:tcBorders>
            <w:shd w:val="clear" w:color="auto" w:fill="29650B"/>
          </w:tcPr>
          <w:p>
            <w:pPr>
              <w:spacing w:after="0"/>
              <w:rPr>
                <w:sz w:val="16"/>
                <w:szCs w:val="16"/>
                <w:color w:val="auto"/>
              </w:rPr>
            </w:pPr>
          </w:p>
        </w:tc>
        <w:tc>
          <w:tcPr>
            <w:tcW w:w="1800" w:type="dxa"/>
            <w:vAlign w:val="bottom"/>
            <w:tcBorders>
              <w:right w:val="single" w:sz="8" w:color="auto"/>
            </w:tcBorders>
            <w:shd w:val="clear" w:color="auto" w:fill="29650B"/>
          </w:tcPr>
          <w:p>
            <w:pPr>
              <w:spacing w:after="0"/>
              <w:rPr>
                <w:sz w:val="16"/>
                <w:szCs w:val="16"/>
                <w:color w:val="auto"/>
              </w:rPr>
            </w:pPr>
          </w:p>
        </w:tc>
        <w:tc>
          <w:tcPr>
            <w:tcW w:w="260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5"/>
                <w:szCs w:val="15"/>
                <w:b w:val="1"/>
                <w:bCs w:val="1"/>
                <w:color w:val="FFFFFF"/>
                <w:w w:val="91"/>
              </w:rPr>
              <w:t>Termination upon</w:t>
            </w:r>
          </w:p>
        </w:tc>
        <w:tc>
          <w:tcPr>
            <w:tcW w:w="146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5"/>
                <w:szCs w:val="15"/>
                <w:b w:val="1"/>
                <w:bCs w:val="1"/>
                <w:color w:val="FFFFFF"/>
                <w:w w:val="88"/>
              </w:rPr>
              <w:t>Good Reason</w:t>
            </w:r>
          </w:p>
        </w:tc>
        <w:tc>
          <w:tcPr>
            <w:tcW w:w="178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5"/>
                <w:szCs w:val="15"/>
                <w:b w:val="1"/>
                <w:bCs w:val="1"/>
                <w:color w:val="FFFFFF"/>
                <w:w w:val="93"/>
              </w:rPr>
              <w:t>Termination</w:t>
            </w:r>
          </w:p>
        </w:tc>
        <w:tc>
          <w:tcPr>
            <w:tcW w:w="214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5"/>
                <w:szCs w:val="15"/>
                <w:b w:val="1"/>
                <w:bCs w:val="1"/>
                <w:color w:val="FFFFFF"/>
                <w:w w:val="90"/>
              </w:rPr>
              <w:t>Termination without Cause or</w:t>
            </w:r>
          </w:p>
        </w:tc>
      </w:tr>
      <w:tr>
        <w:trPr>
          <w:trHeight w:val="186"/>
        </w:trPr>
        <w:tc>
          <w:tcPr>
            <w:tcW w:w="1480" w:type="dxa"/>
            <w:vAlign w:val="bottom"/>
            <w:tcBorders>
              <w:left w:val="single" w:sz="8" w:color="auto"/>
              <w:right w:val="single" w:sz="8" w:color="auto"/>
            </w:tcBorders>
            <w:shd w:val="clear" w:color="auto" w:fill="29650B"/>
          </w:tcPr>
          <w:p>
            <w:pPr>
              <w:spacing w:after="0"/>
              <w:rPr>
                <w:sz w:val="16"/>
                <w:szCs w:val="16"/>
                <w:color w:val="auto"/>
              </w:rPr>
            </w:pPr>
          </w:p>
        </w:tc>
        <w:tc>
          <w:tcPr>
            <w:tcW w:w="1800" w:type="dxa"/>
            <w:vAlign w:val="bottom"/>
            <w:tcBorders>
              <w:right w:val="single" w:sz="8" w:color="auto"/>
            </w:tcBorders>
            <w:shd w:val="clear" w:color="auto" w:fill="29650B"/>
          </w:tcPr>
          <w:p>
            <w:pPr>
              <w:spacing w:after="0"/>
              <w:rPr>
                <w:sz w:val="16"/>
                <w:szCs w:val="16"/>
                <w:color w:val="auto"/>
              </w:rPr>
            </w:pPr>
          </w:p>
        </w:tc>
        <w:tc>
          <w:tcPr>
            <w:tcW w:w="260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5"/>
                <w:szCs w:val="15"/>
                <w:b w:val="1"/>
                <w:bCs w:val="1"/>
                <w:color w:val="FFFFFF"/>
                <w:w w:val="92"/>
              </w:rPr>
              <w:t>Retirement,</w:t>
            </w:r>
          </w:p>
        </w:tc>
        <w:tc>
          <w:tcPr>
            <w:tcW w:w="146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5"/>
                <w:szCs w:val="15"/>
                <w:b w:val="1"/>
                <w:bCs w:val="1"/>
                <w:color w:val="FFFFFF"/>
                <w:w w:val="95"/>
              </w:rPr>
              <w:t>prior to a</w:t>
            </w:r>
          </w:p>
        </w:tc>
        <w:tc>
          <w:tcPr>
            <w:tcW w:w="178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5"/>
                <w:szCs w:val="15"/>
                <w:b w:val="1"/>
                <w:bCs w:val="1"/>
                <w:color w:val="FFFFFF"/>
                <w:w w:val="90"/>
              </w:rPr>
              <w:t>without Cause prior</w:t>
            </w:r>
          </w:p>
        </w:tc>
        <w:tc>
          <w:tcPr>
            <w:tcW w:w="214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5"/>
                <w:szCs w:val="15"/>
                <w:b w:val="1"/>
                <w:bCs w:val="1"/>
                <w:color w:val="FFFFFF"/>
                <w:w w:val="88"/>
              </w:rPr>
              <w:t>Resignation for Good</w:t>
            </w:r>
          </w:p>
        </w:tc>
      </w:tr>
      <w:tr>
        <w:trPr>
          <w:trHeight w:val="186"/>
        </w:trPr>
        <w:tc>
          <w:tcPr>
            <w:tcW w:w="1480" w:type="dxa"/>
            <w:vAlign w:val="bottom"/>
            <w:tcBorders>
              <w:left w:val="single" w:sz="8" w:color="auto"/>
              <w:right w:val="single" w:sz="8" w:color="auto"/>
            </w:tcBorders>
            <w:shd w:val="clear" w:color="auto" w:fill="29650B"/>
          </w:tcPr>
          <w:p>
            <w:pPr>
              <w:spacing w:after="0"/>
              <w:rPr>
                <w:sz w:val="16"/>
                <w:szCs w:val="16"/>
                <w:color w:val="auto"/>
              </w:rPr>
            </w:pPr>
          </w:p>
        </w:tc>
        <w:tc>
          <w:tcPr>
            <w:tcW w:w="1800" w:type="dxa"/>
            <w:vAlign w:val="bottom"/>
            <w:tcBorders>
              <w:right w:val="single" w:sz="8" w:color="auto"/>
            </w:tcBorders>
            <w:shd w:val="clear" w:color="auto" w:fill="29650B"/>
          </w:tcPr>
          <w:p>
            <w:pPr>
              <w:spacing w:after="0"/>
              <w:rPr>
                <w:sz w:val="16"/>
                <w:szCs w:val="16"/>
                <w:color w:val="auto"/>
              </w:rPr>
            </w:pPr>
          </w:p>
        </w:tc>
        <w:tc>
          <w:tcPr>
            <w:tcW w:w="260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5"/>
                <w:szCs w:val="15"/>
                <w:b w:val="1"/>
                <w:bCs w:val="1"/>
                <w:color w:val="FFFFFF"/>
                <w:w w:val="93"/>
              </w:rPr>
              <w:t>Disability or</w:t>
            </w:r>
          </w:p>
        </w:tc>
        <w:tc>
          <w:tcPr>
            <w:tcW w:w="146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5"/>
                <w:szCs w:val="15"/>
                <w:b w:val="1"/>
                <w:bCs w:val="1"/>
                <w:color w:val="FFFFFF"/>
                <w:w w:val="96"/>
              </w:rPr>
              <w:t>Change in</w:t>
            </w:r>
          </w:p>
        </w:tc>
        <w:tc>
          <w:tcPr>
            <w:tcW w:w="178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5"/>
                <w:szCs w:val="15"/>
                <w:b w:val="1"/>
                <w:bCs w:val="1"/>
                <w:color w:val="FFFFFF"/>
                <w:w w:val="88"/>
              </w:rPr>
              <w:t>to a Change in</w:t>
            </w:r>
          </w:p>
        </w:tc>
        <w:tc>
          <w:tcPr>
            <w:tcW w:w="214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5"/>
                <w:szCs w:val="15"/>
                <w:b w:val="1"/>
                <w:bCs w:val="1"/>
                <w:color w:val="FFFFFF"/>
                <w:w w:val="88"/>
              </w:rPr>
              <w:t>Reason after a Change</w:t>
            </w:r>
          </w:p>
        </w:tc>
      </w:tr>
      <w:tr>
        <w:trPr>
          <w:trHeight w:val="186"/>
        </w:trPr>
        <w:tc>
          <w:tcPr>
            <w:tcW w:w="1480" w:type="dxa"/>
            <w:vAlign w:val="bottom"/>
            <w:tcBorders>
              <w:left w:val="single" w:sz="8" w:color="auto"/>
              <w:right w:val="single" w:sz="8" w:color="auto"/>
            </w:tcBorders>
            <w:shd w:val="clear" w:color="auto" w:fill="29650B"/>
          </w:tcPr>
          <w:p>
            <w:pPr>
              <w:ind w:left="560"/>
              <w:spacing w:after="0"/>
              <w:rPr>
                <w:sz w:val="20"/>
                <w:szCs w:val="20"/>
                <w:color w:val="auto"/>
              </w:rPr>
            </w:pPr>
            <w:r>
              <w:rPr>
                <w:rFonts w:ascii="Arial" w:cs="Arial" w:eastAsia="Arial" w:hAnsi="Arial"/>
                <w:sz w:val="15"/>
                <w:szCs w:val="15"/>
                <w:b w:val="1"/>
                <w:bCs w:val="1"/>
                <w:color w:val="FFFFFF"/>
              </w:rPr>
              <w:t>Name</w:t>
            </w:r>
          </w:p>
        </w:tc>
        <w:tc>
          <w:tcPr>
            <w:tcW w:w="1800" w:type="dxa"/>
            <w:vAlign w:val="bottom"/>
            <w:tcBorders>
              <w:right w:val="single" w:sz="8" w:color="auto"/>
            </w:tcBorders>
            <w:shd w:val="clear" w:color="auto" w:fill="29650B"/>
          </w:tcPr>
          <w:p>
            <w:pPr>
              <w:ind w:left="660"/>
              <w:spacing w:after="0"/>
              <w:rPr>
                <w:sz w:val="20"/>
                <w:szCs w:val="20"/>
                <w:color w:val="auto"/>
              </w:rPr>
            </w:pPr>
            <w:r>
              <w:rPr>
                <w:rFonts w:ascii="Arial" w:cs="Arial" w:eastAsia="Arial" w:hAnsi="Arial"/>
                <w:sz w:val="15"/>
                <w:szCs w:val="15"/>
                <w:b w:val="1"/>
                <w:bCs w:val="1"/>
                <w:color w:val="FFFFFF"/>
              </w:rPr>
              <w:t>Benefit</w:t>
            </w:r>
          </w:p>
        </w:tc>
        <w:tc>
          <w:tcPr>
            <w:tcW w:w="260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5"/>
                <w:szCs w:val="15"/>
                <w:b w:val="1"/>
                <w:bCs w:val="1"/>
                <w:color w:val="FFFFFF"/>
                <w:w w:val="93"/>
              </w:rPr>
              <w:t>Death (1)</w:t>
            </w:r>
          </w:p>
        </w:tc>
        <w:tc>
          <w:tcPr>
            <w:tcW w:w="146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5"/>
                <w:szCs w:val="15"/>
                <w:b w:val="1"/>
                <w:bCs w:val="1"/>
                <w:color w:val="FFFFFF"/>
                <w:w w:val="93"/>
              </w:rPr>
              <w:t>Control</w:t>
            </w:r>
          </w:p>
        </w:tc>
        <w:tc>
          <w:tcPr>
            <w:tcW w:w="178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5"/>
                <w:szCs w:val="15"/>
                <w:b w:val="1"/>
                <w:bCs w:val="1"/>
                <w:color w:val="FFFFFF"/>
                <w:w w:val="93"/>
              </w:rPr>
              <w:t>Control</w:t>
            </w:r>
          </w:p>
        </w:tc>
        <w:tc>
          <w:tcPr>
            <w:tcW w:w="214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5"/>
                <w:szCs w:val="15"/>
                <w:b w:val="1"/>
                <w:bCs w:val="1"/>
                <w:color w:val="FFFFFF"/>
                <w:w w:val="92"/>
              </w:rPr>
              <w:t>in Control (2)</w:t>
            </w:r>
          </w:p>
        </w:tc>
      </w:tr>
      <w:tr>
        <w:trPr>
          <w:trHeight w:val="195"/>
        </w:trPr>
        <w:tc>
          <w:tcPr>
            <w:tcW w:w="1480" w:type="dxa"/>
            <w:vAlign w:val="bottom"/>
            <w:tcBorders>
              <w:left w:val="single" w:sz="8" w:color="auto"/>
              <w:bottom w:val="single" w:sz="8" w:color="auto"/>
              <w:right w:val="single" w:sz="8" w:color="auto"/>
            </w:tcBorders>
            <w:shd w:val="clear" w:color="auto" w:fill="29650B"/>
          </w:tcPr>
          <w:p>
            <w:pPr>
              <w:spacing w:after="0"/>
              <w:rPr>
                <w:sz w:val="16"/>
                <w:szCs w:val="16"/>
                <w:color w:val="auto"/>
              </w:rPr>
            </w:pPr>
          </w:p>
        </w:tc>
        <w:tc>
          <w:tcPr>
            <w:tcW w:w="1800" w:type="dxa"/>
            <w:vAlign w:val="bottom"/>
            <w:tcBorders>
              <w:bottom w:val="single" w:sz="8" w:color="auto"/>
              <w:right w:val="single" w:sz="8" w:color="auto"/>
            </w:tcBorders>
            <w:shd w:val="clear" w:color="auto" w:fill="29650B"/>
          </w:tcPr>
          <w:p>
            <w:pPr>
              <w:spacing w:after="0"/>
              <w:rPr>
                <w:sz w:val="16"/>
                <w:szCs w:val="16"/>
                <w:color w:val="auto"/>
              </w:rPr>
            </w:pPr>
          </w:p>
        </w:tc>
        <w:tc>
          <w:tcPr>
            <w:tcW w:w="260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Arial" w:cs="Arial" w:eastAsia="Arial" w:hAnsi="Arial"/>
                <w:sz w:val="15"/>
                <w:szCs w:val="15"/>
                <w:b w:val="1"/>
                <w:bCs w:val="1"/>
                <w:color w:val="FFFFFF"/>
                <w:w w:val="97"/>
              </w:rPr>
              <w:t>($)</w:t>
            </w:r>
          </w:p>
        </w:tc>
        <w:tc>
          <w:tcPr>
            <w:tcW w:w="146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Arial" w:cs="Arial" w:eastAsia="Arial" w:hAnsi="Arial"/>
                <w:sz w:val="15"/>
                <w:szCs w:val="15"/>
                <w:b w:val="1"/>
                <w:bCs w:val="1"/>
                <w:color w:val="FFFFFF"/>
                <w:w w:val="97"/>
              </w:rPr>
              <w:t>($)</w:t>
            </w:r>
          </w:p>
        </w:tc>
        <w:tc>
          <w:tcPr>
            <w:tcW w:w="178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Arial" w:cs="Arial" w:eastAsia="Arial" w:hAnsi="Arial"/>
                <w:sz w:val="15"/>
                <w:szCs w:val="15"/>
                <w:b w:val="1"/>
                <w:bCs w:val="1"/>
                <w:color w:val="FFFFFF"/>
                <w:w w:val="97"/>
              </w:rPr>
              <w:t>($)</w:t>
            </w:r>
          </w:p>
        </w:tc>
        <w:tc>
          <w:tcPr>
            <w:tcW w:w="214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Arial" w:cs="Arial" w:eastAsia="Arial" w:hAnsi="Arial"/>
                <w:sz w:val="15"/>
                <w:szCs w:val="15"/>
                <w:b w:val="1"/>
                <w:bCs w:val="1"/>
                <w:color w:val="FFFFFF"/>
                <w:w w:val="97"/>
              </w:rPr>
              <w:t>($)</w:t>
            </w:r>
          </w:p>
        </w:tc>
      </w:tr>
      <w:tr>
        <w:trPr>
          <w:trHeight w:val="213"/>
        </w:trPr>
        <w:tc>
          <w:tcPr>
            <w:tcW w:w="14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5"/>
                <w:szCs w:val="15"/>
                <w:color w:val="auto"/>
              </w:rPr>
              <w:t>Timothy Donahue</w:t>
            </w:r>
          </w:p>
        </w:tc>
        <w:tc>
          <w:tcPr>
            <w:tcW w:w="180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Salary:</w:t>
            </w:r>
          </w:p>
        </w:tc>
        <w:tc>
          <w:tcPr>
            <w:tcW w:w="260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jc w:val="right"/>
              <w:ind w:right="86"/>
              <w:spacing w:after="0"/>
              <w:rPr>
                <w:sz w:val="20"/>
                <w:szCs w:val="20"/>
                <w:color w:val="auto"/>
              </w:rPr>
            </w:pPr>
            <w:r>
              <w:rPr>
                <w:rFonts w:ascii="Arial" w:cs="Arial" w:eastAsia="Arial" w:hAnsi="Arial"/>
                <w:sz w:val="15"/>
                <w:szCs w:val="15"/>
                <w:color w:val="auto"/>
              </w:rPr>
              <w:t>3,465,000</w:t>
            </w:r>
          </w:p>
        </w:tc>
        <w:tc>
          <w:tcPr>
            <w:tcW w:w="1780" w:type="dxa"/>
            <w:vAlign w:val="bottom"/>
            <w:tcBorders>
              <w:right w:val="single" w:sz="8" w:color="auto"/>
            </w:tcBorders>
          </w:tcPr>
          <w:p>
            <w:pPr>
              <w:jc w:val="right"/>
              <w:ind w:right="66"/>
              <w:spacing w:after="0"/>
              <w:rPr>
                <w:sz w:val="20"/>
                <w:szCs w:val="20"/>
                <w:color w:val="auto"/>
              </w:rPr>
            </w:pPr>
            <w:r>
              <w:rPr>
                <w:rFonts w:ascii="Arial" w:cs="Arial" w:eastAsia="Arial" w:hAnsi="Arial"/>
                <w:sz w:val="15"/>
                <w:szCs w:val="15"/>
                <w:color w:val="auto"/>
              </w:rPr>
              <w:t>3,465,000</w:t>
            </w:r>
          </w:p>
        </w:tc>
        <w:tc>
          <w:tcPr>
            <w:tcW w:w="2140" w:type="dxa"/>
            <w:vAlign w:val="bottom"/>
            <w:tcBorders>
              <w:right w:val="single" w:sz="8" w:color="auto"/>
            </w:tcBorders>
          </w:tcPr>
          <w:p>
            <w:pPr>
              <w:jc w:val="right"/>
              <w:ind w:right="226"/>
              <w:spacing w:after="0"/>
              <w:rPr>
                <w:sz w:val="20"/>
                <w:szCs w:val="20"/>
                <w:color w:val="auto"/>
              </w:rPr>
            </w:pPr>
            <w:r>
              <w:rPr>
                <w:rFonts w:ascii="Arial" w:cs="Arial" w:eastAsia="Arial" w:hAnsi="Arial"/>
                <w:sz w:val="15"/>
                <w:szCs w:val="15"/>
                <w:color w:val="auto"/>
              </w:rPr>
              <w:t>3,465,000</w:t>
            </w:r>
          </w:p>
        </w:tc>
      </w:tr>
      <w:tr>
        <w:trPr>
          <w:trHeight w:val="221"/>
        </w:trPr>
        <w:tc>
          <w:tcPr>
            <w:tcW w:w="1480" w:type="dxa"/>
            <w:vAlign w:val="bottom"/>
            <w:tcBorders>
              <w:left w:val="single" w:sz="8" w:color="auto"/>
              <w:right w:val="single" w:sz="8" w:color="auto"/>
            </w:tcBorders>
          </w:tcPr>
          <w:p>
            <w:pPr>
              <w:spacing w:after="0"/>
              <w:rPr>
                <w:sz w:val="19"/>
                <w:szCs w:val="19"/>
                <w:color w:val="auto"/>
              </w:rPr>
            </w:pPr>
          </w:p>
        </w:tc>
        <w:tc>
          <w:tcPr>
            <w:tcW w:w="180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Bonus:</w:t>
            </w:r>
          </w:p>
        </w:tc>
        <w:tc>
          <w:tcPr>
            <w:tcW w:w="2600" w:type="dxa"/>
            <w:vAlign w:val="bottom"/>
            <w:tcBorders>
              <w:right w:val="single" w:sz="8" w:color="auto"/>
            </w:tcBorders>
          </w:tcPr>
          <w:p>
            <w:pPr>
              <w:jc w:val="right"/>
              <w:ind w:right="46"/>
              <w:spacing w:after="0"/>
              <w:rPr>
                <w:sz w:val="20"/>
                <w:szCs w:val="20"/>
                <w:color w:val="auto"/>
              </w:rPr>
            </w:pPr>
            <w:r>
              <w:rPr>
                <w:rFonts w:ascii="Arial" w:cs="Arial" w:eastAsia="Arial" w:hAnsi="Arial"/>
                <w:sz w:val="15"/>
                <w:szCs w:val="15"/>
                <w:color w:val="auto"/>
              </w:rPr>
              <w:t>1,711,710</w:t>
            </w:r>
          </w:p>
        </w:tc>
        <w:tc>
          <w:tcPr>
            <w:tcW w:w="1460" w:type="dxa"/>
            <w:vAlign w:val="bottom"/>
            <w:tcBorders>
              <w:right w:val="single" w:sz="8" w:color="auto"/>
            </w:tcBorders>
          </w:tcPr>
          <w:p>
            <w:pPr>
              <w:jc w:val="right"/>
              <w:ind w:right="86"/>
              <w:spacing w:after="0"/>
              <w:rPr>
                <w:sz w:val="20"/>
                <w:szCs w:val="20"/>
                <w:color w:val="auto"/>
              </w:rPr>
            </w:pPr>
            <w:r>
              <w:rPr>
                <w:rFonts w:ascii="Arial" w:cs="Arial" w:eastAsia="Arial" w:hAnsi="Arial"/>
                <w:sz w:val="15"/>
                <w:szCs w:val="15"/>
                <w:color w:val="auto"/>
              </w:rPr>
              <w:t>5,869,710</w:t>
            </w:r>
          </w:p>
        </w:tc>
        <w:tc>
          <w:tcPr>
            <w:tcW w:w="1780" w:type="dxa"/>
            <w:vAlign w:val="bottom"/>
            <w:tcBorders>
              <w:right w:val="single" w:sz="8" w:color="auto"/>
            </w:tcBorders>
          </w:tcPr>
          <w:p>
            <w:pPr>
              <w:jc w:val="right"/>
              <w:ind w:right="66"/>
              <w:spacing w:after="0"/>
              <w:rPr>
                <w:sz w:val="20"/>
                <w:szCs w:val="20"/>
                <w:color w:val="auto"/>
              </w:rPr>
            </w:pPr>
            <w:r>
              <w:rPr>
                <w:rFonts w:ascii="Arial" w:cs="Arial" w:eastAsia="Arial" w:hAnsi="Arial"/>
                <w:sz w:val="15"/>
                <w:szCs w:val="15"/>
                <w:color w:val="auto"/>
              </w:rPr>
              <w:t>5,869,710</w:t>
            </w:r>
          </w:p>
        </w:tc>
        <w:tc>
          <w:tcPr>
            <w:tcW w:w="2140" w:type="dxa"/>
            <w:vAlign w:val="bottom"/>
            <w:tcBorders>
              <w:right w:val="single" w:sz="8" w:color="auto"/>
            </w:tcBorders>
          </w:tcPr>
          <w:p>
            <w:pPr>
              <w:jc w:val="right"/>
              <w:ind w:right="226"/>
              <w:spacing w:after="0"/>
              <w:rPr>
                <w:sz w:val="20"/>
                <w:szCs w:val="20"/>
                <w:color w:val="auto"/>
              </w:rPr>
            </w:pPr>
            <w:r>
              <w:rPr>
                <w:rFonts w:ascii="Arial" w:cs="Arial" w:eastAsia="Arial" w:hAnsi="Arial"/>
                <w:sz w:val="15"/>
                <w:szCs w:val="15"/>
                <w:color w:val="auto"/>
              </w:rPr>
              <w:t>6,626,249</w:t>
            </w:r>
          </w:p>
        </w:tc>
      </w:tr>
      <w:tr>
        <w:trPr>
          <w:trHeight w:val="186"/>
        </w:trPr>
        <w:tc>
          <w:tcPr>
            <w:tcW w:w="1480" w:type="dxa"/>
            <w:vAlign w:val="bottom"/>
            <w:tcBorders>
              <w:left w:val="single" w:sz="8" w:color="auto"/>
              <w:right w:val="single" w:sz="8" w:color="auto"/>
            </w:tcBorders>
          </w:tcPr>
          <w:p>
            <w:pPr>
              <w:spacing w:after="0"/>
              <w:rPr>
                <w:sz w:val="16"/>
                <w:szCs w:val="16"/>
                <w:color w:val="auto"/>
              </w:rPr>
            </w:pPr>
          </w:p>
        </w:tc>
        <w:tc>
          <w:tcPr>
            <w:tcW w:w="180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Accelerated Restricted</w:t>
            </w:r>
          </w:p>
        </w:tc>
        <w:tc>
          <w:tcPr>
            <w:tcW w:w="2600" w:type="dxa"/>
            <w:vAlign w:val="bottom"/>
            <w:tcBorders>
              <w:right w:val="single" w:sz="8" w:color="auto"/>
            </w:tcBorders>
          </w:tcPr>
          <w:p>
            <w:pPr>
              <w:spacing w:after="0"/>
              <w:rPr>
                <w:sz w:val="16"/>
                <w:szCs w:val="16"/>
                <w:color w:val="auto"/>
              </w:rPr>
            </w:pPr>
          </w:p>
        </w:tc>
        <w:tc>
          <w:tcPr>
            <w:tcW w:w="1460" w:type="dxa"/>
            <w:vAlign w:val="bottom"/>
            <w:tcBorders>
              <w:right w:val="single" w:sz="8" w:color="auto"/>
            </w:tcBorders>
          </w:tcPr>
          <w:p>
            <w:pPr>
              <w:spacing w:after="0"/>
              <w:rPr>
                <w:sz w:val="16"/>
                <w:szCs w:val="16"/>
                <w:color w:val="auto"/>
              </w:rPr>
            </w:pPr>
          </w:p>
        </w:tc>
        <w:tc>
          <w:tcPr>
            <w:tcW w:w="1780" w:type="dxa"/>
            <w:vAlign w:val="bottom"/>
            <w:tcBorders>
              <w:right w:val="single" w:sz="8" w:color="auto"/>
            </w:tcBorders>
          </w:tcPr>
          <w:p>
            <w:pPr>
              <w:spacing w:after="0"/>
              <w:rPr>
                <w:sz w:val="16"/>
                <w:szCs w:val="16"/>
                <w:color w:val="auto"/>
              </w:rPr>
            </w:pPr>
          </w:p>
        </w:tc>
        <w:tc>
          <w:tcPr>
            <w:tcW w:w="2140" w:type="dxa"/>
            <w:vAlign w:val="bottom"/>
            <w:tcBorders>
              <w:right w:val="single" w:sz="8" w:color="auto"/>
            </w:tcBorders>
          </w:tcPr>
          <w:p>
            <w:pPr>
              <w:spacing w:after="0"/>
              <w:rPr>
                <w:sz w:val="16"/>
                <w:szCs w:val="16"/>
                <w:color w:val="auto"/>
              </w:rPr>
            </w:pPr>
          </w:p>
        </w:tc>
      </w:tr>
      <w:tr>
        <w:trPr>
          <w:trHeight w:val="191"/>
        </w:trPr>
        <w:tc>
          <w:tcPr>
            <w:tcW w:w="1480" w:type="dxa"/>
            <w:vAlign w:val="bottom"/>
            <w:tcBorders>
              <w:left w:val="single" w:sz="8" w:color="auto"/>
              <w:right w:val="single" w:sz="8" w:color="auto"/>
            </w:tcBorders>
          </w:tcPr>
          <w:p>
            <w:pPr>
              <w:spacing w:after="0"/>
              <w:rPr>
                <w:sz w:val="16"/>
                <w:szCs w:val="16"/>
                <w:color w:val="auto"/>
              </w:rPr>
            </w:pPr>
          </w:p>
        </w:tc>
        <w:tc>
          <w:tcPr>
            <w:tcW w:w="180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5"/>
                <w:szCs w:val="15"/>
                <w:color w:val="auto"/>
              </w:rPr>
              <w:t>Stock Vesting: (3)</w:t>
            </w:r>
          </w:p>
        </w:tc>
        <w:tc>
          <w:tcPr>
            <w:tcW w:w="2600" w:type="dxa"/>
            <w:vAlign w:val="bottom"/>
            <w:tcBorders>
              <w:bottom w:val="single" w:sz="8" w:color="auto"/>
              <w:right w:val="single" w:sz="8" w:color="auto"/>
            </w:tcBorders>
          </w:tcPr>
          <w:p>
            <w:pPr>
              <w:jc w:val="right"/>
              <w:ind w:right="46"/>
              <w:spacing w:after="0"/>
              <w:rPr>
                <w:sz w:val="20"/>
                <w:szCs w:val="20"/>
                <w:color w:val="auto"/>
              </w:rPr>
            </w:pPr>
            <w:r>
              <w:rPr>
                <w:rFonts w:ascii="Arial" w:cs="Arial" w:eastAsia="Arial" w:hAnsi="Arial"/>
                <w:sz w:val="15"/>
                <w:szCs w:val="15"/>
                <w:color w:val="auto"/>
              </w:rPr>
              <w:t>5,772,516</w:t>
            </w:r>
          </w:p>
        </w:tc>
        <w:tc>
          <w:tcPr>
            <w:tcW w:w="1460" w:type="dxa"/>
            <w:vAlign w:val="bottom"/>
            <w:tcBorders>
              <w:bottom w:val="single" w:sz="8" w:color="auto"/>
              <w:right w:val="single" w:sz="8" w:color="auto"/>
            </w:tcBorders>
          </w:tcPr>
          <w:p>
            <w:pPr>
              <w:spacing w:after="0"/>
              <w:rPr>
                <w:sz w:val="16"/>
                <w:szCs w:val="16"/>
                <w:color w:val="auto"/>
              </w:rPr>
            </w:pPr>
          </w:p>
        </w:tc>
        <w:tc>
          <w:tcPr>
            <w:tcW w:w="1780" w:type="dxa"/>
            <w:vAlign w:val="bottom"/>
            <w:tcBorders>
              <w:bottom w:val="single" w:sz="8" w:color="auto"/>
              <w:right w:val="single" w:sz="8" w:color="auto"/>
            </w:tcBorders>
          </w:tcPr>
          <w:p>
            <w:pPr>
              <w:spacing w:after="0"/>
              <w:rPr>
                <w:sz w:val="16"/>
                <w:szCs w:val="16"/>
                <w:color w:val="auto"/>
              </w:rPr>
            </w:pPr>
          </w:p>
        </w:tc>
        <w:tc>
          <w:tcPr>
            <w:tcW w:w="2140" w:type="dxa"/>
            <w:vAlign w:val="bottom"/>
            <w:tcBorders>
              <w:bottom w:val="single" w:sz="8" w:color="auto"/>
              <w:right w:val="single" w:sz="8" w:color="auto"/>
            </w:tcBorders>
          </w:tcPr>
          <w:p>
            <w:pPr>
              <w:jc w:val="right"/>
              <w:ind w:right="226"/>
              <w:spacing w:after="0"/>
              <w:rPr>
                <w:sz w:val="20"/>
                <w:szCs w:val="20"/>
                <w:color w:val="auto"/>
              </w:rPr>
            </w:pPr>
            <w:r>
              <w:rPr>
                <w:rFonts w:ascii="Arial" w:cs="Arial" w:eastAsia="Arial" w:hAnsi="Arial"/>
                <w:sz w:val="15"/>
                <w:szCs w:val="15"/>
                <w:color w:val="auto"/>
              </w:rPr>
              <w:t>21,627,003</w:t>
            </w:r>
          </w:p>
        </w:tc>
      </w:tr>
      <w:tr>
        <w:trPr>
          <w:trHeight w:val="203"/>
        </w:trPr>
        <w:tc>
          <w:tcPr>
            <w:tcW w:w="1480" w:type="dxa"/>
            <w:vAlign w:val="bottom"/>
            <w:tcBorders>
              <w:left w:val="single" w:sz="8" w:color="auto"/>
              <w:bottom w:val="single" w:sz="8" w:color="auto"/>
              <w:right w:val="single" w:sz="8" w:color="auto"/>
            </w:tcBorders>
          </w:tcPr>
          <w:p>
            <w:pPr>
              <w:spacing w:after="0"/>
              <w:rPr>
                <w:sz w:val="17"/>
                <w:szCs w:val="17"/>
                <w:color w:val="auto"/>
              </w:rPr>
            </w:pPr>
          </w:p>
        </w:tc>
        <w:tc>
          <w:tcPr>
            <w:tcW w:w="180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5"/>
                <w:szCs w:val="15"/>
                <w:color w:val="auto"/>
              </w:rPr>
              <w:t>Total:</w:t>
            </w:r>
          </w:p>
        </w:tc>
        <w:tc>
          <w:tcPr>
            <w:tcW w:w="2600" w:type="dxa"/>
            <w:vAlign w:val="bottom"/>
            <w:tcBorders>
              <w:bottom w:val="single" w:sz="8" w:color="auto"/>
              <w:right w:val="single" w:sz="8" w:color="auto"/>
            </w:tcBorders>
          </w:tcPr>
          <w:p>
            <w:pPr>
              <w:jc w:val="right"/>
              <w:ind w:right="46"/>
              <w:spacing w:after="0"/>
              <w:rPr>
                <w:sz w:val="20"/>
                <w:szCs w:val="20"/>
                <w:color w:val="auto"/>
              </w:rPr>
            </w:pPr>
            <w:r>
              <w:rPr>
                <w:rFonts w:ascii="Arial" w:cs="Arial" w:eastAsia="Arial" w:hAnsi="Arial"/>
                <w:sz w:val="15"/>
                <w:szCs w:val="15"/>
                <w:color w:val="auto"/>
              </w:rPr>
              <w:t>7,484,226</w:t>
            </w:r>
          </w:p>
        </w:tc>
        <w:tc>
          <w:tcPr>
            <w:tcW w:w="1460" w:type="dxa"/>
            <w:vAlign w:val="bottom"/>
            <w:tcBorders>
              <w:bottom w:val="single" w:sz="8" w:color="auto"/>
              <w:right w:val="single" w:sz="8" w:color="auto"/>
            </w:tcBorders>
          </w:tcPr>
          <w:p>
            <w:pPr>
              <w:jc w:val="right"/>
              <w:ind w:right="86"/>
              <w:spacing w:after="0"/>
              <w:rPr>
                <w:sz w:val="20"/>
                <w:szCs w:val="20"/>
                <w:color w:val="auto"/>
              </w:rPr>
            </w:pPr>
            <w:r>
              <w:rPr>
                <w:rFonts w:ascii="Arial" w:cs="Arial" w:eastAsia="Arial" w:hAnsi="Arial"/>
                <w:sz w:val="15"/>
                <w:szCs w:val="15"/>
                <w:color w:val="auto"/>
              </w:rPr>
              <w:t>9,334,710</w:t>
            </w:r>
          </w:p>
        </w:tc>
        <w:tc>
          <w:tcPr>
            <w:tcW w:w="1780" w:type="dxa"/>
            <w:vAlign w:val="bottom"/>
            <w:tcBorders>
              <w:bottom w:val="single" w:sz="8" w:color="auto"/>
              <w:right w:val="single" w:sz="8" w:color="auto"/>
            </w:tcBorders>
          </w:tcPr>
          <w:p>
            <w:pPr>
              <w:jc w:val="right"/>
              <w:ind w:right="66"/>
              <w:spacing w:after="0"/>
              <w:rPr>
                <w:sz w:val="20"/>
                <w:szCs w:val="20"/>
                <w:color w:val="auto"/>
              </w:rPr>
            </w:pPr>
            <w:r>
              <w:rPr>
                <w:rFonts w:ascii="Arial" w:cs="Arial" w:eastAsia="Arial" w:hAnsi="Arial"/>
                <w:sz w:val="15"/>
                <w:szCs w:val="15"/>
                <w:color w:val="auto"/>
              </w:rPr>
              <w:t>9,334,710</w:t>
            </w:r>
          </w:p>
        </w:tc>
        <w:tc>
          <w:tcPr>
            <w:tcW w:w="2140" w:type="dxa"/>
            <w:vAlign w:val="bottom"/>
            <w:tcBorders>
              <w:bottom w:val="single" w:sz="8" w:color="auto"/>
              <w:right w:val="single" w:sz="8" w:color="auto"/>
            </w:tcBorders>
          </w:tcPr>
          <w:p>
            <w:pPr>
              <w:jc w:val="right"/>
              <w:ind w:right="226"/>
              <w:spacing w:after="0"/>
              <w:rPr>
                <w:sz w:val="20"/>
                <w:szCs w:val="20"/>
                <w:color w:val="auto"/>
              </w:rPr>
            </w:pPr>
            <w:r>
              <w:rPr>
                <w:rFonts w:ascii="Arial" w:cs="Arial" w:eastAsia="Arial" w:hAnsi="Arial"/>
                <w:sz w:val="15"/>
                <w:szCs w:val="15"/>
                <w:color w:val="auto"/>
              </w:rPr>
              <w:t>31,718,252</w:t>
            </w:r>
          </w:p>
        </w:tc>
      </w:tr>
      <w:tr>
        <w:trPr>
          <w:trHeight w:val="213"/>
        </w:trPr>
        <w:tc>
          <w:tcPr>
            <w:tcW w:w="1480" w:type="dxa"/>
            <w:vAlign w:val="bottom"/>
            <w:tcBorders>
              <w:left w:val="single" w:sz="8" w:color="auto"/>
              <w:right w:val="single" w:sz="8" w:color="auto"/>
            </w:tcBorders>
            <w:shd w:val="clear" w:color="auto" w:fill="D9D9D9"/>
          </w:tcPr>
          <w:p>
            <w:pPr>
              <w:ind w:left="100"/>
              <w:spacing w:after="0"/>
              <w:rPr>
                <w:sz w:val="20"/>
                <w:szCs w:val="20"/>
                <w:color w:val="auto"/>
              </w:rPr>
            </w:pPr>
            <w:r>
              <w:rPr>
                <w:rFonts w:ascii="Arial" w:cs="Arial" w:eastAsia="Arial" w:hAnsi="Arial"/>
                <w:sz w:val="15"/>
                <w:szCs w:val="15"/>
                <w:color w:val="auto"/>
              </w:rPr>
              <w:t>Thomas Kelly</w:t>
            </w:r>
          </w:p>
        </w:tc>
        <w:tc>
          <w:tcPr>
            <w:tcW w:w="1800" w:type="dxa"/>
            <w:vAlign w:val="bottom"/>
            <w:tcBorders>
              <w:right w:val="single" w:sz="8" w:color="auto"/>
            </w:tcBorders>
            <w:shd w:val="clear" w:color="auto" w:fill="D9D9D9"/>
          </w:tcPr>
          <w:p>
            <w:pPr>
              <w:ind w:left="100"/>
              <w:spacing w:after="0"/>
              <w:rPr>
                <w:sz w:val="20"/>
                <w:szCs w:val="20"/>
                <w:color w:val="auto"/>
              </w:rPr>
            </w:pPr>
            <w:r>
              <w:rPr>
                <w:rFonts w:ascii="Arial" w:cs="Arial" w:eastAsia="Arial" w:hAnsi="Arial"/>
                <w:sz w:val="15"/>
                <w:szCs w:val="15"/>
                <w:color w:val="auto"/>
              </w:rPr>
              <w:t>Salary:</w:t>
            </w:r>
          </w:p>
        </w:tc>
        <w:tc>
          <w:tcPr>
            <w:tcW w:w="2600" w:type="dxa"/>
            <w:vAlign w:val="bottom"/>
            <w:tcBorders>
              <w:right w:val="single" w:sz="8" w:color="auto"/>
            </w:tcBorders>
            <w:shd w:val="clear" w:color="auto" w:fill="D9D9D9"/>
          </w:tcPr>
          <w:p>
            <w:pPr>
              <w:spacing w:after="0"/>
              <w:rPr>
                <w:sz w:val="18"/>
                <w:szCs w:val="18"/>
                <w:color w:val="auto"/>
              </w:rPr>
            </w:pPr>
          </w:p>
        </w:tc>
        <w:tc>
          <w:tcPr>
            <w:tcW w:w="1460" w:type="dxa"/>
            <w:vAlign w:val="bottom"/>
            <w:tcBorders>
              <w:right w:val="single" w:sz="8" w:color="auto"/>
            </w:tcBorders>
            <w:shd w:val="clear" w:color="auto" w:fill="D9D9D9"/>
          </w:tcPr>
          <w:p>
            <w:pPr>
              <w:spacing w:after="0"/>
              <w:rPr>
                <w:sz w:val="18"/>
                <w:szCs w:val="18"/>
                <w:color w:val="auto"/>
              </w:rPr>
            </w:pPr>
          </w:p>
        </w:tc>
        <w:tc>
          <w:tcPr>
            <w:tcW w:w="1780" w:type="dxa"/>
            <w:vAlign w:val="bottom"/>
            <w:tcBorders>
              <w:right w:val="single" w:sz="8" w:color="auto"/>
            </w:tcBorders>
            <w:shd w:val="clear" w:color="auto" w:fill="D9D9D9"/>
          </w:tcPr>
          <w:p>
            <w:pPr>
              <w:jc w:val="right"/>
              <w:ind w:right="66"/>
              <w:spacing w:after="0"/>
              <w:rPr>
                <w:sz w:val="20"/>
                <w:szCs w:val="20"/>
                <w:color w:val="auto"/>
              </w:rPr>
            </w:pPr>
            <w:r>
              <w:rPr>
                <w:rFonts w:ascii="Arial" w:cs="Arial" w:eastAsia="Arial" w:hAnsi="Arial"/>
                <w:sz w:val="15"/>
                <w:szCs w:val="15"/>
                <w:color w:val="auto"/>
              </w:rPr>
              <w:t>685,000</w:t>
            </w:r>
          </w:p>
        </w:tc>
        <w:tc>
          <w:tcPr>
            <w:tcW w:w="2140" w:type="dxa"/>
            <w:vAlign w:val="bottom"/>
            <w:tcBorders>
              <w:right w:val="single" w:sz="8" w:color="auto"/>
            </w:tcBorders>
            <w:shd w:val="clear" w:color="auto" w:fill="D9D9D9"/>
          </w:tcPr>
          <w:p>
            <w:pPr>
              <w:jc w:val="right"/>
              <w:ind w:right="226"/>
              <w:spacing w:after="0"/>
              <w:rPr>
                <w:sz w:val="20"/>
                <w:szCs w:val="20"/>
                <w:color w:val="auto"/>
              </w:rPr>
            </w:pPr>
            <w:r>
              <w:rPr>
                <w:rFonts w:ascii="Arial" w:cs="Arial" w:eastAsia="Arial" w:hAnsi="Arial"/>
                <w:sz w:val="15"/>
                <w:szCs w:val="15"/>
                <w:color w:val="auto"/>
              </w:rPr>
              <w:t>2,055,000</w:t>
            </w:r>
          </w:p>
        </w:tc>
      </w:tr>
      <w:tr>
        <w:trPr>
          <w:trHeight w:val="223"/>
        </w:trPr>
        <w:tc>
          <w:tcPr>
            <w:tcW w:w="1480" w:type="dxa"/>
            <w:vAlign w:val="bottom"/>
            <w:tcBorders>
              <w:left w:val="single" w:sz="8" w:color="auto"/>
              <w:right w:val="single" w:sz="8" w:color="auto"/>
            </w:tcBorders>
            <w:shd w:val="clear" w:color="auto" w:fill="D9D9D9"/>
          </w:tcPr>
          <w:p>
            <w:pPr>
              <w:spacing w:after="0"/>
              <w:rPr>
                <w:sz w:val="19"/>
                <w:szCs w:val="19"/>
                <w:color w:val="auto"/>
              </w:rPr>
            </w:pPr>
          </w:p>
        </w:tc>
        <w:tc>
          <w:tcPr>
            <w:tcW w:w="1800" w:type="dxa"/>
            <w:vAlign w:val="bottom"/>
            <w:tcBorders>
              <w:right w:val="single" w:sz="8" w:color="auto"/>
            </w:tcBorders>
            <w:shd w:val="clear" w:color="auto" w:fill="D9D9D9"/>
          </w:tcPr>
          <w:p>
            <w:pPr>
              <w:ind w:left="100"/>
              <w:spacing w:after="0"/>
              <w:rPr>
                <w:sz w:val="20"/>
                <w:szCs w:val="20"/>
                <w:color w:val="auto"/>
              </w:rPr>
            </w:pPr>
            <w:r>
              <w:rPr>
                <w:rFonts w:ascii="Arial" w:cs="Arial" w:eastAsia="Arial" w:hAnsi="Arial"/>
                <w:sz w:val="15"/>
                <w:szCs w:val="15"/>
                <w:color w:val="auto"/>
              </w:rPr>
              <w:t>Bonus:</w:t>
            </w:r>
          </w:p>
        </w:tc>
        <w:tc>
          <w:tcPr>
            <w:tcW w:w="2600" w:type="dxa"/>
            <w:vAlign w:val="bottom"/>
            <w:tcBorders>
              <w:right w:val="single" w:sz="8" w:color="auto"/>
            </w:tcBorders>
            <w:shd w:val="clear" w:color="auto" w:fill="D9D9D9"/>
          </w:tcPr>
          <w:p>
            <w:pPr>
              <w:jc w:val="right"/>
              <w:ind w:right="46"/>
              <w:spacing w:after="0"/>
              <w:rPr>
                <w:sz w:val="20"/>
                <w:szCs w:val="20"/>
                <w:color w:val="auto"/>
              </w:rPr>
            </w:pPr>
            <w:r>
              <w:rPr>
                <w:rFonts w:ascii="Arial" w:cs="Arial" w:eastAsia="Arial" w:hAnsi="Arial"/>
                <w:sz w:val="15"/>
                <w:szCs w:val="15"/>
                <w:color w:val="auto"/>
              </w:rPr>
              <w:t>676,780</w:t>
            </w:r>
          </w:p>
        </w:tc>
        <w:tc>
          <w:tcPr>
            <w:tcW w:w="1460" w:type="dxa"/>
            <w:vAlign w:val="bottom"/>
            <w:tcBorders>
              <w:right w:val="single" w:sz="8" w:color="auto"/>
            </w:tcBorders>
            <w:shd w:val="clear" w:color="auto" w:fill="D9D9D9"/>
          </w:tcPr>
          <w:p>
            <w:pPr>
              <w:spacing w:after="0"/>
              <w:rPr>
                <w:sz w:val="19"/>
                <w:szCs w:val="19"/>
                <w:color w:val="auto"/>
              </w:rPr>
            </w:pPr>
          </w:p>
        </w:tc>
        <w:tc>
          <w:tcPr>
            <w:tcW w:w="1780" w:type="dxa"/>
            <w:vAlign w:val="bottom"/>
            <w:tcBorders>
              <w:right w:val="single" w:sz="8" w:color="auto"/>
            </w:tcBorders>
            <w:shd w:val="clear" w:color="auto" w:fill="D9D9D9"/>
          </w:tcPr>
          <w:p>
            <w:pPr>
              <w:jc w:val="right"/>
              <w:ind w:right="66"/>
              <w:spacing w:after="0"/>
              <w:rPr>
                <w:sz w:val="20"/>
                <w:szCs w:val="20"/>
                <w:color w:val="auto"/>
              </w:rPr>
            </w:pPr>
            <w:r>
              <w:rPr>
                <w:rFonts w:ascii="Arial" w:cs="Arial" w:eastAsia="Arial" w:hAnsi="Arial"/>
                <w:sz w:val="15"/>
                <w:szCs w:val="15"/>
                <w:color w:val="auto"/>
              </w:rPr>
              <w:t>676,780</w:t>
            </w:r>
          </w:p>
        </w:tc>
        <w:tc>
          <w:tcPr>
            <w:tcW w:w="2140" w:type="dxa"/>
            <w:vAlign w:val="bottom"/>
            <w:tcBorders>
              <w:right w:val="single" w:sz="8" w:color="auto"/>
            </w:tcBorders>
            <w:shd w:val="clear" w:color="auto" w:fill="D9D9D9"/>
          </w:tcPr>
          <w:p>
            <w:pPr>
              <w:jc w:val="right"/>
              <w:ind w:right="226"/>
              <w:spacing w:after="0"/>
              <w:rPr>
                <w:sz w:val="20"/>
                <w:szCs w:val="20"/>
                <w:color w:val="auto"/>
              </w:rPr>
            </w:pPr>
            <w:r>
              <w:rPr>
                <w:rFonts w:ascii="Arial" w:cs="Arial" w:eastAsia="Arial" w:hAnsi="Arial"/>
                <w:sz w:val="15"/>
                <w:szCs w:val="15"/>
                <w:color w:val="auto"/>
              </w:rPr>
              <w:t>2,744,052</w:t>
            </w:r>
          </w:p>
        </w:tc>
      </w:tr>
      <w:tr>
        <w:trPr>
          <w:trHeight w:val="221"/>
        </w:trPr>
        <w:tc>
          <w:tcPr>
            <w:tcW w:w="1480" w:type="dxa"/>
            <w:vAlign w:val="bottom"/>
            <w:tcBorders>
              <w:left w:val="single" w:sz="8" w:color="auto"/>
              <w:right w:val="single" w:sz="8" w:color="auto"/>
            </w:tcBorders>
            <w:shd w:val="clear" w:color="auto" w:fill="D9D9D9"/>
          </w:tcPr>
          <w:p>
            <w:pPr>
              <w:spacing w:after="0"/>
              <w:rPr>
                <w:sz w:val="19"/>
                <w:szCs w:val="19"/>
                <w:color w:val="auto"/>
              </w:rPr>
            </w:pPr>
          </w:p>
        </w:tc>
        <w:tc>
          <w:tcPr>
            <w:tcW w:w="1800" w:type="dxa"/>
            <w:vAlign w:val="bottom"/>
            <w:tcBorders>
              <w:right w:val="single" w:sz="8" w:color="auto"/>
            </w:tcBorders>
            <w:shd w:val="clear" w:color="auto" w:fill="D9D9D9"/>
          </w:tcPr>
          <w:p>
            <w:pPr>
              <w:ind w:left="100"/>
              <w:spacing w:after="0"/>
              <w:rPr>
                <w:sz w:val="20"/>
                <w:szCs w:val="20"/>
                <w:color w:val="auto"/>
              </w:rPr>
            </w:pPr>
            <w:r>
              <w:rPr>
                <w:rFonts w:ascii="Arial" w:cs="Arial" w:eastAsia="Arial" w:hAnsi="Arial"/>
                <w:sz w:val="15"/>
                <w:szCs w:val="15"/>
                <w:color w:val="auto"/>
              </w:rPr>
              <w:t>Accelerated Restricted</w:t>
            </w:r>
          </w:p>
        </w:tc>
        <w:tc>
          <w:tcPr>
            <w:tcW w:w="2600" w:type="dxa"/>
            <w:vAlign w:val="bottom"/>
            <w:tcBorders>
              <w:right w:val="single" w:sz="8" w:color="auto"/>
            </w:tcBorders>
            <w:shd w:val="clear" w:color="auto" w:fill="D9D9D9"/>
          </w:tcPr>
          <w:p>
            <w:pPr>
              <w:spacing w:after="0"/>
              <w:rPr>
                <w:sz w:val="19"/>
                <w:szCs w:val="19"/>
                <w:color w:val="auto"/>
              </w:rPr>
            </w:pPr>
          </w:p>
        </w:tc>
        <w:tc>
          <w:tcPr>
            <w:tcW w:w="1460" w:type="dxa"/>
            <w:vAlign w:val="bottom"/>
            <w:tcBorders>
              <w:right w:val="single" w:sz="8" w:color="auto"/>
            </w:tcBorders>
            <w:shd w:val="clear" w:color="auto" w:fill="D9D9D9"/>
          </w:tcPr>
          <w:p>
            <w:pPr>
              <w:spacing w:after="0"/>
              <w:rPr>
                <w:sz w:val="19"/>
                <w:szCs w:val="19"/>
                <w:color w:val="auto"/>
              </w:rPr>
            </w:pPr>
          </w:p>
        </w:tc>
        <w:tc>
          <w:tcPr>
            <w:tcW w:w="1780" w:type="dxa"/>
            <w:vAlign w:val="bottom"/>
            <w:tcBorders>
              <w:right w:val="single" w:sz="8" w:color="auto"/>
            </w:tcBorders>
            <w:shd w:val="clear" w:color="auto" w:fill="D9D9D9"/>
          </w:tcPr>
          <w:p>
            <w:pPr>
              <w:spacing w:after="0"/>
              <w:rPr>
                <w:sz w:val="19"/>
                <w:szCs w:val="19"/>
                <w:color w:val="auto"/>
              </w:rPr>
            </w:pPr>
          </w:p>
        </w:tc>
        <w:tc>
          <w:tcPr>
            <w:tcW w:w="2140" w:type="dxa"/>
            <w:vAlign w:val="bottom"/>
            <w:tcBorders>
              <w:right w:val="single" w:sz="8" w:color="auto"/>
            </w:tcBorders>
            <w:shd w:val="clear" w:color="auto" w:fill="D9D9D9"/>
          </w:tcPr>
          <w:p>
            <w:pPr>
              <w:spacing w:after="0"/>
              <w:rPr>
                <w:sz w:val="19"/>
                <w:szCs w:val="19"/>
                <w:color w:val="auto"/>
              </w:rPr>
            </w:pPr>
          </w:p>
        </w:tc>
      </w:tr>
      <w:tr>
        <w:trPr>
          <w:trHeight w:val="191"/>
        </w:trPr>
        <w:tc>
          <w:tcPr>
            <w:tcW w:w="1480" w:type="dxa"/>
            <w:vAlign w:val="bottom"/>
            <w:tcBorders>
              <w:left w:val="single" w:sz="8" w:color="auto"/>
              <w:bottom w:val="single" w:sz="8" w:color="D9D9D9"/>
              <w:right w:val="single" w:sz="8" w:color="auto"/>
            </w:tcBorders>
            <w:shd w:val="clear" w:color="auto" w:fill="D9D9D9"/>
          </w:tcPr>
          <w:p>
            <w:pPr>
              <w:spacing w:after="0"/>
              <w:rPr>
                <w:sz w:val="16"/>
                <w:szCs w:val="16"/>
                <w:color w:val="auto"/>
              </w:rPr>
            </w:pPr>
          </w:p>
        </w:tc>
        <w:tc>
          <w:tcPr>
            <w:tcW w:w="1800" w:type="dxa"/>
            <w:vAlign w:val="bottom"/>
            <w:tcBorders>
              <w:bottom w:val="single" w:sz="8" w:color="auto"/>
              <w:right w:val="single" w:sz="8" w:color="auto"/>
            </w:tcBorders>
            <w:shd w:val="clear" w:color="auto" w:fill="D9D9D9"/>
          </w:tcPr>
          <w:p>
            <w:pPr>
              <w:ind w:left="200"/>
              <w:spacing w:after="0"/>
              <w:rPr>
                <w:sz w:val="20"/>
                <w:szCs w:val="20"/>
                <w:color w:val="auto"/>
              </w:rPr>
            </w:pPr>
            <w:r>
              <w:rPr>
                <w:rFonts w:ascii="Arial" w:cs="Arial" w:eastAsia="Arial" w:hAnsi="Arial"/>
                <w:sz w:val="15"/>
                <w:szCs w:val="15"/>
                <w:color w:val="auto"/>
              </w:rPr>
              <w:t>Stock Vesting (3)</w:t>
            </w:r>
          </w:p>
        </w:tc>
        <w:tc>
          <w:tcPr>
            <w:tcW w:w="2600" w:type="dxa"/>
            <w:vAlign w:val="bottom"/>
            <w:tcBorders>
              <w:bottom w:val="single" w:sz="8" w:color="auto"/>
              <w:right w:val="single" w:sz="8" w:color="auto"/>
            </w:tcBorders>
            <w:shd w:val="clear" w:color="auto" w:fill="D9D9D9"/>
          </w:tcPr>
          <w:p>
            <w:pPr>
              <w:jc w:val="right"/>
              <w:ind w:right="46"/>
              <w:spacing w:after="0"/>
              <w:rPr>
                <w:sz w:val="20"/>
                <w:szCs w:val="20"/>
                <w:color w:val="auto"/>
              </w:rPr>
            </w:pPr>
            <w:r>
              <w:rPr>
                <w:rFonts w:ascii="Arial" w:cs="Arial" w:eastAsia="Arial" w:hAnsi="Arial"/>
                <w:sz w:val="15"/>
                <w:szCs w:val="15"/>
                <w:color w:val="auto"/>
              </w:rPr>
              <w:t>1,187,117</w:t>
            </w:r>
          </w:p>
        </w:tc>
        <w:tc>
          <w:tcPr>
            <w:tcW w:w="1460" w:type="dxa"/>
            <w:vAlign w:val="bottom"/>
            <w:tcBorders>
              <w:bottom w:val="single" w:sz="8" w:color="auto"/>
              <w:right w:val="single" w:sz="8" w:color="auto"/>
            </w:tcBorders>
            <w:shd w:val="clear" w:color="auto" w:fill="D9D9D9"/>
          </w:tcPr>
          <w:p>
            <w:pPr>
              <w:spacing w:after="0"/>
              <w:rPr>
                <w:sz w:val="16"/>
                <w:szCs w:val="16"/>
                <w:color w:val="auto"/>
              </w:rPr>
            </w:pPr>
          </w:p>
        </w:tc>
        <w:tc>
          <w:tcPr>
            <w:tcW w:w="1780" w:type="dxa"/>
            <w:vAlign w:val="bottom"/>
            <w:tcBorders>
              <w:bottom w:val="single" w:sz="8" w:color="auto"/>
              <w:right w:val="single" w:sz="8" w:color="auto"/>
            </w:tcBorders>
            <w:shd w:val="clear" w:color="auto" w:fill="D9D9D9"/>
          </w:tcPr>
          <w:p>
            <w:pPr>
              <w:spacing w:after="0"/>
              <w:rPr>
                <w:sz w:val="16"/>
                <w:szCs w:val="16"/>
                <w:color w:val="auto"/>
              </w:rPr>
            </w:pPr>
          </w:p>
        </w:tc>
        <w:tc>
          <w:tcPr>
            <w:tcW w:w="2140" w:type="dxa"/>
            <w:vAlign w:val="bottom"/>
            <w:tcBorders>
              <w:bottom w:val="single" w:sz="8" w:color="auto"/>
              <w:right w:val="single" w:sz="8" w:color="auto"/>
            </w:tcBorders>
            <w:shd w:val="clear" w:color="auto" w:fill="D9D9D9"/>
          </w:tcPr>
          <w:p>
            <w:pPr>
              <w:jc w:val="right"/>
              <w:ind w:right="226"/>
              <w:spacing w:after="0"/>
              <w:rPr>
                <w:sz w:val="20"/>
                <w:szCs w:val="20"/>
                <w:color w:val="auto"/>
              </w:rPr>
            </w:pPr>
            <w:r>
              <w:rPr>
                <w:rFonts w:ascii="Arial" w:cs="Arial" w:eastAsia="Arial" w:hAnsi="Arial"/>
                <w:sz w:val="15"/>
                <w:szCs w:val="15"/>
                <w:color w:val="auto"/>
              </w:rPr>
              <w:t>4,458,380</w:t>
            </w:r>
          </w:p>
        </w:tc>
      </w:tr>
      <w:tr>
        <w:trPr>
          <w:trHeight w:val="216"/>
        </w:trPr>
        <w:tc>
          <w:tcPr>
            <w:tcW w:w="1480" w:type="dxa"/>
            <w:vAlign w:val="bottom"/>
            <w:tcBorders>
              <w:left w:val="single" w:sz="8" w:color="auto"/>
              <w:bottom w:val="single" w:sz="8" w:color="auto"/>
              <w:right w:val="single" w:sz="8" w:color="auto"/>
            </w:tcBorders>
            <w:shd w:val="clear" w:color="auto" w:fill="D9D9D9"/>
          </w:tcPr>
          <w:p>
            <w:pPr>
              <w:spacing w:after="0"/>
              <w:rPr>
                <w:sz w:val="18"/>
                <w:szCs w:val="18"/>
                <w:color w:val="auto"/>
              </w:rPr>
            </w:pPr>
          </w:p>
        </w:tc>
        <w:tc>
          <w:tcPr>
            <w:tcW w:w="1800" w:type="dxa"/>
            <w:vAlign w:val="bottom"/>
            <w:tcBorders>
              <w:bottom w:val="single" w:sz="8" w:color="auto"/>
              <w:right w:val="single" w:sz="8" w:color="auto"/>
            </w:tcBorders>
            <w:shd w:val="clear" w:color="auto" w:fill="D9D9D9"/>
          </w:tcPr>
          <w:p>
            <w:pPr>
              <w:ind w:left="280"/>
              <w:spacing w:after="0"/>
              <w:rPr>
                <w:sz w:val="20"/>
                <w:szCs w:val="20"/>
                <w:color w:val="auto"/>
              </w:rPr>
            </w:pPr>
            <w:r>
              <w:rPr>
                <w:rFonts w:ascii="Arial" w:cs="Arial" w:eastAsia="Arial" w:hAnsi="Arial"/>
                <w:sz w:val="15"/>
                <w:szCs w:val="15"/>
                <w:color w:val="auto"/>
              </w:rPr>
              <w:t>Total:</w:t>
            </w:r>
          </w:p>
        </w:tc>
        <w:tc>
          <w:tcPr>
            <w:tcW w:w="2600" w:type="dxa"/>
            <w:vAlign w:val="bottom"/>
            <w:tcBorders>
              <w:bottom w:val="single" w:sz="8" w:color="auto"/>
              <w:right w:val="single" w:sz="8" w:color="auto"/>
            </w:tcBorders>
            <w:shd w:val="clear" w:color="auto" w:fill="D9D9D9"/>
          </w:tcPr>
          <w:p>
            <w:pPr>
              <w:jc w:val="right"/>
              <w:ind w:right="46"/>
              <w:spacing w:after="0"/>
              <w:rPr>
                <w:sz w:val="20"/>
                <w:szCs w:val="20"/>
                <w:color w:val="auto"/>
              </w:rPr>
            </w:pPr>
            <w:r>
              <w:rPr>
                <w:rFonts w:ascii="Arial" w:cs="Arial" w:eastAsia="Arial" w:hAnsi="Arial"/>
                <w:sz w:val="15"/>
                <w:szCs w:val="15"/>
                <w:color w:val="auto"/>
              </w:rPr>
              <w:t>1,863,897</w:t>
            </w:r>
          </w:p>
        </w:tc>
        <w:tc>
          <w:tcPr>
            <w:tcW w:w="1460" w:type="dxa"/>
            <w:vAlign w:val="bottom"/>
            <w:tcBorders>
              <w:bottom w:val="single" w:sz="8" w:color="auto"/>
              <w:right w:val="single" w:sz="8" w:color="auto"/>
            </w:tcBorders>
            <w:shd w:val="clear" w:color="auto" w:fill="D9D9D9"/>
          </w:tcPr>
          <w:p>
            <w:pPr>
              <w:spacing w:after="0"/>
              <w:rPr>
                <w:sz w:val="18"/>
                <w:szCs w:val="18"/>
                <w:color w:val="auto"/>
              </w:rPr>
            </w:pPr>
          </w:p>
        </w:tc>
        <w:tc>
          <w:tcPr>
            <w:tcW w:w="1780" w:type="dxa"/>
            <w:vAlign w:val="bottom"/>
            <w:tcBorders>
              <w:bottom w:val="single" w:sz="8" w:color="auto"/>
              <w:right w:val="single" w:sz="8" w:color="auto"/>
            </w:tcBorders>
            <w:shd w:val="clear" w:color="auto" w:fill="D9D9D9"/>
          </w:tcPr>
          <w:p>
            <w:pPr>
              <w:jc w:val="right"/>
              <w:ind w:right="66"/>
              <w:spacing w:after="0"/>
              <w:rPr>
                <w:sz w:val="20"/>
                <w:szCs w:val="20"/>
                <w:color w:val="auto"/>
              </w:rPr>
            </w:pPr>
            <w:r>
              <w:rPr>
                <w:rFonts w:ascii="Arial" w:cs="Arial" w:eastAsia="Arial" w:hAnsi="Arial"/>
                <w:sz w:val="15"/>
                <w:szCs w:val="15"/>
                <w:color w:val="auto"/>
              </w:rPr>
              <w:t>1,361,780</w:t>
            </w:r>
          </w:p>
        </w:tc>
        <w:tc>
          <w:tcPr>
            <w:tcW w:w="2140" w:type="dxa"/>
            <w:vAlign w:val="bottom"/>
            <w:tcBorders>
              <w:bottom w:val="single" w:sz="8" w:color="auto"/>
              <w:right w:val="single" w:sz="8" w:color="auto"/>
            </w:tcBorders>
            <w:shd w:val="clear" w:color="auto" w:fill="D9D9D9"/>
          </w:tcPr>
          <w:p>
            <w:pPr>
              <w:jc w:val="right"/>
              <w:ind w:right="226"/>
              <w:spacing w:after="0"/>
              <w:rPr>
                <w:sz w:val="20"/>
                <w:szCs w:val="20"/>
                <w:color w:val="auto"/>
              </w:rPr>
            </w:pPr>
            <w:r>
              <w:rPr>
                <w:rFonts w:ascii="Arial" w:cs="Arial" w:eastAsia="Arial" w:hAnsi="Arial"/>
                <w:sz w:val="15"/>
                <w:szCs w:val="15"/>
                <w:color w:val="auto"/>
              </w:rPr>
              <w:t>9,257,432</w:t>
            </w:r>
          </w:p>
        </w:tc>
      </w:tr>
      <w:tr>
        <w:trPr>
          <w:trHeight w:val="213"/>
        </w:trPr>
        <w:tc>
          <w:tcPr>
            <w:tcW w:w="14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5"/>
                <w:szCs w:val="15"/>
                <w:color w:val="auto"/>
              </w:rPr>
              <w:t>Gerard Gifford</w:t>
            </w:r>
          </w:p>
        </w:tc>
        <w:tc>
          <w:tcPr>
            <w:tcW w:w="180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Salary:</w:t>
            </w:r>
          </w:p>
        </w:tc>
        <w:tc>
          <w:tcPr>
            <w:tcW w:w="260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jc w:val="right"/>
              <w:ind w:right="66"/>
              <w:spacing w:after="0"/>
              <w:rPr>
                <w:sz w:val="20"/>
                <w:szCs w:val="20"/>
                <w:color w:val="auto"/>
              </w:rPr>
            </w:pPr>
            <w:r>
              <w:rPr>
                <w:rFonts w:ascii="Arial" w:cs="Arial" w:eastAsia="Arial" w:hAnsi="Arial"/>
                <w:sz w:val="15"/>
                <w:szCs w:val="15"/>
                <w:color w:val="auto"/>
              </w:rPr>
              <w:t>715,000</w:t>
            </w:r>
          </w:p>
        </w:tc>
        <w:tc>
          <w:tcPr>
            <w:tcW w:w="2140" w:type="dxa"/>
            <w:vAlign w:val="bottom"/>
            <w:tcBorders>
              <w:right w:val="single" w:sz="8" w:color="auto"/>
            </w:tcBorders>
          </w:tcPr>
          <w:p>
            <w:pPr>
              <w:jc w:val="right"/>
              <w:ind w:right="226"/>
              <w:spacing w:after="0"/>
              <w:rPr>
                <w:sz w:val="20"/>
                <w:szCs w:val="20"/>
                <w:color w:val="auto"/>
              </w:rPr>
            </w:pPr>
            <w:r>
              <w:rPr>
                <w:rFonts w:ascii="Arial" w:cs="Arial" w:eastAsia="Arial" w:hAnsi="Arial"/>
                <w:sz w:val="15"/>
                <w:szCs w:val="15"/>
                <w:color w:val="auto"/>
              </w:rPr>
              <w:t>2,145,000</w:t>
            </w:r>
          </w:p>
        </w:tc>
      </w:tr>
      <w:tr>
        <w:trPr>
          <w:trHeight w:val="223"/>
        </w:trPr>
        <w:tc>
          <w:tcPr>
            <w:tcW w:w="1480" w:type="dxa"/>
            <w:vAlign w:val="bottom"/>
            <w:tcBorders>
              <w:left w:val="single" w:sz="8" w:color="auto"/>
              <w:right w:val="single" w:sz="8" w:color="auto"/>
            </w:tcBorders>
          </w:tcPr>
          <w:p>
            <w:pPr>
              <w:spacing w:after="0"/>
              <w:rPr>
                <w:sz w:val="19"/>
                <w:szCs w:val="19"/>
                <w:color w:val="auto"/>
              </w:rPr>
            </w:pPr>
          </w:p>
        </w:tc>
        <w:tc>
          <w:tcPr>
            <w:tcW w:w="180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Bonus:</w:t>
            </w:r>
          </w:p>
        </w:tc>
        <w:tc>
          <w:tcPr>
            <w:tcW w:w="2600" w:type="dxa"/>
            <w:vAlign w:val="bottom"/>
            <w:tcBorders>
              <w:right w:val="single" w:sz="8" w:color="auto"/>
            </w:tcBorders>
          </w:tcPr>
          <w:p>
            <w:pPr>
              <w:jc w:val="right"/>
              <w:ind w:right="46"/>
              <w:spacing w:after="0"/>
              <w:rPr>
                <w:sz w:val="20"/>
                <w:szCs w:val="20"/>
                <w:color w:val="auto"/>
              </w:rPr>
            </w:pPr>
            <w:r>
              <w:rPr>
                <w:rFonts w:ascii="Arial" w:cs="Arial" w:eastAsia="Arial" w:hAnsi="Arial"/>
                <w:sz w:val="15"/>
                <w:szCs w:val="15"/>
                <w:color w:val="auto"/>
              </w:rPr>
              <w:t>679,250</w:t>
            </w:r>
          </w:p>
        </w:tc>
        <w:tc>
          <w:tcPr>
            <w:tcW w:w="1460" w:type="dxa"/>
            <w:vAlign w:val="bottom"/>
            <w:tcBorders>
              <w:right w:val="single" w:sz="8" w:color="auto"/>
            </w:tcBorders>
          </w:tcPr>
          <w:p>
            <w:pPr>
              <w:spacing w:after="0"/>
              <w:rPr>
                <w:sz w:val="19"/>
                <w:szCs w:val="19"/>
                <w:color w:val="auto"/>
              </w:rPr>
            </w:pPr>
          </w:p>
        </w:tc>
        <w:tc>
          <w:tcPr>
            <w:tcW w:w="1780" w:type="dxa"/>
            <w:vAlign w:val="bottom"/>
            <w:tcBorders>
              <w:right w:val="single" w:sz="8" w:color="auto"/>
            </w:tcBorders>
          </w:tcPr>
          <w:p>
            <w:pPr>
              <w:jc w:val="right"/>
              <w:ind w:right="66"/>
              <w:spacing w:after="0"/>
              <w:rPr>
                <w:sz w:val="20"/>
                <w:szCs w:val="20"/>
                <w:color w:val="auto"/>
              </w:rPr>
            </w:pPr>
            <w:r>
              <w:rPr>
                <w:rFonts w:ascii="Arial" w:cs="Arial" w:eastAsia="Arial" w:hAnsi="Arial"/>
                <w:sz w:val="15"/>
                <w:szCs w:val="15"/>
                <w:color w:val="auto"/>
              </w:rPr>
              <w:t>679,250</w:t>
            </w:r>
          </w:p>
        </w:tc>
        <w:tc>
          <w:tcPr>
            <w:tcW w:w="2140" w:type="dxa"/>
            <w:vAlign w:val="bottom"/>
            <w:tcBorders>
              <w:right w:val="single" w:sz="8" w:color="auto"/>
            </w:tcBorders>
          </w:tcPr>
          <w:p>
            <w:pPr>
              <w:jc w:val="right"/>
              <w:ind w:right="226"/>
              <w:spacing w:after="0"/>
              <w:rPr>
                <w:sz w:val="20"/>
                <w:szCs w:val="20"/>
                <w:color w:val="auto"/>
              </w:rPr>
            </w:pPr>
            <w:r>
              <w:rPr>
                <w:rFonts w:ascii="Arial" w:cs="Arial" w:eastAsia="Arial" w:hAnsi="Arial"/>
                <w:sz w:val="15"/>
                <w:szCs w:val="15"/>
                <w:color w:val="auto"/>
              </w:rPr>
              <w:t>3,272,088</w:t>
            </w:r>
          </w:p>
        </w:tc>
      </w:tr>
      <w:tr>
        <w:trPr>
          <w:trHeight w:val="221"/>
        </w:trPr>
        <w:tc>
          <w:tcPr>
            <w:tcW w:w="1480" w:type="dxa"/>
            <w:vAlign w:val="bottom"/>
            <w:tcBorders>
              <w:left w:val="single" w:sz="8" w:color="auto"/>
              <w:right w:val="single" w:sz="8" w:color="auto"/>
            </w:tcBorders>
          </w:tcPr>
          <w:p>
            <w:pPr>
              <w:spacing w:after="0"/>
              <w:rPr>
                <w:sz w:val="19"/>
                <w:szCs w:val="19"/>
                <w:color w:val="auto"/>
              </w:rPr>
            </w:pPr>
          </w:p>
        </w:tc>
        <w:tc>
          <w:tcPr>
            <w:tcW w:w="180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Accelerated Restricted</w:t>
            </w:r>
          </w:p>
        </w:tc>
        <w:tc>
          <w:tcPr>
            <w:tcW w:w="2600" w:type="dxa"/>
            <w:vAlign w:val="bottom"/>
            <w:tcBorders>
              <w:right w:val="single" w:sz="8" w:color="auto"/>
            </w:tcBorders>
          </w:tcPr>
          <w:p>
            <w:pPr>
              <w:spacing w:after="0"/>
              <w:rPr>
                <w:sz w:val="19"/>
                <w:szCs w:val="19"/>
                <w:color w:val="auto"/>
              </w:rPr>
            </w:pPr>
          </w:p>
        </w:tc>
        <w:tc>
          <w:tcPr>
            <w:tcW w:w="1460" w:type="dxa"/>
            <w:vAlign w:val="bottom"/>
            <w:tcBorders>
              <w:right w:val="single" w:sz="8" w:color="auto"/>
            </w:tcBorders>
          </w:tcPr>
          <w:p>
            <w:pPr>
              <w:spacing w:after="0"/>
              <w:rPr>
                <w:sz w:val="19"/>
                <w:szCs w:val="19"/>
                <w:color w:val="auto"/>
              </w:rPr>
            </w:pPr>
          </w:p>
        </w:tc>
        <w:tc>
          <w:tcPr>
            <w:tcW w:w="1780" w:type="dxa"/>
            <w:vAlign w:val="bottom"/>
            <w:tcBorders>
              <w:right w:val="single" w:sz="8" w:color="auto"/>
            </w:tcBorders>
          </w:tcPr>
          <w:p>
            <w:pPr>
              <w:spacing w:after="0"/>
              <w:rPr>
                <w:sz w:val="19"/>
                <w:szCs w:val="19"/>
                <w:color w:val="auto"/>
              </w:rPr>
            </w:pPr>
          </w:p>
        </w:tc>
        <w:tc>
          <w:tcPr>
            <w:tcW w:w="2140" w:type="dxa"/>
            <w:vAlign w:val="bottom"/>
            <w:tcBorders>
              <w:right w:val="single" w:sz="8" w:color="auto"/>
            </w:tcBorders>
          </w:tcPr>
          <w:p>
            <w:pPr>
              <w:spacing w:after="0"/>
              <w:rPr>
                <w:sz w:val="19"/>
                <w:szCs w:val="19"/>
                <w:color w:val="auto"/>
              </w:rPr>
            </w:pPr>
          </w:p>
        </w:tc>
      </w:tr>
      <w:tr>
        <w:trPr>
          <w:trHeight w:val="191"/>
        </w:trPr>
        <w:tc>
          <w:tcPr>
            <w:tcW w:w="1480" w:type="dxa"/>
            <w:vAlign w:val="bottom"/>
            <w:tcBorders>
              <w:left w:val="single" w:sz="8" w:color="auto"/>
              <w:right w:val="single" w:sz="8" w:color="auto"/>
            </w:tcBorders>
          </w:tcPr>
          <w:p>
            <w:pPr>
              <w:spacing w:after="0"/>
              <w:rPr>
                <w:sz w:val="16"/>
                <w:szCs w:val="16"/>
                <w:color w:val="auto"/>
              </w:rPr>
            </w:pPr>
          </w:p>
        </w:tc>
        <w:tc>
          <w:tcPr>
            <w:tcW w:w="180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5"/>
                <w:szCs w:val="15"/>
                <w:color w:val="auto"/>
              </w:rPr>
              <w:t>Stock Vesting: (3)</w:t>
            </w:r>
          </w:p>
        </w:tc>
        <w:tc>
          <w:tcPr>
            <w:tcW w:w="2600" w:type="dxa"/>
            <w:vAlign w:val="bottom"/>
            <w:tcBorders>
              <w:bottom w:val="single" w:sz="8" w:color="auto"/>
              <w:right w:val="single" w:sz="8" w:color="auto"/>
            </w:tcBorders>
          </w:tcPr>
          <w:p>
            <w:pPr>
              <w:jc w:val="right"/>
              <w:ind w:right="46"/>
              <w:spacing w:after="0"/>
              <w:rPr>
                <w:sz w:val="20"/>
                <w:szCs w:val="20"/>
                <w:color w:val="auto"/>
              </w:rPr>
            </w:pPr>
            <w:r>
              <w:rPr>
                <w:rFonts w:ascii="Arial" w:cs="Arial" w:eastAsia="Arial" w:hAnsi="Arial"/>
                <w:sz w:val="15"/>
                <w:szCs w:val="15"/>
                <w:color w:val="auto"/>
              </w:rPr>
              <w:t>1,729,281</w:t>
            </w:r>
          </w:p>
        </w:tc>
        <w:tc>
          <w:tcPr>
            <w:tcW w:w="1460" w:type="dxa"/>
            <w:vAlign w:val="bottom"/>
            <w:tcBorders>
              <w:bottom w:val="single" w:sz="8" w:color="auto"/>
              <w:right w:val="single" w:sz="8" w:color="auto"/>
            </w:tcBorders>
          </w:tcPr>
          <w:p>
            <w:pPr>
              <w:spacing w:after="0"/>
              <w:rPr>
                <w:sz w:val="16"/>
                <w:szCs w:val="16"/>
                <w:color w:val="auto"/>
              </w:rPr>
            </w:pPr>
          </w:p>
        </w:tc>
        <w:tc>
          <w:tcPr>
            <w:tcW w:w="1780" w:type="dxa"/>
            <w:vAlign w:val="bottom"/>
            <w:tcBorders>
              <w:bottom w:val="single" w:sz="8" w:color="auto"/>
              <w:right w:val="single" w:sz="8" w:color="auto"/>
            </w:tcBorders>
          </w:tcPr>
          <w:p>
            <w:pPr>
              <w:spacing w:after="0"/>
              <w:rPr>
                <w:sz w:val="16"/>
                <w:szCs w:val="16"/>
                <w:color w:val="auto"/>
              </w:rPr>
            </w:pPr>
          </w:p>
        </w:tc>
        <w:tc>
          <w:tcPr>
            <w:tcW w:w="2140" w:type="dxa"/>
            <w:vAlign w:val="bottom"/>
            <w:tcBorders>
              <w:bottom w:val="single" w:sz="8" w:color="auto"/>
              <w:right w:val="single" w:sz="8" w:color="auto"/>
            </w:tcBorders>
          </w:tcPr>
          <w:p>
            <w:pPr>
              <w:jc w:val="right"/>
              <w:ind w:right="226"/>
              <w:spacing w:after="0"/>
              <w:rPr>
                <w:sz w:val="20"/>
                <w:szCs w:val="20"/>
                <w:color w:val="auto"/>
              </w:rPr>
            </w:pPr>
            <w:r>
              <w:rPr>
                <w:rFonts w:ascii="Arial" w:cs="Arial" w:eastAsia="Arial" w:hAnsi="Arial"/>
                <w:sz w:val="15"/>
                <w:szCs w:val="15"/>
                <w:color w:val="auto"/>
              </w:rPr>
              <w:t>6,518,371</w:t>
            </w:r>
          </w:p>
        </w:tc>
      </w:tr>
      <w:tr>
        <w:trPr>
          <w:trHeight w:val="216"/>
        </w:trPr>
        <w:tc>
          <w:tcPr>
            <w:tcW w:w="1480" w:type="dxa"/>
            <w:vAlign w:val="bottom"/>
            <w:tcBorders>
              <w:left w:val="single" w:sz="8" w:color="auto"/>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5"/>
                <w:szCs w:val="15"/>
                <w:color w:val="auto"/>
              </w:rPr>
              <w:t>Total:</w:t>
            </w:r>
          </w:p>
        </w:tc>
        <w:tc>
          <w:tcPr>
            <w:tcW w:w="2600" w:type="dxa"/>
            <w:vAlign w:val="bottom"/>
            <w:tcBorders>
              <w:bottom w:val="single" w:sz="8" w:color="auto"/>
              <w:right w:val="single" w:sz="8" w:color="auto"/>
            </w:tcBorders>
          </w:tcPr>
          <w:p>
            <w:pPr>
              <w:jc w:val="right"/>
              <w:ind w:right="46"/>
              <w:spacing w:after="0"/>
              <w:rPr>
                <w:sz w:val="20"/>
                <w:szCs w:val="20"/>
                <w:color w:val="auto"/>
              </w:rPr>
            </w:pPr>
            <w:r>
              <w:rPr>
                <w:rFonts w:ascii="Arial" w:cs="Arial" w:eastAsia="Arial" w:hAnsi="Arial"/>
                <w:sz w:val="15"/>
                <w:szCs w:val="15"/>
                <w:color w:val="auto"/>
              </w:rPr>
              <w:t>2,408,531</w:t>
            </w:r>
          </w:p>
        </w:tc>
        <w:tc>
          <w:tcPr>
            <w:tcW w:w="146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jc w:val="right"/>
              <w:ind w:right="66"/>
              <w:spacing w:after="0"/>
              <w:rPr>
                <w:sz w:val="20"/>
                <w:szCs w:val="20"/>
                <w:color w:val="auto"/>
              </w:rPr>
            </w:pPr>
            <w:r>
              <w:rPr>
                <w:rFonts w:ascii="Arial" w:cs="Arial" w:eastAsia="Arial" w:hAnsi="Arial"/>
                <w:sz w:val="15"/>
                <w:szCs w:val="15"/>
                <w:color w:val="auto"/>
              </w:rPr>
              <w:t>1,394,250</w:t>
            </w:r>
          </w:p>
        </w:tc>
        <w:tc>
          <w:tcPr>
            <w:tcW w:w="2140" w:type="dxa"/>
            <w:vAlign w:val="bottom"/>
            <w:tcBorders>
              <w:bottom w:val="single" w:sz="8" w:color="auto"/>
              <w:right w:val="single" w:sz="8" w:color="auto"/>
            </w:tcBorders>
          </w:tcPr>
          <w:p>
            <w:pPr>
              <w:jc w:val="right"/>
              <w:ind w:right="226"/>
              <w:spacing w:after="0"/>
              <w:rPr>
                <w:sz w:val="20"/>
                <w:szCs w:val="20"/>
                <w:color w:val="auto"/>
              </w:rPr>
            </w:pPr>
            <w:r>
              <w:rPr>
                <w:rFonts w:ascii="Arial" w:cs="Arial" w:eastAsia="Arial" w:hAnsi="Arial"/>
                <w:sz w:val="15"/>
                <w:szCs w:val="15"/>
                <w:color w:val="auto"/>
              </w:rPr>
              <w:t>11,935,459</w:t>
            </w:r>
          </w:p>
        </w:tc>
      </w:tr>
      <w:tr>
        <w:trPr>
          <w:trHeight w:val="213"/>
        </w:trPr>
        <w:tc>
          <w:tcPr>
            <w:tcW w:w="1480" w:type="dxa"/>
            <w:vAlign w:val="bottom"/>
            <w:tcBorders>
              <w:left w:val="single" w:sz="8" w:color="auto"/>
              <w:right w:val="single" w:sz="8" w:color="auto"/>
            </w:tcBorders>
            <w:shd w:val="clear" w:color="auto" w:fill="D9D9D9"/>
          </w:tcPr>
          <w:p>
            <w:pPr>
              <w:ind w:left="100"/>
              <w:spacing w:after="0"/>
              <w:rPr>
                <w:sz w:val="20"/>
                <w:szCs w:val="20"/>
                <w:color w:val="auto"/>
              </w:rPr>
            </w:pPr>
            <w:r>
              <w:rPr>
                <w:rFonts w:ascii="Arial" w:cs="Arial" w:eastAsia="Arial" w:hAnsi="Arial"/>
                <w:sz w:val="15"/>
                <w:szCs w:val="15"/>
                <w:color w:val="auto"/>
              </w:rPr>
              <w:t>Djalma Novaes</w:t>
            </w:r>
          </w:p>
        </w:tc>
        <w:tc>
          <w:tcPr>
            <w:tcW w:w="1800" w:type="dxa"/>
            <w:vAlign w:val="bottom"/>
            <w:tcBorders>
              <w:right w:val="single" w:sz="8" w:color="auto"/>
            </w:tcBorders>
            <w:shd w:val="clear" w:color="auto" w:fill="D9D9D9"/>
          </w:tcPr>
          <w:p>
            <w:pPr>
              <w:ind w:left="100"/>
              <w:spacing w:after="0"/>
              <w:rPr>
                <w:sz w:val="20"/>
                <w:szCs w:val="20"/>
                <w:color w:val="auto"/>
              </w:rPr>
            </w:pPr>
            <w:r>
              <w:rPr>
                <w:rFonts w:ascii="Arial" w:cs="Arial" w:eastAsia="Arial" w:hAnsi="Arial"/>
                <w:sz w:val="15"/>
                <w:szCs w:val="15"/>
                <w:color w:val="auto"/>
              </w:rPr>
              <w:t>Salary:</w:t>
            </w:r>
          </w:p>
        </w:tc>
        <w:tc>
          <w:tcPr>
            <w:tcW w:w="2600" w:type="dxa"/>
            <w:vAlign w:val="bottom"/>
            <w:tcBorders>
              <w:right w:val="single" w:sz="8" w:color="auto"/>
            </w:tcBorders>
            <w:shd w:val="clear" w:color="auto" w:fill="D9D9D9"/>
          </w:tcPr>
          <w:p>
            <w:pPr>
              <w:spacing w:after="0"/>
              <w:rPr>
                <w:sz w:val="18"/>
                <w:szCs w:val="18"/>
                <w:color w:val="auto"/>
              </w:rPr>
            </w:pPr>
          </w:p>
        </w:tc>
        <w:tc>
          <w:tcPr>
            <w:tcW w:w="1460" w:type="dxa"/>
            <w:vAlign w:val="bottom"/>
            <w:tcBorders>
              <w:right w:val="single" w:sz="8" w:color="auto"/>
            </w:tcBorders>
            <w:shd w:val="clear" w:color="auto" w:fill="D9D9D9"/>
          </w:tcPr>
          <w:p>
            <w:pPr>
              <w:spacing w:after="0"/>
              <w:rPr>
                <w:sz w:val="18"/>
                <w:szCs w:val="18"/>
                <w:color w:val="auto"/>
              </w:rPr>
            </w:pPr>
          </w:p>
        </w:tc>
        <w:tc>
          <w:tcPr>
            <w:tcW w:w="1780" w:type="dxa"/>
            <w:vAlign w:val="bottom"/>
            <w:tcBorders>
              <w:right w:val="single" w:sz="8" w:color="auto"/>
            </w:tcBorders>
            <w:shd w:val="clear" w:color="auto" w:fill="D9D9D9"/>
          </w:tcPr>
          <w:p>
            <w:pPr>
              <w:jc w:val="right"/>
              <w:ind w:right="66"/>
              <w:spacing w:after="0"/>
              <w:rPr>
                <w:sz w:val="20"/>
                <w:szCs w:val="20"/>
                <w:color w:val="auto"/>
              </w:rPr>
            </w:pPr>
            <w:r>
              <w:rPr>
                <w:rFonts w:ascii="Arial" w:cs="Arial" w:eastAsia="Arial" w:hAnsi="Arial"/>
                <w:sz w:val="15"/>
                <w:szCs w:val="15"/>
                <w:color w:val="auto"/>
              </w:rPr>
              <w:t>575,000</w:t>
            </w:r>
          </w:p>
        </w:tc>
        <w:tc>
          <w:tcPr>
            <w:tcW w:w="2140" w:type="dxa"/>
            <w:vAlign w:val="bottom"/>
            <w:tcBorders>
              <w:right w:val="single" w:sz="8" w:color="auto"/>
            </w:tcBorders>
            <w:shd w:val="clear" w:color="auto" w:fill="D9D9D9"/>
          </w:tcPr>
          <w:p>
            <w:pPr>
              <w:jc w:val="right"/>
              <w:ind w:right="226"/>
              <w:spacing w:after="0"/>
              <w:rPr>
                <w:sz w:val="20"/>
                <w:szCs w:val="20"/>
                <w:color w:val="auto"/>
              </w:rPr>
            </w:pPr>
            <w:r>
              <w:rPr>
                <w:rFonts w:ascii="Arial" w:cs="Arial" w:eastAsia="Arial" w:hAnsi="Arial"/>
                <w:sz w:val="15"/>
                <w:szCs w:val="15"/>
                <w:color w:val="auto"/>
              </w:rPr>
              <w:t>1,725,000</w:t>
            </w:r>
          </w:p>
        </w:tc>
      </w:tr>
      <w:tr>
        <w:trPr>
          <w:trHeight w:val="223"/>
        </w:trPr>
        <w:tc>
          <w:tcPr>
            <w:tcW w:w="1480" w:type="dxa"/>
            <w:vAlign w:val="bottom"/>
            <w:tcBorders>
              <w:left w:val="single" w:sz="8" w:color="auto"/>
              <w:right w:val="single" w:sz="8" w:color="auto"/>
            </w:tcBorders>
            <w:shd w:val="clear" w:color="auto" w:fill="D9D9D9"/>
          </w:tcPr>
          <w:p>
            <w:pPr>
              <w:spacing w:after="0"/>
              <w:rPr>
                <w:sz w:val="19"/>
                <w:szCs w:val="19"/>
                <w:color w:val="auto"/>
              </w:rPr>
            </w:pPr>
          </w:p>
        </w:tc>
        <w:tc>
          <w:tcPr>
            <w:tcW w:w="1800" w:type="dxa"/>
            <w:vAlign w:val="bottom"/>
            <w:tcBorders>
              <w:right w:val="single" w:sz="8" w:color="auto"/>
            </w:tcBorders>
            <w:shd w:val="clear" w:color="auto" w:fill="D9D9D9"/>
          </w:tcPr>
          <w:p>
            <w:pPr>
              <w:ind w:left="100"/>
              <w:spacing w:after="0"/>
              <w:rPr>
                <w:sz w:val="20"/>
                <w:szCs w:val="20"/>
                <w:color w:val="auto"/>
              </w:rPr>
            </w:pPr>
            <w:r>
              <w:rPr>
                <w:rFonts w:ascii="Arial" w:cs="Arial" w:eastAsia="Arial" w:hAnsi="Arial"/>
                <w:sz w:val="15"/>
                <w:szCs w:val="15"/>
                <w:color w:val="auto"/>
              </w:rPr>
              <w:t>Bonus:</w:t>
            </w:r>
          </w:p>
        </w:tc>
        <w:tc>
          <w:tcPr>
            <w:tcW w:w="2600" w:type="dxa"/>
            <w:vAlign w:val="bottom"/>
            <w:tcBorders>
              <w:right w:val="single" w:sz="8" w:color="auto"/>
            </w:tcBorders>
            <w:shd w:val="clear" w:color="auto" w:fill="D9D9D9"/>
          </w:tcPr>
          <w:p>
            <w:pPr>
              <w:jc w:val="right"/>
              <w:ind w:right="46"/>
              <w:spacing w:after="0"/>
              <w:rPr>
                <w:sz w:val="20"/>
                <w:szCs w:val="20"/>
                <w:color w:val="auto"/>
              </w:rPr>
            </w:pPr>
            <w:r>
              <w:rPr>
                <w:rFonts w:ascii="Arial" w:cs="Arial" w:eastAsia="Arial" w:hAnsi="Arial"/>
                <w:sz w:val="15"/>
                <w:szCs w:val="15"/>
                <w:color w:val="auto"/>
              </w:rPr>
              <w:t>887,340</w:t>
            </w:r>
          </w:p>
        </w:tc>
        <w:tc>
          <w:tcPr>
            <w:tcW w:w="1460" w:type="dxa"/>
            <w:vAlign w:val="bottom"/>
            <w:tcBorders>
              <w:right w:val="single" w:sz="8" w:color="auto"/>
            </w:tcBorders>
            <w:shd w:val="clear" w:color="auto" w:fill="D9D9D9"/>
          </w:tcPr>
          <w:p>
            <w:pPr>
              <w:spacing w:after="0"/>
              <w:rPr>
                <w:sz w:val="19"/>
                <w:szCs w:val="19"/>
                <w:color w:val="auto"/>
              </w:rPr>
            </w:pPr>
          </w:p>
        </w:tc>
        <w:tc>
          <w:tcPr>
            <w:tcW w:w="1780" w:type="dxa"/>
            <w:vAlign w:val="bottom"/>
            <w:tcBorders>
              <w:right w:val="single" w:sz="8" w:color="auto"/>
            </w:tcBorders>
            <w:shd w:val="clear" w:color="auto" w:fill="D9D9D9"/>
          </w:tcPr>
          <w:p>
            <w:pPr>
              <w:jc w:val="right"/>
              <w:ind w:right="66"/>
              <w:spacing w:after="0"/>
              <w:rPr>
                <w:sz w:val="20"/>
                <w:szCs w:val="20"/>
                <w:color w:val="auto"/>
              </w:rPr>
            </w:pPr>
            <w:r>
              <w:rPr>
                <w:rFonts w:ascii="Arial" w:cs="Arial" w:eastAsia="Arial" w:hAnsi="Arial"/>
                <w:sz w:val="15"/>
                <w:szCs w:val="15"/>
                <w:color w:val="auto"/>
              </w:rPr>
              <w:t>887,340</w:t>
            </w:r>
          </w:p>
        </w:tc>
        <w:tc>
          <w:tcPr>
            <w:tcW w:w="2140" w:type="dxa"/>
            <w:vAlign w:val="bottom"/>
            <w:tcBorders>
              <w:right w:val="single" w:sz="8" w:color="auto"/>
            </w:tcBorders>
            <w:shd w:val="clear" w:color="auto" w:fill="D9D9D9"/>
          </w:tcPr>
          <w:p>
            <w:pPr>
              <w:jc w:val="right"/>
              <w:ind w:right="226"/>
              <w:spacing w:after="0"/>
              <w:rPr>
                <w:sz w:val="20"/>
                <w:szCs w:val="20"/>
                <w:color w:val="auto"/>
              </w:rPr>
            </w:pPr>
            <w:r>
              <w:rPr>
                <w:rFonts w:ascii="Arial" w:cs="Arial" w:eastAsia="Arial" w:hAnsi="Arial"/>
                <w:sz w:val="15"/>
                <w:szCs w:val="15"/>
                <w:color w:val="auto"/>
              </w:rPr>
              <w:t>1,892,964</w:t>
            </w:r>
          </w:p>
        </w:tc>
      </w:tr>
      <w:tr>
        <w:trPr>
          <w:trHeight w:val="183"/>
        </w:trPr>
        <w:tc>
          <w:tcPr>
            <w:tcW w:w="1480" w:type="dxa"/>
            <w:vAlign w:val="bottom"/>
            <w:tcBorders>
              <w:left w:val="single" w:sz="8" w:color="auto"/>
              <w:right w:val="single" w:sz="8" w:color="auto"/>
            </w:tcBorders>
            <w:shd w:val="clear" w:color="auto" w:fill="D9D9D9"/>
          </w:tcPr>
          <w:p>
            <w:pPr>
              <w:spacing w:after="0"/>
              <w:rPr>
                <w:sz w:val="15"/>
                <w:szCs w:val="15"/>
                <w:color w:val="auto"/>
              </w:rPr>
            </w:pPr>
          </w:p>
        </w:tc>
        <w:tc>
          <w:tcPr>
            <w:tcW w:w="1800" w:type="dxa"/>
            <w:vAlign w:val="bottom"/>
            <w:tcBorders>
              <w:right w:val="single" w:sz="8" w:color="auto"/>
            </w:tcBorders>
            <w:shd w:val="clear" w:color="auto" w:fill="D9D9D9"/>
          </w:tcPr>
          <w:p>
            <w:pPr>
              <w:ind w:left="100"/>
              <w:spacing w:after="0"/>
              <w:rPr>
                <w:sz w:val="20"/>
                <w:szCs w:val="20"/>
                <w:color w:val="auto"/>
              </w:rPr>
            </w:pPr>
            <w:r>
              <w:rPr>
                <w:rFonts w:ascii="Arial" w:cs="Arial" w:eastAsia="Arial" w:hAnsi="Arial"/>
                <w:sz w:val="15"/>
                <w:szCs w:val="15"/>
                <w:color w:val="auto"/>
              </w:rPr>
              <w:t>Accelerated Restricted</w:t>
            </w:r>
          </w:p>
        </w:tc>
        <w:tc>
          <w:tcPr>
            <w:tcW w:w="2600" w:type="dxa"/>
            <w:vAlign w:val="bottom"/>
            <w:tcBorders>
              <w:right w:val="single" w:sz="8" w:color="auto"/>
            </w:tcBorders>
            <w:shd w:val="clear" w:color="auto" w:fill="D9D9D9"/>
          </w:tcPr>
          <w:p>
            <w:pPr>
              <w:spacing w:after="0"/>
              <w:rPr>
                <w:sz w:val="15"/>
                <w:szCs w:val="15"/>
                <w:color w:val="auto"/>
              </w:rPr>
            </w:pPr>
          </w:p>
        </w:tc>
        <w:tc>
          <w:tcPr>
            <w:tcW w:w="1460" w:type="dxa"/>
            <w:vAlign w:val="bottom"/>
            <w:tcBorders>
              <w:right w:val="single" w:sz="8" w:color="auto"/>
            </w:tcBorders>
            <w:shd w:val="clear" w:color="auto" w:fill="D9D9D9"/>
          </w:tcPr>
          <w:p>
            <w:pPr>
              <w:spacing w:after="0"/>
              <w:rPr>
                <w:sz w:val="15"/>
                <w:szCs w:val="15"/>
                <w:color w:val="auto"/>
              </w:rPr>
            </w:pPr>
          </w:p>
        </w:tc>
        <w:tc>
          <w:tcPr>
            <w:tcW w:w="1780" w:type="dxa"/>
            <w:vAlign w:val="bottom"/>
            <w:tcBorders>
              <w:right w:val="single" w:sz="8" w:color="auto"/>
            </w:tcBorders>
            <w:shd w:val="clear" w:color="auto" w:fill="D9D9D9"/>
          </w:tcPr>
          <w:p>
            <w:pPr>
              <w:spacing w:after="0"/>
              <w:rPr>
                <w:sz w:val="15"/>
                <w:szCs w:val="15"/>
                <w:color w:val="auto"/>
              </w:rPr>
            </w:pPr>
          </w:p>
        </w:tc>
        <w:tc>
          <w:tcPr>
            <w:tcW w:w="2140" w:type="dxa"/>
            <w:vAlign w:val="bottom"/>
            <w:tcBorders>
              <w:right w:val="single" w:sz="8" w:color="auto"/>
            </w:tcBorders>
            <w:shd w:val="clear" w:color="auto" w:fill="D9D9D9"/>
          </w:tcPr>
          <w:p>
            <w:pPr>
              <w:spacing w:after="0"/>
              <w:rPr>
                <w:sz w:val="15"/>
                <w:szCs w:val="15"/>
                <w:color w:val="auto"/>
              </w:rPr>
            </w:pPr>
          </w:p>
        </w:tc>
      </w:tr>
      <w:tr>
        <w:trPr>
          <w:trHeight w:val="191"/>
        </w:trPr>
        <w:tc>
          <w:tcPr>
            <w:tcW w:w="1480" w:type="dxa"/>
            <w:vAlign w:val="bottom"/>
            <w:tcBorders>
              <w:left w:val="single" w:sz="8" w:color="auto"/>
              <w:bottom w:val="single" w:sz="8" w:color="D9D9D9"/>
              <w:right w:val="single" w:sz="8" w:color="auto"/>
            </w:tcBorders>
            <w:shd w:val="clear" w:color="auto" w:fill="D9D9D9"/>
          </w:tcPr>
          <w:p>
            <w:pPr>
              <w:spacing w:after="0"/>
              <w:rPr>
                <w:sz w:val="16"/>
                <w:szCs w:val="16"/>
                <w:color w:val="auto"/>
              </w:rPr>
            </w:pPr>
          </w:p>
        </w:tc>
        <w:tc>
          <w:tcPr>
            <w:tcW w:w="1800" w:type="dxa"/>
            <w:vAlign w:val="bottom"/>
            <w:tcBorders>
              <w:bottom w:val="single" w:sz="8" w:color="auto"/>
              <w:right w:val="single" w:sz="8" w:color="auto"/>
            </w:tcBorders>
            <w:shd w:val="clear" w:color="auto" w:fill="D9D9D9"/>
          </w:tcPr>
          <w:p>
            <w:pPr>
              <w:ind w:left="200"/>
              <w:spacing w:after="0"/>
              <w:rPr>
                <w:sz w:val="20"/>
                <w:szCs w:val="20"/>
                <w:color w:val="auto"/>
              </w:rPr>
            </w:pPr>
            <w:r>
              <w:rPr>
                <w:rFonts w:ascii="Arial" w:cs="Arial" w:eastAsia="Arial" w:hAnsi="Arial"/>
                <w:sz w:val="15"/>
                <w:szCs w:val="15"/>
                <w:color w:val="auto"/>
              </w:rPr>
              <w:t>Stock Vesting: (3)</w:t>
            </w:r>
          </w:p>
        </w:tc>
        <w:tc>
          <w:tcPr>
            <w:tcW w:w="2600" w:type="dxa"/>
            <w:vAlign w:val="bottom"/>
            <w:tcBorders>
              <w:bottom w:val="single" w:sz="8" w:color="auto"/>
              <w:right w:val="single" w:sz="8" w:color="auto"/>
            </w:tcBorders>
            <w:shd w:val="clear" w:color="auto" w:fill="D9D9D9"/>
          </w:tcPr>
          <w:p>
            <w:pPr>
              <w:jc w:val="right"/>
              <w:ind w:right="46"/>
              <w:spacing w:after="0"/>
              <w:rPr>
                <w:sz w:val="20"/>
                <w:szCs w:val="20"/>
                <w:color w:val="auto"/>
              </w:rPr>
            </w:pPr>
            <w:r>
              <w:rPr>
                <w:rFonts w:ascii="Arial" w:cs="Arial" w:eastAsia="Arial" w:hAnsi="Arial"/>
                <w:sz w:val="15"/>
                <w:szCs w:val="15"/>
                <w:color w:val="auto"/>
              </w:rPr>
              <w:t>981,901</w:t>
            </w:r>
          </w:p>
        </w:tc>
        <w:tc>
          <w:tcPr>
            <w:tcW w:w="1460" w:type="dxa"/>
            <w:vAlign w:val="bottom"/>
            <w:tcBorders>
              <w:bottom w:val="single" w:sz="8" w:color="auto"/>
              <w:right w:val="single" w:sz="8" w:color="auto"/>
            </w:tcBorders>
            <w:shd w:val="clear" w:color="auto" w:fill="D9D9D9"/>
          </w:tcPr>
          <w:p>
            <w:pPr>
              <w:spacing w:after="0"/>
              <w:rPr>
                <w:sz w:val="16"/>
                <w:szCs w:val="16"/>
                <w:color w:val="auto"/>
              </w:rPr>
            </w:pPr>
          </w:p>
        </w:tc>
        <w:tc>
          <w:tcPr>
            <w:tcW w:w="1780" w:type="dxa"/>
            <w:vAlign w:val="bottom"/>
            <w:tcBorders>
              <w:bottom w:val="single" w:sz="8" w:color="auto"/>
              <w:right w:val="single" w:sz="8" w:color="auto"/>
            </w:tcBorders>
            <w:shd w:val="clear" w:color="auto" w:fill="D9D9D9"/>
          </w:tcPr>
          <w:p>
            <w:pPr>
              <w:spacing w:after="0"/>
              <w:rPr>
                <w:sz w:val="16"/>
                <w:szCs w:val="16"/>
                <w:color w:val="auto"/>
              </w:rPr>
            </w:pPr>
          </w:p>
        </w:tc>
        <w:tc>
          <w:tcPr>
            <w:tcW w:w="2140" w:type="dxa"/>
            <w:vAlign w:val="bottom"/>
            <w:tcBorders>
              <w:bottom w:val="single" w:sz="8" w:color="auto"/>
              <w:right w:val="single" w:sz="8" w:color="auto"/>
            </w:tcBorders>
            <w:shd w:val="clear" w:color="auto" w:fill="D9D9D9"/>
          </w:tcPr>
          <w:p>
            <w:pPr>
              <w:jc w:val="right"/>
              <w:ind w:right="226"/>
              <w:spacing w:after="0"/>
              <w:rPr>
                <w:sz w:val="20"/>
                <w:szCs w:val="20"/>
                <w:color w:val="auto"/>
              </w:rPr>
            </w:pPr>
            <w:r>
              <w:rPr>
                <w:rFonts w:ascii="Arial" w:cs="Arial" w:eastAsia="Arial" w:hAnsi="Arial"/>
                <w:sz w:val="15"/>
                <w:szCs w:val="15"/>
                <w:color w:val="auto"/>
              </w:rPr>
              <w:t>3,717,602</w:t>
            </w:r>
          </w:p>
        </w:tc>
      </w:tr>
      <w:tr>
        <w:trPr>
          <w:trHeight w:val="216"/>
        </w:trPr>
        <w:tc>
          <w:tcPr>
            <w:tcW w:w="1480" w:type="dxa"/>
            <w:vAlign w:val="bottom"/>
            <w:tcBorders>
              <w:left w:val="single" w:sz="8" w:color="auto"/>
              <w:bottom w:val="single" w:sz="8" w:color="auto"/>
              <w:right w:val="single" w:sz="8" w:color="auto"/>
            </w:tcBorders>
            <w:shd w:val="clear" w:color="auto" w:fill="D9D9D9"/>
          </w:tcPr>
          <w:p>
            <w:pPr>
              <w:spacing w:after="0"/>
              <w:rPr>
                <w:sz w:val="18"/>
                <w:szCs w:val="18"/>
                <w:color w:val="auto"/>
              </w:rPr>
            </w:pPr>
          </w:p>
        </w:tc>
        <w:tc>
          <w:tcPr>
            <w:tcW w:w="1800" w:type="dxa"/>
            <w:vAlign w:val="bottom"/>
            <w:tcBorders>
              <w:bottom w:val="single" w:sz="8" w:color="auto"/>
              <w:right w:val="single" w:sz="8" w:color="auto"/>
            </w:tcBorders>
            <w:shd w:val="clear" w:color="auto" w:fill="D9D9D9"/>
          </w:tcPr>
          <w:p>
            <w:pPr>
              <w:ind w:left="300"/>
              <w:spacing w:after="0"/>
              <w:rPr>
                <w:sz w:val="20"/>
                <w:szCs w:val="20"/>
                <w:color w:val="auto"/>
              </w:rPr>
            </w:pPr>
            <w:r>
              <w:rPr>
                <w:rFonts w:ascii="Arial" w:cs="Arial" w:eastAsia="Arial" w:hAnsi="Arial"/>
                <w:sz w:val="15"/>
                <w:szCs w:val="15"/>
                <w:color w:val="auto"/>
              </w:rPr>
              <w:t>Total:</w:t>
            </w:r>
          </w:p>
        </w:tc>
        <w:tc>
          <w:tcPr>
            <w:tcW w:w="2600" w:type="dxa"/>
            <w:vAlign w:val="bottom"/>
            <w:tcBorders>
              <w:bottom w:val="single" w:sz="8" w:color="auto"/>
              <w:right w:val="single" w:sz="8" w:color="auto"/>
            </w:tcBorders>
            <w:shd w:val="clear" w:color="auto" w:fill="D9D9D9"/>
          </w:tcPr>
          <w:p>
            <w:pPr>
              <w:jc w:val="right"/>
              <w:ind w:right="46"/>
              <w:spacing w:after="0"/>
              <w:rPr>
                <w:sz w:val="20"/>
                <w:szCs w:val="20"/>
                <w:color w:val="auto"/>
              </w:rPr>
            </w:pPr>
            <w:r>
              <w:rPr>
                <w:rFonts w:ascii="Arial" w:cs="Arial" w:eastAsia="Arial" w:hAnsi="Arial"/>
                <w:sz w:val="15"/>
                <w:szCs w:val="15"/>
                <w:color w:val="auto"/>
              </w:rPr>
              <w:t>1,869,241</w:t>
            </w:r>
          </w:p>
        </w:tc>
        <w:tc>
          <w:tcPr>
            <w:tcW w:w="1460" w:type="dxa"/>
            <w:vAlign w:val="bottom"/>
            <w:tcBorders>
              <w:bottom w:val="single" w:sz="8" w:color="auto"/>
              <w:right w:val="single" w:sz="8" w:color="auto"/>
            </w:tcBorders>
            <w:shd w:val="clear" w:color="auto" w:fill="D9D9D9"/>
          </w:tcPr>
          <w:p>
            <w:pPr>
              <w:spacing w:after="0"/>
              <w:rPr>
                <w:sz w:val="18"/>
                <w:szCs w:val="18"/>
                <w:color w:val="auto"/>
              </w:rPr>
            </w:pPr>
          </w:p>
        </w:tc>
        <w:tc>
          <w:tcPr>
            <w:tcW w:w="1780" w:type="dxa"/>
            <w:vAlign w:val="bottom"/>
            <w:tcBorders>
              <w:bottom w:val="single" w:sz="8" w:color="auto"/>
              <w:right w:val="single" w:sz="8" w:color="auto"/>
            </w:tcBorders>
            <w:shd w:val="clear" w:color="auto" w:fill="D9D9D9"/>
          </w:tcPr>
          <w:p>
            <w:pPr>
              <w:jc w:val="right"/>
              <w:ind w:right="66"/>
              <w:spacing w:after="0"/>
              <w:rPr>
                <w:sz w:val="20"/>
                <w:szCs w:val="20"/>
                <w:color w:val="auto"/>
              </w:rPr>
            </w:pPr>
            <w:r>
              <w:rPr>
                <w:rFonts w:ascii="Arial" w:cs="Arial" w:eastAsia="Arial" w:hAnsi="Arial"/>
                <w:sz w:val="15"/>
                <w:szCs w:val="15"/>
                <w:color w:val="auto"/>
              </w:rPr>
              <w:t>1,462,340</w:t>
            </w:r>
          </w:p>
        </w:tc>
        <w:tc>
          <w:tcPr>
            <w:tcW w:w="2140" w:type="dxa"/>
            <w:vAlign w:val="bottom"/>
            <w:tcBorders>
              <w:bottom w:val="single" w:sz="8" w:color="auto"/>
              <w:right w:val="single" w:sz="8" w:color="auto"/>
            </w:tcBorders>
            <w:shd w:val="clear" w:color="auto" w:fill="D9D9D9"/>
          </w:tcPr>
          <w:p>
            <w:pPr>
              <w:jc w:val="right"/>
              <w:ind w:right="226"/>
              <w:spacing w:after="0"/>
              <w:rPr>
                <w:sz w:val="20"/>
                <w:szCs w:val="20"/>
                <w:color w:val="auto"/>
              </w:rPr>
            </w:pPr>
            <w:r>
              <w:rPr>
                <w:rFonts w:ascii="Arial" w:cs="Arial" w:eastAsia="Arial" w:hAnsi="Arial"/>
                <w:sz w:val="15"/>
                <w:szCs w:val="15"/>
                <w:color w:val="auto"/>
              </w:rPr>
              <w:t>7,335,566</w:t>
            </w:r>
          </w:p>
        </w:tc>
      </w:tr>
      <w:tr>
        <w:trPr>
          <w:trHeight w:val="213"/>
        </w:trPr>
        <w:tc>
          <w:tcPr>
            <w:tcW w:w="14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5"/>
                <w:szCs w:val="15"/>
                <w:color w:val="auto"/>
              </w:rPr>
              <w:t>Robert Bourque</w:t>
            </w:r>
          </w:p>
        </w:tc>
        <w:tc>
          <w:tcPr>
            <w:tcW w:w="180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Salary:</w:t>
            </w:r>
          </w:p>
        </w:tc>
        <w:tc>
          <w:tcPr>
            <w:tcW w:w="260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jc w:val="right"/>
              <w:ind w:right="66"/>
              <w:spacing w:after="0"/>
              <w:rPr>
                <w:sz w:val="20"/>
                <w:szCs w:val="20"/>
                <w:color w:val="auto"/>
              </w:rPr>
            </w:pPr>
            <w:r>
              <w:rPr>
                <w:rFonts w:ascii="Arial" w:cs="Arial" w:eastAsia="Arial" w:hAnsi="Arial"/>
                <w:sz w:val="15"/>
                <w:szCs w:val="15"/>
                <w:color w:val="auto"/>
              </w:rPr>
              <w:t>525,000</w:t>
            </w:r>
          </w:p>
        </w:tc>
        <w:tc>
          <w:tcPr>
            <w:tcW w:w="2140" w:type="dxa"/>
            <w:vAlign w:val="bottom"/>
            <w:tcBorders>
              <w:right w:val="single" w:sz="8" w:color="auto"/>
            </w:tcBorders>
          </w:tcPr>
          <w:p>
            <w:pPr>
              <w:jc w:val="right"/>
              <w:ind w:right="226"/>
              <w:spacing w:after="0"/>
              <w:rPr>
                <w:sz w:val="20"/>
                <w:szCs w:val="20"/>
                <w:color w:val="auto"/>
              </w:rPr>
            </w:pPr>
            <w:r>
              <w:rPr>
                <w:rFonts w:ascii="Arial" w:cs="Arial" w:eastAsia="Arial" w:hAnsi="Arial"/>
                <w:sz w:val="15"/>
                <w:szCs w:val="15"/>
                <w:color w:val="auto"/>
              </w:rPr>
              <w:t>1,575,000</w:t>
            </w:r>
          </w:p>
        </w:tc>
      </w:tr>
      <w:tr>
        <w:trPr>
          <w:trHeight w:val="221"/>
        </w:trPr>
        <w:tc>
          <w:tcPr>
            <w:tcW w:w="1480" w:type="dxa"/>
            <w:vAlign w:val="bottom"/>
            <w:tcBorders>
              <w:left w:val="single" w:sz="8" w:color="auto"/>
              <w:right w:val="single" w:sz="8" w:color="auto"/>
            </w:tcBorders>
          </w:tcPr>
          <w:p>
            <w:pPr>
              <w:spacing w:after="0"/>
              <w:rPr>
                <w:sz w:val="19"/>
                <w:szCs w:val="19"/>
                <w:color w:val="auto"/>
              </w:rPr>
            </w:pPr>
          </w:p>
        </w:tc>
        <w:tc>
          <w:tcPr>
            <w:tcW w:w="180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Bonus:</w:t>
            </w:r>
          </w:p>
        </w:tc>
        <w:tc>
          <w:tcPr>
            <w:tcW w:w="2600" w:type="dxa"/>
            <w:vAlign w:val="bottom"/>
            <w:tcBorders>
              <w:right w:val="single" w:sz="8" w:color="auto"/>
            </w:tcBorders>
          </w:tcPr>
          <w:p>
            <w:pPr>
              <w:jc w:val="right"/>
              <w:ind w:right="46"/>
              <w:spacing w:after="0"/>
              <w:rPr>
                <w:sz w:val="20"/>
                <w:szCs w:val="20"/>
                <w:color w:val="auto"/>
              </w:rPr>
            </w:pPr>
            <w:r>
              <w:rPr>
                <w:rFonts w:ascii="Arial" w:cs="Arial" w:eastAsia="Arial" w:hAnsi="Arial"/>
                <w:sz w:val="15"/>
                <w:szCs w:val="15"/>
                <w:color w:val="auto"/>
              </w:rPr>
              <w:t>632,940</w:t>
            </w:r>
          </w:p>
        </w:tc>
        <w:tc>
          <w:tcPr>
            <w:tcW w:w="1460" w:type="dxa"/>
            <w:vAlign w:val="bottom"/>
            <w:tcBorders>
              <w:right w:val="single" w:sz="8" w:color="auto"/>
            </w:tcBorders>
          </w:tcPr>
          <w:p>
            <w:pPr>
              <w:spacing w:after="0"/>
              <w:rPr>
                <w:sz w:val="19"/>
                <w:szCs w:val="19"/>
                <w:color w:val="auto"/>
              </w:rPr>
            </w:pPr>
          </w:p>
        </w:tc>
        <w:tc>
          <w:tcPr>
            <w:tcW w:w="1780" w:type="dxa"/>
            <w:vAlign w:val="bottom"/>
            <w:tcBorders>
              <w:right w:val="single" w:sz="8" w:color="auto"/>
            </w:tcBorders>
          </w:tcPr>
          <w:p>
            <w:pPr>
              <w:jc w:val="right"/>
              <w:ind w:right="66"/>
              <w:spacing w:after="0"/>
              <w:rPr>
                <w:sz w:val="20"/>
                <w:szCs w:val="20"/>
                <w:color w:val="auto"/>
              </w:rPr>
            </w:pPr>
            <w:r>
              <w:rPr>
                <w:rFonts w:ascii="Arial" w:cs="Arial" w:eastAsia="Arial" w:hAnsi="Arial"/>
                <w:sz w:val="15"/>
                <w:szCs w:val="15"/>
                <w:color w:val="auto"/>
              </w:rPr>
              <w:t>632,940</w:t>
            </w:r>
          </w:p>
        </w:tc>
        <w:tc>
          <w:tcPr>
            <w:tcW w:w="2140" w:type="dxa"/>
            <w:vAlign w:val="bottom"/>
            <w:tcBorders>
              <w:right w:val="single" w:sz="8" w:color="auto"/>
            </w:tcBorders>
          </w:tcPr>
          <w:p>
            <w:pPr>
              <w:jc w:val="right"/>
              <w:ind w:right="226"/>
              <w:spacing w:after="0"/>
              <w:rPr>
                <w:sz w:val="20"/>
                <w:szCs w:val="20"/>
                <w:color w:val="auto"/>
              </w:rPr>
            </w:pPr>
            <w:r>
              <w:rPr>
                <w:rFonts w:ascii="Arial" w:cs="Arial" w:eastAsia="Arial" w:hAnsi="Arial"/>
                <w:sz w:val="15"/>
                <w:szCs w:val="15"/>
                <w:color w:val="auto"/>
              </w:rPr>
              <w:t>1,964,414</w:t>
            </w:r>
          </w:p>
        </w:tc>
      </w:tr>
      <w:tr>
        <w:trPr>
          <w:trHeight w:val="186"/>
        </w:trPr>
        <w:tc>
          <w:tcPr>
            <w:tcW w:w="1480" w:type="dxa"/>
            <w:vAlign w:val="bottom"/>
            <w:tcBorders>
              <w:left w:val="single" w:sz="8" w:color="auto"/>
              <w:right w:val="single" w:sz="8" w:color="auto"/>
            </w:tcBorders>
          </w:tcPr>
          <w:p>
            <w:pPr>
              <w:spacing w:after="0"/>
              <w:rPr>
                <w:sz w:val="16"/>
                <w:szCs w:val="16"/>
                <w:color w:val="auto"/>
              </w:rPr>
            </w:pPr>
          </w:p>
        </w:tc>
        <w:tc>
          <w:tcPr>
            <w:tcW w:w="180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Accelerated Restricted</w:t>
            </w:r>
          </w:p>
        </w:tc>
        <w:tc>
          <w:tcPr>
            <w:tcW w:w="2600" w:type="dxa"/>
            <w:vAlign w:val="bottom"/>
            <w:tcBorders>
              <w:right w:val="single" w:sz="8" w:color="auto"/>
            </w:tcBorders>
          </w:tcPr>
          <w:p>
            <w:pPr>
              <w:spacing w:after="0"/>
              <w:rPr>
                <w:sz w:val="16"/>
                <w:szCs w:val="16"/>
                <w:color w:val="auto"/>
              </w:rPr>
            </w:pPr>
          </w:p>
        </w:tc>
        <w:tc>
          <w:tcPr>
            <w:tcW w:w="1460" w:type="dxa"/>
            <w:vAlign w:val="bottom"/>
            <w:tcBorders>
              <w:right w:val="single" w:sz="8" w:color="auto"/>
            </w:tcBorders>
          </w:tcPr>
          <w:p>
            <w:pPr>
              <w:spacing w:after="0"/>
              <w:rPr>
                <w:sz w:val="16"/>
                <w:szCs w:val="16"/>
                <w:color w:val="auto"/>
              </w:rPr>
            </w:pPr>
          </w:p>
        </w:tc>
        <w:tc>
          <w:tcPr>
            <w:tcW w:w="1780" w:type="dxa"/>
            <w:vAlign w:val="bottom"/>
            <w:tcBorders>
              <w:right w:val="single" w:sz="8" w:color="auto"/>
            </w:tcBorders>
          </w:tcPr>
          <w:p>
            <w:pPr>
              <w:spacing w:after="0"/>
              <w:rPr>
                <w:sz w:val="16"/>
                <w:szCs w:val="16"/>
                <w:color w:val="auto"/>
              </w:rPr>
            </w:pPr>
          </w:p>
        </w:tc>
        <w:tc>
          <w:tcPr>
            <w:tcW w:w="2140" w:type="dxa"/>
            <w:vAlign w:val="bottom"/>
            <w:tcBorders>
              <w:right w:val="single" w:sz="8" w:color="auto"/>
            </w:tcBorders>
          </w:tcPr>
          <w:p>
            <w:pPr>
              <w:spacing w:after="0"/>
              <w:rPr>
                <w:sz w:val="16"/>
                <w:szCs w:val="16"/>
                <w:color w:val="auto"/>
              </w:rPr>
            </w:pPr>
          </w:p>
        </w:tc>
      </w:tr>
      <w:tr>
        <w:trPr>
          <w:trHeight w:val="191"/>
        </w:trPr>
        <w:tc>
          <w:tcPr>
            <w:tcW w:w="1480" w:type="dxa"/>
            <w:vAlign w:val="bottom"/>
            <w:tcBorders>
              <w:left w:val="single" w:sz="8" w:color="auto"/>
              <w:right w:val="single" w:sz="8" w:color="auto"/>
            </w:tcBorders>
          </w:tcPr>
          <w:p>
            <w:pPr>
              <w:spacing w:after="0"/>
              <w:rPr>
                <w:sz w:val="16"/>
                <w:szCs w:val="16"/>
                <w:color w:val="auto"/>
              </w:rPr>
            </w:pPr>
          </w:p>
        </w:tc>
        <w:tc>
          <w:tcPr>
            <w:tcW w:w="180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5"/>
                <w:szCs w:val="15"/>
                <w:color w:val="auto"/>
              </w:rPr>
              <w:t>Stock Vesting: (3)</w:t>
            </w:r>
          </w:p>
        </w:tc>
        <w:tc>
          <w:tcPr>
            <w:tcW w:w="2600" w:type="dxa"/>
            <w:vAlign w:val="bottom"/>
            <w:tcBorders>
              <w:bottom w:val="single" w:sz="8" w:color="auto"/>
              <w:right w:val="single" w:sz="8" w:color="auto"/>
            </w:tcBorders>
          </w:tcPr>
          <w:p>
            <w:pPr>
              <w:jc w:val="right"/>
              <w:ind w:right="46"/>
              <w:spacing w:after="0"/>
              <w:rPr>
                <w:sz w:val="20"/>
                <w:szCs w:val="20"/>
                <w:color w:val="auto"/>
              </w:rPr>
            </w:pPr>
            <w:r>
              <w:rPr>
                <w:rFonts w:ascii="Arial" w:cs="Arial" w:eastAsia="Arial" w:hAnsi="Arial"/>
                <w:sz w:val="15"/>
                <w:szCs w:val="15"/>
                <w:color w:val="auto"/>
              </w:rPr>
              <w:t>791,702</w:t>
            </w:r>
          </w:p>
        </w:tc>
        <w:tc>
          <w:tcPr>
            <w:tcW w:w="1460" w:type="dxa"/>
            <w:vAlign w:val="bottom"/>
            <w:tcBorders>
              <w:bottom w:val="single" w:sz="8" w:color="auto"/>
              <w:right w:val="single" w:sz="8" w:color="auto"/>
            </w:tcBorders>
          </w:tcPr>
          <w:p>
            <w:pPr>
              <w:spacing w:after="0"/>
              <w:rPr>
                <w:sz w:val="16"/>
                <w:szCs w:val="16"/>
                <w:color w:val="auto"/>
              </w:rPr>
            </w:pPr>
          </w:p>
        </w:tc>
        <w:tc>
          <w:tcPr>
            <w:tcW w:w="1780" w:type="dxa"/>
            <w:vAlign w:val="bottom"/>
            <w:tcBorders>
              <w:bottom w:val="single" w:sz="8" w:color="auto"/>
              <w:right w:val="single" w:sz="8" w:color="auto"/>
            </w:tcBorders>
          </w:tcPr>
          <w:p>
            <w:pPr>
              <w:spacing w:after="0"/>
              <w:rPr>
                <w:sz w:val="16"/>
                <w:szCs w:val="16"/>
                <w:color w:val="auto"/>
              </w:rPr>
            </w:pPr>
          </w:p>
        </w:tc>
        <w:tc>
          <w:tcPr>
            <w:tcW w:w="2140" w:type="dxa"/>
            <w:vAlign w:val="bottom"/>
            <w:tcBorders>
              <w:bottom w:val="single" w:sz="8" w:color="auto"/>
              <w:right w:val="single" w:sz="8" w:color="auto"/>
            </w:tcBorders>
          </w:tcPr>
          <w:p>
            <w:pPr>
              <w:jc w:val="right"/>
              <w:ind w:right="226"/>
              <w:spacing w:after="0"/>
              <w:rPr>
                <w:sz w:val="20"/>
                <w:szCs w:val="20"/>
                <w:color w:val="auto"/>
              </w:rPr>
            </w:pPr>
            <w:r>
              <w:rPr>
                <w:rFonts w:ascii="Arial" w:cs="Arial" w:eastAsia="Arial" w:hAnsi="Arial"/>
                <w:sz w:val="15"/>
                <w:szCs w:val="15"/>
                <w:color w:val="auto"/>
              </w:rPr>
              <w:t>2,911,320</w:t>
            </w:r>
          </w:p>
        </w:tc>
      </w:tr>
      <w:tr>
        <w:trPr>
          <w:trHeight w:val="216"/>
        </w:trPr>
        <w:tc>
          <w:tcPr>
            <w:tcW w:w="1480" w:type="dxa"/>
            <w:vAlign w:val="bottom"/>
            <w:tcBorders>
              <w:left w:val="single" w:sz="8" w:color="auto"/>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5"/>
                <w:szCs w:val="15"/>
                <w:color w:val="auto"/>
              </w:rPr>
              <w:t>Total:</w:t>
            </w:r>
          </w:p>
        </w:tc>
        <w:tc>
          <w:tcPr>
            <w:tcW w:w="2600" w:type="dxa"/>
            <w:vAlign w:val="bottom"/>
            <w:tcBorders>
              <w:bottom w:val="single" w:sz="8" w:color="auto"/>
              <w:right w:val="single" w:sz="8" w:color="auto"/>
            </w:tcBorders>
          </w:tcPr>
          <w:p>
            <w:pPr>
              <w:jc w:val="right"/>
              <w:ind w:right="46"/>
              <w:spacing w:after="0"/>
              <w:rPr>
                <w:sz w:val="20"/>
                <w:szCs w:val="20"/>
                <w:color w:val="auto"/>
              </w:rPr>
            </w:pPr>
            <w:r>
              <w:rPr>
                <w:rFonts w:ascii="Arial" w:cs="Arial" w:eastAsia="Arial" w:hAnsi="Arial"/>
                <w:sz w:val="15"/>
                <w:szCs w:val="15"/>
                <w:color w:val="auto"/>
              </w:rPr>
              <w:t>1,424,642</w:t>
            </w:r>
          </w:p>
        </w:tc>
        <w:tc>
          <w:tcPr>
            <w:tcW w:w="146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jc w:val="right"/>
              <w:ind w:right="66"/>
              <w:spacing w:after="0"/>
              <w:rPr>
                <w:sz w:val="20"/>
                <w:szCs w:val="20"/>
                <w:color w:val="auto"/>
              </w:rPr>
            </w:pPr>
            <w:r>
              <w:rPr>
                <w:rFonts w:ascii="Arial" w:cs="Arial" w:eastAsia="Arial" w:hAnsi="Arial"/>
                <w:sz w:val="15"/>
                <w:szCs w:val="15"/>
                <w:color w:val="auto"/>
              </w:rPr>
              <w:t>1,157,940</w:t>
            </w:r>
          </w:p>
        </w:tc>
        <w:tc>
          <w:tcPr>
            <w:tcW w:w="2140" w:type="dxa"/>
            <w:vAlign w:val="bottom"/>
            <w:tcBorders>
              <w:bottom w:val="single" w:sz="8" w:color="auto"/>
              <w:right w:val="single" w:sz="8" w:color="auto"/>
            </w:tcBorders>
          </w:tcPr>
          <w:p>
            <w:pPr>
              <w:jc w:val="right"/>
              <w:ind w:right="226"/>
              <w:spacing w:after="0"/>
              <w:rPr>
                <w:sz w:val="20"/>
                <w:szCs w:val="20"/>
                <w:color w:val="auto"/>
              </w:rPr>
            </w:pPr>
            <w:r>
              <w:rPr>
                <w:rFonts w:ascii="Arial" w:cs="Arial" w:eastAsia="Arial" w:hAnsi="Arial"/>
                <w:sz w:val="15"/>
                <w:szCs w:val="15"/>
                <w:color w:val="auto"/>
              </w:rPr>
              <w:t>6,450,734</w:t>
            </w:r>
          </w:p>
        </w:tc>
      </w:tr>
    </w:tbl>
    <w:p>
      <w:pPr>
        <w:spacing w:after="0" w:line="179" w:lineRule="exact"/>
        <w:rPr>
          <w:sz w:val="20"/>
          <w:szCs w:val="20"/>
          <w:color w:val="auto"/>
        </w:rPr>
      </w:pPr>
    </w:p>
    <w:p>
      <w:pPr>
        <w:ind w:left="301" w:hanging="301"/>
        <w:spacing w:after="0" w:line="274" w:lineRule="auto"/>
        <w:tabs>
          <w:tab w:leader="none" w:pos="301"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bonus amounts in this column assume a retirement scenario. In death or disability scenarios, the amounts for some of the NEOs would be lower because, in these cases, bonus calculations are based on target, and not actual, bonus amounts.</w:t>
      </w:r>
    </w:p>
    <w:p>
      <w:pPr>
        <w:spacing w:after="0" w:line="49" w:lineRule="exact"/>
        <w:rPr>
          <w:rFonts w:ascii="Arial" w:cs="Arial" w:eastAsia="Arial" w:hAnsi="Arial"/>
          <w:sz w:val="17"/>
          <w:szCs w:val="17"/>
          <w:color w:val="auto"/>
        </w:rPr>
      </w:pPr>
    </w:p>
    <w:p>
      <w:pPr>
        <w:jc w:val="both"/>
        <w:ind w:left="301" w:hanging="301"/>
        <w:spacing w:after="0" w:line="274" w:lineRule="auto"/>
        <w:tabs>
          <w:tab w:leader="none" w:pos="301" w:val="left"/>
        </w:tabs>
        <w:numPr>
          <w:ilvl w:val="0"/>
          <w:numId w:val="41"/>
        </w:numPr>
        <w:rPr>
          <w:rFonts w:ascii="Arial" w:cs="Arial" w:eastAsia="Arial" w:hAnsi="Arial"/>
          <w:sz w:val="16"/>
          <w:szCs w:val="16"/>
          <w:color w:val="auto"/>
        </w:rPr>
      </w:pPr>
      <w:r>
        <w:rPr>
          <w:rFonts w:ascii="Arial" w:cs="Arial" w:eastAsia="Arial" w:hAnsi="Arial"/>
          <w:sz w:val="16"/>
          <w:szCs w:val="16"/>
          <w:color w:val="auto"/>
        </w:rPr>
        <w:t>In addition, as indicated in the Pension Benefits table, each of our NEOs is a participant in the Company’s SERP. Currently, the SERP benefits of Messrs. Donahue, Gifford, Kelly and Novaes are vested, and the SERP benefits of Mr. Bourque are unvested. However, under the terms of the SERP, in the event of a change in control, each NEO shall become 100% vested in his SERP benefit. In addition, as soon as administratively practicable but in no event more than 10 business days after a change in control, all benefits under the SERP will be paid to each NEO in a cash lump sum.</w:t>
      </w:r>
    </w:p>
    <w:p>
      <w:pPr>
        <w:spacing w:after="0" w:line="52" w:lineRule="exact"/>
        <w:rPr>
          <w:rFonts w:ascii="Arial" w:cs="Arial" w:eastAsia="Arial" w:hAnsi="Arial"/>
          <w:sz w:val="16"/>
          <w:szCs w:val="16"/>
          <w:color w:val="auto"/>
        </w:rPr>
      </w:pPr>
    </w:p>
    <w:p>
      <w:pPr>
        <w:jc w:val="both"/>
        <w:ind w:left="301" w:hanging="301"/>
        <w:spacing w:after="0" w:line="266" w:lineRule="auto"/>
        <w:tabs>
          <w:tab w:leader="none" w:pos="301" w:val="left"/>
        </w:tabs>
        <w:numPr>
          <w:ilvl w:val="0"/>
          <w:numId w:val="41"/>
        </w:numPr>
        <w:rPr>
          <w:rFonts w:ascii="Arial" w:cs="Arial" w:eastAsia="Arial" w:hAnsi="Arial"/>
          <w:sz w:val="16"/>
          <w:szCs w:val="16"/>
          <w:color w:val="auto"/>
        </w:rPr>
      </w:pPr>
      <w:r>
        <w:rPr>
          <w:rFonts w:ascii="Arial" w:cs="Arial" w:eastAsia="Arial" w:hAnsi="Arial"/>
          <w:sz w:val="16"/>
          <w:szCs w:val="16"/>
          <w:color w:val="auto"/>
        </w:rPr>
        <w:t>In the case of retirement with Committee approval, disability or death, the vesting of time-based restricted stock awards accelerates and the performance-based shares remain outstanding, subject to performance conditions until the performance period ends. Accordingly, no performance share compensation has been provided for terminations upon retirement, disability or death because payout cannot be assured. On a Change in Control, all time-based restricted stock will become vested, and performance-based restricted stock will vest if the Company has achieved the performance goals between the grant date(s) and the date of the Change in Control. For termination after a Change in Control, the table assumes that the target level of performance share compensation will be achieved. For further details, refer to the Outstanding Equity Awards at Fiscal Year-End table above and Note W, “Stock-Based Compensation” to the Company’s financial statements in its Annual Report on Form 10-K for the fiscal year ended December 31, 2019.</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59</w:t>
      </w:r>
    </w:p>
    <w:p>
      <w:pPr>
        <w:sectPr>
          <w:pgSz w:w="11900" w:h="16838" w:orient="portrait"/>
          <w:cols w:equalWidth="0" w:num="1">
            <w:col w:w="11241"/>
          </w:cols>
          <w:pgMar w:left="319" w:top="443" w:right="339" w:bottom="1440" w:gutter="0" w:footer="0" w:header="0"/>
        </w:sectPr>
      </w:pPr>
    </w:p>
    <w:bookmarkStart w:id="63" w:name="page64"/>
    <w:bookmarkEnd w:id="63"/>
    <w:p>
      <w:pPr>
        <w:jc w:val="center"/>
        <w:spacing w:after="0"/>
        <w:rPr>
          <w:sz w:val="20"/>
          <w:szCs w:val="20"/>
          <w:color w:val="auto"/>
        </w:rPr>
      </w:pPr>
      <w:r>
        <w:rPr>
          <w:rFonts w:ascii="Arial" w:cs="Arial" w:eastAsia="Arial" w:hAnsi="Arial"/>
          <w:sz w:val="20"/>
          <w:szCs w:val="20"/>
          <w:b w:val="1"/>
          <w:bCs w:val="1"/>
          <w:color w:val="auto"/>
        </w:rPr>
        <w:t>Pay Ratio Disclosure</w:t>
      </w:r>
    </w:p>
    <w:p>
      <w:pPr>
        <w:spacing w:after="0" w:line="223" w:lineRule="exact"/>
        <w:rPr>
          <w:sz w:val="20"/>
          <w:szCs w:val="20"/>
          <w:color w:val="auto"/>
        </w:rPr>
      </w:pPr>
    </w:p>
    <w:p>
      <w:pPr>
        <w:jc w:val="both"/>
        <w:ind w:firstLine="595"/>
        <w:spacing w:after="0" w:line="263" w:lineRule="auto"/>
        <w:rPr>
          <w:sz w:val="20"/>
          <w:szCs w:val="20"/>
          <w:color w:val="auto"/>
        </w:rPr>
      </w:pPr>
      <w:r>
        <w:rPr>
          <w:rFonts w:ascii="Arial" w:cs="Arial" w:eastAsia="Arial" w:hAnsi="Arial"/>
          <w:sz w:val="18"/>
          <w:szCs w:val="18"/>
          <w:color w:val="auto"/>
        </w:rPr>
        <w:t>Federal law requires that we disclose the ratio of our CEO’s total compensation to the total compensation of our median employee (excluding the CEO). To determine this ratio we utilized our global workforce consisting of all U.S., non-U.S., full-time, part-time and temporary employees of the Company and its consolidated subsidiaries employed as of December 31, 2019. As the result of strong global growth together with the Signode (Transit Packaging) acquisition in 2018, approximately 79% of the Company’s employees now are located outside of the U.S. No assumptions, cost-of-living adjustments or other estimates with respect to compensation were made, except that the compensation was annualized for all full-time employees who began employment during 2019. The Company identified its median employee by using total compensation from the Company’s payroll records as of December 31, 2019. The Company’s median employee was based outside of the U.S. The median employee’s total compensation was calculated using the same methodology used to calculate the Total Compensation of the CEO as set forth in the Summary Compensation Table included in the Executive Compensation section of this Proxy Statement. The median employee’s total compensation was $33,390, and the total compensation of the CEO was $14,010,690. Accordingly, the ratio of the annual total compensation of the CEO to the median of the annual total compensation of all employees of the Company, except the CEO, is 420:1.</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60</w:t>
      </w:r>
    </w:p>
    <w:p>
      <w:pPr>
        <w:sectPr>
          <w:pgSz w:w="11900" w:h="16838" w:orient="portrait"/>
          <w:cols w:equalWidth="0" w:num="1">
            <w:col w:w="11240"/>
          </w:cols>
          <w:pgMar w:left="320" w:top="437" w:right="339" w:bottom="1440" w:gutter="0" w:footer="0" w:header="0"/>
        </w:sectPr>
      </w:pPr>
    </w:p>
    <w:bookmarkStart w:id="64" w:name="page65"/>
    <w:bookmarkEnd w:id="64"/>
    <w:p>
      <w:pPr>
        <w:spacing w:after="0"/>
        <w:rPr>
          <w:sz w:val="20"/>
          <w:szCs w:val="20"/>
          <w:color w:val="auto"/>
        </w:rPr>
      </w:pPr>
      <w:r>
        <w:rPr>
          <w:rFonts w:ascii="Arial" w:cs="Arial" w:eastAsia="Arial" w:hAnsi="Arial"/>
          <w:sz w:val="30"/>
          <w:szCs w:val="30"/>
          <w:b w:val="1"/>
          <w:bCs w:val="1"/>
          <w:color w:val="29650B"/>
        </w:rPr>
        <w:t>PRINCIPAL ACCOUNTANT FEES AND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3750" cy="317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3750" cy="31750"/>
                    </a:xfrm>
                    <a:prstGeom prst="rect">
                      <a:avLst/>
                    </a:prstGeom>
                    <a:noFill/>
                  </pic:spPr>
                </pic:pic>
              </a:graphicData>
            </a:graphic>
          </wp:anchor>
        </w:drawing>
      </w:r>
    </w:p>
    <w:p>
      <w:pPr>
        <w:spacing w:after="0" w:line="250" w:lineRule="exact"/>
        <w:rPr>
          <w:sz w:val="20"/>
          <w:szCs w:val="20"/>
          <w:color w:val="auto"/>
        </w:rPr>
      </w:pPr>
    </w:p>
    <w:p>
      <w:pPr>
        <w:jc w:val="both"/>
        <w:ind w:firstLine="595"/>
        <w:spacing w:after="0" w:line="251" w:lineRule="auto"/>
        <w:rPr>
          <w:sz w:val="20"/>
          <w:szCs w:val="20"/>
          <w:color w:val="auto"/>
        </w:rPr>
      </w:pPr>
      <w:r>
        <w:rPr>
          <w:rFonts w:ascii="Arial" w:cs="Arial" w:eastAsia="Arial" w:hAnsi="Arial"/>
          <w:sz w:val="19"/>
          <w:szCs w:val="19"/>
          <w:color w:val="auto"/>
        </w:rPr>
        <w:t>The firm of PricewaterhouseCoopers LLP, an independent registered public accounting firm, were the independent auditors for the most recently completed fiscal year. The Audit Committee has appointed PricewaterhouseCoopers as independent auditors to audit and report on the Company’s financial statements for 2020. PricewaterhouseCoopers perform annual audits of the Company’s financial statements and assist the Company in the preparation of various tax returns around the world. A representative or representatives of PricewaterhouseCoopers are expected to be present at the Annual Meeting and will have the opportunity to make a statement if they desire to do so. Such representatives are also expected to be available to respond to questions raised orally at the Annual Meeting or submitted in writing to the Office of the Corporate Secretary of the Company before the Annual Meeting.</w:t>
      </w:r>
    </w:p>
    <w:p>
      <w:pPr>
        <w:spacing w:after="0" w:line="25" w:lineRule="exact"/>
        <w:rPr>
          <w:sz w:val="20"/>
          <w:szCs w:val="20"/>
          <w:color w:val="auto"/>
        </w:rPr>
      </w:pPr>
    </w:p>
    <w:p>
      <w:pPr>
        <w:ind w:firstLine="595"/>
        <w:spacing w:after="0" w:line="254" w:lineRule="auto"/>
        <w:rPr>
          <w:sz w:val="20"/>
          <w:szCs w:val="20"/>
          <w:color w:val="auto"/>
        </w:rPr>
      </w:pPr>
      <w:r>
        <w:rPr>
          <w:rFonts w:ascii="Arial" w:cs="Arial" w:eastAsia="Arial" w:hAnsi="Arial"/>
          <w:sz w:val="20"/>
          <w:szCs w:val="20"/>
          <w:color w:val="auto"/>
        </w:rPr>
        <w:t>The Audit Committee reviewed the fees of PricewaterhouseCoopers for the fiscal years ended December 31, 2019 and December 31, 2018. The Company paid fees in the following categories:</w:t>
      </w:r>
    </w:p>
    <w:p>
      <w:pPr>
        <w:spacing w:after="0" w:line="34" w:lineRule="exact"/>
        <w:rPr>
          <w:sz w:val="20"/>
          <w:szCs w:val="20"/>
          <w:color w:val="auto"/>
        </w:rPr>
      </w:pPr>
    </w:p>
    <w:p>
      <w:pPr>
        <w:jc w:val="both"/>
        <w:ind w:firstLine="595"/>
        <w:spacing w:after="0" w:line="262" w:lineRule="auto"/>
        <w:tabs>
          <w:tab w:leader="none" w:pos="889" w:val="left"/>
        </w:tabs>
        <w:numPr>
          <w:ilvl w:val="0"/>
          <w:numId w:val="42"/>
        </w:numPr>
        <w:rPr>
          <w:rFonts w:ascii="Arial" w:cs="Arial" w:eastAsia="Arial" w:hAnsi="Arial"/>
          <w:sz w:val="19"/>
          <w:szCs w:val="19"/>
          <w:color w:val="auto"/>
        </w:rPr>
      </w:pPr>
      <w:r>
        <w:rPr>
          <w:rFonts w:ascii="Arial" w:cs="Arial" w:eastAsia="Arial" w:hAnsi="Arial"/>
          <w:sz w:val="19"/>
          <w:szCs w:val="19"/>
          <w:i w:val="1"/>
          <w:iCs w:val="1"/>
          <w:color w:val="auto"/>
        </w:rPr>
        <w:t xml:space="preserve">Audit Fees </w:t>
      </w:r>
      <w:r>
        <w:rPr>
          <w:rFonts w:ascii="Arial" w:cs="Arial" w:eastAsia="Arial" w:hAnsi="Arial"/>
          <w:sz w:val="19"/>
          <w:szCs w:val="19"/>
          <w:color w:val="auto"/>
        </w:rPr>
        <w:t>were for professional services rendered for the audits of effectiveness of the internal control over financial reporting</w:t>
      </w:r>
      <w:r>
        <w:rPr>
          <w:rFonts w:ascii="Arial" w:cs="Arial" w:eastAsia="Arial" w:hAnsi="Arial"/>
          <w:sz w:val="19"/>
          <w:szCs w:val="19"/>
          <w:i w:val="1"/>
          <w:iCs w:val="1"/>
          <w:color w:val="auto"/>
        </w:rPr>
        <w:t xml:space="preserve"> </w:t>
      </w:r>
      <w:r>
        <w:rPr>
          <w:rFonts w:ascii="Arial" w:cs="Arial" w:eastAsia="Arial" w:hAnsi="Arial"/>
          <w:sz w:val="19"/>
          <w:szCs w:val="19"/>
          <w:color w:val="auto"/>
        </w:rPr>
        <w:t>and consolidated financial statements of the Company, including the U.S. integrated financial statement and internal controls audit, statutory audits, issuance of comfort letters, consents and assistance with and review of documents filed with the SEC.</w:t>
      </w:r>
    </w:p>
    <w:p>
      <w:pPr>
        <w:spacing w:after="0" w:line="16" w:lineRule="exact"/>
        <w:rPr>
          <w:rFonts w:ascii="Arial" w:cs="Arial" w:eastAsia="Arial" w:hAnsi="Arial"/>
          <w:sz w:val="19"/>
          <w:szCs w:val="19"/>
          <w:color w:val="auto"/>
        </w:rPr>
      </w:pPr>
    </w:p>
    <w:p>
      <w:pPr>
        <w:ind w:firstLine="595"/>
        <w:spacing w:after="0" w:line="254" w:lineRule="auto"/>
        <w:tabs>
          <w:tab w:leader="none" w:pos="901" w:val="left"/>
        </w:tabs>
        <w:numPr>
          <w:ilvl w:val="0"/>
          <w:numId w:val="42"/>
        </w:numPr>
        <w:rPr>
          <w:rFonts w:ascii="Arial" w:cs="Arial" w:eastAsia="Arial" w:hAnsi="Arial"/>
          <w:sz w:val="20"/>
          <w:szCs w:val="20"/>
          <w:color w:val="auto"/>
        </w:rPr>
      </w:pPr>
      <w:r>
        <w:rPr>
          <w:rFonts w:ascii="Arial" w:cs="Arial" w:eastAsia="Arial" w:hAnsi="Arial"/>
          <w:sz w:val="20"/>
          <w:szCs w:val="20"/>
          <w:i w:val="1"/>
          <w:iCs w:val="1"/>
          <w:color w:val="auto"/>
        </w:rPr>
        <w:t xml:space="preserve">Audit-Related Fees </w:t>
      </w:r>
      <w:r>
        <w:rPr>
          <w:rFonts w:ascii="Arial" w:cs="Arial" w:eastAsia="Arial" w:hAnsi="Arial"/>
          <w:sz w:val="20"/>
          <w:szCs w:val="20"/>
          <w:color w:val="auto"/>
        </w:rPr>
        <w:t>were for fees for due diligence in connection with mergers and acquisitions and other assurance-related</w:t>
      </w:r>
      <w:r>
        <w:rPr>
          <w:rFonts w:ascii="Arial" w:cs="Arial" w:eastAsia="Arial" w:hAnsi="Arial"/>
          <w:sz w:val="20"/>
          <w:szCs w:val="20"/>
          <w:i w:val="1"/>
          <w:iCs w:val="1"/>
          <w:color w:val="auto"/>
        </w:rPr>
        <w:t xml:space="preserve"> </w:t>
      </w:r>
      <w:r>
        <w:rPr>
          <w:rFonts w:ascii="Arial" w:cs="Arial" w:eastAsia="Arial" w:hAnsi="Arial"/>
          <w:sz w:val="20"/>
          <w:szCs w:val="20"/>
          <w:color w:val="auto"/>
        </w:rPr>
        <w:t>services performed in connection with statutory requirements in various countries.</w:t>
      </w:r>
    </w:p>
    <w:p>
      <w:pPr>
        <w:spacing w:after="0" w:line="21" w:lineRule="exact"/>
        <w:rPr>
          <w:rFonts w:ascii="Arial" w:cs="Arial" w:eastAsia="Arial" w:hAnsi="Arial"/>
          <w:sz w:val="20"/>
          <w:szCs w:val="20"/>
          <w:color w:val="auto"/>
        </w:rPr>
      </w:pPr>
    </w:p>
    <w:p>
      <w:pPr>
        <w:ind w:left="900" w:hanging="305"/>
        <w:spacing w:after="0"/>
        <w:tabs>
          <w:tab w:leader="none" w:pos="900" w:val="left"/>
        </w:tabs>
        <w:numPr>
          <w:ilvl w:val="0"/>
          <w:numId w:val="42"/>
        </w:numPr>
        <w:rPr>
          <w:rFonts w:ascii="Arial" w:cs="Arial" w:eastAsia="Arial" w:hAnsi="Arial"/>
          <w:sz w:val="19"/>
          <w:szCs w:val="19"/>
          <w:color w:val="auto"/>
        </w:rPr>
      </w:pPr>
      <w:r>
        <w:rPr>
          <w:rFonts w:ascii="Arial" w:cs="Arial" w:eastAsia="Arial" w:hAnsi="Arial"/>
          <w:sz w:val="19"/>
          <w:szCs w:val="19"/>
          <w:i w:val="1"/>
          <w:iCs w:val="1"/>
          <w:color w:val="auto"/>
        </w:rPr>
        <w:t xml:space="preserve">Tax Compliance Fees </w:t>
      </w:r>
      <w:r>
        <w:rPr>
          <w:rFonts w:ascii="Arial" w:cs="Arial" w:eastAsia="Arial" w:hAnsi="Arial"/>
          <w:sz w:val="19"/>
          <w:szCs w:val="19"/>
          <w:color w:val="auto"/>
        </w:rPr>
        <w:t>were for services rendered for tax compliance, including the preparation of tax returns and claims for</w:t>
      </w:r>
    </w:p>
    <w:p>
      <w:pPr>
        <w:spacing w:after="0" w:line="20"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refunds.</w:t>
      </w:r>
    </w:p>
    <w:p>
      <w:pPr>
        <w:spacing w:after="0" w:line="51" w:lineRule="exact"/>
        <w:rPr>
          <w:rFonts w:ascii="Arial" w:cs="Arial" w:eastAsia="Arial" w:hAnsi="Arial"/>
          <w:sz w:val="19"/>
          <w:szCs w:val="19"/>
          <w:color w:val="auto"/>
        </w:rPr>
      </w:pPr>
    </w:p>
    <w:p>
      <w:pPr>
        <w:ind w:left="880" w:hanging="285"/>
        <w:spacing w:after="0"/>
        <w:tabs>
          <w:tab w:leader="none" w:pos="880" w:val="left"/>
        </w:tabs>
        <w:numPr>
          <w:ilvl w:val="0"/>
          <w:numId w:val="42"/>
        </w:numPr>
        <w:rPr>
          <w:rFonts w:ascii="Arial" w:cs="Arial" w:eastAsia="Arial" w:hAnsi="Arial"/>
          <w:sz w:val="20"/>
          <w:szCs w:val="20"/>
          <w:color w:val="auto"/>
        </w:rPr>
      </w:pPr>
      <w:r>
        <w:rPr>
          <w:rFonts w:ascii="Arial" w:cs="Arial" w:eastAsia="Arial" w:hAnsi="Arial"/>
          <w:sz w:val="20"/>
          <w:szCs w:val="20"/>
          <w:i w:val="1"/>
          <w:iCs w:val="1"/>
          <w:color w:val="auto"/>
        </w:rPr>
        <w:t xml:space="preserve">Tax Advisory Services Fees </w:t>
      </w:r>
      <w:r>
        <w:rPr>
          <w:rFonts w:ascii="Arial" w:cs="Arial" w:eastAsia="Arial" w:hAnsi="Arial"/>
          <w:sz w:val="20"/>
          <w:szCs w:val="20"/>
          <w:color w:val="auto"/>
        </w:rPr>
        <w:t>were for tax planning and advice.</w:t>
      </w:r>
    </w:p>
    <w:p>
      <w:pPr>
        <w:spacing w:after="0" w:line="55" w:lineRule="exact"/>
        <w:rPr>
          <w:rFonts w:ascii="Arial" w:cs="Arial" w:eastAsia="Arial" w:hAnsi="Arial"/>
          <w:sz w:val="20"/>
          <w:szCs w:val="20"/>
          <w:color w:val="auto"/>
        </w:rPr>
      </w:pPr>
    </w:p>
    <w:p>
      <w:pPr>
        <w:ind w:left="880" w:hanging="285"/>
        <w:spacing w:after="0"/>
        <w:tabs>
          <w:tab w:leader="none" w:pos="880" w:val="left"/>
        </w:tabs>
        <w:numPr>
          <w:ilvl w:val="0"/>
          <w:numId w:val="42"/>
        </w:numPr>
        <w:rPr>
          <w:rFonts w:ascii="Arial" w:cs="Arial" w:eastAsia="Arial" w:hAnsi="Arial"/>
          <w:sz w:val="20"/>
          <w:szCs w:val="20"/>
          <w:color w:val="auto"/>
        </w:rPr>
      </w:pPr>
      <w:r>
        <w:rPr>
          <w:rFonts w:ascii="Arial" w:cs="Arial" w:eastAsia="Arial" w:hAnsi="Arial"/>
          <w:sz w:val="20"/>
          <w:szCs w:val="20"/>
          <w:i w:val="1"/>
          <w:iCs w:val="1"/>
          <w:color w:val="auto"/>
        </w:rPr>
        <w:t xml:space="preserve">All Other Fees </w:t>
      </w:r>
      <w:r>
        <w:rPr>
          <w:rFonts w:ascii="Arial" w:cs="Arial" w:eastAsia="Arial" w:hAnsi="Arial"/>
          <w:sz w:val="20"/>
          <w:szCs w:val="20"/>
          <w:color w:val="auto"/>
        </w:rPr>
        <w:t>were for services rendered for assistance provided primarily to non-U.S. subsidiaries.</w:t>
      </w:r>
    </w:p>
    <w:p>
      <w:pPr>
        <w:spacing w:after="0" w:line="55" w:lineRule="exact"/>
        <w:rPr>
          <w:sz w:val="20"/>
          <w:szCs w:val="20"/>
          <w:color w:val="auto"/>
        </w:rPr>
      </w:pPr>
    </w:p>
    <w:p>
      <w:pPr>
        <w:spacing w:after="0"/>
        <w:rPr>
          <w:sz w:val="20"/>
          <w:szCs w:val="20"/>
          <w:color w:val="auto"/>
        </w:rPr>
      </w:pPr>
      <w:r>
        <w:rPr>
          <w:rFonts w:ascii="Arial" w:cs="Arial" w:eastAsia="Arial" w:hAnsi="Arial"/>
          <w:sz w:val="20"/>
          <w:szCs w:val="20"/>
          <w:color w:val="auto"/>
        </w:rPr>
        <w:t>The amount of fees for each category in 2019 and 2018 are set forth below.</w:t>
      </w:r>
    </w:p>
    <w:p>
      <w:pPr>
        <w:spacing w:after="0" w:line="315" w:lineRule="exact"/>
        <w:rPr>
          <w:sz w:val="20"/>
          <w:szCs w:val="20"/>
          <w:color w:val="auto"/>
        </w:rPr>
      </w:pPr>
    </w:p>
    <w:tbl>
      <w:tblPr>
        <w:tblLayout w:type="fixed"/>
        <w:tblInd w:w="2270" w:type="dxa"/>
        <w:tblCellMar>
          <w:top w:w="0" w:type="dxa"/>
          <w:left w:w="0" w:type="dxa"/>
          <w:bottom w:w="0" w:type="dxa"/>
          <w:right w:w="0" w:type="dxa"/>
        </w:tblCellMar>
      </w:tblPr>
      <w:tr>
        <w:trPr>
          <w:trHeight w:val="327"/>
        </w:trPr>
        <w:tc>
          <w:tcPr>
            <w:tcW w:w="2640" w:type="dxa"/>
            <w:vAlign w:val="bottom"/>
            <w:tcBorders>
              <w:top w:val="single" w:sz="8" w:color="auto"/>
              <w:left w:val="single" w:sz="8" w:color="auto"/>
              <w:right w:val="single" w:sz="8" w:color="auto"/>
            </w:tcBorders>
            <w:shd w:val="clear" w:color="auto" w:fill="29650B"/>
          </w:tcPr>
          <w:p>
            <w:pPr>
              <w:spacing w:after="0"/>
              <w:rPr>
                <w:sz w:val="24"/>
                <w:szCs w:val="24"/>
                <w:color w:val="auto"/>
              </w:rPr>
            </w:pPr>
          </w:p>
        </w:tc>
        <w:tc>
          <w:tcPr>
            <w:tcW w:w="2100" w:type="dxa"/>
            <w:vAlign w:val="bottom"/>
            <w:tcBorders>
              <w:top w:val="single" w:sz="8" w:color="auto"/>
              <w:right w:val="single" w:sz="8" w:color="auto"/>
            </w:tcBorders>
            <w:shd w:val="clear" w:color="auto" w:fill="29650B"/>
          </w:tcPr>
          <w:p>
            <w:pPr>
              <w:jc w:val="right"/>
              <w:ind w:right="789"/>
              <w:spacing w:after="0"/>
              <w:rPr>
                <w:sz w:val="20"/>
                <w:szCs w:val="20"/>
                <w:color w:val="auto"/>
              </w:rPr>
            </w:pPr>
            <w:r>
              <w:rPr>
                <w:rFonts w:ascii="Arial" w:cs="Arial" w:eastAsia="Arial" w:hAnsi="Arial"/>
                <w:sz w:val="18"/>
                <w:szCs w:val="18"/>
                <w:b w:val="1"/>
                <w:bCs w:val="1"/>
                <w:color w:val="FFFFFF"/>
              </w:rPr>
              <w:t>2019</w:t>
            </w:r>
          </w:p>
        </w:tc>
        <w:tc>
          <w:tcPr>
            <w:tcW w:w="2020" w:type="dxa"/>
            <w:vAlign w:val="bottom"/>
            <w:tcBorders>
              <w:top w:val="single" w:sz="8" w:color="auto"/>
              <w:right w:val="single" w:sz="8" w:color="auto"/>
            </w:tcBorders>
            <w:shd w:val="clear" w:color="auto" w:fill="29650B"/>
          </w:tcPr>
          <w:p>
            <w:pPr>
              <w:jc w:val="right"/>
              <w:ind w:right="769"/>
              <w:spacing w:after="0"/>
              <w:rPr>
                <w:sz w:val="20"/>
                <w:szCs w:val="20"/>
                <w:color w:val="auto"/>
              </w:rPr>
            </w:pPr>
            <w:r>
              <w:rPr>
                <w:rFonts w:ascii="Arial" w:cs="Arial" w:eastAsia="Arial" w:hAnsi="Arial"/>
                <w:sz w:val="18"/>
                <w:szCs w:val="18"/>
                <w:b w:val="1"/>
                <w:bCs w:val="1"/>
                <w:color w:val="FFFFFF"/>
              </w:rPr>
              <w:t>2018</w:t>
            </w:r>
          </w:p>
        </w:tc>
      </w:tr>
      <w:tr>
        <w:trPr>
          <w:trHeight w:val="107"/>
        </w:trPr>
        <w:tc>
          <w:tcPr>
            <w:tcW w:w="2640" w:type="dxa"/>
            <w:vAlign w:val="bottom"/>
            <w:tcBorders>
              <w:left w:val="single" w:sz="8" w:color="auto"/>
              <w:bottom w:val="single" w:sz="8" w:color="auto"/>
              <w:right w:val="single" w:sz="8" w:color="auto"/>
            </w:tcBorders>
            <w:shd w:val="clear" w:color="auto" w:fill="29650B"/>
          </w:tcPr>
          <w:p>
            <w:pPr>
              <w:spacing w:after="0"/>
              <w:rPr>
                <w:sz w:val="9"/>
                <w:szCs w:val="9"/>
                <w:color w:val="auto"/>
              </w:rPr>
            </w:pPr>
          </w:p>
        </w:tc>
        <w:tc>
          <w:tcPr>
            <w:tcW w:w="2100" w:type="dxa"/>
            <w:vAlign w:val="bottom"/>
            <w:tcBorders>
              <w:bottom w:val="single" w:sz="8" w:color="auto"/>
              <w:right w:val="single" w:sz="8" w:color="auto"/>
            </w:tcBorders>
            <w:shd w:val="clear" w:color="auto" w:fill="29650B"/>
          </w:tcPr>
          <w:p>
            <w:pPr>
              <w:spacing w:after="0"/>
              <w:rPr>
                <w:sz w:val="9"/>
                <w:szCs w:val="9"/>
                <w:color w:val="auto"/>
              </w:rPr>
            </w:pPr>
          </w:p>
        </w:tc>
        <w:tc>
          <w:tcPr>
            <w:tcW w:w="2020" w:type="dxa"/>
            <w:vAlign w:val="bottom"/>
            <w:tcBorders>
              <w:bottom w:val="single" w:sz="8" w:color="auto"/>
              <w:right w:val="single" w:sz="8" w:color="auto"/>
            </w:tcBorders>
            <w:shd w:val="clear" w:color="auto" w:fill="29650B"/>
          </w:tcPr>
          <w:p>
            <w:pPr>
              <w:spacing w:after="0"/>
              <w:rPr>
                <w:sz w:val="9"/>
                <w:szCs w:val="9"/>
                <w:color w:val="auto"/>
              </w:rPr>
            </w:pPr>
          </w:p>
        </w:tc>
      </w:tr>
      <w:tr>
        <w:trPr>
          <w:trHeight w:val="203"/>
        </w:trPr>
        <w:tc>
          <w:tcPr>
            <w:tcW w:w="2640" w:type="dxa"/>
            <w:vAlign w:val="bottom"/>
            <w:tcBorders>
              <w:left w:val="single" w:sz="8" w:color="auto"/>
              <w:right w:val="single" w:sz="8" w:color="auto"/>
            </w:tcBorders>
          </w:tcPr>
          <w:p>
            <w:pPr>
              <w:ind w:left="100"/>
              <w:spacing w:after="0" w:line="203" w:lineRule="exact"/>
              <w:rPr>
                <w:sz w:val="20"/>
                <w:szCs w:val="20"/>
                <w:color w:val="auto"/>
              </w:rPr>
            </w:pPr>
            <w:r>
              <w:rPr>
                <w:rFonts w:ascii="Arial" w:cs="Arial" w:eastAsia="Arial" w:hAnsi="Arial"/>
                <w:sz w:val="18"/>
                <w:szCs w:val="18"/>
                <w:color w:val="auto"/>
              </w:rPr>
              <w:t>Audit Fees</w:t>
            </w:r>
          </w:p>
        </w:tc>
        <w:tc>
          <w:tcPr>
            <w:tcW w:w="2100" w:type="dxa"/>
            <w:vAlign w:val="bottom"/>
            <w:tcBorders>
              <w:right w:val="single" w:sz="8" w:color="auto"/>
            </w:tcBorders>
          </w:tcPr>
          <w:p>
            <w:pPr>
              <w:jc w:val="right"/>
              <w:ind w:right="209"/>
              <w:spacing w:after="0" w:line="203" w:lineRule="exact"/>
              <w:rPr>
                <w:sz w:val="20"/>
                <w:szCs w:val="20"/>
                <w:color w:val="auto"/>
              </w:rPr>
            </w:pPr>
            <w:r>
              <w:rPr>
                <w:rFonts w:ascii="Arial" w:cs="Arial" w:eastAsia="Arial" w:hAnsi="Arial"/>
                <w:sz w:val="18"/>
                <w:szCs w:val="18"/>
                <w:color w:val="auto"/>
              </w:rPr>
              <w:t>$10,148,000</w:t>
            </w:r>
          </w:p>
        </w:tc>
        <w:tc>
          <w:tcPr>
            <w:tcW w:w="2020" w:type="dxa"/>
            <w:vAlign w:val="bottom"/>
            <w:tcBorders>
              <w:right w:val="single" w:sz="8" w:color="auto"/>
            </w:tcBorders>
          </w:tcPr>
          <w:p>
            <w:pPr>
              <w:jc w:val="right"/>
              <w:ind w:right="229"/>
              <w:spacing w:after="0" w:line="203" w:lineRule="exact"/>
              <w:rPr>
                <w:sz w:val="20"/>
                <w:szCs w:val="20"/>
                <w:color w:val="auto"/>
              </w:rPr>
            </w:pPr>
            <w:r>
              <w:rPr>
                <w:rFonts w:ascii="Arial" w:cs="Arial" w:eastAsia="Arial" w:hAnsi="Arial"/>
                <w:sz w:val="18"/>
                <w:szCs w:val="18"/>
                <w:color w:val="auto"/>
              </w:rPr>
              <w:t>$10,065,000</w:t>
            </w:r>
          </w:p>
        </w:tc>
      </w:tr>
      <w:tr>
        <w:trPr>
          <w:trHeight w:val="211"/>
        </w:trPr>
        <w:tc>
          <w:tcPr>
            <w:tcW w:w="2640" w:type="dxa"/>
            <w:vAlign w:val="bottom"/>
            <w:tcBorders>
              <w:left w:val="single" w:sz="8" w:color="auto"/>
              <w:right w:val="single" w:sz="8" w:color="auto"/>
            </w:tcBorders>
            <w:shd w:val="clear" w:color="auto" w:fill="D9D9D9"/>
          </w:tcPr>
          <w:p>
            <w:pPr>
              <w:ind w:left="100"/>
              <w:spacing w:after="0"/>
              <w:rPr>
                <w:sz w:val="20"/>
                <w:szCs w:val="20"/>
                <w:color w:val="auto"/>
              </w:rPr>
            </w:pPr>
            <w:r>
              <w:rPr>
                <w:rFonts w:ascii="Arial" w:cs="Arial" w:eastAsia="Arial" w:hAnsi="Arial"/>
                <w:sz w:val="18"/>
                <w:szCs w:val="18"/>
                <w:color w:val="auto"/>
              </w:rPr>
              <w:t>Audit-Related Fees</w:t>
            </w:r>
          </w:p>
        </w:tc>
        <w:tc>
          <w:tcPr>
            <w:tcW w:w="2100" w:type="dxa"/>
            <w:vAlign w:val="bottom"/>
            <w:tcBorders>
              <w:right w:val="single" w:sz="8" w:color="auto"/>
            </w:tcBorders>
            <w:shd w:val="clear" w:color="auto" w:fill="D9D9D9"/>
          </w:tcPr>
          <w:p>
            <w:pPr>
              <w:jc w:val="right"/>
              <w:ind w:right="209"/>
              <w:spacing w:after="0"/>
              <w:rPr>
                <w:sz w:val="20"/>
                <w:szCs w:val="20"/>
                <w:color w:val="auto"/>
              </w:rPr>
            </w:pPr>
            <w:r>
              <w:rPr>
                <w:rFonts w:ascii="Arial" w:cs="Arial" w:eastAsia="Arial" w:hAnsi="Arial"/>
                <w:sz w:val="18"/>
                <w:szCs w:val="18"/>
                <w:color w:val="auto"/>
              </w:rPr>
              <w:t>714,000</w:t>
            </w:r>
          </w:p>
        </w:tc>
        <w:tc>
          <w:tcPr>
            <w:tcW w:w="2020" w:type="dxa"/>
            <w:vAlign w:val="bottom"/>
            <w:tcBorders>
              <w:right w:val="single" w:sz="8" w:color="auto"/>
            </w:tcBorders>
            <w:shd w:val="clear" w:color="auto" w:fill="D9D9D9"/>
          </w:tcPr>
          <w:p>
            <w:pPr>
              <w:jc w:val="right"/>
              <w:ind w:right="229"/>
              <w:spacing w:after="0"/>
              <w:rPr>
                <w:sz w:val="20"/>
                <w:szCs w:val="20"/>
                <w:color w:val="auto"/>
              </w:rPr>
            </w:pPr>
            <w:r>
              <w:rPr>
                <w:rFonts w:ascii="Arial" w:cs="Arial" w:eastAsia="Arial" w:hAnsi="Arial"/>
                <w:sz w:val="18"/>
                <w:szCs w:val="18"/>
                <w:color w:val="auto"/>
              </w:rPr>
              <w:t>711,000</w:t>
            </w:r>
          </w:p>
        </w:tc>
      </w:tr>
      <w:tr>
        <w:trPr>
          <w:trHeight w:val="211"/>
        </w:trPr>
        <w:tc>
          <w:tcPr>
            <w:tcW w:w="26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Tax Compliance Fees</w:t>
            </w:r>
          </w:p>
        </w:tc>
        <w:tc>
          <w:tcPr>
            <w:tcW w:w="2100" w:type="dxa"/>
            <w:vAlign w:val="bottom"/>
            <w:tcBorders>
              <w:right w:val="single" w:sz="8" w:color="auto"/>
            </w:tcBorders>
          </w:tcPr>
          <w:p>
            <w:pPr>
              <w:jc w:val="right"/>
              <w:ind w:right="209"/>
              <w:spacing w:after="0"/>
              <w:rPr>
                <w:sz w:val="20"/>
                <w:szCs w:val="20"/>
                <w:color w:val="auto"/>
              </w:rPr>
            </w:pPr>
            <w:r>
              <w:rPr>
                <w:rFonts w:ascii="Arial" w:cs="Arial" w:eastAsia="Arial" w:hAnsi="Arial"/>
                <w:sz w:val="18"/>
                <w:szCs w:val="18"/>
                <w:color w:val="auto"/>
              </w:rPr>
              <w:t>388,000</w:t>
            </w:r>
          </w:p>
        </w:tc>
        <w:tc>
          <w:tcPr>
            <w:tcW w:w="2020" w:type="dxa"/>
            <w:vAlign w:val="bottom"/>
            <w:tcBorders>
              <w:right w:val="single" w:sz="8" w:color="auto"/>
            </w:tcBorders>
          </w:tcPr>
          <w:p>
            <w:pPr>
              <w:jc w:val="right"/>
              <w:ind w:right="229"/>
              <w:spacing w:after="0"/>
              <w:rPr>
                <w:sz w:val="20"/>
                <w:szCs w:val="20"/>
                <w:color w:val="auto"/>
              </w:rPr>
            </w:pPr>
            <w:r>
              <w:rPr>
                <w:rFonts w:ascii="Arial" w:cs="Arial" w:eastAsia="Arial" w:hAnsi="Arial"/>
                <w:sz w:val="18"/>
                <w:szCs w:val="18"/>
                <w:color w:val="auto"/>
              </w:rPr>
              <w:t>426,000</w:t>
            </w:r>
          </w:p>
        </w:tc>
      </w:tr>
      <w:tr>
        <w:trPr>
          <w:trHeight w:val="211"/>
        </w:trPr>
        <w:tc>
          <w:tcPr>
            <w:tcW w:w="2640" w:type="dxa"/>
            <w:vAlign w:val="bottom"/>
            <w:tcBorders>
              <w:left w:val="single" w:sz="8" w:color="auto"/>
              <w:right w:val="single" w:sz="8" w:color="auto"/>
            </w:tcBorders>
            <w:shd w:val="clear" w:color="auto" w:fill="D9D9D9"/>
          </w:tcPr>
          <w:p>
            <w:pPr>
              <w:ind w:left="100"/>
              <w:spacing w:after="0"/>
              <w:rPr>
                <w:sz w:val="20"/>
                <w:szCs w:val="20"/>
                <w:color w:val="auto"/>
              </w:rPr>
            </w:pPr>
            <w:r>
              <w:rPr>
                <w:rFonts w:ascii="Arial" w:cs="Arial" w:eastAsia="Arial" w:hAnsi="Arial"/>
                <w:sz w:val="18"/>
                <w:szCs w:val="18"/>
                <w:color w:val="auto"/>
              </w:rPr>
              <w:t>Tax Advisory Services Fees</w:t>
            </w:r>
          </w:p>
        </w:tc>
        <w:tc>
          <w:tcPr>
            <w:tcW w:w="2100" w:type="dxa"/>
            <w:vAlign w:val="bottom"/>
            <w:tcBorders>
              <w:right w:val="single" w:sz="8" w:color="auto"/>
            </w:tcBorders>
            <w:shd w:val="clear" w:color="auto" w:fill="D9D9D9"/>
          </w:tcPr>
          <w:p>
            <w:pPr>
              <w:jc w:val="right"/>
              <w:ind w:right="209"/>
              <w:spacing w:after="0"/>
              <w:rPr>
                <w:sz w:val="20"/>
                <w:szCs w:val="20"/>
                <w:color w:val="auto"/>
              </w:rPr>
            </w:pPr>
            <w:r>
              <w:rPr>
                <w:rFonts w:ascii="Arial" w:cs="Arial" w:eastAsia="Arial" w:hAnsi="Arial"/>
                <w:sz w:val="18"/>
                <w:szCs w:val="18"/>
                <w:color w:val="auto"/>
              </w:rPr>
              <w:t>1,307,000</w:t>
            </w:r>
          </w:p>
        </w:tc>
        <w:tc>
          <w:tcPr>
            <w:tcW w:w="2020" w:type="dxa"/>
            <w:vAlign w:val="bottom"/>
            <w:tcBorders>
              <w:right w:val="single" w:sz="8" w:color="auto"/>
            </w:tcBorders>
            <w:shd w:val="clear" w:color="auto" w:fill="D9D9D9"/>
          </w:tcPr>
          <w:p>
            <w:pPr>
              <w:jc w:val="right"/>
              <w:ind w:right="229"/>
              <w:spacing w:after="0"/>
              <w:rPr>
                <w:sz w:val="20"/>
                <w:szCs w:val="20"/>
                <w:color w:val="auto"/>
              </w:rPr>
            </w:pPr>
            <w:r>
              <w:rPr>
                <w:rFonts w:ascii="Arial" w:cs="Arial" w:eastAsia="Arial" w:hAnsi="Arial"/>
                <w:sz w:val="18"/>
                <w:szCs w:val="18"/>
                <w:color w:val="auto"/>
              </w:rPr>
              <w:t>1,757,000</w:t>
            </w:r>
          </w:p>
        </w:tc>
      </w:tr>
      <w:tr>
        <w:trPr>
          <w:trHeight w:val="211"/>
        </w:trPr>
        <w:tc>
          <w:tcPr>
            <w:tcW w:w="26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All Other Fees</w:t>
            </w:r>
          </w:p>
        </w:tc>
        <w:tc>
          <w:tcPr>
            <w:tcW w:w="2100" w:type="dxa"/>
            <w:vAlign w:val="bottom"/>
            <w:tcBorders>
              <w:bottom w:val="single" w:sz="8" w:color="auto"/>
              <w:right w:val="single" w:sz="8" w:color="auto"/>
            </w:tcBorders>
          </w:tcPr>
          <w:p>
            <w:pPr>
              <w:jc w:val="right"/>
              <w:ind w:right="209"/>
              <w:spacing w:after="0"/>
              <w:rPr>
                <w:sz w:val="20"/>
                <w:szCs w:val="20"/>
                <w:color w:val="auto"/>
              </w:rPr>
            </w:pPr>
            <w:r>
              <w:rPr>
                <w:rFonts w:ascii="Arial" w:cs="Arial" w:eastAsia="Arial" w:hAnsi="Arial"/>
                <w:sz w:val="18"/>
                <w:szCs w:val="18"/>
                <w:color w:val="auto"/>
              </w:rPr>
              <w:t>40,000</w:t>
            </w:r>
          </w:p>
        </w:tc>
        <w:tc>
          <w:tcPr>
            <w:tcW w:w="2020" w:type="dxa"/>
            <w:vAlign w:val="bottom"/>
            <w:tcBorders>
              <w:bottom w:val="single" w:sz="8" w:color="auto"/>
              <w:right w:val="single" w:sz="8" w:color="auto"/>
            </w:tcBorders>
          </w:tcPr>
          <w:p>
            <w:pPr>
              <w:jc w:val="right"/>
              <w:ind w:right="229"/>
              <w:spacing w:after="0"/>
              <w:rPr>
                <w:sz w:val="20"/>
                <w:szCs w:val="20"/>
                <w:color w:val="auto"/>
              </w:rPr>
            </w:pPr>
            <w:r>
              <w:rPr>
                <w:rFonts w:ascii="Arial" w:cs="Arial" w:eastAsia="Arial" w:hAnsi="Arial"/>
                <w:sz w:val="18"/>
                <w:szCs w:val="18"/>
                <w:color w:val="auto"/>
              </w:rPr>
              <w:t>71,000</w:t>
            </w:r>
          </w:p>
        </w:tc>
      </w:tr>
    </w:tbl>
    <w:p>
      <w:pPr>
        <w:spacing w:after="0" w:line="278" w:lineRule="exact"/>
        <w:rPr>
          <w:sz w:val="20"/>
          <w:szCs w:val="20"/>
          <w:color w:val="auto"/>
        </w:rPr>
      </w:pPr>
    </w:p>
    <w:p>
      <w:pPr>
        <w:jc w:val="both"/>
        <w:ind w:firstLine="595"/>
        <w:spacing w:after="0" w:line="266" w:lineRule="auto"/>
        <w:rPr>
          <w:sz w:val="20"/>
          <w:szCs w:val="20"/>
          <w:color w:val="auto"/>
        </w:rPr>
      </w:pPr>
      <w:r>
        <w:rPr>
          <w:rFonts w:ascii="Arial" w:cs="Arial" w:eastAsia="Arial" w:hAnsi="Arial"/>
          <w:sz w:val="18"/>
          <w:szCs w:val="18"/>
          <w:color w:val="auto"/>
        </w:rPr>
        <w:t>All of the services described above were approved by the Audit Committee. The Audit Committee also evaluated whether the non-audit fees paid to PricewaterhouseCoopers are compatible with maintaining their independence as auditors. The Audit Committee reviews each year the level of Audit and Audit-Related Fees in relation to all other fees paid to the independent auditors. In carrying out this responsibility, the Audit Committee may obtain input from Company management on the general level of fees. The Audit Committee pre-approves all audit and permitted non-audit services, and related fees, to be performed by the Company’s independent auditors. In addition to the Audit Committee’s annual pre-approval, under the Audit Committee Charter the Chair of the Audit Committee has the authority to review and approve other services that may arise during the year with proposed fees up to $250,000 per transaction and reports back any such approvals to the full Audit Committee. Pursuant to this authority, during 2019 the Chair reviewed and approved no such services.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61</w:t>
      </w:r>
    </w:p>
    <w:p>
      <w:pPr>
        <w:sectPr>
          <w:pgSz w:w="11900" w:h="16838" w:orient="portrait"/>
          <w:cols w:equalWidth="0" w:num="1">
            <w:col w:w="11240"/>
          </w:cols>
          <w:pgMar w:left="320" w:top="423" w:right="339" w:bottom="1440" w:gutter="0" w:footer="0" w:header="0"/>
        </w:sectPr>
      </w:pPr>
    </w:p>
    <w:bookmarkStart w:id="65" w:name="page66"/>
    <w:bookmarkEnd w:id="65"/>
    <w:p>
      <w:pPr>
        <w:spacing w:after="0"/>
        <w:rPr>
          <w:sz w:val="20"/>
          <w:szCs w:val="20"/>
          <w:color w:val="auto"/>
        </w:rPr>
      </w:pPr>
      <w:r>
        <w:rPr>
          <w:rFonts w:ascii="Arial" w:cs="Arial" w:eastAsia="Arial" w:hAnsi="Arial"/>
          <w:sz w:val="30"/>
          <w:szCs w:val="30"/>
          <w:b w:val="1"/>
          <w:bCs w:val="1"/>
          <w:color w:val="29650B"/>
        </w:rPr>
        <w:t>AUDIT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3750" cy="317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3750" cy="3175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jc w:val="both"/>
        <w:ind w:firstLine="595"/>
        <w:spacing w:after="0" w:line="243" w:lineRule="auto"/>
        <w:rPr>
          <w:sz w:val="20"/>
          <w:szCs w:val="20"/>
          <w:color w:val="auto"/>
        </w:rPr>
      </w:pPr>
      <w:r>
        <w:rPr>
          <w:rFonts w:ascii="Arial" w:cs="Arial" w:eastAsia="Arial" w:hAnsi="Arial"/>
          <w:sz w:val="20"/>
          <w:szCs w:val="20"/>
          <w:color w:val="auto"/>
        </w:rPr>
        <w:t>The Audit Committee provides assistance to the Board of Directors by its oversight of the financial accounting practices and the internal controls of the Company and represents the Board in connection with the services rendered by the Company’s independent auditors, who report directly to the Audit Committee.</w:t>
      </w:r>
    </w:p>
    <w:p>
      <w:pPr>
        <w:spacing w:after="0" w:line="194" w:lineRule="exact"/>
        <w:rPr>
          <w:sz w:val="20"/>
          <w:szCs w:val="20"/>
          <w:color w:val="auto"/>
        </w:rPr>
      </w:pPr>
    </w:p>
    <w:p>
      <w:pPr>
        <w:jc w:val="both"/>
        <w:ind w:firstLine="595"/>
        <w:spacing w:after="0" w:line="236" w:lineRule="auto"/>
        <w:rPr>
          <w:sz w:val="20"/>
          <w:szCs w:val="20"/>
          <w:color w:val="auto"/>
        </w:rPr>
      </w:pPr>
      <w:r>
        <w:rPr>
          <w:rFonts w:ascii="Arial" w:cs="Arial" w:eastAsia="Arial" w:hAnsi="Arial"/>
          <w:sz w:val="20"/>
          <w:szCs w:val="20"/>
          <w:color w:val="auto"/>
        </w:rPr>
        <w:t>In fulfilling its responsibilities, the Audit Committee has reviewed and discussed with the Company’s management and its independent auditors the audited financial statements for the fiscal year ended December 31, 2019 and the Company’s system of internal controls and its effectiveness. Management is responsible for the financial statements and the reporting process, including the system of internal controls, and has represented to the Audit Committee that such financial statements were prepared in accordance with generally accepted accounting principles. The Company’s independent auditors, PricewaterhouseCoopers LLP, are responsible for expressing an opinion as to whether the financial statements fairly present in all material respects the financial position, results of operations and cash flows of the Company in accordance with generally accepted accounting principles in the United States. PricewaterhouseCoopers have informed the Audit Committee that they have given such an opinion with respect to the audited financial statements for the fiscal year ended December 31, 2019.</w:t>
      </w:r>
    </w:p>
    <w:p>
      <w:pPr>
        <w:spacing w:after="0" w:line="172" w:lineRule="exact"/>
        <w:rPr>
          <w:sz w:val="20"/>
          <w:szCs w:val="20"/>
          <w:color w:val="auto"/>
        </w:rPr>
      </w:pPr>
    </w:p>
    <w:p>
      <w:pPr>
        <w:jc w:val="both"/>
        <w:ind w:firstLine="595"/>
        <w:spacing w:after="0" w:line="254" w:lineRule="auto"/>
        <w:rPr>
          <w:sz w:val="20"/>
          <w:szCs w:val="20"/>
          <w:color w:val="auto"/>
        </w:rPr>
      </w:pPr>
      <w:r>
        <w:rPr>
          <w:rFonts w:ascii="Arial" w:cs="Arial" w:eastAsia="Arial" w:hAnsi="Arial"/>
          <w:sz w:val="19"/>
          <w:szCs w:val="19"/>
          <w:color w:val="auto"/>
        </w:rPr>
        <w:t>The Audit Committee discussed with the independent auditors the matters required to be discussed under the rules adopted by the Public Company Accounting Oversight Board (“PCAOB”). In addition, the Audit Committee discussed with the independent auditors the auditors’ independence from the Company and its management, including the matters in the written disclosures and letter which were received by the Audit Committee from the independent auditors as required by applicable requirements of the PCAOB regarding the independent auditors’ communications with the Audit Committee regarding independence.</w:t>
      </w:r>
    </w:p>
    <w:p>
      <w:pPr>
        <w:spacing w:after="0" w:line="159" w:lineRule="exact"/>
        <w:rPr>
          <w:sz w:val="20"/>
          <w:szCs w:val="20"/>
          <w:color w:val="auto"/>
        </w:rPr>
      </w:pPr>
    </w:p>
    <w:p>
      <w:pPr>
        <w:jc w:val="both"/>
        <w:ind w:firstLine="595"/>
        <w:spacing w:after="0" w:line="280" w:lineRule="auto"/>
        <w:rPr>
          <w:sz w:val="20"/>
          <w:szCs w:val="20"/>
          <w:color w:val="auto"/>
        </w:rPr>
      </w:pPr>
      <w:r>
        <w:rPr>
          <w:rFonts w:ascii="Arial" w:cs="Arial" w:eastAsia="Arial" w:hAnsi="Arial"/>
          <w:sz w:val="19"/>
          <w:szCs w:val="19"/>
          <w:color w:val="auto"/>
        </w:rPr>
        <w:t>Based on the reviews and discussions referred to above, the Audit Committee recommended to the Board of Directors that the audited financial statements be included in the Company’s Annual Report on Form 10-K for the fiscal year ended December 31, 2019.</w:t>
      </w:r>
    </w:p>
    <w:p>
      <w:pPr>
        <w:spacing w:after="0" w:line="135" w:lineRule="exact"/>
        <w:rPr>
          <w:sz w:val="20"/>
          <w:szCs w:val="20"/>
          <w:color w:val="auto"/>
        </w:rPr>
      </w:pPr>
    </w:p>
    <w:p>
      <w:pPr>
        <w:ind w:left="600"/>
        <w:spacing w:after="0"/>
        <w:rPr>
          <w:sz w:val="20"/>
          <w:szCs w:val="20"/>
          <w:color w:val="auto"/>
        </w:rPr>
      </w:pPr>
      <w:r>
        <w:rPr>
          <w:rFonts w:ascii="Arial" w:cs="Arial" w:eastAsia="Arial" w:hAnsi="Arial"/>
          <w:sz w:val="20"/>
          <w:szCs w:val="20"/>
          <w:color w:val="auto"/>
        </w:rPr>
        <w:t>This report is respectfully submitted on February 26, 2020 by the members of the Audit Committee.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420"/>
        <w:spacing w:after="0"/>
        <w:rPr>
          <w:sz w:val="20"/>
          <w:szCs w:val="20"/>
          <w:color w:val="auto"/>
        </w:rPr>
      </w:pPr>
      <w:r>
        <w:rPr>
          <w:rFonts w:ascii="Arial" w:cs="Arial" w:eastAsia="Arial" w:hAnsi="Arial"/>
          <w:sz w:val="20"/>
          <w:szCs w:val="20"/>
          <w:color w:val="auto"/>
        </w:rPr>
        <w:t xml:space="preserve">Caesar Sweitzer, </w:t>
      </w:r>
      <w:r>
        <w:rPr>
          <w:rFonts w:ascii="Arial" w:cs="Arial" w:eastAsia="Arial" w:hAnsi="Arial"/>
          <w:sz w:val="20"/>
          <w:szCs w:val="20"/>
          <w:i w:val="1"/>
          <w:iCs w:val="1"/>
          <w:color w:val="auto"/>
        </w:rPr>
        <w:t>Chair</w:t>
      </w:r>
    </w:p>
    <w:p>
      <w:pPr>
        <w:spacing w:after="0" w:line="3" w:lineRule="exact"/>
        <w:rPr>
          <w:sz w:val="20"/>
          <w:szCs w:val="20"/>
          <w:color w:val="auto"/>
        </w:rPr>
      </w:pPr>
    </w:p>
    <w:p>
      <w:pPr>
        <w:ind w:left="6420"/>
        <w:spacing w:after="0"/>
        <w:rPr>
          <w:sz w:val="20"/>
          <w:szCs w:val="20"/>
          <w:color w:val="auto"/>
        </w:rPr>
      </w:pPr>
      <w:r>
        <w:rPr>
          <w:rFonts w:ascii="Arial" w:cs="Arial" w:eastAsia="Arial" w:hAnsi="Arial"/>
          <w:sz w:val="20"/>
          <w:szCs w:val="20"/>
          <w:color w:val="auto"/>
        </w:rPr>
        <w:t>Andrea Funk</w:t>
      </w:r>
    </w:p>
    <w:p>
      <w:pPr>
        <w:ind w:left="6420"/>
        <w:spacing w:after="0" w:line="232" w:lineRule="auto"/>
        <w:rPr>
          <w:sz w:val="20"/>
          <w:szCs w:val="20"/>
          <w:color w:val="auto"/>
        </w:rPr>
      </w:pPr>
      <w:r>
        <w:rPr>
          <w:rFonts w:ascii="Arial" w:cs="Arial" w:eastAsia="Arial" w:hAnsi="Arial"/>
          <w:sz w:val="20"/>
          <w:szCs w:val="20"/>
          <w:color w:val="auto"/>
        </w:rPr>
        <w:t>Rose Lee</w:t>
      </w:r>
    </w:p>
    <w:p>
      <w:pPr>
        <w:ind w:left="6420"/>
        <w:spacing w:after="0" w:line="233" w:lineRule="auto"/>
        <w:rPr>
          <w:sz w:val="20"/>
          <w:szCs w:val="20"/>
          <w:color w:val="auto"/>
        </w:rPr>
      </w:pPr>
      <w:r>
        <w:rPr>
          <w:rFonts w:ascii="Arial" w:cs="Arial" w:eastAsia="Arial" w:hAnsi="Arial"/>
          <w:sz w:val="20"/>
          <w:szCs w:val="20"/>
          <w:color w:val="auto"/>
        </w:rPr>
        <w:t>Josef Müller</w:t>
      </w:r>
    </w:p>
    <w:p>
      <w:pPr>
        <w:spacing w:after="0" w:line="1" w:lineRule="exact"/>
        <w:rPr>
          <w:sz w:val="20"/>
          <w:szCs w:val="20"/>
          <w:color w:val="auto"/>
        </w:rPr>
      </w:pPr>
    </w:p>
    <w:p>
      <w:pPr>
        <w:ind w:left="6420"/>
        <w:spacing w:after="0"/>
        <w:rPr>
          <w:sz w:val="20"/>
          <w:szCs w:val="20"/>
          <w:color w:val="auto"/>
        </w:rPr>
      </w:pPr>
      <w:r>
        <w:rPr>
          <w:rFonts w:ascii="Arial" w:cs="Arial" w:eastAsia="Arial" w:hAnsi="Arial"/>
          <w:sz w:val="20"/>
          <w:szCs w:val="20"/>
          <w:color w:val="auto"/>
        </w:rPr>
        <w:t>William Urkiel</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62</w:t>
      </w:r>
    </w:p>
    <w:p>
      <w:pPr>
        <w:sectPr>
          <w:pgSz w:w="11900" w:h="16838" w:orient="portrait"/>
          <w:cols w:equalWidth="0" w:num="1">
            <w:col w:w="11240"/>
          </w:cols>
          <w:pgMar w:left="320" w:top="423" w:right="339" w:bottom="1440" w:gutter="0" w:footer="0" w:header="0"/>
        </w:sectPr>
      </w:pPr>
    </w:p>
    <w:bookmarkStart w:id="66" w:name="page67"/>
    <w:bookmarkEnd w:id="66"/>
    <w:p>
      <w:pPr>
        <w:ind w:right="1520"/>
        <w:spacing w:after="0" w:line="262" w:lineRule="auto"/>
        <w:rPr>
          <w:sz w:val="20"/>
          <w:szCs w:val="20"/>
          <w:color w:val="auto"/>
        </w:rPr>
      </w:pPr>
      <w:r>
        <w:rPr>
          <w:rFonts w:ascii="Arial" w:cs="Arial" w:eastAsia="Arial" w:hAnsi="Arial"/>
          <w:sz w:val="30"/>
          <w:szCs w:val="30"/>
          <w:b w:val="1"/>
          <w:bCs w:val="1"/>
          <w:color w:val="29650B"/>
        </w:rPr>
        <w:t>PROPOSAL 2: RATIFICATION OF APPOINTMENT OF INDEPENDENT AUDITORS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143750" cy="317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3750" cy="31750"/>
                    </a:xfrm>
                    <a:prstGeom prst="rect">
                      <a:avLst/>
                    </a:prstGeom>
                    <a:noFill/>
                  </pic:spPr>
                </pic:pic>
              </a:graphicData>
            </a:graphic>
          </wp:anchor>
        </w:drawing>
      </w:r>
    </w:p>
    <w:p>
      <w:pPr>
        <w:spacing w:after="0" w:line="400" w:lineRule="exact"/>
        <w:rPr>
          <w:sz w:val="20"/>
          <w:szCs w:val="20"/>
          <w:color w:val="auto"/>
        </w:rPr>
      </w:pPr>
    </w:p>
    <w:p>
      <w:pPr>
        <w:jc w:val="both"/>
        <w:ind w:firstLine="595"/>
        <w:spacing w:after="0" w:line="254" w:lineRule="auto"/>
        <w:rPr>
          <w:sz w:val="20"/>
          <w:szCs w:val="20"/>
          <w:color w:val="auto"/>
        </w:rPr>
      </w:pPr>
      <w:r>
        <w:rPr>
          <w:rFonts w:ascii="Arial" w:cs="Arial" w:eastAsia="Arial" w:hAnsi="Arial"/>
          <w:sz w:val="20"/>
          <w:szCs w:val="20"/>
          <w:color w:val="auto"/>
        </w:rPr>
        <w:t>The Audit Committee has appointed the firm of PricewaterhouseCoopers LLP, an independent registered public accounting firm, as independent auditors to audit and report on the Company’s financial statements for 2020.</w:t>
      </w:r>
    </w:p>
    <w:p>
      <w:pPr>
        <w:spacing w:after="0" w:line="183" w:lineRule="exact"/>
        <w:rPr>
          <w:sz w:val="20"/>
          <w:szCs w:val="20"/>
          <w:color w:val="auto"/>
        </w:rPr>
      </w:pPr>
    </w:p>
    <w:p>
      <w:pPr>
        <w:jc w:val="both"/>
        <w:ind w:firstLine="595"/>
        <w:spacing w:after="0"/>
        <w:rPr>
          <w:sz w:val="20"/>
          <w:szCs w:val="20"/>
          <w:color w:val="auto"/>
        </w:rPr>
      </w:pPr>
      <w:r>
        <w:rPr>
          <w:rFonts w:ascii="Arial" w:cs="Arial" w:eastAsia="Arial" w:hAnsi="Arial"/>
          <w:sz w:val="20"/>
          <w:szCs w:val="20"/>
          <w:color w:val="auto"/>
        </w:rPr>
        <w:t>Although the submission to Shareholders of the appointment of PricewaterhouseCoopers is not required by law or the Company’s By-Laws, the Audit Committee believes it is appropriate to submit this matter to Shareholders to allow a forum for Shareholders to express their views with regard to the Audit Committee’s selection. In the event Shareholders do not ratify the appointment, the Audit Committee may reconsider the appointment of PricewaterhouseCoopers.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256540</wp:posOffset>
            </wp:positionV>
            <wp:extent cx="7124700" cy="4146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24700" cy="41465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left="2080"/>
        <w:spacing w:after="0"/>
        <w:rPr>
          <w:sz w:val="20"/>
          <w:szCs w:val="20"/>
          <w:color w:val="auto"/>
        </w:rPr>
      </w:pPr>
      <w:r>
        <w:rPr>
          <w:rFonts w:ascii="Arial" w:cs="Arial" w:eastAsia="Arial" w:hAnsi="Arial"/>
          <w:sz w:val="23"/>
          <w:szCs w:val="23"/>
          <w:b w:val="1"/>
          <w:bCs w:val="1"/>
          <w:color w:val="auto"/>
        </w:rPr>
        <w:t>The Board of Directors Recommends a Vote FOR the Ratification of the</w:t>
      </w:r>
    </w:p>
    <w:p>
      <w:pPr>
        <w:spacing w:after="0" w:line="34" w:lineRule="exact"/>
        <w:rPr>
          <w:sz w:val="20"/>
          <w:szCs w:val="20"/>
          <w:color w:val="auto"/>
        </w:rPr>
      </w:pPr>
    </w:p>
    <w:p>
      <w:pPr>
        <w:ind w:left="2040"/>
        <w:spacing w:after="0"/>
        <w:rPr>
          <w:sz w:val="20"/>
          <w:szCs w:val="20"/>
          <w:color w:val="auto"/>
        </w:rPr>
      </w:pPr>
      <w:r>
        <w:rPr>
          <w:rFonts w:ascii="Arial" w:cs="Arial" w:eastAsia="Arial" w:hAnsi="Arial"/>
          <w:sz w:val="23"/>
          <w:szCs w:val="23"/>
          <w:b w:val="1"/>
          <w:bCs w:val="1"/>
          <w:color w:val="auto"/>
        </w:rPr>
        <w:t>Appointment of PricewaterhouseCoopers LLP as Independent Auditors.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63</w:t>
      </w:r>
    </w:p>
    <w:p>
      <w:pPr>
        <w:sectPr>
          <w:pgSz w:w="11900" w:h="16838" w:orient="portrait"/>
          <w:cols w:equalWidth="0" w:num="1">
            <w:col w:w="11240"/>
          </w:cols>
          <w:pgMar w:left="320" w:top="423" w:right="339" w:bottom="1440" w:gutter="0" w:footer="0" w:header="0"/>
        </w:sectPr>
      </w:pPr>
    </w:p>
    <w:bookmarkStart w:id="67" w:name="page68"/>
    <w:bookmarkEnd w:id="67"/>
    <w:p>
      <w:pPr>
        <w:spacing w:after="0"/>
        <w:rPr>
          <w:sz w:val="20"/>
          <w:szCs w:val="20"/>
          <w:color w:val="auto"/>
        </w:rPr>
      </w:pPr>
      <w:r>
        <w:rPr>
          <w:rFonts w:ascii="Arial" w:cs="Arial" w:eastAsia="Arial" w:hAnsi="Arial"/>
          <w:sz w:val="30"/>
          <w:szCs w:val="30"/>
          <w:b w:val="1"/>
          <w:bCs w:val="1"/>
          <w:color w:val="29650B"/>
        </w:rPr>
        <w:t>PROPOSAL 3: ADVISORY VOTE TO APPROVE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3750" cy="317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3750" cy="3175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jc w:val="both"/>
        <w:ind w:firstLine="595"/>
        <w:spacing w:after="0" w:line="284" w:lineRule="auto"/>
        <w:rPr>
          <w:sz w:val="20"/>
          <w:szCs w:val="20"/>
          <w:color w:val="auto"/>
        </w:rPr>
      </w:pPr>
      <w:r>
        <w:rPr>
          <w:rFonts w:ascii="Arial" w:cs="Arial" w:eastAsia="Arial" w:hAnsi="Arial"/>
          <w:sz w:val="18"/>
          <w:szCs w:val="18"/>
          <w:color w:val="auto"/>
        </w:rPr>
        <w:t>At the Annual Meeting, the Company will conduct a Shareholder vote on an advisory resolution to approve executive compensation, commonly referred to as a “Say-on-Pay” vote. The Company currently conducts advisory votes on executive compensation on an annual basis, and it expects to conduct the next advisory vote at the Company’s 2021 Annual Meeting of Shareholders.</w:t>
      </w:r>
    </w:p>
    <w:p>
      <w:pPr>
        <w:spacing w:after="0" w:line="158" w:lineRule="exact"/>
        <w:rPr>
          <w:sz w:val="20"/>
          <w:szCs w:val="20"/>
          <w:color w:val="auto"/>
        </w:rPr>
      </w:pPr>
    </w:p>
    <w:p>
      <w:pPr>
        <w:jc w:val="both"/>
        <w:ind w:firstLine="595"/>
        <w:spacing w:after="0"/>
        <w:rPr>
          <w:sz w:val="20"/>
          <w:szCs w:val="20"/>
          <w:color w:val="auto"/>
        </w:rPr>
      </w:pPr>
      <w:r>
        <w:rPr>
          <w:rFonts w:ascii="Arial" w:cs="Arial" w:eastAsia="Arial" w:hAnsi="Arial"/>
          <w:sz w:val="20"/>
          <w:szCs w:val="20"/>
          <w:color w:val="auto"/>
        </w:rPr>
        <w:t>The Board of Directors encourages Shareholders, in deciding whether to vote in favor of the advisory resolution below, to review the compensation-related elements of this Proxy Statement, including those in the Proxy Statement Summary, the CD&amp;A and the tables and related narrative in the Executive Compensation section, for details regarding the Company’s executive compensation program and 2019 compensation of Named Executive Officers.</w:t>
      </w:r>
    </w:p>
    <w:p>
      <w:pPr>
        <w:spacing w:after="0" w:line="196" w:lineRule="exact"/>
        <w:rPr>
          <w:sz w:val="20"/>
          <w:szCs w:val="20"/>
          <w:color w:val="auto"/>
        </w:rPr>
      </w:pPr>
    </w:p>
    <w:p>
      <w:pPr>
        <w:jc w:val="both"/>
        <w:ind w:firstLine="595"/>
        <w:spacing w:after="0"/>
        <w:rPr>
          <w:sz w:val="20"/>
          <w:szCs w:val="20"/>
          <w:color w:val="auto"/>
        </w:rPr>
      </w:pPr>
      <w:r>
        <w:rPr>
          <w:rFonts w:ascii="Arial" w:cs="Arial" w:eastAsia="Arial" w:hAnsi="Arial"/>
          <w:sz w:val="20"/>
          <w:szCs w:val="20"/>
          <w:color w:val="auto"/>
        </w:rPr>
        <w:t>The Board of Directors believes that the executive compensation program aligns the compensation of the Company’s executive management with the long-term interests of Shareholders. To align these interests, the Company compensates executive management with time-based and performance-based restricted stock and also ties a significant portion of executive cash compensation to performance-based metrics that drive Shareholder value.</w:t>
      </w:r>
    </w:p>
    <w:p>
      <w:pPr>
        <w:spacing w:after="0" w:line="190" w:lineRule="exact"/>
        <w:rPr>
          <w:sz w:val="20"/>
          <w:szCs w:val="20"/>
          <w:color w:val="auto"/>
        </w:rPr>
      </w:pPr>
    </w:p>
    <w:p>
      <w:pPr>
        <w:jc w:val="both"/>
        <w:ind w:firstLine="595"/>
        <w:spacing w:after="0" w:line="246" w:lineRule="auto"/>
        <w:rPr>
          <w:sz w:val="20"/>
          <w:szCs w:val="20"/>
          <w:color w:val="auto"/>
        </w:rPr>
      </w:pPr>
      <w:r>
        <w:rPr>
          <w:rFonts w:ascii="Arial" w:cs="Arial" w:eastAsia="Arial" w:hAnsi="Arial"/>
          <w:sz w:val="20"/>
          <w:szCs w:val="20"/>
          <w:b w:val="1"/>
          <w:bCs w:val="1"/>
          <w:color w:val="auto"/>
        </w:rPr>
        <w:t>RESOLVED, that the Shareholders approve, on an advisory basis, the compensation of the Company’s Named Executive Officers, as disclosed in the Compensation Discussion &amp; Analysis, the compensation tables and the related disclosure contained in the Company’s Proxy Statement for its 2020 Annual Meeting.</w:t>
      </w:r>
    </w:p>
    <w:p>
      <w:pPr>
        <w:spacing w:after="0" w:line="192" w:lineRule="exact"/>
        <w:rPr>
          <w:sz w:val="20"/>
          <w:szCs w:val="20"/>
          <w:color w:val="auto"/>
        </w:rPr>
      </w:pPr>
    </w:p>
    <w:p>
      <w:pPr>
        <w:jc w:val="both"/>
        <w:ind w:firstLine="595"/>
        <w:spacing w:after="0" w:line="254" w:lineRule="auto"/>
        <w:rPr>
          <w:sz w:val="20"/>
          <w:szCs w:val="20"/>
          <w:color w:val="auto"/>
        </w:rPr>
      </w:pPr>
      <w:r>
        <w:rPr>
          <w:rFonts w:ascii="Arial" w:cs="Arial" w:eastAsia="Arial" w:hAnsi="Arial"/>
          <w:sz w:val="20"/>
          <w:szCs w:val="20"/>
          <w:color w:val="auto"/>
        </w:rPr>
        <w:t>Although the vote is non-binding, the Board of Directors and the Compensation Committee expect to take into account the outcome of the vote when considering future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279400</wp:posOffset>
            </wp:positionV>
            <wp:extent cx="7124700" cy="4146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24700" cy="41465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23"/>
          <w:szCs w:val="23"/>
          <w:b w:val="1"/>
          <w:bCs w:val="1"/>
          <w:color w:val="auto"/>
        </w:rPr>
        <w:t>The Board of Directors Recommends a Vote FOR the</w:t>
      </w:r>
    </w:p>
    <w:p>
      <w:pPr>
        <w:spacing w:after="0" w:line="34" w:lineRule="exact"/>
        <w:rPr>
          <w:sz w:val="20"/>
          <w:szCs w:val="20"/>
          <w:color w:val="auto"/>
        </w:rPr>
      </w:pPr>
    </w:p>
    <w:p>
      <w:pPr>
        <w:jc w:val="center"/>
        <w:ind w:right="-19"/>
        <w:spacing w:after="0"/>
        <w:rPr>
          <w:sz w:val="20"/>
          <w:szCs w:val="20"/>
          <w:color w:val="auto"/>
        </w:rPr>
      </w:pPr>
      <w:r>
        <w:rPr>
          <w:rFonts w:ascii="Arial" w:cs="Arial" w:eastAsia="Arial" w:hAnsi="Arial"/>
          <w:sz w:val="23"/>
          <w:szCs w:val="23"/>
          <w:b w:val="1"/>
          <w:bCs w:val="1"/>
          <w:color w:val="auto"/>
        </w:rPr>
        <w:t>Approval of this Advisory Resolution on Executive Compensation.</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64</w:t>
      </w:r>
    </w:p>
    <w:p>
      <w:pPr>
        <w:sectPr>
          <w:pgSz w:w="11900" w:h="16838" w:orient="portrait"/>
          <w:cols w:equalWidth="0" w:num="1">
            <w:col w:w="11240"/>
          </w:cols>
          <w:pgMar w:left="320" w:top="423" w:right="339" w:bottom="1440" w:gutter="0" w:footer="0" w:header="0"/>
        </w:sectPr>
      </w:pPr>
    </w:p>
    <w:bookmarkStart w:id="68" w:name="page69"/>
    <w:bookmarkEnd w:id="68"/>
    <w:p>
      <w:pPr>
        <w:spacing w:after="0"/>
        <w:rPr>
          <w:sz w:val="20"/>
          <w:szCs w:val="20"/>
          <w:color w:val="auto"/>
        </w:rPr>
      </w:pPr>
      <w:r>
        <w:rPr>
          <w:rFonts w:ascii="Arial" w:cs="Arial" w:eastAsia="Arial" w:hAnsi="Arial"/>
          <w:sz w:val="30"/>
          <w:szCs w:val="30"/>
          <w:b w:val="1"/>
          <w:bCs w:val="1"/>
          <w:color w:val="29650B"/>
        </w:rPr>
        <w:t>PROPOSAL 4: SHAREHOLDER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3750" cy="317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3750" cy="31750"/>
                    </a:xfrm>
                    <a:prstGeom prst="rect">
                      <a:avLst/>
                    </a:prstGeom>
                    <a:noFill/>
                  </pic:spPr>
                </pic:pic>
              </a:graphicData>
            </a:graphic>
          </wp:anchor>
        </w:drawing>
      </w:r>
    </w:p>
    <w:p>
      <w:pPr>
        <w:spacing w:after="0" w:line="250" w:lineRule="exact"/>
        <w:rPr>
          <w:sz w:val="20"/>
          <w:szCs w:val="20"/>
          <w:color w:val="auto"/>
        </w:rPr>
      </w:pPr>
    </w:p>
    <w:p>
      <w:pPr>
        <w:jc w:val="both"/>
        <w:ind w:firstLine="595"/>
        <w:spacing w:after="0"/>
        <w:rPr>
          <w:sz w:val="20"/>
          <w:szCs w:val="20"/>
          <w:color w:val="auto"/>
        </w:rPr>
      </w:pPr>
      <w:r>
        <w:rPr>
          <w:rFonts w:ascii="Arial" w:cs="Arial" w:eastAsia="Arial" w:hAnsi="Arial"/>
          <w:sz w:val="20"/>
          <w:szCs w:val="20"/>
          <w:color w:val="auto"/>
        </w:rPr>
        <w:t xml:space="preserve">The Company has been advised that John Chevedden, 2215 Nelson Avenue, No. 205, Redondo Beach, CA 90278, who has indicated that he holds at least 100 shares of stock in the Company, intends to submit the following proposal at the Annual Meeting. The Company is not responsible for the contents of this proposal. If the following proposal is properly presented at the Annual Meeting, </w:t>
      </w:r>
      <w:r>
        <w:rPr>
          <w:rFonts w:ascii="Arial" w:cs="Arial" w:eastAsia="Arial" w:hAnsi="Arial"/>
          <w:sz w:val="20"/>
          <w:szCs w:val="20"/>
          <w:b w:val="1"/>
          <w:bCs w:val="1"/>
          <w:color w:val="auto"/>
        </w:rPr>
        <w:t>the Board of</w:t>
      </w:r>
      <w:r>
        <w:rPr>
          <w:rFonts w:ascii="Arial" w:cs="Arial" w:eastAsia="Arial" w:hAnsi="Arial"/>
          <w:sz w:val="20"/>
          <w:szCs w:val="20"/>
          <w:color w:val="auto"/>
        </w:rPr>
        <w:t xml:space="preserve"> </w:t>
      </w:r>
      <w:r>
        <w:rPr>
          <w:rFonts w:ascii="Arial" w:cs="Arial" w:eastAsia="Arial" w:hAnsi="Arial"/>
          <w:sz w:val="20"/>
          <w:szCs w:val="20"/>
          <w:b w:val="1"/>
          <w:bCs w:val="1"/>
          <w:color w:val="auto"/>
        </w:rPr>
        <w:t>Directors unanimously recommends a vote AGAINST the proposal</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89535</wp:posOffset>
            </wp:positionV>
            <wp:extent cx="7143750"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pacing w:after="0" w:line="36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SHAREHOLDER RESOLUTION:</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Proposal 4 - Independent Board Chairman</w:t>
      </w:r>
    </w:p>
    <w:p>
      <w:pPr>
        <w:spacing w:after="0" w:line="223"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Shareholders request our Board of Directors to adopt as policy, and amend our governing documents as necessary, to require that the Chairman of the Board be an independent member of the Board whenever possible.</w:t>
      </w:r>
    </w:p>
    <w:p>
      <w:pPr>
        <w:spacing w:after="0" w:line="183"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If the Board determines that a Chairman who was independent when selected is no longer independent, the Board shall select a new Chairman who satisfies the requirements of the policy within a reasonable amount of time. Compliance with this policy is waived in the unlikely event that no independent director is available and willing to serve as Chairman.</w:t>
      </w:r>
    </w:p>
    <w:p>
      <w:pPr>
        <w:spacing w:after="0" w:line="194" w:lineRule="exact"/>
        <w:rPr>
          <w:sz w:val="20"/>
          <w:szCs w:val="20"/>
          <w:color w:val="auto"/>
        </w:rPr>
      </w:pPr>
    </w:p>
    <w:p>
      <w:pPr>
        <w:jc w:val="both"/>
        <w:spacing w:after="0"/>
        <w:rPr>
          <w:sz w:val="20"/>
          <w:szCs w:val="20"/>
          <w:color w:val="auto"/>
        </w:rPr>
      </w:pPr>
      <w:r>
        <w:rPr>
          <w:rFonts w:ascii="Arial" w:cs="Arial" w:eastAsia="Arial" w:hAnsi="Arial"/>
          <w:sz w:val="20"/>
          <w:szCs w:val="20"/>
          <w:color w:val="auto"/>
        </w:rPr>
        <w:t>It is an affront to shareholders for management to name a new non-independent Chairman, John Conway, not long after shareholders gave 40%-support to a 2019 shareholder proposal for an independent board Chairman. This 40%-support would have been a majority vote if management had been neutral on this topic. Plus we continue to have a weak Lead Director in William Little, at age 76 with no other board directorship to help bring new ideas and skills to the company.</w:t>
      </w:r>
    </w:p>
    <w:p>
      <w:pPr>
        <w:spacing w:after="0" w:line="196"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Caterpillar and Wells Fargo are examples of companies changing course and naming an independent board chairman. Caterpillar had even opposed a shareholder proposal for an independent board chairman at its annual meeting before transitioning to an independent board Chairman.</w:t>
      </w:r>
    </w:p>
    <w:p>
      <w:pPr>
        <w:spacing w:after="0" w:line="194"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Shareholder proposals such as this have taken a leadership role to improve the corporate governance rules of Crown Holdings. For instance after the submittal of shareholder proposals Crown Holdings did away with its poison pill (2012) and adopted shareholder proxy access (2016).</w:t>
      </w:r>
    </w:p>
    <w:p>
      <w:pPr>
        <w:spacing w:after="0" w:line="194" w:lineRule="exact"/>
        <w:rPr>
          <w:sz w:val="20"/>
          <w:szCs w:val="20"/>
          <w:color w:val="auto"/>
        </w:rPr>
      </w:pPr>
    </w:p>
    <w:p>
      <w:pPr>
        <w:jc w:val="both"/>
        <w:spacing w:after="0"/>
        <w:rPr>
          <w:sz w:val="20"/>
          <w:szCs w:val="20"/>
          <w:color w:val="auto"/>
        </w:rPr>
      </w:pPr>
      <w:r>
        <w:rPr>
          <w:rFonts w:ascii="Arial" w:cs="Arial" w:eastAsia="Arial" w:hAnsi="Arial"/>
          <w:sz w:val="20"/>
          <w:szCs w:val="20"/>
          <w:color w:val="auto"/>
        </w:rPr>
        <w:t>An independent chairman would have more incentive to refresh our board of directors. Beyond age 70 applied to 7 of our directors. Plus directors beyond age 70 controlled 12 of the 18 positions on our 3 most important board committees: The audit, executive pay and nomination committees. The key committees of the Board have an acute need for director refreshment. Meanwhile our geezer Nomination Committee had 6 members age 69 to 76.</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Please vote yes: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Independent Board Chairman — Proposal 4</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65</w:t>
      </w:r>
    </w:p>
    <w:p>
      <w:pPr>
        <w:sectPr>
          <w:pgSz w:w="11900" w:h="16838" w:orient="portrait"/>
          <w:cols w:equalWidth="0" w:num="1">
            <w:col w:w="11240"/>
          </w:cols>
          <w:pgMar w:left="320" w:top="423" w:right="339" w:bottom="1440" w:gutter="0" w:footer="0" w:header="0"/>
        </w:sectPr>
      </w:pPr>
    </w:p>
    <w:bookmarkStart w:id="69" w:name="page70"/>
    <w:bookmarkEnd w:id="69"/>
    <w:p>
      <w:pPr>
        <w:ind w:left="1"/>
        <w:spacing w:after="0"/>
        <w:rPr>
          <w:sz w:val="20"/>
          <w:szCs w:val="20"/>
          <w:color w:val="auto"/>
        </w:rPr>
      </w:pPr>
      <w:r>
        <w:rPr>
          <w:rFonts w:ascii="Arial" w:cs="Arial" w:eastAsia="Arial" w:hAnsi="Arial"/>
          <w:sz w:val="20"/>
          <w:szCs w:val="20"/>
          <w:b w:val="1"/>
          <w:bCs w:val="1"/>
          <w:i w:val="1"/>
          <w:iCs w:val="1"/>
          <w:color w:val="auto"/>
        </w:rPr>
        <w:t>THE COMPANY’S STATEMENT IN OPPOSITION TO PROPOSAL 4:</w:t>
      </w:r>
    </w:p>
    <w:p>
      <w:pPr>
        <w:spacing w:after="0" w:line="217" w:lineRule="exact"/>
        <w:rPr>
          <w:sz w:val="20"/>
          <w:szCs w:val="20"/>
          <w:color w:val="auto"/>
        </w:rPr>
      </w:pPr>
    </w:p>
    <w:p>
      <w:pPr>
        <w:jc w:val="both"/>
        <w:ind w:left="1"/>
        <w:spacing w:after="0" w:line="243" w:lineRule="auto"/>
        <w:rPr>
          <w:sz w:val="20"/>
          <w:szCs w:val="20"/>
          <w:color w:val="auto"/>
        </w:rPr>
      </w:pPr>
      <w:r>
        <w:rPr>
          <w:rFonts w:ascii="Arial" w:cs="Arial" w:eastAsia="Arial" w:hAnsi="Arial"/>
          <w:sz w:val="20"/>
          <w:szCs w:val="20"/>
          <w:color w:val="auto"/>
        </w:rPr>
        <w:t>The Board has carefully considered this Shareholder proposal that is similar to the one made last year by the same proponent and believes that it is unnecessary and potentially detrimental to the Company and its Shareholders. Accordingly, the Board recommends a vote AGAINST Proposal 4 for the following reasons:</w:t>
      </w:r>
    </w:p>
    <w:p>
      <w:pPr>
        <w:spacing w:after="0" w:line="188"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The Company has an Independent Chairman Under Applicable NYSE Rules.</w:t>
      </w:r>
    </w:p>
    <w:p>
      <w:pPr>
        <w:spacing w:after="0" w:line="223" w:lineRule="exact"/>
        <w:rPr>
          <w:sz w:val="20"/>
          <w:szCs w:val="20"/>
          <w:color w:val="auto"/>
        </w:rPr>
      </w:pPr>
    </w:p>
    <w:p>
      <w:pPr>
        <w:ind w:left="1" w:right="220"/>
        <w:spacing w:after="0" w:line="254" w:lineRule="auto"/>
        <w:rPr>
          <w:sz w:val="20"/>
          <w:szCs w:val="20"/>
          <w:color w:val="auto"/>
        </w:rPr>
      </w:pPr>
      <w:r>
        <w:rPr>
          <w:rFonts w:ascii="Arial" w:cs="Arial" w:eastAsia="Arial" w:hAnsi="Arial"/>
          <w:sz w:val="20"/>
          <w:szCs w:val="20"/>
          <w:color w:val="auto"/>
        </w:rPr>
        <w:t>John Conway, the Company’s non-executive Chairman of the Board, qualifies as an independent Director under the listing standards of the NYSE, as further described in “Corporate Governance” on p. 27.</w:t>
      </w:r>
    </w:p>
    <w:p>
      <w:pPr>
        <w:spacing w:after="0" w:line="177"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The Company’s Strong Corporate Governance Practices Provide Effective Independent Board Oversight.</w:t>
      </w:r>
    </w:p>
    <w:p>
      <w:pPr>
        <w:spacing w:after="0" w:line="223" w:lineRule="exact"/>
        <w:rPr>
          <w:sz w:val="20"/>
          <w:szCs w:val="20"/>
          <w:color w:val="auto"/>
        </w:rPr>
      </w:pPr>
    </w:p>
    <w:p>
      <w:pPr>
        <w:jc w:val="both"/>
        <w:ind w:left="1"/>
        <w:spacing w:after="0" w:line="309" w:lineRule="auto"/>
        <w:rPr>
          <w:sz w:val="20"/>
          <w:szCs w:val="20"/>
          <w:color w:val="auto"/>
        </w:rPr>
      </w:pPr>
      <w:r>
        <w:rPr>
          <w:rFonts w:ascii="Arial" w:cs="Arial" w:eastAsia="Arial" w:hAnsi="Arial"/>
          <w:sz w:val="18"/>
          <w:szCs w:val="18"/>
          <w:color w:val="auto"/>
        </w:rPr>
        <w:t>Eleven of the Company’s twelve Directors standing for election are independent under the listing standards of the NYSE and applicable SEC rules. All of the Directors on the Audit, Compensation and Nominating and Corporate Governance Committees are independent Directors.</w:t>
      </w:r>
    </w:p>
    <w:p>
      <w:pPr>
        <w:spacing w:after="0" w:line="137" w:lineRule="exact"/>
        <w:rPr>
          <w:sz w:val="20"/>
          <w:szCs w:val="20"/>
          <w:color w:val="auto"/>
        </w:rPr>
      </w:pPr>
    </w:p>
    <w:p>
      <w:pPr>
        <w:jc w:val="both"/>
        <w:ind w:left="1"/>
        <w:spacing w:after="0"/>
        <w:rPr>
          <w:sz w:val="20"/>
          <w:szCs w:val="20"/>
          <w:color w:val="auto"/>
        </w:rPr>
      </w:pPr>
      <w:r>
        <w:rPr>
          <w:rFonts w:ascii="Arial" w:cs="Arial" w:eastAsia="Arial" w:hAnsi="Arial"/>
          <w:sz w:val="20"/>
          <w:szCs w:val="20"/>
          <w:color w:val="auto"/>
        </w:rPr>
        <w:t>In addition to an independent Chairman of the Board, the Company has a new Independent Lead Director, James Miller, elected by and from among the Company’s independent Directors. Our Corporate Governance Guidelines prescribe a strong role for the Independent Lead Director, who has significant authority with respect to the operation and functioning of the Board. As described in “Corporate Governance” on p. 27, the Independent Lead Director’s duties include the following:</w:t>
      </w:r>
    </w:p>
    <w:p>
      <w:pPr>
        <w:spacing w:after="0" w:line="172" w:lineRule="exact"/>
        <w:rPr>
          <w:sz w:val="20"/>
          <w:szCs w:val="20"/>
          <w:color w:val="auto"/>
        </w:rPr>
      </w:pPr>
    </w:p>
    <w:p>
      <w:pPr>
        <w:ind w:left="601" w:hanging="601"/>
        <w:spacing w:after="0"/>
        <w:tabs>
          <w:tab w:leader="none" w:pos="601" w:val="left"/>
        </w:tabs>
        <w:numPr>
          <w:ilvl w:val="0"/>
          <w:numId w:val="43"/>
        </w:numPr>
        <w:rPr>
          <w:rFonts w:ascii="Arial" w:cs="Arial" w:eastAsia="Arial" w:hAnsi="Arial"/>
          <w:sz w:val="20"/>
          <w:szCs w:val="20"/>
          <w:color w:val="auto"/>
        </w:rPr>
      </w:pPr>
      <w:r>
        <w:rPr>
          <w:rFonts w:ascii="Arial" w:cs="Arial" w:eastAsia="Arial" w:hAnsi="Arial"/>
          <w:sz w:val="20"/>
          <w:szCs w:val="20"/>
          <w:color w:val="auto"/>
        </w:rPr>
        <w:t>presiding at all meetings of the Board in the Chairman of the Board’s absence;</w:t>
      </w:r>
    </w:p>
    <w:p>
      <w:pPr>
        <w:spacing w:after="0" w:line="117" w:lineRule="exact"/>
        <w:rPr>
          <w:rFonts w:ascii="Arial" w:cs="Arial" w:eastAsia="Arial" w:hAnsi="Arial"/>
          <w:sz w:val="20"/>
          <w:szCs w:val="20"/>
          <w:color w:val="auto"/>
        </w:rPr>
      </w:pPr>
    </w:p>
    <w:p>
      <w:pPr>
        <w:ind w:left="601" w:hanging="601"/>
        <w:spacing w:after="0"/>
        <w:tabs>
          <w:tab w:leader="none" w:pos="601" w:val="left"/>
        </w:tabs>
        <w:numPr>
          <w:ilvl w:val="0"/>
          <w:numId w:val="43"/>
        </w:numPr>
        <w:rPr>
          <w:rFonts w:ascii="Arial" w:cs="Arial" w:eastAsia="Arial" w:hAnsi="Arial"/>
          <w:sz w:val="20"/>
          <w:szCs w:val="20"/>
          <w:color w:val="auto"/>
        </w:rPr>
      </w:pPr>
      <w:r>
        <w:rPr>
          <w:rFonts w:ascii="Arial" w:cs="Arial" w:eastAsia="Arial" w:hAnsi="Arial"/>
          <w:sz w:val="20"/>
          <w:szCs w:val="20"/>
          <w:color w:val="auto"/>
        </w:rPr>
        <w:t>presiding at all executive sessions of the Board’s independent Directors;</w:t>
      </w:r>
    </w:p>
    <w:p>
      <w:pPr>
        <w:spacing w:after="0" w:line="104" w:lineRule="exact"/>
        <w:rPr>
          <w:rFonts w:ascii="Arial" w:cs="Arial" w:eastAsia="Arial" w:hAnsi="Arial"/>
          <w:sz w:val="20"/>
          <w:szCs w:val="20"/>
          <w:color w:val="auto"/>
        </w:rPr>
      </w:pPr>
    </w:p>
    <w:p>
      <w:pPr>
        <w:ind w:left="601" w:hanging="601"/>
        <w:spacing w:after="0"/>
        <w:tabs>
          <w:tab w:leader="none" w:pos="601" w:val="left"/>
        </w:tabs>
        <w:numPr>
          <w:ilvl w:val="0"/>
          <w:numId w:val="43"/>
        </w:numPr>
        <w:rPr>
          <w:rFonts w:ascii="Arial" w:cs="Arial" w:eastAsia="Arial" w:hAnsi="Arial"/>
          <w:sz w:val="20"/>
          <w:szCs w:val="20"/>
          <w:color w:val="auto"/>
        </w:rPr>
      </w:pPr>
      <w:r>
        <w:rPr>
          <w:rFonts w:ascii="Arial" w:cs="Arial" w:eastAsia="Arial" w:hAnsi="Arial"/>
          <w:sz w:val="20"/>
          <w:szCs w:val="20"/>
          <w:color w:val="auto"/>
        </w:rPr>
        <w:t>serving as a liaison between the Chairman of the Board and the Board’s independent Directors;</w:t>
      </w:r>
    </w:p>
    <w:p>
      <w:pPr>
        <w:spacing w:after="0" w:line="117" w:lineRule="exact"/>
        <w:rPr>
          <w:rFonts w:ascii="Arial" w:cs="Arial" w:eastAsia="Arial" w:hAnsi="Arial"/>
          <w:sz w:val="20"/>
          <w:szCs w:val="20"/>
          <w:color w:val="auto"/>
        </w:rPr>
      </w:pPr>
    </w:p>
    <w:p>
      <w:pPr>
        <w:ind w:left="601" w:hanging="601"/>
        <w:spacing w:after="0"/>
        <w:tabs>
          <w:tab w:leader="none" w:pos="601" w:val="left"/>
        </w:tabs>
        <w:numPr>
          <w:ilvl w:val="0"/>
          <w:numId w:val="43"/>
        </w:numPr>
        <w:rPr>
          <w:rFonts w:ascii="Arial" w:cs="Arial" w:eastAsia="Arial" w:hAnsi="Arial"/>
          <w:sz w:val="19"/>
          <w:szCs w:val="19"/>
          <w:color w:val="auto"/>
        </w:rPr>
      </w:pPr>
      <w:r>
        <w:rPr>
          <w:rFonts w:ascii="Arial" w:cs="Arial" w:eastAsia="Arial" w:hAnsi="Arial"/>
          <w:sz w:val="19"/>
          <w:szCs w:val="19"/>
          <w:color w:val="auto"/>
        </w:rPr>
        <w:t>providing the Chairman of the Board with input on the agendas and schedules for meetings of the Board and its committees;</w:t>
      </w:r>
    </w:p>
    <w:p>
      <w:pPr>
        <w:spacing w:after="0" w:line="128" w:lineRule="exact"/>
        <w:rPr>
          <w:rFonts w:ascii="Arial" w:cs="Arial" w:eastAsia="Arial" w:hAnsi="Arial"/>
          <w:sz w:val="19"/>
          <w:szCs w:val="19"/>
          <w:color w:val="auto"/>
        </w:rPr>
      </w:pPr>
    </w:p>
    <w:p>
      <w:pPr>
        <w:jc w:val="both"/>
        <w:ind w:left="601" w:hanging="601"/>
        <w:spacing w:after="0" w:line="269" w:lineRule="auto"/>
        <w:tabs>
          <w:tab w:leader="none" w:pos="601" w:val="left"/>
        </w:tabs>
        <w:numPr>
          <w:ilvl w:val="0"/>
          <w:numId w:val="43"/>
        </w:numPr>
        <w:rPr>
          <w:rFonts w:ascii="Arial" w:cs="Arial" w:eastAsia="Arial" w:hAnsi="Arial"/>
          <w:sz w:val="18"/>
          <w:szCs w:val="18"/>
          <w:color w:val="auto"/>
        </w:rPr>
      </w:pPr>
      <w:r>
        <w:rPr>
          <w:rFonts w:ascii="Arial" w:cs="Arial" w:eastAsia="Arial" w:hAnsi="Arial"/>
          <w:sz w:val="18"/>
          <w:szCs w:val="18"/>
          <w:color w:val="auto"/>
        </w:rPr>
        <w:t>advising the Chairman of the Board as to the quality, quantity and timeliness of the flow of information from senior management that is necessary for the independent Directors to effectively and responsibly perform their duties, including specifically requesting the inclusion of certain information in the materials provided for the Board by senior management when appropriate;</w:t>
      </w:r>
    </w:p>
    <w:p>
      <w:pPr>
        <w:spacing w:after="0" w:line="60" w:lineRule="exact"/>
        <w:rPr>
          <w:rFonts w:ascii="Arial" w:cs="Arial" w:eastAsia="Arial" w:hAnsi="Arial"/>
          <w:sz w:val="18"/>
          <w:szCs w:val="18"/>
          <w:color w:val="auto"/>
        </w:rPr>
      </w:pPr>
    </w:p>
    <w:p>
      <w:pPr>
        <w:ind w:left="601" w:hanging="601"/>
        <w:spacing w:after="0"/>
        <w:tabs>
          <w:tab w:leader="none" w:pos="601" w:val="left"/>
        </w:tabs>
        <w:numPr>
          <w:ilvl w:val="0"/>
          <w:numId w:val="43"/>
        </w:numPr>
        <w:rPr>
          <w:rFonts w:ascii="Arial" w:cs="Arial" w:eastAsia="Arial" w:hAnsi="Arial"/>
          <w:sz w:val="20"/>
          <w:szCs w:val="20"/>
          <w:color w:val="auto"/>
        </w:rPr>
      </w:pPr>
      <w:r>
        <w:rPr>
          <w:rFonts w:ascii="Arial" w:cs="Arial" w:eastAsia="Arial" w:hAnsi="Arial"/>
          <w:sz w:val="20"/>
          <w:szCs w:val="20"/>
          <w:color w:val="auto"/>
        </w:rPr>
        <w:t>calling executive sessions of the Board’s independent Directors when appropriate;</w:t>
      </w:r>
    </w:p>
    <w:p>
      <w:pPr>
        <w:spacing w:after="0" w:line="117" w:lineRule="exact"/>
        <w:rPr>
          <w:rFonts w:ascii="Arial" w:cs="Arial" w:eastAsia="Arial" w:hAnsi="Arial"/>
          <w:sz w:val="20"/>
          <w:szCs w:val="20"/>
          <w:color w:val="auto"/>
        </w:rPr>
      </w:pPr>
    </w:p>
    <w:p>
      <w:pPr>
        <w:ind w:left="601" w:hanging="601"/>
        <w:spacing w:after="0"/>
        <w:tabs>
          <w:tab w:leader="none" w:pos="601" w:val="left"/>
        </w:tabs>
        <w:numPr>
          <w:ilvl w:val="0"/>
          <w:numId w:val="43"/>
        </w:numPr>
        <w:rPr>
          <w:rFonts w:ascii="Arial" w:cs="Arial" w:eastAsia="Arial" w:hAnsi="Arial"/>
          <w:sz w:val="20"/>
          <w:szCs w:val="20"/>
          <w:color w:val="auto"/>
        </w:rPr>
      </w:pPr>
      <w:r>
        <w:rPr>
          <w:rFonts w:ascii="Arial" w:cs="Arial" w:eastAsia="Arial" w:hAnsi="Arial"/>
          <w:sz w:val="20"/>
          <w:szCs w:val="20"/>
          <w:color w:val="auto"/>
        </w:rPr>
        <w:t>being available for consultation with the Chief Executive Officer regarding the concerns of the other Directors;</w:t>
      </w:r>
    </w:p>
    <w:p>
      <w:pPr>
        <w:spacing w:after="0" w:line="117" w:lineRule="exact"/>
        <w:rPr>
          <w:rFonts w:ascii="Arial" w:cs="Arial" w:eastAsia="Arial" w:hAnsi="Arial"/>
          <w:sz w:val="20"/>
          <w:szCs w:val="20"/>
          <w:color w:val="auto"/>
        </w:rPr>
      </w:pPr>
    </w:p>
    <w:p>
      <w:pPr>
        <w:ind w:left="601" w:hanging="601"/>
        <w:spacing w:after="0"/>
        <w:tabs>
          <w:tab w:leader="none" w:pos="601" w:val="left"/>
        </w:tabs>
        <w:numPr>
          <w:ilvl w:val="0"/>
          <w:numId w:val="43"/>
        </w:numPr>
        <w:rPr>
          <w:rFonts w:ascii="Arial" w:cs="Arial" w:eastAsia="Arial" w:hAnsi="Arial"/>
          <w:sz w:val="18"/>
          <w:szCs w:val="18"/>
          <w:color w:val="auto"/>
        </w:rPr>
      </w:pPr>
      <w:r>
        <w:rPr>
          <w:rFonts w:ascii="Arial" w:cs="Arial" w:eastAsia="Arial" w:hAnsi="Arial"/>
          <w:sz w:val="18"/>
          <w:szCs w:val="18"/>
          <w:color w:val="auto"/>
        </w:rPr>
        <w:t>being available for consultation with members of senior management regarding the concerns of any members of senior management;</w:t>
      </w:r>
    </w:p>
    <w:p>
      <w:pPr>
        <w:spacing w:after="0" w:line="127" w:lineRule="exact"/>
        <w:rPr>
          <w:rFonts w:ascii="Arial" w:cs="Arial" w:eastAsia="Arial" w:hAnsi="Arial"/>
          <w:sz w:val="18"/>
          <w:szCs w:val="18"/>
          <w:color w:val="auto"/>
        </w:rPr>
      </w:pPr>
    </w:p>
    <w:p>
      <w:pPr>
        <w:ind w:left="601" w:hanging="601"/>
        <w:spacing w:after="0"/>
        <w:tabs>
          <w:tab w:leader="none" w:pos="601" w:val="left"/>
        </w:tabs>
        <w:numPr>
          <w:ilvl w:val="0"/>
          <w:numId w:val="43"/>
        </w:numPr>
        <w:rPr>
          <w:rFonts w:ascii="Arial" w:cs="Arial" w:eastAsia="Arial" w:hAnsi="Arial"/>
          <w:sz w:val="19"/>
          <w:szCs w:val="19"/>
          <w:color w:val="auto"/>
        </w:rPr>
      </w:pPr>
      <w:r>
        <w:rPr>
          <w:rFonts w:ascii="Arial" w:cs="Arial" w:eastAsia="Arial" w:hAnsi="Arial"/>
          <w:sz w:val="19"/>
          <w:szCs w:val="19"/>
          <w:color w:val="auto"/>
        </w:rPr>
        <w:t>being available for consultation and direct communication with shareholders and other interested parties when appropriate;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66</w:t>
      </w:r>
    </w:p>
    <w:p>
      <w:pPr>
        <w:sectPr>
          <w:pgSz w:w="11900" w:h="16838" w:orient="portrait"/>
          <w:cols w:equalWidth="0" w:num="1">
            <w:col w:w="11241"/>
          </w:cols>
          <w:pgMar w:left="319" w:top="443" w:right="339" w:bottom="1440" w:gutter="0" w:footer="0" w:header="0"/>
        </w:sectPr>
      </w:pPr>
    </w:p>
    <w:bookmarkStart w:id="70" w:name="page71"/>
    <w:bookmarkEnd w:id="70"/>
    <w:p>
      <w:pPr>
        <w:ind w:left="601" w:hanging="601"/>
        <w:spacing w:after="0" w:line="241" w:lineRule="auto"/>
        <w:tabs>
          <w:tab w:leader="none" w:pos="601" w:val="left"/>
        </w:tabs>
        <w:numPr>
          <w:ilvl w:val="0"/>
          <w:numId w:val="44"/>
        </w:numPr>
        <w:rPr>
          <w:rFonts w:ascii="Arial" w:cs="Arial" w:eastAsia="Arial" w:hAnsi="Arial"/>
          <w:sz w:val="20"/>
          <w:szCs w:val="20"/>
          <w:color w:val="auto"/>
        </w:rPr>
      </w:pPr>
      <w:r>
        <w:rPr>
          <w:rFonts w:ascii="Arial" w:cs="Arial" w:eastAsia="Arial" w:hAnsi="Arial"/>
          <w:sz w:val="20"/>
          <w:szCs w:val="20"/>
          <w:color w:val="auto"/>
        </w:rPr>
        <w:t>interviewing Director candidates and making recommendations to the Nominating and Corporate Governance Committee and the Board;</w:t>
      </w:r>
    </w:p>
    <w:p>
      <w:pPr>
        <w:spacing w:after="0" w:line="96" w:lineRule="exact"/>
        <w:rPr>
          <w:rFonts w:ascii="Arial" w:cs="Arial" w:eastAsia="Arial" w:hAnsi="Arial"/>
          <w:sz w:val="20"/>
          <w:szCs w:val="20"/>
          <w:color w:val="auto"/>
        </w:rPr>
      </w:pPr>
    </w:p>
    <w:p>
      <w:pPr>
        <w:ind w:left="601" w:hanging="601"/>
        <w:spacing w:after="0"/>
        <w:tabs>
          <w:tab w:leader="none" w:pos="601" w:val="left"/>
        </w:tabs>
        <w:numPr>
          <w:ilvl w:val="0"/>
          <w:numId w:val="44"/>
        </w:numPr>
        <w:rPr>
          <w:rFonts w:ascii="Arial" w:cs="Arial" w:eastAsia="Arial" w:hAnsi="Arial"/>
          <w:sz w:val="20"/>
          <w:szCs w:val="20"/>
          <w:color w:val="auto"/>
        </w:rPr>
      </w:pPr>
      <w:r>
        <w:rPr>
          <w:rFonts w:ascii="Arial" w:cs="Arial" w:eastAsia="Arial" w:hAnsi="Arial"/>
          <w:sz w:val="20"/>
          <w:szCs w:val="20"/>
          <w:color w:val="auto"/>
        </w:rPr>
        <w:t>leading the Board’s evaluation of the Chairman of the Board; and</w:t>
      </w:r>
    </w:p>
    <w:p>
      <w:pPr>
        <w:spacing w:after="0" w:line="104" w:lineRule="exact"/>
        <w:rPr>
          <w:rFonts w:ascii="Arial" w:cs="Arial" w:eastAsia="Arial" w:hAnsi="Arial"/>
          <w:sz w:val="20"/>
          <w:szCs w:val="20"/>
          <w:color w:val="auto"/>
        </w:rPr>
      </w:pPr>
    </w:p>
    <w:p>
      <w:pPr>
        <w:ind w:left="601" w:hanging="601"/>
        <w:spacing w:after="0"/>
        <w:tabs>
          <w:tab w:leader="none" w:pos="601" w:val="left"/>
        </w:tabs>
        <w:numPr>
          <w:ilvl w:val="0"/>
          <w:numId w:val="44"/>
        </w:numPr>
        <w:rPr>
          <w:rFonts w:ascii="Arial" w:cs="Arial" w:eastAsia="Arial" w:hAnsi="Arial"/>
          <w:sz w:val="20"/>
          <w:szCs w:val="20"/>
          <w:color w:val="auto"/>
        </w:rPr>
      </w:pPr>
      <w:r>
        <w:rPr>
          <w:rFonts w:ascii="Arial" w:cs="Arial" w:eastAsia="Arial" w:hAnsi="Arial"/>
          <w:sz w:val="20"/>
          <w:szCs w:val="20"/>
          <w:color w:val="auto"/>
        </w:rPr>
        <w:t>serving a leading role in the Board’s annual self-assessment.</w:t>
      </w:r>
    </w:p>
    <w:p>
      <w:pPr>
        <w:spacing w:after="0" w:line="179" w:lineRule="exact"/>
        <w:rPr>
          <w:sz w:val="20"/>
          <w:szCs w:val="20"/>
          <w:color w:val="auto"/>
        </w:rPr>
      </w:pPr>
    </w:p>
    <w:p>
      <w:pPr>
        <w:jc w:val="both"/>
        <w:ind w:left="1"/>
        <w:spacing w:after="0" w:line="243" w:lineRule="auto"/>
        <w:rPr>
          <w:sz w:val="20"/>
          <w:szCs w:val="20"/>
          <w:color w:val="auto"/>
        </w:rPr>
      </w:pPr>
      <w:r>
        <w:rPr>
          <w:rFonts w:ascii="Arial" w:cs="Arial" w:eastAsia="Arial" w:hAnsi="Arial"/>
          <w:sz w:val="20"/>
          <w:szCs w:val="20"/>
          <w:color w:val="auto"/>
        </w:rPr>
        <w:t>The independent Directors meet regularly in executive sessions with no members of the Company’s management present. The Directors use these executive sessions to discuss matters of concern as well as any matter they deem appropriate, including discussing the Company’s leadership structure and evaluating the Chairman, CEO and other members of senior management.</w:t>
      </w:r>
    </w:p>
    <w:p>
      <w:pPr>
        <w:spacing w:after="0" w:line="194" w:lineRule="exact"/>
        <w:rPr>
          <w:sz w:val="20"/>
          <w:szCs w:val="20"/>
          <w:color w:val="auto"/>
        </w:rPr>
      </w:pPr>
    </w:p>
    <w:p>
      <w:pPr>
        <w:jc w:val="both"/>
        <w:ind w:left="1"/>
        <w:spacing w:after="0"/>
        <w:rPr>
          <w:sz w:val="20"/>
          <w:szCs w:val="20"/>
          <w:color w:val="auto"/>
        </w:rPr>
      </w:pPr>
      <w:r>
        <w:rPr>
          <w:rFonts w:ascii="Arial" w:cs="Arial" w:eastAsia="Arial" w:hAnsi="Arial"/>
          <w:sz w:val="20"/>
          <w:szCs w:val="20"/>
          <w:color w:val="auto"/>
        </w:rPr>
        <w:t>The Shareholder proposal should be viewed against the full array of these corporate governance practices, which the Board believes promote Board independence consistent with best practices. Mandating this change to the Company’s existing governance framework and leadership structure is unnecessary and disrupts the balanced approach reflected in the Company’s Corporate Governance Guidelines and existing practices.</w:t>
      </w:r>
    </w:p>
    <w:p>
      <w:pPr>
        <w:spacing w:after="0" w:line="190"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The Proposal Disregards the Company’s 2019 Board Refreshment Efforts.</w:t>
      </w:r>
    </w:p>
    <w:p>
      <w:pPr>
        <w:spacing w:after="0" w:line="223" w:lineRule="exact"/>
        <w:rPr>
          <w:sz w:val="20"/>
          <w:szCs w:val="20"/>
          <w:color w:val="auto"/>
        </w:rPr>
      </w:pPr>
    </w:p>
    <w:p>
      <w:pPr>
        <w:jc w:val="both"/>
        <w:ind w:left="1"/>
        <w:spacing w:after="0" w:line="249" w:lineRule="auto"/>
        <w:rPr>
          <w:sz w:val="20"/>
          <w:szCs w:val="20"/>
          <w:color w:val="auto"/>
        </w:rPr>
      </w:pPr>
      <w:r>
        <w:rPr>
          <w:rFonts w:ascii="Arial" w:cs="Arial" w:eastAsia="Arial" w:hAnsi="Arial"/>
          <w:sz w:val="19"/>
          <w:szCs w:val="19"/>
          <w:color w:val="auto"/>
        </w:rPr>
        <w:t>Shareholders defeated a similar Shareholder proposal made by the same proponent at last year’s Annual Meeting. Since then, the Company has appointed three new independent Directors, a new Independent Lead Director and two new committee Chairs. In addition, the Company has a long-standing mandatory retirement age policy for Directors to promote Board turnover. Pursuant to this policy, which applies to all Directors including the Chairman, two of the Company’s Directors, William G. Little and Hans J. Löliger, are not standing for reelection to the Board at the Annual Meeting. As a result of these efforts and this policy, since the date of last year’s proxy statement, the average tenure of independent Directors on the Board will have decreased by roughly a third to approximately 8 years, which is in line with the average independent Director tenure among companies in the S&amp;P 500 (as per the 2019 Spencer Stuart Board Index). The average tenure of Directors on the Board is expected to further decrease over the course of the next few years as additional Directors reach the mandatory retirement age and as the Board’s refreshment efforts continue.</w:t>
      </w:r>
    </w:p>
    <w:p>
      <w:pPr>
        <w:spacing w:after="0" w:line="186"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Flexibility in Board Leadership Structure is More Suitable for the Company than a Rigid and Proscriptive Approach.</w:t>
      </w:r>
    </w:p>
    <w:p>
      <w:pPr>
        <w:spacing w:after="0" w:line="223" w:lineRule="exact"/>
        <w:rPr>
          <w:sz w:val="20"/>
          <w:szCs w:val="20"/>
          <w:color w:val="auto"/>
        </w:rPr>
      </w:pPr>
    </w:p>
    <w:p>
      <w:pPr>
        <w:jc w:val="both"/>
        <w:ind w:left="1"/>
        <w:spacing w:after="0" w:line="237" w:lineRule="auto"/>
        <w:rPr>
          <w:sz w:val="20"/>
          <w:szCs w:val="20"/>
          <w:color w:val="auto"/>
        </w:rPr>
      </w:pPr>
      <w:r>
        <w:rPr>
          <w:rFonts w:ascii="Arial" w:cs="Arial" w:eastAsia="Arial" w:hAnsi="Arial"/>
          <w:sz w:val="20"/>
          <w:szCs w:val="20"/>
          <w:color w:val="auto"/>
        </w:rPr>
        <w:t>In order to satisfy its fiduciary duties, the Board believes it is important to maintain the flexibility to establish a leadership structure that best serves the interests of the Company and its Shareholders as circumstances evolve. The Board believes the Company and its Shareholders benefit from this flexibility, as our Directors are well positioned to determine our leadership structure given their in-depth knowledge of our leadership team, our strategic goals and the opportunities and challenges we face, particularly at this point in time as the Company continues to expand globally; navigates and oversees the integration of its recently-acquired Transit Packaging business; and the Board continues its refreshment process.</w:t>
      </w:r>
    </w:p>
    <w:p>
      <w:pPr>
        <w:spacing w:after="0" w:line="200" w:lineRule="exact"/>
        <w:rPr>
          <w:sz w:val="20"/>
          <w:szCs w:val="20"/>
          <w:color w:val="auto"/>
        </w:rPr>
      </w:pPr>
    </w:p>
    <w:p>
      <w:pPr>
        <w:jc w:val="both"/>
        <w:ind w:left="1"/>
        <w:spacing w:after="0"/>
        <w:rPr>
          <w:sz w:val="20"/>
          <w:szCs w:val="20"/>
          <w:color w:val="auto"/>
        </w:rPr>
      </w:pPr>
      <w:r>
        <w:rPr>
          <w:rFonts w:ascii="Arial" w:cs="Arial" w:eastAsia="Arial" w:hAnsi="Arial"/>
          <w:sz w:val="20"/>
          <w:szCs w:val="20"/>
          <w:color w:val="auto"/>
        </w:rPr>
        <w:t>The Shareholder proposal ignores the importance of maintaining this flexibility by mandating a “one-size-fits-all” prescribed form of Board leadership without the ability to take into account the position of the Company and the composition of its Board and management team in the future. The proposal will unnecessarily limit the Board’s options in applying the leadership structure it believes is in the best interests of the Company and its Shareholders at that time.</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67</w:t>
      </w:r>
    </w:p>
    <w:p>
      <w:pPr>
        <w:sectPr>
          <w:pgSz w:w="11900" w:h="16838" w:orient="portrait"/>
          <w:cols w:equalWidth="0" w:num="1">
            <w:col w:w="11241"/>
          </w:cols>
          <w:pgMar w:left="319" w:top="542" w:right="339" w:bottom="1440" w:gutter="0" w:footer="0" w:header="0"/>
        </w:sectPr>
      </w:pPr>
    </w:p>
    <w:bookmarkStart w:id="71" w:name="page72"/>
    <w:bookmarkEnd w:id="71"/>
    <w:p>
      <w:pPr>
        <w:jc w:val="both"/>
        <w:spacing w:after="0" w:line="284" w:lineRule="auto"/>
        <w:rPr>
          <w:sz w:val="20"/>
          <w:szCs w:val="20"/>
          <w:color w:val="auto"/>
        </w:rPr>
      </w:pPr>
      <w:r>
        <w:rPr>
          <w:rFonts w:ascii="Arial" w:cs="Arial" w:eastAsia="Arial" w:hAnsi="Arial"/>
          <w:sz w:val="18"/>
          <w:szCs w:val="18"/>
          <w:color w:val="auto"/>
        </w:rPr>
        <w:t>The Company’s preferred flexible approach is consistent with the practice at other U.S. public companies. Most companies in the S&amp;P 500 do not have a policy mandating an independent chair. While the Company has an independent Chairman of the Board, the 2019 Spencer Stuart Board Index found that approximately 66% of companies in the S&amp;P 500 do not have an independent board chair.</w:t>
      </w:r>
    </w:p>
    <w:p>
      <w:pPr>
        <w:spacing w:after="0" w:line="158"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For the reasons set forth above, the Board recommends that you vote “AGAINST” this proposal, and if the proposal is presented your proxy will be voted against this proposal unless you specify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366395</wp:posOffset>
            </wp:positionV>
            <wp:extent cx="7124700" cy="2171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24700" cy="21717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23"/>
          <w:szCs w:val="23"/>
          <w:b w:val="1"/>
          <w:bCs w:val="1"/>
          <w:color w:val="auto"/>
        </w:rPr>
        <w:t>The Board of Directors Recommends a Vote AGAINST the Shareholder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30"/>
          <w:szCs w:val="30"/>
          <w:b w:val="1"/>
          <w:bCs w:val="1"/>
          <w:color w:val="29650B"/>
        </w:rPr>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3750" cy="317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3750" cy="3175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jc w:val="both"/>
        <w:ind w:firstLine="595"/>
        <w:spacing w:after="0"/>
        <w:rPr>
          <w:sz w:val="20"/>
          <w:szCs w:val="20"/>
          <w:color w:val="auto"/>
        </w:rPr>
      </w:pPr>
      <w:r>
        <w:rPr>
          <w:rFonts w:ascii="Arial" w:cs="Arial" w:eastAsia="Arial" w:hAnsi="Arial"/>
          <w:sz w:val="20"/>
          <w:szCs w:val="20"/>
          <w:color w:val="auto"/>
        </w:rPr>
        <w:t>The Board of Directors knows of no other matter that may be presented for Shareholder action at the Annual Meeting, but if other matters do properly come before the Annual Meeting, or if any of the persons named above to serve as Directors are unable or decline to serve, it is intended that the persons named in the Proxy or their substitutes will vote on such matters and for other nominees in accordance with their best judgment.</w:t>
      </w:r>
    </w:p>
    <w:p>
      <w:pPr>
        <w:spacing w:after="0" w:line="172" w:lineRule="exact"/>
        <w:rPr>
          <w:sz w:val="20"/>
          <w:szCs w:val="20"/>
          <w:color w:val="auto"/>
        </w:rPr>
      </w:pPr>
    </w:p>
    <w:p>
      <w:pPr>
        <w:jc w:val="center"/>
        <w:ind w:left="3120"/>
        <w:spacing w:after="0"/>
        <w:rPr>
          <w:sz w:val="20"/>
          <w:szCs w:val="20"/>
          <w:color w:val="auto"/>
        </w:rPr>
      </w:pPr>
      <w:r>
        <w:rPr>
          <w:rFonts w:ascii="Arial" w:cs="Arial" w:eastAsia="Arial" w:hAnsi="Arial"/>
          <w:sz w:val="20"/>
          <w:szCs w:val="20"/>
          <w:color w:val="auto"/>
        </w:rPr>
        <w:t>ADAM J. DICKSTEIN</w:t>
      </w:r>
    </w:p>
    <w:p>
      <w:pPr>
        <w:spacing w:after="0" w:line="9" w:lineRule="exact"/>
        <w:rPr>
          <w:sz w:val="20"/>
          <w:szCs w:val="20"/>
          <w:color w:val="auto"/>
        </w:rPr>
      </w:pPr>
    </w:p>
    <w:p>
      <w:pPr>
        <w:jc w:val="center"/>
        <w:ind w:left="3120"/>
        <w:spacing w:after="0"/>
        <w:rPr>
          <w:sz w:val="20"/>
          <w:szCs w:val="20"/>
          <w:color w:val="auto"/>
        </w:rPr>
      </w:pPr>
      <w:r>
        <w:rPr>
          <w:rFonts w:ascii="Arial" w:cs="Arial" w:eastAsia="Arial" w:hAnsi="Arial"/>
          <w:sz w:val="20"/>
          <w:szCs w:val="20"/>
          <w:color w:val="auto"/>
        </w:rPr>
        <w:t>Corporate Secretary</w:t>
      </w:r>
    </w:p>
    <w:p>
      <w:pPr>
        <w:spacing w:after="0" w:line="399" w:lineRule="exact"/>
        <w:rPr>
          <w:sz w:val="20"/>
          <w:szCs w:val="20"/>
          <w:color w:val="auto"/>
        </w:rPr>
      </w:pPr>
    </w:p>
    <w:p>
      <w:pPr>
        <w:jc w:val="center"/>
        <w:ind w:left="3120"/>
        <w:spacing w:after="0"/>
        <w:rPr>
          <w:sz w:val="20"/>
          <w:szCs w:val="20"/>
          <w:color w:val="auto"/>
        </w:rPr>
      </w:pPr>
      <w:r>
        <w:rPr>
          <w:rFonts w:ascii="Arial" w:cs="Arial" w:eastAsia="Arial" w:hAnsi="Arial"/>
          <w:sz w:val="20"/>
          <w:szCs w:val="20"/>
          <w:color w:val="auto"/>
        </w:rPr>
        <w:t>Yardley, Pennsylvania 19067</w:t>
      </w:r>
    </w:p>
    <w:p>
      <w:pPr>
        <w:spacing w:after="0" w:line="9" w:lineRule="exact"/>
        <w:rPr>
          <w:sz w:val="20"/>
          <w:szCs w:val="20"/>
          <w:color w:val="auto"/>
        </w:rPr>
      </w:pPr>
    </w:p>
    <w:p>
      <w:pPr>
        <w:jc w:val="center"/>
        <w:ind w:left="3120"/>
        <w:spacing w:after="0"/>
        <w:rPr>
          <w:sz w:val="20"/>
          <w:szCs w:val="20"/>
          <w:color w:val="auto"/>
        </w:rPr>
      </w:pPr>
      <w:r>
        <w:rPr>
          <w:rFonts w:ascii="Arial" w:cs="Arial" w:eastAsia="Arial" w:hAnsi="Arial"/>
          <w:sz w:val="20"/>
          <w:szCs w:val="20"/>
          <w:color w:val="auto"/>
        </w:rPr>
        <w:t>March 16,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68</w:t>
      </w:r>
    </w:p>
    <w:p>
      <w:pPr>
        <w:sectPr>
          <w:pgSz w:w="11900" w:h="16838" w:orient="portrait"/>
          <w:cols w:equalWidth="0" w:num="1">
            <w:col w:w="11240"/>
          </w:cols>
          <w:pgMar w:left="320" w:top="666" w:right="339" w:bottom="1440" w:gutter="0" w:footer="0" w:header="0"/>
        </w:sectPr>
      </w:pPr>
    </w:p>
    <w:bookmarkStart w:id="72" w:name="page73"/>
    <w:bookmarkEnd w:id="72"/>
    <w:p>
      <w:pPr>
        <w:ind w:left="37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202565</wp:posOffset>
            </wp:positionH>
            <wp:positionV relativeFrom="page">
              <wp:posOffset>490855</wp:posOffset>
            </wp:positionV>
            <wp:extent cx="1590675" cy="5118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1590675" cy="511810"/>
                    </a:xfrm>
                    <a:prstGeom prst="rect">
                      <a:avLst/>
                    </a:prstGeom>
                    <a:noFill/>
                  </pic:spPr>
                </pic:pic>
              </a:graphicData>
            </a:graphic>
          </wp:anchor>
        </w:drawing>
        <w:t>Shareowner Services</w:t>
      </w:r>
    </w:p>
    <w:p>
      <w:pPr>
        <w:spacing w:after="0" w:line="14" w:lineRule="exact"/>
        <w:rPr>
          <w:sz w:val="20"/>
          <w:szCs w:val="20"/>
          <w:color w:val="auto"/>
        </w:rPr>
      </w:pPr>
    </w:p>
    <w:p>
      <w:pPr>
        <w:ind w:left="3720"/>
        <w:spacing w:after="0"/>
        <w:rPr>
          <w:sz w:val="20"/>
          <w:szCs w:val="20"/>
          <w:color w:val="auto"/>
        </w:rPr>
      </w:pPr>
      <w:r>
        <w:rPr>
          <w:rFonts w:ascii="Arial" w:cs="Arial" w:eastAsia="Arial" w:hAnsi="Arial"/>
          <w:sz w:val="17"/>
          <w:szCs w:val="17"/>
          <w:color w:val="auto"/>
        </w:rPr>
        <w:t>P.O. Box 64945</w:t>
      </w:r>
    </w:p>
    <w:p>
      <w:pPr>
        <w:spacing w:after="0" w:line="3" w:lineRule="exact"/>
        <w:rPr>
          <w:sz w:val="20"/>
          <w:szCs w:val="20"/>
          <w:color w:val="auto"/>
        </w:rPr>
      </w:pPr>
    </w:p>
    <w:p>
      <w:pPr>
        <w:ind w:left="3720"/>
        <w:spacing w:after="0"/>
        <w:rPr>
          <w:sz w:val="20"/>
          <w:szCs w:val="20"/>
          <w:color w:val="auto"/>
        </w:rPr>
      </w:pPr>
      <w:r>
        <w:rPr>
          <w:rFonts w:ascii="Arial" w:cs="Arial" w:eastAsia="Arial" w:hAnsi="Arial"/>
          <w:sz w:val="17"/>
          <w:szCs w:val="17"/>
          <w:color w:val="auto"/>
        </w:rPr>
        <w:t>St. Paul, MN 55164-0945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4787900</wp:posOffset>
            </wp:positionH>
            <wp:positionV relativeFrom="paragraph">
              <wp:posOffset>3175</wp:posOffset>
            </wp:positionV>
            <wp:extent cx="2362835" cy="1416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362835" cy="141605"/>
                    </a:xfrm>
                    <a:prstGeom prst="rect">
                      <a:avLst/>
                    </a:prstGeom>
                    <a:noFill/>
                  </pic:spPr>
                </pic:pic>
              </a:graphicData>
            </a:graphic>
          </wp:anchor>
        </w:drawing>
      </w:r>
    </w:p>
    <w:p>
      <w:pPr>
        <w:spacing w:after="0" w:line="310" w:lineRule="exact"/>
        <w:rPr>
          <w:sz w:val="20"/>
          <w:szCs w:val="20"/>
          <w:color w:val="auto"/>
        </w:rPr>
      </w:pPr>
    </w:p>
    <w:p>
      <w:pPr>
        <w:jc w:val="center"/>
        <w:ind w:left="4580"/>
        <w:spacing w:after="0"/>
        <w:rPr>
          <w:sz w:val="20"/>
          <w:szCs w:val="20"/>
          <w:color w:val="auto"/>
        </w:rPr>
      </w:pPr>
      <w:r>
        <w:rPr>
          <w:rFonts w:ascii="Arial" w:cs="Arial" w:eastAsia="Arial" w:hAnsi="Arial"/>
          <w:sz w:val="20"/>
          <w:szCs w:val="20"/>
          <w:b w:val="1"/>
          <w:bCs w:val="1"/>
          <w:color w:val="231F20"/>
        </w:rPr>
        <w:t>Vote by Internet, Telephone or Mail</w:t>
      </w:r>
    </w:p>
    <w:p>
      <w:pPr>
        <w:jc w:val="center"/>
        <w:ind w:left="4600"/>
        <w:spacing w:after="0"/>
        <w:rPr>
          <w:sz w:val="20"/>
          <w:szCs w:val="20"/>
          <w:color w:val="auto"/>
        </w:rPr>
      </w:pPr>
      <w:r>
        <w:rPr>
          <w:rFonts w:ascii="Arial" w:cs="Arial" w:eastAsia="Arial" w:hAnsi="Arial"/>
          <w:sz w:val="20"/>
          <w:szCs w:val="20"/>
          <w:b w:val="1"/>
          <w:bCs w:val="1"/>
          <w:color w:val="231F20"/>
        </w:rPr>
        <w:t>24 Hours a Day, 7 Days a Week</w:t>
      </w:r>
    </w:p>
    <w:p>
      <w:pPr>
        <w:spacing w:after="0" w:line="113" w:lineRule="exact"/>
        <w:rPr>
          <w:sz w:val="20"/>
          <w:szCs w:val="20"/>
          <w:color w:val="auto"/>
        </w:rPr>
      </w:pPr>
    </w:p>
    <w:p>
      <w:pPr>
        <w:ind w:left="6580"/>
        <w:spacing w:after="0"/>
        <w:rPr>
          <w:sz w:val="20"/>
          <w:szCs w:val="20"/>
          <w:color w:val="auto"/>
        </w:rPr>
      </w:pPr>
      <w:r>
        <w:rPr>
          <w:rFonts w:ascii="Arial" w:cs="Arial" w:eastAsia="Arial" w:hAnsi="Arial"/>
          <w:sz w:val="15"/>
          <w:szCs w:val="15"/>
          <w:color w:val="231F20"/>
        </w:rPr>
        <w:t>Your phone or Internet vote authorizes the named</w:t>
      </w:r>
    </w:p>
    <w:p>
      <w:pPr>
        <w:ind w:left="6240"/>
        <w:spacing w:after="0" w:line="207" w:lineRule="auto"/>
        <w:rPr>
          <w:sz w:val="20"/>
          <w:szCs w:val="20"/>
          <w:color w:val="auto"/>
        </w:rPr>
      </w:pPr>
      <w:r>
        <w:rPr>
          <w:rFonts w:ascii="Arial" w:cs="Arial" w:eastAsia="Arial" w:hAnsi="Arial"/>
          <w:sz w:val="15"/>
          <w:szCs w:val="15"/>
          <w:color w:val="231F20"/>
        </w:rPr>
        <w:t>Proxy Holders to vote your shares in the same manner</w:t>
      </w:r>
    </w:p>
    <w:p>
      <w:pPr>
        <w:ind w:left="6240"/>
        <w:spacing w:after="0"/>
        <w:rPr>
          <w:sz w:val="20"/>
          <w:szCs w:val="20"/>
          <w:color w:val="auto"/>
        </w:rPr>
      </w:pPr>
      <w:r>
        <w:rPr>
          <w:rFonts w:ascii="Arial" w:cs="Arial" w:eastAsia="Arial" w:hAnsi="Arial"/>
          <w:sz w:val="15"/>
          <w:szCs w:val="15"/>
          <w:color w:val="231F20"/>
        </w:rPr>
        <w:t>as if you marked, signed and returned your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85090</wp:posOffset>
            </wp:positionV>
            <wp:extent cx="189230" cy="1968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89230" cy="196850"/>
                    </a:xfrm>
                    <a:prstGeom prst="rect">
                      <a:avLst/>
                    </a:prstGeom>
                    <a:noFill/>
                  </pic:spPr>
                </pic:pic>
              </a:graphicData>
            </a:graphic>
          </wp:anchor>
        </w:drawing>
      </w:r>
    </w:p>
    <w:p>
      <w:pPr>
        <w:spacing w:after="0" w:line="188" w:lineRule="exact"/>
        <w:rPr>
          <w:sz w:val="20"/>
          <w:szCs w:val="20"/>
          <w:color w:val="auto"/>
        </w:rPr>
      </w:pPr>
    </w:p>
    <w:p>
      <w:pPr>
        <w:ind w:left="6740" w:right="2000"/>
        <w:spacing w:after="0" w:line="261" w:lineRule="auto"/>
        <w:rPr>
          <w:sz w:val="20"/>
          <w:szCs w:val="20"/>
          <w:color w:val="auto"/>
        </w:rPr>
      </w:pPr>
      <w:r>
        <w:rPr>
          <w:rFonts w:ascii="Arial" w:cs="Arial" w:eastAsia="Arial" w:hAnsi="Arial"/>
          <w:sz w:val="13"/>
          <w:szCs w:val="13"/>
          <w:b w:val="1"/>
          <w:bCs w:val="1"/>
          <w:color w:val="auto"/>
        </w:rPr>
        <w:t xml:space="preserve">INTERNET </w:t>
      </w:r>
      <w:r>
        <w:rPr>
          <w:rFonts w:ascii="Arial" w:cs="Arial" w:eastAsia="Arial" w:hAnsi="Arial"/>
          <w:sz w:val="13"/>
          <w:szCs w:val="13"/>
          <w:color w:val="auto"/>
        </w:rPr>
        <w:t>–</w:t>
      </w:r>
      <w:r>
        <w:rPr>
          <w:rFonts w:ascii="Arial" w:cs="Arial" w:eastAsia="Arial" w:hAnsi="Arial"/>
          <w:sz w:val="13"/>
          <w:szCs w:val="13"/>
          <w:b w:val="1"/>
          <w:bCs w:val="1"/>
          <w:color w:val="auto"/>
        </w:rPr>
        <w:t xml:space="preserve"> www.proxypush.com/cck </w:t>
      </w:r>
      <w:r>
        <w:rPr>
          <w:rFonts w:ascii="Arial" w:cs="Arial" w:eastAsia="Arial" w:hAnsi="Arial"/>
          <w:sz w:val="13"/>
          <w:szCs w:val="13"/>
          <w:color w:val="auto"/>
        </w:rPr>
        <w:t>Use the Internet to vote your proxy until</w:t>
      </w:r>
    </w:p>
    <w:p>
      <w:pPr>
        <w:spacing w:after="0" w:line="1" w:lineRule="exact"/>
        <w:rPr>
          <w:sz w:val="20"/>
          <w:szCs w:val="20"/>
          <w:color w:val="auto"/>
        </w:rPr>
      </w:pPr>
    </w:p>
    <w:p>
      <w:pPr>
        <w:ind w:left="6740"/>
        <w:spacing w:after="0"/>
        <w:rPr>
          <w:sz w:val="20"/>
          <w:szCs w:val="20"/>
          <w:color w:val="auto"/>
        </w:rPr>
      </w:pPr>
      <w:r>
        <w:rPr>
          <w:rFonts w:ascii="Arial" w:cs="Arial" w:eastAsia="Arial" w:hAnsi="Arial"/>
          <w:sz w:val="15"/>
          <w:szCs w:val="15"/>
          <w:color w:val="auto"/>
        </w:rPr>
        <w:t>11:59 p.m. (CT) on April 22,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6350</wp:posOffset>
            </wp:positionV>
            <wp:extent cx="189230" cy="1968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89230" cy="196850"/>
                    </a:xfrm>
                    <a:prstGeom prst="rect">
                      <a:avLst/>
                    </a:prstGeom>
                    <a:noFill/>
                  </pic:spPr>
                </pic:pic>
              </a:graphicData>
            </a:graphic>
          </wp:anchor>
        </w:drawing>
      </w:r>
    </w:p>
    <w:p>
      <w:pPr>
        <w:spacing w:after="0" w:line="77" w:lineRule="exact"/>
        <w:rPr>
          <w:sz w:val="20"/>
          <w:szCs w:val="20"/>
          <w:color w:val="auto"/>
        </w:rPr>
      </w:pPr>
    </w:p>
    <w:p>
      <w:pPr>
        <w:ind w:left="6740"/>
        <w:spacing w:after="0"/>
        <w:rPr>
          <w:sz w:val="20"/>
          <w:szCs w:val="20"/>
          <w:color w:val="auto"/>
        </w:rPr>
      </w:pPr>
      <w:r>
        <w:rPr>
          <w:rFonts w:ascii="Arial" w:cs="Arial" w:eastAsia="Arial" w:hAnsi="Arial"/>
          <w:sz w:val="15"/>
          <w:szCs w:val="15"/>
          <w:b w:val="1"/>
          <w:bCs w:val="1"/>
          <w:color w:val="auto"/>
        </w:rPr>
        <w:t>PHONE – 1-866-883-3382</w:t>
      </w:r>
    </w:p>
    <w:p>
      <w:pPr>
        <w:spacing w:after="0" w:line="17" w:lineRule="exact"/>
        <w:rPr>
          <w:sz w:val="20"/>
          <w:szCs w:val="20"/>
          <w:color w:val="auto"/>
        </w:rPr>
      </w:pPr>
    </w:p>
    <w:p>
      <w:pPr>
        <w:ind w:left="6740" w:right="1740"/>
        <w:spacing w:after="0" w:line="302" w:lineRule="auto"/>
        <w:rPr>
          <w:sz w:val="20"/>
          <w:szCs w:val="20"/>
          <w:color w:val="auto"/>
        </w:rPr>
      </w:pPr>
      <w:r>
        <w:rPr>
          <w:rFonts w:ascii="Arial" w:cs="Arial" w:eastAsia="Arial" w:hAnsi="Arial"/>
          <w:sz w:val="13"/>
          <w:szCs w:val="13"/>
          <w:color w:val="auto"/>
        </w:rPr>
        <w:t>Use a touch-tone telephone to vote your proxy until 11:59 p.m. (CT) on April 22,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3945255</wp:posOffset>
            </wp:positionH>
            <wp:positionV relativeFrom="paragraph">
              <wp:posOffset>-20320</wp:posOffset>
            </wp:positionV>
            <wp:extent cx="141605" cy="1104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41605" cy="110490"/>
                    </a:xfrm>
                    <a:prstGeom prst="rect">
                      <a:avLst/>
                    </a:prstGeom>
                    <a:noFill/>
                  </pic:spPr>
                </pic:pic>
              </a:graphicData>
            </a:graphic>
          </wp:anchor>
        </w:drawing>
      </w:r>
    </w:p>
    <w:p>
      <w:pPr>
        <w:spacing w:after="0" w:line="22" w:lineRule="exact"/>
        <w:rPr>
          <w:sz w:val="20"/>
          <w:szCs w:val="20"/>
          <w:color w:val="auto"/>
        </w:rPr>
      </w:pPr>
    </w:p>
    <w:p>
      <w:pPr>
        <w:ind w:left="6740" w:right="1520"/>
        <w:spacing w:after="0" w:line="328" w:lineRule="auto"/>
        <w:rPr>
          <w:sz w:val="20"/>
          <w:szCs w:val="20"/>
          <w:color w:val="auto"/>
        </w:rPr>
      </w:pPr>
      <w:r>
        <w:rPr>
          <w:rFonts w:ascii="Arial" w:cs="Arial" w:eastAsia="Arial" w:hAnsi="Arial"/>
          <w:sz w:val="13"/>
          <w:szCs w:val="13"/>
          <w:b w:val="1"/>
          <w:bCs w:val="1"/>
          <w:color w:val="auto"/>
        </w:rPr>
        <w:t xml:space="preserve">MAIL </w:t>
      </w:r>
      <w:r>
        <w:rPr>
          <w:rFonts w:ascii="Arial" w:cs="Arial" w:eastAsia="Arial" w:hAnsi="Arial"/>
          <w:sz w:val="13"/>
          <w:szCs w:val="13"/>
          <w:color w:val="auto"/>
        </w:rPr>
        <w:t>– Mark, sign and date your proxy card and</w:t>
      </w:r>
      <w:r>
        <w:rPr>
          <w:rFonts w:ascii="Arial" w:cs="Arial" w:eastAsia="Arial" w:hAnsi="Arial"/>
          <w:sz w:val="13"/>
          <w:szCs w:val="13"/>
          <w:b w:val="1"/>
          <w:bCs w:val="1"/>
          <w:color w:val="auto"/>
        </w:rPr>
        <w:t xml:space="preserve"> </w:t>
      </w:r>
      <w:r>
        <w:rPr>
          <w:rFonts w:ascii="Arial" w:cs="Arial" w:eastAsia="Arial" w:hAnsi="Arial"/>
          <w:sz w:val="13"/>
          <w:szCs w:val="13"/>
          <w:color w:val="auto"/>
        </w:rPr>
        <w:t>return it in the postage-paid envelope provided.</w:t>
      </w:r>
    </w:p>
    <w:p>
      <w:pPr>
        <w:spacing w:after="0" w:line="125" w:lineRule="exact"/>
        <w:rPr>
          <w:sz w:val="20"/>
          <w:szCs w:val="20"/>
          <w:color w:val="auto"/>
        </w:rPr>
      </w:pPr>
    </w:p>
    <w:p>
      <w:pPr>
        <w:ind w:left="6160"/>
        <w:spacing w:after="0"/>
        <w:rPr>
          <w:sz w:val="20"/>
          <w:szCs w:val="20"/>
          <w:color w:val="auto"/>
        </w:rPr>
      </w:pPr>
      <w:r>
        <w:rPr>
          <w:rFonts w:ascii="Arial" w:cs="Arial" w:eastAsia="Arial" w:hAnsi="Arial"/>
          <w:sz w:val="15"/>
          <w:szCs w:val="15"/>
          <w:b w:val="1"/>
          <w:bCs w:val="1"/>
          <w:color w:val="auto"/>
        </w:rPr>
        <w:t>Voting your Proxy by Internet or Telephone</w:t>
      </w:r>
    </w:p>
    <w:p>
      <w:pPr>
        <w:spacing w:after="0" w:line="30" w:lineRule="exact"/>
        <w:rPr>
          <w:sz w:val="20"/>
          <w:szCs w:val="20"/>
          <w:color w:val="auto"/>
        </w:rPr>
      </w:pPr>
    </w:p>
    <w:p>
      <w:pPr>
        <w:ind w:left="6160"/>
        <w:spacing w:after="0"/>
        <w:tabs>
          <w:tab w:leader="none" w:pos="646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Please have your Proxy Card and the last four digits of your Social Security</w:t>
      </w:r>
    </w:p>
    <w:p>
      <w:pPr>
        <w:spacing w:after="0" w:line="28" w:lineRule="exact"/>
        <w:rPr>
          <w:sz w:val="20"/>
          <w:szCs w:val="20"/>
          <w:color w:val="auto"/>
        </w:rPr>
      </w:pPr>
    </w:p>
    <w:p>
      <w:pPr>
        <w:ind w:left="6500"/>
        <w:spacing w:after="0"/>
        <w:rPr>
          <w:sz w:val="20"/>
          <w:szCs w:val="20"/>
          <w:color w:val="auto"/>
        </w:rPr>
      </w:pPr>
      <w:r>
        <w:rPr>
          <w:rFonts w:ascii="Arial" w:cs="Arial" w:eastAsia="Arial" w:hAnsi="Arial"/>
          <w:sz w:val="15"/>
          <w:szCs w:val="15"/>
          <w:color w:val="auto"/>
        </w:rPr>
        <w:t>Number or Tax Identification Number available.</w:t>
      </w:r>
    </w:p>
    <w:p>
      <w:pPr>
        <w:spacing w:after="0" w:line="14" w:lineRule="exact"/>
        <w:rPr>
          <w:sz w:val="20"/>
          <w:szCs w:val="20"/>
          <w:color w:val="auto"/>
        </w:rPr>
      </w:pPr>
    </w:p>
    <w:p>
      <w:pPr>
        <w:ind w:left="6160"/>
        <w:spacing w:after="0"/>
        <w:tabs>
          <w:tab w:leader="none" w:pos="6460" w:val="left"/>
        </w:tabs>
        <w:rPr>
          <w:sz w:val="20"/>
          <w:szCs w:val="20"/>
          <w:color w:val="auto"/>
        </w:rPr>
      </w:pPr>
      <w:r>
        <w:rPr>
          <w:rFonts w:ascii="Arial" w:cs="Arial" w:eastAsia="Arial" w:hAnsi="Arial"/>
          <w:sz w:val="15"/>
          <w:szCs w:val="15"/>
          <w:color w:val="auto"/>
        </w:rPr>
        <w:t>●</w:t>
        <w:tab/>
        <w:t>You do NOT need to mail back your Proxy Card.</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TO VOTE BY MAIL AS THE BOARD OF DIRECTORS RECOMMENDS ON ALL ITEMS BELOW,</w:t>
      </w:r>
    </w:p>
    <w:p>
      <w:pPr>
        <w:jc w:val="center"/>
        <w:spacing w:after="0"/>
        <w:rPr>
          <w:sz w:val="20"/>
          <w:szCs w:val="20"/>
          <w:color w:val="auto"/>
        </w:rPr>
      </w:pPr>
      <w:r>
        <w:rPr>
          <w:rFonts w:ascii="Arial" w:cs="Arial" w:eastAsia="Arial" w:hAnsi="Arial"/>
          <w:sz w:val="17"/>
          <w:szCs w:val="17"/>
          <w:b w:val="1"/>
          <w:bCs w:val="1"/>
          <w:i w:val="1"/>
          <w:iCs w:val="1"/>
          <w:color w:val="auto"/>
        </w:rPr>
        <w:t>SIMPLY SIGN, DATE, AND RETURN THIS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2677160</wp:posOffset>
            </wp:positionH>
            <wp:positionV relativeFrom="paragraph">
              <wp:posOffset>229235</wp:posOffset>
            </wp:positionV>
            <wp:extent cx="1819275" cy="3149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819275" cy="314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THIS PROXY IS SOLICITED ON BEHALF OF THE BOARD OF DIRECTORS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Board of Directors Recommends a Vote FOR the Election of all Nominees.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980" w:type="dxa"/>
            <w:vAlign w:val="bottom"/>
          </w:tcPr>
          <w:p>
            <w:pPr>
              <w:spacing w:after="0"/>
              <w:rPr>
                <w:sz w:val="20"/>
                <w:szCs w:val="20"/>
                <w:color w:val="auto"/>
              </w:rPr>
            </w:pPr>
            <w:r>
              <w:rPr>
                <w:rFonts w:ascii="Arial" w:cs="Arial" w:eastAsia="Arial" w:hAnsi="Arial"/>
                <w:sz w:val="12"/>
                <w:szCs w:val="12"/>
                <w:b w:val="1"/>
                <w:bCs w:val="1"/>
                <w:color w:val="auto"/>
              </w:rPr>
              <w:t xml:space="preserve">1. </w:t>
            </w:r>
            <w:r>
              <w:rPr>
                <w:rFonts w:ascii="Arial" w:cs="Arial" w:eastAsia="Arial" w:hAnsi="Arial"/>
                <w:sz w:val="12"/>
                <w:szCs w:val="12"/>
                <w:color w:val="auto"/>
              </w:rPr>
              <w:t>Election of</w:t>
            </w:r>
          </w:p>
        </w:tc>
        <w:tc>
          <w:tcPr>
            <w:tcW w:w="520" w:type="dxa"/>
            <w:vAlign w:val="bottom"/>
          </w:tcPr>
          <w:p>
            <w:pPr>
              <w:jc w:val="right"/>
              <w:spacing w:after="0"/>
              <w:rPr>
                <w:sz w:val="20"/>
                <w:szCs w:val="20"/>
                <w:color w:val="auto"/>
              </w:rPr>
            </w:pPr>
            <w:r>
              <w:rPr>
                <w:rFonts w:ascii="Arial" w:cs="Arial" w:eastAsia="Arial" w:hAnsi="Arial"/>
                <w:sz w:val="12"/>
                <w:szCs w:val="12"/>
                <w:color w:val="auto"/>
              </w:rPr>
              <w:t>01</w:t>
            </w:r>
          </w:p>
        </w:tc>
        <w:tc>
          <w:tcPr>
            <w:tcW w:w="1200" w:type="dxa"/>
            <w:vAlign w:val="bottom"/>
          </w:tcPr>
          <w:p>
            <w:pPr>
              <w:ind w:left="60"/>
              <w:spacing w:after="0"/>
              <w:rPr>
                <w:sz w:val="20"/>
                <w:szCs w:val="20"/>
                <w:color w:val="auto"/>
              </w:rPr>
            </w:pPr>
            <w:r>
              <w:rPr>
                <w:rFonts w:ascii="Arial" w:cs="Arial" w:eastAsia="Arial" w:hAnsi="Arial"/>
                <w:sz w:val="12"/>
                <w:szCs w:val="12"/>
                <w:color w:val="auto"/>
              </w:rPr>
              <w:t>John W. Conway</w:t>
            </w:r>
          </w:p>
        </w:tc>
        <w:tc>
          <w:tcPr>
            <w:tcW w:w="38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1000" w:type="dxa"/>
            <w:vAlign w:val="bottom"/>
          </w:tcPr>
          <w:p>
            <w:pPr>
              <w:ind w:left="40"/>
              <w:spacing w:after="0"/>
              <w:rPr>
                <w:sz w:val="20"/>
                <w:szCs w:val="20"/>
                <w:color w:val="auto"/>
              </w:rPr>
            </w:pPr>
            <w:r>
              <w:rPr>
                <w:rFonts w:ascii="Arial" w:cs="Arial" w:eastAsia="Arial" w:hAnsi="Arial"/>
                <w:sz w:val="12"/>
                <w:szCs w:val="12"/>
                <w:color w:val="auto"/>
                <w:w w:val="97"/>
              </w:rPr>
              <w:t>Stephen J. Hagge</w:t>
            </w:r>
          </w:p>
        </w:tc>
        <w:tc>
          <w:tcPr>
            <w:tcW w:w="300" w:type="dxa"/>
            <w:vAlign w:val="bottom"/>
          </w:tcPr>
          <w:p>
            <w:pPr>
              <w:jc w:val="right"/>
              <w:spacing w:after="0"/>
              <w:rPr>
                <w:sz w:val="20"/>
                <w:szCs w:val="20"/>
                <w:color w:val="auto"/>
              </w:rPr>
            </w:pPr>
            <w:r>
              <w:rPr>
                <w:rFonts w:ascii="Arial" w:cs="Arial" w:eastAsia="Arial" w:hAnsi="Arial"/>
                <w:sz w:val="12"/>
                <w:szCs w:val="12"/>
                <w:color w:val="auto"/>
              </w:rPr>
              <w:t>09</w:t>
            </w:r>
          </w:p>
        </w:tc>
        <w:tc>
          <w:tcPr>
            <w:tcW w:w="2280" w:type="dxa"/>
            <w:vAlign w:val="bottom"/>
            <w:gridSpan w:val="2"/>
          </w:tcPr>
          <w:p>
            <w:pPr>
              <w:ind w:left="40"/>
              <w:spacing w:after="0"/>
              <w:rPr>
                <w:sz w:val="20"/>
                <w:szCs w:val="20"/>
                <w:color w:val="auto"/>
              </w:rPr>
            </w:pPr>
            <w:r>
              <w:rPr>
                <w:rFonts w:ascii="Arial" w:cs="Arial" w:eastAsia="Arial" w:hAnsi="Arial"/>
                <w:sz w:val="12"/>
                <w:szCs w:val="12"/>
                <w:color w:val="auto"/>
              </w:rPr>
              <w:t>B. Craig Owens</w:t>
            </w:r>
          </w:p>
        </w:tc>
        <w:tc>
          <w:tcPr>
            <w:tcW w:w="1340" w:type="dxa"/>
            <w:vAlign w:val="bottom"/>
          </w:tcPr>
          <w:p>
            <w:pPr>
              <w:ind w:left="120"/>
              <w:spacing w:after="0"/>
              <w:rPr>
                <w:sz w:val="20"/>
                <w:szCs w:val="20"/>
                <w:color w:val="auto"/>
              </w:rPr>
            </w:pPr>
            <w:r>
              <w:rPr>
                <w:rFonts w:ascii="Arial" w:cs="Arial" w:eastAsia="Arial" w:hAnsi="Arial"/>
                <w:sz w:val="23"/>
                <w:szCs w:val="23"/>
                <w:color w:val="auto"/>
              </w:rPr>
              <w:t xml:space="preserve">□ </w:t>
            </w:r>
            <w:r>
              <w:rPr>
                <w:rFonts w:ascii="Arial" w:cs="Arial" w:eastAsia="Arial" w:hAnsi="Arial"/>
                <w:sz w:val="11"/>
                <w:szCs w:val="11"/>
                <w:color w:val="auto"/>
              </w:rPr>
              <w:t>Vote FOR</w:t>
            </w:r>
          </w:p>
        </w:tc>
        <w:tc>
          <w:tcPr>
            <w:tcW w:w="3260" w:type="dxa"/>
            <w:vAlign w:val="bottom"/>
            <w:gridSpan w:val="2"/>
          </w:tcPr>
          <w:p>
            <w:pPr>
              <w:ind w:left="340"/>
              <w:spacing w:after="0"/>
              <w:rPr>
                <w:sz w:val="20"/>
                <w:szCs w:val="20"/>
                <w:color w:val="auto"/>
              </w:rPr>
            </w:pPr>
            <w:r>
              <w:rPr>
                <w:rFonts w:ascii="Arial" w:cs="Arial" w:eastAsia="Arial" w:hAnsi="Arial"/>
                <w:sz w:val="23"/>
                <w:szCs w:val="23"/>
                <w:color w:val="auto"/>
              </w:rPr>
              <w:t xml:space="preserve">□ </w:t>
            </w:r>
            <w:r>
              <w:rPr>
                <w:rFonts w:ascii="Arial" w:cs="Arial" w:eastAsia="Arial" w:hAnsi="Arial"/>
                <w:sz w:val="11"/>
                <w:szCs w:val="11"/>
                <w:color w:val="auto"/>
              </w:rPr>
              <w:t>WITHHOLD Vote</w:t>
            </w:r>
          </w:p>
        </w:tc>
        <w:tc>
          <w:tcPr>
            <w:tcW w:w="0" w:type="dxa"/>
            <w:vAlign w:val="bottom"/>
          </w:tcPr>
          <w:p>
            <w:pPr>
              <w:spacing w:after="0"/>
              <w:rPr>
                <w:sz w:val="1"/>
                <w:szCs w:val="1"/>
                <w:color w:val="auto"/>
              </w:rPr>
            </w:pPr>
          </w:p>
        </w:tc>
      </w:tr>
      <w:tr>
        <w:trPr>
          <w:trHeight w:val="123"/>
        </w:trPr>
        <w:tc>
          <w:tcPr>
            <w:tcW w:w="980" w:type="dxa"/>
            <w:vAlign w:val="bottom"/>
          </w:tcPr>
          <w:p>
            <w:pPr>
              <w:ind w:left="120"/>
              <w:spacing w:after="0" w:line="123" w:lineRule="exact"/>
              <w:rPr>
                <w:sz w:val="20"/>
                <w:szCs w:val="20"/>
                <w:color w:val="auto"/>
              </w:rPr>
            </w:pPr>
            <w:r>
              <w:rPr>
                <w:rFonts w:ascii="Arial" w:cs="Arial" w:eastAsia="Arial" w:hAnsi="Arial"/>
                <w:sz w:val="12"/>
                <w:szCs w:val="12"/>
                <w:color w:val="auto"/>
              </w:rPr>
              <w:t>directors:</w:t>
            </w:r>
          </w:p>
        </w:tc>
        <w:tc>
          <w:tcPr>
            <w:tcW w:w="520" w:type="dxa"/>
            <w:vAlign w:val="bottom"/>
          </w:tcPr>
          <w:p>
            <w:pPr>
              <w:jc w:val="right"/>
              <w:spacing w:after="0" w:line="123" w:lineRule="exact"/>
              <w:rPr>
                <w:sz w:val="20"/>
                <w:szCs w:val="20"/>
                <w:color w:val="auto"/>
              </w:rPr>
            </w:pPr>
            <w:r>
              <w:rPr>
                <w:rFonts w:ascii="Arial" w:cs="Arial" w:eastAsia="Arial" w:hAnsi="Arial"/>
                <w:sz w:val="12"/>
                <w:szCs w:val="12"/>
                <w:color w:val="auto"/>
              </w:rPr>
              <w:t>02</w:t>
            </w:r>
          </w:p>
        </w:tc>
        <w:tc>
          <w:tcPr>
            <w:tcW w:w="1200" w:type="dxa"/>
            <w:vAlign w:val="bottom"/>
          </w:tcPr>
          <w:p>
            <w:pPr>
              <w:ind w:left="60"/>
              <w:spacing w:after="0" w:line="123" w:lineRule="exact"/>
              <w:rPr>
                <w:sz w:val="20"/>
                <w:szCs w:val="20"/>
                <w:color w:val="auto"/>
              </w:rPr>
            </w:pPr>
            <w:r>
              <w:rPr>
                <w:rFonts w:ascii="Arial" w:cs="Arial" w:eastAsia="Arial" w:hAnsi="Arial"/>
                <w:sz w:val="12"/>
                <w:szCs w:val="12"/>
                <w:color w:val="auto"/>
              </w:rPr>
              <w:t>Timothy J. Donahue</w:t>
            </w:r>
          </w:p>
        </w:tc>
        <w:tc>
          <w:tcPr>
            <w:tcW w:w="380" w:type="dxa"/>
            <w:vAlign w:val="bottom"/>
          </w:tcPr>
          <w:p>
            <w:pPr>
              <w:jc w:val="right"/>
              <w:ind w:right="2"/>
              <w:spacing w:after="0" w:line="123" w:lineRule="exact"/>
              <w:rPr>
                <w:sz w:val="20"/>
                <w:szCs w:val="20"/>
                <w:color w:val="auto"/>
              </w:rPr>
            </w:pPr>
            <w:r>
              <w:rPr>
                <w:rFonts w:ascii="Arial" w:cs="Arial" w:eastAsia="Arial" w:hAnsi="Arial"/>
                <w:sz w:val="12"/>
                <w:szCs w:val="12"/>
                <w:color w:val="auto"/>
              </w:rPr>
              <w:t>06</w:t>
            </w:r>
          </w:p>
        </w:tc>
        <w:tc>
          <w:tcPr>
            <w:tcW w:w="1000" w:type="dxa"/>
            <w:vAlign w:val="bottom"/>
          </w:tcPr>
          <w:p>
            <w:pPr>
              <w:ind w:left="40"/>
              <w:spacing w:after="0" w:line="123" w:lineRule="exact"/>
              <w:rPr>
                <w:sz w:val="20"/>
                <w:szCs w:val="20"/>
                <w:color w:val="auto"/>
              </w:rPr>
            </w:pPr>
            <w:r>
              <w:rPr>
                <w:rFonts w:ascii="Arial" w:cs="Arial" w:eastAsia="Arial" w:hAnsi="Arial"/>
                <w:sz w:val="12"/>
                <w:szCs w:val="12"/>
                <w:color w:val="auto"/>
              </w:rPr>
              <w:t>Rose Lee</w:t>
            </w:r>
          </w:p>
        </w:tc>
        <w:tc>
          <w:tcPr>
            <w:tcW w:w="300" w:type="dxa"/>
            <w:vAlign w:val="bottom"/>
          </w:tcPr>
          <w:p>
            <w:pPr>
              <w:jc w:val="right"/>
              <w:spacing w:after="0" w:line="123" w:lineRule="exact"/>
              <w:rPr>
                <w:sz w:val="20"/>
                <w:szCs w:val="20"/>
                <w:color w:val="auto"/>
              </w:rPr>
            </w:pPr>
            <w:r>
              <w:rPr>
                <w:rFonts w:ascii="Arial" w:cs="Arial" w:eastAsia="Arial" w:hAnsi="Arial"/>
                <w:sz w:val="12"/>
                <w:szCs w:val="12"/>
                <w:color w:val="auto"/>
              </w:rPr>
              <w:t>10</w:t>
            </w:r>
          </w:p>
        </w:tc>
        <w:tc>
          <w:tcPr>
            <w:tcW w:w="2280" w:type="dxa"/>
            <w:vAlign w:val="bottom"/>
            <w:gridSpan w:val="2"/>
          </w:tcPr>
          <w:p>
            <w:pPr>
              <w:ind w:left="40"/>
              <w:spacing w:after="0" w:line="123" w:lineRule="exact"/>
              <w:rPr>
                <w:sz w:val="20"/>
                <w:szCs w:val="20"/>
                <w:color w:val="auto"/>
              </w:rPr>
            </w:pPr>
            <w:r>
              <w:rPr>
                <w:rFonts w:ascii="Arial" w:cs="Arial" w:eastAsia="Arial" w:hAnsi="Arial"/>
                <w:sz w:val="12"/>
                <w:szCs w:val="12"/>
                <w:color w:val="auto"/>
              </w:rPr>
              <w:t>Caesar F. Sweitzer</w:t>
            </w:r>
          </w:p>
        </w:tc>
        <w:tc>
          <w:tcPr>
            <w:tcW w:w="1340" w:type="dxa"/>
            <w:vAlign w:val="bottom"/>
          </w:tcPr>
          <w:p>
            <w:pPr>
              <w:ind w:left="340"/>
              <w:spacing w:after="0" w:line="123" w:lineRule="exact"/>
              <w:rPr>
                <w:sz w:val="20"/>
                <w:szCs w:val="20"/>
                <w:color w:val="auto"/>
              </w:rPr>
            </w:pPr>
            <w:r>
              <w:rPr>
                <w:rFonts w:ascii="Arial" w:cs="Arial" w:eastAsia="Arial" w:hAnsi="Arial"/>
                <w:sz w:val="12"/>
                <w:szCs w:val="12"/>
                <w:color w:val="auto"/>
              </w:rPr>
              <w:t>all nominees</w:t>
            </w:r>
          </w:p>
        </w:tc>
        <w:tc>
          <w:tcPr>
            <w:tcW w:w="3260" w:type="dxa"/>
            <w:vAlign w:val="bottom"/>
            <w:gridSpan w:val="2"/>
          </w:tcPr>
          <w:p>
            <w:pPr>
              <w:ind w:left="560"/>
              <w:spacing w:after="0" w:line="123" w:lineRule="exact"/>
              <w:rPr>
                <w:sz w:val="20"/>
                <w:szCs w:val="20"/>
                <w:color w:val="auto"/>
              </w:rPr>
            </w:pPr>
            <w:r>
              <w:rPr>
                <w:rFonts w:ascii="Arial" w:cs="Arial" w:eastAsia="Arial" w:hAnsi="Arial"/>
                <w:sz w:val="12"/>
                <w:szCs w:val="12"/>
                <w:color w:val="auto"/>
              </w:rPr>
              <w:t>from all nominees</w:t>
            </w:r>
          </w:p>
        </w:tc>
        <w:tc>
          <w:tcPr>
            <w:tcW w:w="0" w:type="dxa"/>
            <w:vAlign w:val="bottom"/>
          </w:tcPr>
          <w:p>
            <w:pPr>
              <w:spacing w:after="0"/>
              <w:rPr>
                <w:sz w:val="1"/>
                <w:szCs w:val="1"/>
                <w:color w:val="auto"/>
              </w:rPr>
            </w:pPr>
          </w:p>
        </w:tc>
      </w:tr>
      <w:tr>
        <w:trPr>
          <w:trHeight w:val="124"/>
        </w:trPr>
        <w:tc>
          <w:tcPr>
            <w:tcW w:w="980" w:type="dxa"/>
            <w:vAlign w:val="bottom"/>
          </w:tcPr>
          <w:p>
            <w:pPr>
              <w:spacing w:after="0"/>
              <w:rPr>
                <w:sz w:val="10"/>
                <w:szCs w:val="10"/>
                <w:color w:val="auto"/>
              </w:rPr>
            </w:pPr>
          </w:p>
        </w:tc>
        <w:tc>
          <w:tcPr>
            <w:tcW w:w="520" w:type="dxa"/>
            <w:vAlign w:val="bottom"/>
          </w:tcPr>
          <w:p>
            <w:pPr>
              <w:jc w:val="right"/>
              <w:spacing w:after="0" w:line="124" w:lineRule="exact"/>
              <w:rPr>
                <w:sz w:val="20"/>
                <w:szCs w:val="20"/>
                <w:color w:val="auto"/>
              </w:rPr>
            </w:pPr>
            <w:r>
              <w:rPr>
                <w:rFonts w:ascii="Arial" w:cs="Arial" w:eastAsia="Arial" w:hAnsi="Arial"/>
                <w:sz w:val="12"/>
                <w:szCs w:val="12"/>
                <w:color w:val="auto"/>
              </w:rPr>
              <w:t>03</w:t>
            </w:r>
          </w:p>
        </w:tc>
        <w:tc>
          <w:tcPr>
            <w:tcW w:w="1200" w:type="dxa"/>
            <w:vAlign w:val="bottom"/>
          </w:tcPr>
          <w:p>
            <w:pPr>
              <w:ind w:left="60"/>
              <w:spacing w:after="0" w:line="124" w:lineRule="exact"/>
              <w:rPr>
                <w:sz w:val="20"/>
                <w:szCs w:val="20"/>
                <w:color w:val="auto"/>
              </w:rPr>
            </w:pPr>
            <w:r>
              <w:rPr>
                <w:rFonts w:ascii="Arial" w:cs="Arial" w:eastAsia="Arial" w:hAnsi="Arial"/>
                <w:sz w:val="12"/>
                <w:szCs w:val="12"/>
                <w:color w:val="auto"/>
              </w:rPr>
              <w:t>Richard H. Fearon</w:t>
            </w:r>
          </w:p>
        </w:tc>
        <w:tc>
          <w:tcPr>
            <w:tcW w:w="380" w:type="dxa"/>
            <w:vAlign w:val="bottom"/>
          </w:tcPr>
          <w:p>
            <w:pPr>
              <w:jc w:val="right"/>
              <w:ind w:right="2"/>
              <w:spacing w:after="0" w:line="124" w:lineRule="exact"/>
              <w:rPr>
                <w:sz w:val="20"/>
                <w:szCs w:val="20"/>
                <w:color w:val="auto"/>
              </w:rPr>
            </w:pPr>
            <w:r>
              <w:rPr>
                <w:rFonts w:ascii="Arial" w:cs="Arial" w:eastAsia="Arial" w:hAnsi="Arial"/>
                <w:sz w:val="12"/>
                <w:szCs w:val="12"/>
                <w:color w:val="auto"/>
              </w:rPr>
              <w:t>07</w:t>
            </w:r>
          </w:p>
        </w:tc>
        <w:tc>
          <w:tcPr>
            <w:tcW w:w="1000" w:type="dxa"/>
            <w:vAlign w:val="bottom"/>
          </w:tcPr>
          <w:p>
            <w:pPr>
              <w:ind w:left="40"/>
              <w:spacing w:after="0" w:line="124" w:lineRule="exact"/>
              <w:rPr>
                <w:sz w:val="20"/>
                <w:szCs w:val="20"/>
                <w:color w:val="auto"/>
              </w:rPr>
            </w:pPr>
            <w:r>
              <w:rPr>
                <w:rFonts w:ascii="Arial" w:cs="Arial" w:eastAsia="Arial" w:hAnsi="Arial"/>
                <w:sz w:val="12"/>
                <w:szCs w:val="12"/>
                <w:color w:val="auto"/>
              </w:rPr>
              <w:t>James H. Miller</w:t>
            </w:r>
          </w:p>
        </w:tc>
        <w:tc>
          <w:tcPr>
            <w:tcW w:w="300" w:type="dxa"/>
            <w:vAlign w:val="bottom"/>
          </w:tcPr>
          <w:p>
            <w:pPr>
              <w:jc w:val="right"/>
              <w:spacing w:after="0" w:line="124" w:lineRule="exact"/>
              <w:rPr>
                <w:sz w:val="20"/>
                <w:szCs w:val="20"/>
                <w:color w:val="auto"/>
              </w:rPr>
            </w:pPr>
            <w:r>
              <w:rPr>
                <w:rFonts w:ascii="Arial" w:cs="Arial" w:eastAsia="Arial" w:hAnsi="Arial"/>
                <w:sz w:val="12"/>
                <w:szCs w:val="12"/>
                <w:color w:val="auto"/>
              </w:rPr>
              <w:t>11</w:t>
            </w:r>
          </w:p>
        </w:tc>
        <w:tc>
          <w:tcPr>
            <w:tcW w:w="2280" w:type="dxa"/>
            <w:vAlign w:val="bottom"/>
            <w:gridSpan w:val="2"/>
          </w:tcPr>
          <w:p>
            <w:pPr>
              <w:ind w:left="40"/>
              <w:spacing w:after="0" w:line="124" w:lineRule="exact"/>
              <w:rPr>
                <w:sz w:val="20"/>
                <w:szCs w:val="20"/>
                <w:color w:val="auto"/>
              </w:rPr>
            </w:pPr>
            <w:r>
              <w:rPr>
                <w:rFonts w:ascii="Arial" w:cs="Arial" w:eastAsia="Arial" w:hAnsi="Arial"/>
                <w:sz w:val="12"/>
                <w:szCs w:val="12"/>
                <w:color w:val="auto"/>
              </w:rPr>
              <w:t>Jim L. Turner</w:t>
            </w:r>
          </w:p>
        </w:tc>
        <w:tc>
          <w:tcPr>
            <w:tcW w:w="1340" w:type="dxa"/>
            <w:vAlign w:val="bottom"/>
          </w:tcPr>
          <w:p>
            <w:pPr>
              <w:ind w:left="340"/>
              <w:spacing w:after="0" w:line="124" w:lineRule="exact"/>
              <w:rPr>
                <w:sz w:val="20"/>
                <w:szCs w:val="20"/>
                <w:color w:val="auto"/>
              </w:rPr>
            </w:pPr>
            <w:r>
              <w:rPr>
                <w:rFonts w:ascii="Arial" w:cs="Arial" w:eastAsia="Arial" w:hAnsi="Arial"/>
                <w:sz w:val="12"/>
                <w:szCs w:val="12"/>
                <w:color w:val="auto"/>
                <w:w w:val="95"/>
              </w:rPr>
              <w:t>(except as marked)</w:t>
            </w:r>
          </w:p>
        </w:tc>
        <w:tc>
          <w:tcPr>
            <w:tcW w:w="102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9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04</w:t>
            </w:r>
          </w:p>
        </w:tc>
        <w:tc>
          <w:tcPr>
            <w:tcW w:w="1200" w:type="dxa"/>
            <w:vAlign w:val="bottom"/>
          </w:tcPr>
          <w:p>
            <w:pPr>
              <w:ind w:left="60"/>
              <w:spacing w:after="0"/>
              <w:rPr>
                <w:sz w:val="20"/>
                <w:szCs w:val="20"/>
                <w:color w:val="auto"/>
              </w:rPr>
            </w:pPr>
            <w:r>
              <w:rPr>
                <w:rFonts w:ascii="Arial" w:cs="Arial" w:eastAsia="Arial" w:hAnsi="Arial"/>
                <w:sz w:val="12"/>
                <w:szCs w:val="12"/>
                <w:color w:val="auto"/>
              </w:rPr>
              <w:t>Andrea J. Funk</w:t>
            </w:r>
          </w:p>
        </w:tc>
        <w:tc>
          <w:tcPr>
            <w:tcW w:w="380" w:type="dxa"/>
            <w:vAlign w:val="bottom"/>
          </w:tcPr>
          <w:p>
            <w:pPr>
              <w:jc w:val="right"/>
              <w:ind w:right="2"/>
              <w:spacing w:after="0"/>
              <w:rPr>
                <w:sz w:val="20"/>
                <w:szCs w:val="20"/>
                <w:color w:val="auto"/>
              </w:rPr>
            </w:pPr>
            <w:r>
              <w:rPr>
                <w:rFonts w:ascii="Arial" w:cs="Arial" w:eastAsia="Arial" w:hAnsi="Arial"/>
                <w:sz w:val="12"/>
                <w:szCs w:val="12"/>
                <w:color w:val="auto"/>
              </w:rPr>
              <w:t>08</w:t>
            </w:r>
          </w:p>
        </w:tc>
        <w:tc>
          <w:tcPr>
            <w:tcW w:w="1000" w:type="dxa"/>
            <w:vAlign w:val="bottom"/>
          </w:tcPr>
          <w:p>
            <w:pPr>
              <w:ind w:left="40"/>
              <w:spacing w:after="0"/>
              <w:rPr>
                <w:sz w:val="20"/>
                <w:szCs w:val="20"/>
                <w:color w:val="auto"/>
              </w:rPr>
            </w:pPr>
            <w:r>
              <w:rPr>
                <w:rFonts w:ascii="Arial" w:cs="Arial" w:eastAsia="Arial" w:hAnsi="Arial"/>
                <w:sz w:val="12"/>
                <w:szCs w:val="12"/>
                <w:color w:val="auto"/>
              </w:rPr>
              <w:t>Josef M. Müller</w:t>
            </w:r>
          </w:p>
        </w:tc>
        <w:tc>
          <w:tcPr>
            <w:tcW w:w="300" w:type="dxa"/>
            <w:vAlign w:val="bottom"/>
          </w:tcPr>
          <w:p>
            <w:pPr>
              <w:jc w:val="right"/>
              <w:spacing w:after="0"/>
              <w:rPr>
                <w:sz w:val="20"/>
                <w:szCs w:val="20"/>
                <w:color w:val="auto"/>
              </w:rPr>
            </w:pPr>
            <w:r>
              <w:rPr>
                <w:rFonts w:ascii="Arial" w:cs="Arial" w:eastAsia="Arial" w:hAnsi="Arial"/>
                <w:sz w:val="12"/>
                <w:szCs w:val="12"/>
                <w:color w:val="auto"/>
              </w:rPr>
              <w:t>12</w:t>
            </w:r>
          </w:p>
        </w:tc>
        <w:tc>
          <w:tcPr>
            <w:tcW w:w="2280" w:type="dxa"/>
            <w:vAlign w:val="bottom"/>
            <w:gridSpan w:val="2"/>
          </w:tcPr>
          <w:p>
            <w:pPr>
              <w:ind w:left="40"/>
              <w:spacing w:after="0"/>
              <w:rPr>
                <w:sz w:val="20"/>
                <w:szCs w:val="20"/>
                <w:color w:val="auto"/>
              </w:rPr>
            </w:pPr>
            <w:r>
              <w:rPr>
                <w:rFonts w:ascii="Arial" w:cs="Arial" w:eastAsia="Arial" w:hAnsi="Arial"/>
                <w:sz w:val="12"/>
                <w:szCs w:val="12"/>
                <w:color w:val="auto"/>
              </w:rPr>
              <w:t>William S. Urkiel</w:t>
            </w:r>
          </w:p>
        </w:tc>
        <w:tc>
          <w:tcPr>
            <w:tcW w:w="1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4080" w:type="dxa"/>
            <w:vAlign w:val="bottom"/>
            <w:gridSpan w:val="5"/>
            <w:vMerge w:val="restart"/>
          </w:tcPr>
          <w:p>
            <w:pPr>
              <w:spacing w:after="0"/>
              <w:rPr>
                <w:sz w:val="20"/>
                <w:szCs w:val="20"/>
                <w:color w:val="auto"/>
              </w:rPr>
            </w:pPr>
            <w:r>
              <w:rPr>
                <w:rFonts w:ascii="Arial" w:cs="Arial" w:eastAsia="Arial" w:hAnsi="Arial"/>
                <w:sz w:val="12"/>
                <w:szCs w:val="12"/>
                <w:b w:val="1"/>
                <w:bCs w:val="1"/>
                <w:color w:val="auto"/>
                <w:w w:val="99"/>
              </w:rPr>
              <w:t>Instructions</w:t>
            </w:r>
            <w:r>
              <w:rPr>
                <w:rFonts w:ascii="Arial" w:cs="Arial" w:eastAsia="Arial" w:hAnsi="Arial"/>
                <w:sz w:val="13"/>
                <w:szCs w:val="13"/>
                <w:color w:val="auto"/>
                <w:w w:val="99"/>
              </w:rPr>
              <w:t>: To withhold authority to vote for any indicated nominee(s),</w:t>
            </w:r>
          </w:p>
        </w:tc>
        <w:tc>
          <w:tcPr>
            <w:tcW w:w="300" w:type="dxa"/>
            <w:vAlign w:val="bottom"/>
          </w:tcPr>
          <w:p>
            <w:pPr>
              <w:spacing w:after="0"/>
              <w:rPr>
                <w:sz w:val="7"/>
                <w:szCs w:val="7"/>
                <w:color w:val="auto"/>
              </w:rPr>
            </w:pPr>
          </w:p>
        </w:tc>
        <w:tc>
          <w:tcPr>
            <w:tcW w:w="1940" w:type="dxa"/>
            <w:vAlign w:val="bottom"/>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22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9"/>
        </w:trPr>
        <w:tc>
          <w:tcPr>
            <w:tcW w:w="4080" w:type="dxa"/>
            <w:vAlign w:val="bottom"/>
            <w:gridSpan w:val="5"/>
            <w:vMerge w:val="continue"/>
          </w:tcPr>
          <w:p>
            <w:pPr>
              <w:spacing w:after="0"/>
              <w:rPr>
                <w:sz w:val="17"/>
                <w:szCs w:val="17"/>
                <w:color w:val="auto"/>
              </w:rPr>
            </w:pPr>
          </w:p>
        </w:tc>
        <w:tc>
          <w:tcPr>
            <w:tcW w:w="300" w:type="dxa"/>
            <w:vAlign w:val="bottom"/>
          </w:tcPr>
          <w:p>
            <w:pPr>
              <w:spacing w:after="0"/>
              <w:rPr>
                <w:sz w:val="17"/>
                <w:szCs w:val="17"/>
                <w:color w:val="auto"/>
              </w:rPr>
            </w:pPr>
          </w:p>
        </w:tc>
        <w:tc>
          <w:tcPr>
            <w:tcW w:w="194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4080" w:type="dxa"/>
            <w:vAlign w:val="bottom"/>
            <w:gridSpan w:val="5"/>
          </w:tcPr>
          <w:p>
            <w:pPr>
              <w:spacing w:after="0"/>
              <w:rPr>
                <w:sz w:val="20"/>
                <w:szCs w:val="20"/>
                <w:color w:val="auto"/>
              </w:rPr>
            </w:pPr>
            <w:r>
              <w:rPr>
                <w:rFonts w:ascii="Arial" w:cs="Arial" w:eastAsia="Arial" w:hAnsi="Arial"/>
                <w:sz w:val="13"/>
                <w:szCs w:val="13"/>
                <w:color w:val="auto"/>
              </w:rPr>
              <w:t>write the number(s) of the nominee(s) in the box provided to the right.</w:t>
            </w:r>
          </w:p>
        </w:tc>
        <w:tc>
          <w:tcPr>
            <w:tcW w:w="300" w:type="dxa"/>
            <w:vAlign w:val="bottom"/>
          </w:tcPr>
          <w:p>
            <w:pPr>
              <w:spacing w:after="0"/>
              <w:rPr>
                <w:sz w:val="14"/>
                <w:szCs w:val="14"/>
                <w:color w:val="auto"/>
              </w:rPr>
            </w:pPr>
          </w:p>
        </w:tc>
        <w:tc>
          <w:tcPr>
            <w:tcW w:w="1940" w:type="dxa"/>
            <w:vAlign w:val="bottom"/>
            <w:tcBorders>
              <w:right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9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3240" w:type="dxa"/>
            <w:vAlign w:val="bottom"/>
            <w:tcBorders>
              <w:right w:val="single" w:sz="8" w:color="auto"/>
            </w:tcBorders>
            <w:gridSpan w:val="3"/>
          </w:tcPr>
          <w:p>
            <w:pPr>
              <w:spacing w:after="0"/>
              <w:rPr>
                <w:sz w:val="4"/>
                <w:szCs w:val="4"/>
                <w:color w:val="auto"/>
              </w:rPr>
            </w:pPr>
          </w:p>
        </w:tc>
        <w:tc>
          <w:tcPr>
            <w:tcW w:w="1680" w:type="dxa"/>
            <w:vAlign w:val="bottom"/>
            <w:tcBorders>
              <w:bottom w:val="single" w:sz="8" w:color="auto"/>
            </w:tcBorders>
            <w:gridSpan w:val="2"/>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10"/>
        </w:trPr>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920" w:type="dxa"/>
            <w:vAlign w:val="bottom"/>
            <w:gridSpan w:val="5"/>
          </w:tcPr>
          <w:p>
            <w:pPr>
              <w:ind w:left="740"/>
              <w:spacing w:after="0"/>
              <w:rPr>
                <w:sz w:val="20"/>
                <w:szCs w:val="20"/>
                <w:color w:val="auto"/>
              </w:rPr>
            </w:pPr>
            <w:r>
              <w:rPr>
                <w:rFonts w:ascii="Arial" w:cs="Arial" w:eastAsia="Arial" w:hAnsi="Arial"/>
                <w:sz w:val="13"/>
                <w:szCs w:val="13"/>
                <w:b w:val="1"/>
                <w:bCs w:val="1"/>
                <w:color w:val="auto"/>
              </w:rPr>
              <w:t>The Board of Directors Recommends a Vote FOR Items 2 and 3.</w:t>
            </w:r>
          </w:p>
        </w:tc>
        <w:tc>
          <w:tcPr>
            <w:tcW w:w="10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6660" w:type="dxa"/>
            <w:vAlign w:val="bottom"/>
            <w:gridSpan w:val="8"/>
          </w:tcPr>
          <w:p>
            <w:pPr>
              <w:spacing w:after="0"/>
              <w:rPr>
                <w:sz w:val="20"/>
                <w:szCs w:val="20"/>
                <w:color w:val="auto"/>
              </w:rPr>
            </w:pPr>
            <w:r>
              <w:rPr>
                <w:rFonts w:ascii="Arial" w:cs="Arial" w:eastAsia="Arial" w:hAnsi="Arial"/>
                <w:sz w:val="12"/>
                <w:szCs w:val="12"/>
                <w:b w:val="1"/>
                <w:bCs w:val="1"/>
                <w:color w:val="auto"/>
              </w:rPr>
              <w:t>2.</w:t>
            </w:r>
            <w:r>
              <w:rPr>
                <w:rFonts w:ascii="Arial" w:cs="Arial" w:eastAsia="Arial" w:hAnsi="Arial"/>
                <w:sz w:val="12"/>
                <w:szCs w:val="12"/>
                <w:color w:val="auto"/>
              </w:rPr>
              <w:t>Ratification of the appointment of independent auditors for the fiscal year ending December 31, 2020.</w:t>
            </w:r>
          </w:p>
        </w:tc>
        <w:tc>
          <w:tcPr>
            <w:tcW w:w="1340" w:type="dxa"/>
            <w:vAlign w:val="bottom"/>
          </w:tcPr>
          <w:p>
            <w:pPr>
              <w:ind w:left="180"/>
              <w:spacing w:after="0"/>
              <w:rPr>
                <w:sz w:val="20"/>
                <w:szCs w:val="20"/>
                <w:color w:val="auto"/>
              </w:rPr>
            </w:pPr>
            <w:r>
              <w:rPr>
                <w:rFonts w:ascii="Arial" w:cs="Arial" w:eastAsia="Arial" w:hAnsi="Arial"/>
                <w:sz w:val="23"/>
                <w:szCs w:val="23"/>
                <w:color w:val="auto"/>
              </w:rPr>
              <w:t xml:space="preserve">□ </w:t>
            </w:r>
            <w:r>
              <w:rPr>
                <w:rFonts w:ascii="Arial" w:cs="Arial" w:eastAsia="Arial" w:hAnsi="Arial"/>
                <w:sz w:val="11"/>
                <w:szCs w:val="11"/>
                <w:color w:val="auto"/>
              </w:rPr>
              <w:t>For</w:t>
            </w:r>
          </w:p>
        </w:tc>
        <w:tc>
          <w:tcPr>
            <w:tcW w:w="1020" w:type="dxa"/>
            <w:vAlign w:val="bottom"/>
          </w:tcPr>
          <w:p>
            <w:pPr>
              <w:ind w:left="120"/>
              <w:spacing w:after="0"/>
              <w:rPr>
                <w:sz w:val="20"/>
                <w:szCs w:val="20"/>
                <w:color w:val="auto"/>
              </w:rPr>
            </w:pPr>
            <w:r>
              <w:rPr>
                <w:rFonts w:ascii="Arial" w:cs="Arial" w:eastAsia="Arial" w:hAnsi="Arial"/>
                <w:sz w:val="23"/>
                <w:szCs w:val="23"/>
                <w:color w:val="auto"/>
              </w:rPr>
              <w:t xml:space="preserve">□ </w:t>
            </w:r>
            <w:r>
              <w:rPr>
                <w:rFonts w:ascii="Arial" w:cs="Arial" w:eastAsia="Arial" w:hAnsi="Arial"/>
                <w:sz w:val="11"/>
                <w:szCs w:val="11"/>
                <w:color w:val="auto"/>
              </w:rPr>
              <w:t>Against</w:t>
            </w:r>
          </w:p>
        </w:tc>
        <w:tc>
          <w:tcPr>
            <w:tcW w:w="2240" w:type="dxa"/>
            <w:vAlign w:val="bottom"/>
          </w:tcPr>
          <w:p>
            <w:pPr>
              <w:ind w:left="320"/>
              <w:spacing w:after="0"/>
              <w:rPr>
                <w:sz w:val="20"/>
                <w:szCs w:val="20"/>
                <w:color w:val="auto"/>
              </w:rPr>
            </w:pPr>
            <w:r>
              <w:rPr>
                <w:rFonts w:ascii="Arial" w:cs="Arial" w:eastAsia="Arial" w:hAnsi="Arial"/>
                <w:sz w:val="23"/>
                <w:szCs w:val="23"/>
                <w:color w:val="auto"/>
              </w:rPr>
              <w:t xml:space="preserve">□ </w:t>
            </w:r>
            <w:r>
              <w:rPr>
                <w:rFonts w:ascii="Arial" w:cs="Arial" w:eastAsia="Arial" w:hAnsi="Arial"/>
                <w:sz w:val="11"/>
                <w:szCs w:val="11"/>
                <w:color w:val="auto"/>
              </w:rPr>
              <w:t>Abstain</w:t>
            </w:r>
          </w:p>
        </w:tc>
        <w:tc>
          <w:tcPr>
            <w:tcW w:w="0" w:type="dxa"/>
            <w:vAlign w:val="bottom"/>
          </w:tcPr>
          <w:p>
            <w:pPr>
              <w:spacing w:after="0"/>
              <w:rPr>
                <w:sz w:val="1"/>
                <w:szCs w:val="1"/>
                <w:color w:val="auto"/>
              </w:rPr>
            </w:pPr>
          </w:p>
        </w:tc>
      </w:tr>
      <w:tr>
        <w:trPr>
          <w:trHeight w:val="294"/>
        </w:trPr>
        <w:tc>
          <w:tcPr>
            <w:tcW w:w="6660" w:type="dxa"/>
            <w:vAlign w:val="bottom"/>
            <w:gridSpan w:val="8"/>
          </w:tcPr>
          <w:p>
            <w:pPr>
              <w:spacing w:after="0"/>
              <w:rPr>
                <w:sz w:val="20"/>
                <w:szCs w:val="20"/>
                <w:color w:val="auto"/>
              </w:rPr>
            </w:pPr>
            <w:r>
              <w:rPr>
                <w:rFonts w:ascii="Arial" w:cs="Arial" w:eastAsia="Arial" w:hAnsi="Arial"/>
                <w:sz w:val="12"/>
                <w:szCs w:val="12"/>
                <w:b w:val="1"/>
                <w:bCs w:val="1"/>
                <w:color w:val="auto"/>
              </w:rPr>
              <w:t>3.</w:t>
            </w:r>
            <w:r>
              <w:rPr>
                <w:rFonts w:ascii="Arial" w:cs="Arial" w:eastAsia="Arial" w:hAnsi="Arial"/>
                <w:sz w:val="12"/>
                <w:szCs w:val="12"/>
                <w:color w:val="auto"/>
              </w:rPr>
              <w:t>Approval by advisory vote of the resolution on executive compensation as described in the Proxy Statement.</w:t>
            </w:r>
          </w:p>
        </w:tc>
        <w:tc>
          <w:tcPr>
            <w:tcW w:w="1340" w:type="dxa"/>
            <w:vAlign w:val="bottom"/>
          </w:tcPr>
          <w:p>
            <w:pPr>
              <w:ind w:left="180"/>
              <w:spacing w:after="0"/>
              <w:rPr>
                <w:sz w:val="20"/>
                <w:szCs w:val="20"/>
                <w:color w:val="auto"/>
              </w:rPr>
            </w:pPr>
            <w:r>
              <w:rPr>
                <w:rFonts w:ascii="Arial" w:cs="Arial" w:eastAsia="Arial" w:hAnsi="Arial"/>
                <w:sz w:val="23"/>
                <w:szCs w:val="23"/>
                <w:color w:val="auto"/>
              </w:rPr>
              <w:t xml:space="preserve">□ </w:t>
            </w:r>
            <w:r>
              <w:rPr>
                <w:rFonts w:ascii="Arial" w:cs="Arial" w:eastAsia="Arial" w:hAnsi="Arial"/>
                <w:sz w:val="11"/>
                <w:szCs w:val="11"/>
                <w:color w:val="auto"/>
              </w:rPr>
              <w:t>For</w:t>
            </w:r>
          </w:p>
        </w:tc>
        <w:tc>
          <w:tcPr>
            <w:tcW w:w="1020" w:type="dxa"/>
            <w:vAlign w:val="bottom"/>
          </w:tcPr>
          <w:p>
            <w:pPr>
              <w:ind w:left="120"/>
              <w:spacing w:after="0"/>
              <w:rPr>
                <w:sz w:val="20"/>
                <w:szCs w:val="20"/>
                <w:color w:val="auto"/>
              </w:rPr>
            </w:pPr>
            <w:r>
              <w:rPr>
                <w:rFonts w:ascii="Arial" w:cs="Arial" w:eastAsia="Arial" w:hAnsi="Arial"/>
                <w:sz w:val="23"/>
                <w:szCs w:val="23"/>
                <w:color w:val="auto"/>
              </w:rPr>
              <w:t xml:space="preserve">□ </w:t>
            </w:r>
            <w:r>
              <w:rPr>
                <w:rFonts w:ascii="Arial" w:cs="Arial" w:eastAsia="Arial" w:hAnsi="Arial"/>
                <w:sz w:val="11"/>
                <w:szCs w:val="11"/>
                <w:color w:val="auto"/>
              </w:rPr>
              <w:t>Against</w:t>
            </w:r>
          </w:p>
        </w:tc>
        <w:tc>
          <w:tcPr>
            <w:tcW w:w="2240" w:type="dxa"/>
            <w:vAlign w:val="bottom"/>
          </w:tcPr>
          <w:p>
            <w:pPr>
              <w:ind w:left="320"/>
              <w:spacing w:after="0"/>
              <w:rPr>
                <w:sz w:val="20"/>
                <w:szCs w:val="20"/>
                <w:color w:val="auto"/>
              </w:rPr>
            </w:pPr>
            <w:r>
              <w:rPr>
                <w:rFonts w:ascii="Arial" w:cs="Arial" w:eastAsia="Arial" w:hAnsi="Arial"/>
                <w:sz w:val="23"/>
                <w:szCs w:val="23"/>
                <w:color w:val="auto"/>
              </w:rPr>
              <w:t xml:space="preserve">□ </w:t>
            </w:r>
            <w:r>
              <w:rPr>
                <w:rFonts w:ascii="Arial" w:cs="Arial" w:eastAsia="Arial" w:hAnsi="Arial"/>
                <w:sz w:val="11"/>
                <w:szCs w:val="11"/>
                <w:color w:val="auto"/>
              </w:rPr>
              <w:t>Abstain</w:t>
            </w:r>
          </w:p>
        </w:tc>
        <w:tc>
          <w:tcPr>
            <w:tcW w:w="0" w:type="dxa"/>
            <w:vAlign w:val="bottom"/>
          </w:tcPr>
          <w:p>
            <w:pPr>
              <w:spacing w:after="0"/>
              <w:rPr>
                <w:sz w:val="1"/>
                <w:szCs w:val="1"/>
                <w:color w:val="auto"/>
              </w:rPr>
            </w:pPr>
          </w:p>
        </w:tc>
      </w:tr>
      <w:tr>
        <w:trPr>
          <w:trHeight w:val="252"/>
        </w:trPr>
        <w:tc>
          <w:tcPr>
            <w:tcW w:w="9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920" w:type="dxa"/>
            <w:vAlign w:val="bottom"/>
            <w:gridSpan w:val="5"/>
          </w:tcPr>
          <w:p>
            <w:pPr>
              <w:ind w:left="780"/>
              <w:spacing w:after="0"/>
              <w:rPr>
                <w:sz w:val="20"/>
                <w:szCs w:val="20"/>
                <w:color w:val="auto"/>
              </w:rPr>
            </w:pPr>
            <w:r>
              <w:rPr>
                <w:rFonts w:ascii="Arial" w:cs="Arial" w:eastAsia="Arial" w:hAnsi="Arial"/>
                <w:sz w:val="13"/>
                <w:szCs w:val="13"/>
                <w:b w:val="1"/>
                <w:bCs w:val="1"/>
                <w:color w:val="auto"/>
              </w:rPr>
              <w:t>The Board of Directors Recommends a Vote AGAINST Item 4.</w:t>
            </w:r>
          </w:p>
        </w:tc>
        <w:tc>
          <w:tcPr>
            <w:tcW w:w="102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4"/>
        </w:trPr>
        <w:tc>
          <w:tcPr>
            <w:tcW w:w="6660" w:type="dxa"/>
            <w:vAlign w:val="bottom"/>
            <w:gridSpan w:val="8"/>
          </w:tcPr>
          <w:p>
            <w:pPr>
              <w:spacing w:after="0"/>
              <w:rPr>
                <w:sz w:val="20"/>
                <w:szCs w:val="20"/>
                <w:color w:val="auto"/>
              </w:rPr>
            </w:pPr>
            <w:r>
              <w:rPr>
                <w:rFonts w:ascii="Arial" w:cs="Arial" w:eastAsia="Arial" w:hAnsi="Arial"/>
                <w:sz w:val="12"/>
                <w:szCs w:val="12"/>
                <w:b w:val="1"/>
                <w:bCs w:val="1"/>
                <w:color w:val="auto"/>
                <w:w w:val="88"/>
              </w:rPr>
              <w:t>4.</w:t>
            </w:r>
            <w:r>
              <w:rPr>
                <w:rFonts w:ascii="Arial" w:cs="Arial" w:eastAsia="Arial" w:hAnsi="Arial"/>
                <w:sz w:val="12"/>
                <w:szCs w:val="12"/>
                <w:color w:val="auto"/>
                <w:w w:val="88"/>
              </w:rPr>
              <w:t>To consider and act upon a Shareholder’s proposal requesting the Board of Directors to adopt a policy for an independent Board Chairman.</w:t>
            </w:r>
          </w:p>
        </w:tc>
        <w:tc>
          <w:tcPr>
            <w:tcW w:w="1340" w:type="dxa"/>
            <w:vAlign w:val="bottom"/>
          </w:tcPr>
          <w:p>
            <w:pPr>
              <w:ind w:left="180"/>
              <w:spacing w:after="0"/>
              <w:rPr>
                <w:sz w:val="20"/>
                <w:szCs w:val="20"/>
                <w:color w:val="auto"/>
              </w:rPr>
            </w:pPr>
            <w:r>
              <w:rPr>
                <w:rFonts w:ascii="Arial" w:cs="Arial" w:eastAsia="Arial" w:hAnsi="Arial"/>
                <w:sz w:val="23"/>
                <w:szCs w:val="23"/>
                <w:color w:val="auto"/>
              </w:rPr>
              <w:t xml:space="preserve">□ </w:t>
            </w:r>
            <w:r>
              <w:rPr>
                <w:rFonts w:ascii="Arial" w:cs="Arial" w:eastAsia="Arial" w:hAnsi="Arial"/>
                <w:sz w:val="11"/>
                <w:szCs w:val="11"/>
                <w:color w:val="auto"/>
              </w:rPr>
              <w:t>For</w:t>
            </w:r>
          </w:p>
        </w:tc>
        <w:tc>
          <w:tcPr>
            <w:tcW w:w="1020" w:type="dxa"/>
            <w:vAlign w:val="bottom"/>
          </w:tcPr>
          <w:p>
            <w:pPr>
              <w:ind w:left="120"/>
              <w:spacing w:after="0"/>
              <w:rPr>
                <w:sz w:val="20"/>
                <w:szCs w:val="20"/>
                <w:color w:val="auto"/>
              </w:rPr>
            </w:pPr>
            <w:r>
              <w:rPr>
                <w:rFonts w:ascii="Arial" w:cs="Arial" w:eastAsia="Arial" w:hAnsi="Arial"/>
                <w:sz w:val="23"/>
                <w:szCs w:val="23"/>
                <w:color w:val="auto"/>
              </w:rPr>
              <w:t xml:space="preserve">□ </w:t>
            </w:r>
            <w:r>
              <w:rPr>
                <w:rFonts w:ascii="Arial" w:cs="Arial" w:eastAsia="Arial" w:hAnsi="Arial"/>
                <w:sz w:val="11"/>
                <w:szCs w:val="11"/>
                <w:color w:val="auto"/>
              </w:rPr>
              <w:t>Against</w:t>
            </w:r>
          </w:p>
        </w:tc>
        <w:tc>
          <w:tcPr>
            <w:tcW w:w="2240" w:type="dxa"/>
            <w:vAlign w:val="bottom"/>
          </w:tcPr>
          <w:p>
            <w:pPr>
              <w:ind w:left="320"/>
              <w:spacing w:after="0"/>
              <w:rPr>
                <w:sz w:val="20"/>
                <w:szCs w:val="20"/>
                <w:color w:val="auto"/>
              </w:rPr>
            </w:pPr>
            <w:r>
              <w:rPr>
                <w:rFonts w:ascii="Arial" w:cs="Arial" w:eastAsia="Arial" w:hAnsi="Arial"/>
                <w:sz w:val="23"/>
                <w:szCs w:val="23"/>
                <w:color w:val="auto"/>
              </w:rPr>
              <w:t xml:space="preserve">□ </w:t>
            </w:r>
            <w:r>
              <w:rPr>
                <w:rFonts w:ascii="Arial" w:cs="Arial" w:eastAsia="Arial" w:hAnsi="Arial"/>
                <w:sz w:val="11"/>
                <w:szCs w:val="11"/>
                <w:color w:val="auto"/>
              </w:rPr>
              <w:t>Abstain</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THIS PROXY, WHEN PROPERLY EXECUTED, WILL BE VOTED AS DIRECTED OR, IF NO DIRECTION IS GIVEN, WILL BE VOTED </w:t>
      </w:r>
      <w:r>
        <w:rPr>
          <w:rFonts w:ascii="Arial" w:cs="Arial" w:eastAsia="Arial" w:hAnsi="Arial"/>
          <w:sz w:val="12"/>
          <w:szCs w:val="12"/>
          <w:b w:val="1"/>
          <w:bCs w:val="1"/>
          <w:u w:val="single" w:color="auto"/>
          <w:color w:val="auto"/>
        </w:rPr>
        <w:t>FOR</w:t>
      </w:r>
      <w:r>
        <w:rPr>
          <w:rFonts w:ascii="Arial" w:cs="Arial" w:eastAsia="Arial" w:hAnsi="Arial"/>
          <w:sz w:val="12"/>
          <w:szCs w:val="12"/>
          <w:b w:val="1"/>
          <w:bCs w:val="1"/>
          <w:color w:val="auto"/>
        </w:rPr>
        <w:t xml:space="preserve"> ITEMS 1 THROUGH 3, and </w:t>
      </w:r>
      <w:r>
        <w:rPr>
          <w:rFonts w:ascii="Arial" w:cs="Arial" w:eastAsia="Arial" w:hAnsi="Arial"/>
          <w:sz w:val="12"/>
          <w:szCs w:val="12"/>
          <w:b w:val="1"/>
          <w:bCs w:val="1"/>
          <w:u w:val="single" w:color="auto"/>
          <w:color w:val="auto"/>
        </w:rPr>
        <w:t>AGAINST</w:t>
      </w:r>
      <w:r>
        <w:rPr>
          <w:rFonts w:ascii="Arial" w:cs="Arial" w:eastAsia="Arial" w:hAnsi="Arial"/>
          <w:sz w:val="12"/>
          <w:szCs w:val="12"/>
          <w:b w:val="1"/>
          <w:bCs w:val="1"/>
          <w:color w:val="auto"/>
        </w:rPr>
        <w:t xml:space="preserve"> ITEM 4.</w:t>
      </w:r>
    </w:p>
    <w:p>
      <w:pPr>
        <w:sectPr>
          <w:pgSz w:w="11900" w:h="16838" w:orient="portrait"/>
          <w:cols w:equalWidth="0" w:num="1">
            <w:col w:w="11240"/>
          </w:cols>
          <w:pgMar w:left="320" w:top="1020" w:right="339" w:bottom="1440" w:gutter="0" w:footer="0" w:header="0"/>
        </w:sectPr>
      </w:pPr>
    </w:p>
    <w:p>
      <w:pPr>
        <w:spacing w:after="0" w:line="200" w:lineRule="exact"/>
        <w:rPr>
          <w:sz w:val="20"/>
          <w:szCs w:val="20"/>
          <w:color w:val="auto"/>
        </w:rPr>
      </w:pPr>
    </w:p>
    <w:p>
      <w:pPr>
        <w:spacing w:after="0" w:line="218" w:lineRule="exact"/>
        <w:rPr>
          <w:sz w:val="20"/>
          <w:szCs w:val="20"/>
          <w:color w:val="auto"/>
        </w:rPr>
      </w:pPr>
    </w:p>
    <w:p>
      <w:pPr>
        <w:spacing w:after="0"/>
        <w:tabs>
          <w:tab w:leader="none" w:pos="2980" w:val="left"/>
        </w:tabs>
        <w:rPr>
          <w:sz w:val="20"/>
          <w:szCs w:val="20"/>
          <w:color w:val="auto"/>
        </w:rPr>
      </w:pPr>
      <w:r>
        <w:rPr>
          <w:rFonts w:ascii="Arial" w:cs="Arial" w:eastAsia="Arial" w:hAnsi="Arial"/>
          <w:sz w:val="10"/>
          <w:szCs w:val="10"/>
          <w:color w:val="auto"/>
        </w:rPr>
        <w:t>Address Change? Mark box, sign and indicate changes below:</w:t>
      </w:r>
      <w:r>
        <w:rPr>
          <w:sz w:val="20"/>
          <w:szCs w:val="20"/>
          <w:color w:val="auto"/>
        </w:rPr>
        <w:tab/>
      </w:r>
      <w:r>
        <w:rPr>
          <w:rFonts w:ascii="Arial" w:cs="Arial" w:eastAsia="Arial" w:hAnsi="Arial"/>
          <w:sz w:val="23"/>
          <w:szCs w:val="23"/>
          <w:color w:val="auto"/>
        </w:rPr>
        <w:t>□</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2"/>
          <w:szCs w:val="1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572770</wp:posOffset>
            </wp:positionH>
            <wp:positionV relativeFrom="paragraph">
              <wp:posOffset>0</wp:posOffset>
            </wp:positionV>
            <wp:extent cx="2709545"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709545" cy="762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236220</wp:posOffset>
            </wp:positionV>
            <wp:extent cx="3284220" cy="2203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284220" cy="220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1"/>
          <w:szCs w:val="11"/>
          <w:color w:val="auto"/>
        </w:rPr>
        <w:t>Signature(s) in Box</w:t>
      </w:r>
    </w:p>
    <w:p>
      <w:pPr>
        <w:spacing w:after="0" w:line="47" w:lineRule="exact"/>
        <w:rPr>
          <w:sz w:val="20"/>
          <w:szCs w:val="20"/>
          <w:color w:val="auto"/>
        </w:rPr>
      </w:pPr>
    </w:p>
    <w:p>
      <w:pPr>
        <w:ind w:right="20"/>
        <w:spacing w:after="0" w:line="244" w:lineRule="auto"/>
        <w:rPr>
          <w:sz w:val="20"/>
          <w:szCs w:val="20"/>
          <w:color w:val="auto"/>
        </w:rPr>
      </w:pPr>
      <w:r>
        <w:rPr>
          <w:rFonts w:ascii="Arial" w:cs="Arial" w:eastAsia="Arial" w:hAnsi="Arial"/>
          <w:sz w:val="11"/>
          <w:szCs w:val="11"/>
          <w:color w:val="auto"/>
        </w:rPr>
        <w:t>Please sign exactly as your name(s) appears on Proxy. If held in joint tenancy, all persons should sign. Trustees, administrators, etc., should include title and authority. Corporations should provide full name of corporation and title of authorized officer signing the Proxy.</w:t>
      </w:r>
    </w:p>
    <w:p>
      <w:pPr>
        <w:sectPr>
          <w:pgSz w:w="11900" w:h="16838" w:orient="portrait"/>
          <w:cols w:equalWidth="0" w:num="2">
            <w:col w:w="5360" w:space="720"/>
            <w:col w:w="5160"/>
          </w:cols>
          <w:pgMar w:left="320" w:top="1020" w:right="339" w:bottom="1440" w:gutter="0" w:footer="0" w:header="0"/>
          <w:type w:val="continuous"/>
        </w:sectPr>
      </w:pPr>
    </w:p>
    <w:bookmarkStart w:id="73" w:name="page74"/>
    <w:bookmarkEnd w:id="73"/>
    <w:p>
      <w:pPr>
        <w:jc w:val="center"/>
        <w:spacing w:after="0"/>
        <w:rPr>
          <w:sz w:val="20"/>
          <w:szCs w:val="20"/>
          <w:color w:val="auto"/>
        </w:rPr>
      </w:pPr>
      <w:r>
        <w:rPr>
          <w:rFonts w:ascii="Arial" w:cs="Arial" w:eastAsia="Arial" w:hAnsi="Arial"/>
          <w:sz w:val="20"/>
          <w:szCs w:val="20"/>
          <w:b w:val="1"/>
          <w:bCs w:val="1"/>
          <w:color w:val="auto"/>
        </w:rPr>
        <w:t>CROWN HOLDINGS, INC.</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2020 Annual Meeting of Shareholders will be held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on April 23, 2020 at 9:30 a.m. at: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Crown Holdings,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770 Township Line Road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Yardley, Pennsylvania</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Copies of the following materials are available at</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http://www.crowncork.com/investors/proxy-online</w:t>
      </w:r>
    </w:p>
    <w:p>
      <w:pPr>
        <w:spacing w:after="0" w:line="131" w:lineRule="exact"/>
        <w:rPr>
          <w:sz w:val="20"/>
          <w:szCs w:val="20"/>
          <w:color w:val="auto"/>
        </w:rPr>
      </w:pPr>
    </w:p>
    <w:p>
      <w:pPr>
        <w:ind w:left="3120" w:hanging="144"/>
        <w:spacing w:after="0"/>
        <w:tabs>
          <w:tab w:leader="none" w:pos="31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Proxy Statement relating to the Annual Meeting of Shareholders</w:t>
      </w:r>
    </w:p>
    <w:p>
      <w:pPr>
        <w:spacing w:after="0" w:line="27" w:lineRule="exact"/>
        <w:rPr>
          <w:rFonts w:ascii="Arial" w:cs="Arial" w:eastAsia="Arial" w:hAnsi="Arial"/>
          <w:sz w:val="17"/>
          <w:szCs w:val="17"/>
          <w:color w:val="auto"/>
        </w:rPr>
      </w:pPr>
    </w:p>
    <w:p>
      <w:pPr>
        <w:ind w:left="3120" w:hanging="144"/>
        <w:spacing w:after="0"/>
        <w:tabs>
          <w:tab w:leader="none" w:pos="31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this Proxy Card</w:t>
      </w:r>
    </w:p>
    <w:p>
      <w:pPr>
        <w:spacing w:after="0" w:line="27" w:lineRule="exact"/>
        <w:rPr>
          <w:rFonts w:ascii="Arial" w:cs="Arial" w:eastAsia="Arial" w:hAnsi="Arial"/>
          <w:sz w:val="17"/>
          <w:szCs w:val="17"/>
          <w:color w:val="auto"/>
        </w:rPr>
      </w:pPr>
    </w:p>
    <w:p>
      <w:pPr>
        <w:ind w:left="3120" w:hanging="144"/>
        <w:spacing w:after="0"/>
        <w:tabs>
          <w:tab w:leader="none" w:pos="31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Annual Report to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9160" w:type="dxa"/>
            <w:vAlign w:val="bottom"/>
          </w:tcPr>
          <w:p>
            <w:pPr>
              <w:jc w:val="center"/>
              <w:ind w:left="2277"/>
              <w:spacing w:after="0"/>
              <w:rPr>
                <w:sz w:val="20"/>
                <w:szCs w:val="20"/>
                <w:color w:val="auto"/>
              </w:rPr>
            </w:pPr>
            <w:r>
              <w:rPr>
                <w:rFonts w:ascii="Arial" w:cs="Arial" w:eastAsia="Arial" w:hAnsi="Arial"/>
                <w:sz w:val="17"/>
                <w:szCs w:val="17"/>
                <w:b w:val="1"/>
                <w:bCs w:val="1"/>
                <w:color w:val="auto"/>
                <w:w w:val="89"/>
              </w:rPr>
              <w:t>Crown Holdings, Inc.</w:t>
            </w:r>
          </w:p>
        </w:tc>
        <w:tc>
          <w:tcPr>
            <w:tcW w:w="2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9160" w:type="dxa"/>
            <w:vAlign w:val="bottom"/>
          </w:tcPr>
          <w:p>
            <w:pPr>
              <w:jc w:val="center"/>
              <w:ind w:left="2277"/>
              <w:spacing w:after="0"/>
              <w:rPr>
                <w:sz w:val="20"/>
                <w:szCs w:val="20"/>
                <w:color w:val="auto"/>
              </w:rPr>
            </w:pPr>
            <w:r>
              <w:rPr>
                <w:rFonts w:ascii="Arial" w:cs="Arial" w:eastAsia="Arial" w:hAnsi="Arial"/>
                <w:sz w:val="17"/>
                <w:szCs w:val="17"/>
                <w:b w:val="1"/>
                <w:bCs w:val="1"/>
                <w:color w:val="auto"/>
                <w:w w:val="88"/>
              </w:rPr>
              <w:t>770 Township Line Road</w:t>
            </w:r>
          </w:p>
        </w:tc>
        <w:tc>
          <w:tcPr>
            <w:tcW w:w="2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9160" w:type="dxa"/>
            <w:vAlign w:val="bottom"/>
          </w:tcPr>
          <w:p>
            <w:pPr>
              <w:jc w:val="center"/>
              <w:ind w:left="2257"/>
              <w:spacing w:after="0"/>
              <w:rPr>
                <w:sz w:val="20"/>
                <w:szCs w:val="20"/>
                <w:color w:val="auto"/>
              </w:rPr>
            </w:pPr>
            <w:r>
              <w:rPr>
                <w:rFonts w:ascii="Arial" w:cs="Arial" w:eastAsia="Arial" w:hAnsi="Arial"/>
                <w:sz w:val="17"/>
                <w:szCs w:val="17"/>
                <w:b w:val="1"/>
                <w:bCs w:val="1"/>
                <w:color w:val="auto"/>
                <w:w w:val="87"/>
              </w:rPr>
              <w:t>Yardley, Pennsylvania 19067</w:t>
            </w:r>
          </w:p>
        </w:tc>
        <w:tc>
          <w:tcPr>
            <w:tcW w:w="2080" w:type="dxa"/>
            <w:vAlign w:val="bottom"/>
            <w:vMerge w:val="restart"/>
          </w:tcPr>
          <w:p>
            <w:pPr>
              <w:ind w:left="1040"/>
              <w:spacing w:after="0"/>
              <w:rPr>
                <w:sz w:val="20"/>
                <w:szCs w:val="20"/>
                <w:color w:val="auto"/>
              </w:rPr>
            </w:pPr>
            <w:r>
              <w:rPr>
                <w:rFonts w:ascii="Arial" w:cs="Arial" w:eastAsia="Arial" w:hAnsi="Arial"/>
                <w:sz w:val="30"/>
                <w:szCs w:val="30"/>
                <w:b w:val="1"/>
                <w:bCs w:val="1"/>
                <w:color w:val="auto"/>
                <w:w w:val="97"/>
              </w:rPr>
              <w:t>PROXY</w:t>
            </w:r>
          </w:p>
        </w:tc>
        <w:tc>
          <w:tcPr>
            <w:tcW w:w="0" w:type="dxa"/>
            <w:vAlign w:val="bottom"/>
          </w:tcPr>
          <w:p>
            <w:pPr>
              <w:spacing w:after="0"/>
              <w:rPr>
                <w:sz w:val="1"/>
                <w:szCs w:val="1"/>
                <w:color w:val="auto"/>
              </w:rPr>
            </w:pPr>
          </w:p>
        </w:tc>
      </w:tr>
      <w:tr>
        <w:trPr>
          <w:trHeight w:val="205"/>
        </w:trPr>
        <w:tc>
          <w:tcPr>
            <w:tcW w:w="916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94"/>
        </w:trPr>
        <w:tc>
          <w:tcPr>
            <w:tcW w:w="9160" w:type="dxa"/>
            <w:vAlign w:val="bottom"/>
          </w:tcPr>
          <w:p>
            <w:pPr>
              <w:jc w:val="center"/>
              <w:ind w:left="1997"/>
              <w:spacing w:after="0"/>
              <w:rPr>
                <w:sz w:val="20"/>
                <w:szCs w:val="20"/>
                <w:color w:val="auto"/>
              </w:rPr>
            </w:pPr>
            <w:r>
              <w:rPr>
                <w:rFonts w:ascii="Arial" w:cs="Arial" w:eastAsia="Arial" w:hAnsi="Arial"/>
                <w:sz w:val="17"/>
                <w:szCs w:val="17"/>
                <w:b w:val="1"/>
                <w:bCs w:val="1"/>
                <w:color w:val="auto"/>
                <w:w w:val="88"/>
              </w:rPr>
              <w:t>Proxy for Annual Meeting of Shareholders to be held on April 23, 2020</w:t>
            </w: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9160" w:type="dxa"/>
            <w:vAlign w:val="bottom"/>
          </w:tcPr>
          <w:p>
            <w:pPr>
              <w:jc w:val="center"/>
              <w:ind w:left="1997"/>
              <w:spacing w:after="0"/>
              <w:rPr>
                <w:sz w:val="20"/>
                <w:szCs w:val="20"/>
                <w:color w:val="auto"/>
              </w:rPr>
            </w:pPr>
            <w:r>
              <w:rPr>
                <w:rFonts w:ascii="Arial" w:cs="Arial" w:eastAsia="Arial" w:hAnsi="Arial"/>
                <w:sz w:val="17"/>
                <w:szCs w:val="17"/>
                <w:b w:val="1"/>
                <w:bCs w:val="1"/>
                <w:color w:val="auto"/>
                <w:w w:val="86"/>
              </w:rPr>
              <w:t>This Proxy is solicited on behalf of the Board of Directors.</w:t>
            </w: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-1085215</wp:posOffset>
            </wp:positionV>
            <wp:extent cx="1464945" cy="4724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464945" cy="472440"/>
                    </a:xfrm>
                    <a:prstGeom prst="rect">
                      <a:avLst/>
                    </a:prstGeom>
                    <a:noFill/>
                  </pic:spPr>
                </pic:pic>
              </a:graphicData>
            </a:graphic>
          </wp:anchor>
        </w:drawing>
      </w:r>
    </w:p>
    <w:p>
      <w:pPr>
        <w:spacing w:after="0" w:line="68"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The undersigned hereby appoints Timothy J. Donahue, Thomas A. Kelly and William T. Gallagher as Proxy Holders, each with the power to appoint his substitute, and hereby authorizes them to represent and to vote, as designated on the reverse side, all the shares of stock of Crown Holdings, Inc. held of record by the undersigned on March 3, 2020 at the Annual Meeting of Shareholders to be held at 770 Township Line Road, Yardley, Pennsylvania on April 23, 2020 at 9:30 a.m., or any adjournments thereof, for the items shown on the reverse side and, in the discretion of the Proxy Holders, on any other matter that may properly come before the meeting or any adjournments thereof.</w:t>
      </w:r>
    </w:p>
    <w:p>
      <w:pPr>
        <w:spacing w:after="0" w:line="86"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You are encouraged to specify your choices by marking the appropriate boxes (SEE REVERSE SIDE), but you need not mark any boxes if you wish to vote in accordance with the Board of Directors’ recommendations. The Proxy Holders cannot vote your shares unless you sign and return this card or you elect to vote your shares electronically by telephone or via the Internet.</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See reverse for voting instructions.</w:t>
      </w:r>
    </w:p>
    <w:sectPr>
      <w:pgSz w:w="11900" w:h="16838" w:orient="portrait"/>
      <w:cols w:equalWidth="0" w:num="1">
        <w:col w:w="11240"/>
      </w:cols>
      <w:pgMar w:left="320" w:top="85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1]"/>
      <w:numFmt w:val="upperLetter"/>
      <w:start w:val="23"/>
    </w:lvl>
    <w:lvl w:ilvl="1">
      <w:lvlJc w:val="left"/>
      <w:lvlText w:val="["/>
      <w:numFmt w:val="bullet"/>
      <w:start w:val="1"/>
    </w:lvl>
  </w:abstractNum>
  <w:abstractNum w:abstractNumId="1">
    <w:nsid w:val="6763845E"/>
    <w:multiLevelType w:val="hybridMultilevel"/>
    <w:lvl w:ilvl="0">
      <w:lvlJc w:val="left"/>
      <w:lvlText w:val="[%1]"/>
      <w:numFmt w:val="upperLetter"/>
      <w:start w:val="24"/>
    </w:lvl>
  </w:abstractNum>
  <w:abstractNum w:abstractNumId="2">
    <w:nsid w:val="75A2A8D4"/>
    <w:multiLevelType w:val="hybridMultilevel"/>
    <w:lvl w:ilvl="0">
      <w:lvlJc w:val="left"/>
      <w:lvlText w:val="(%1)"/>
      <w:numFmt w:val="decimal"/>
    </w:lvl>
    <w:lvl w:ilvl="1">
      <w:lvlJc w:val="left"/>
      <w:lvlText w:val="["/>
      <w:numFmt w:val="bullet"/>
      <w:start w:val="1"/>
    </w:lvl>
  </w:abstractNum>
  <w:abstractNum w:abstractNumId="3">
    <w:nsid w:val="8EDBDAB"/>
    <w:multiLevelType w:val="hybridMultilevel"/>
    <w:lvl w:ilvl="0">
      <w:lvlJc w:val="left"/>
      <w:lvlText w:val="(%1)"/>
      <w:numFmt w:val="decimal"/>
      <w:start w:val="3"/>
    </w:lvl>
  </w:abstractNum>
  <w:abstractNum w:abstractNumId="4">
    <w:nsid w:val="79838CB2"/>
    <w:multiLevelType w:val="hybridMultilevel"/>
    <w:lvl w:ilvl="0">
      <w:lvlJc w:val="left"/>
      <w:lvlText w:val="(%1)"/>
      <w:numFmt w:val="decimal"/>
    </w:lvl>
    <w:lvl w:ilvl="1">
      <w:lvlJc w:val="left"/>
      <w:lvlText w:val="["/>
      <w:numFmt w:val="bullet"/>
      <w:start w:val="1"/>
    </w:lvl>
  </w:abstractNum>
  <w:abstractNum w:abstractNumId="5">
    <w:nsid w:val="4353D0CD"/>
    <w:multiLevelType w:val="hybridMultilevel"/>
    <w:lvl w:ilvl="0">
      <w:lvlJc w:val="left"/>
      <w:lvlText w:val="ü"/>
      <w:numFmt w:val="bullet"/>
      <w:start w:val="1"/>
    </w:lvl>
  </w:abstractNum>
  <w:abstractNum w:abstractNumId="6">
    <w:nsid w:val="B03E0C6"/>
    <w:multiLevelType w:val="hybridMultilevel"/>
    <w:lvl w:ilvl="0">
      <w:lvlJc w:val="left"/>
      <w:lvlText w:val="%1"/>
      <w:numFmt w:val="decimal"/>
      <w:start w:val="1"/>
    </w:lvl>
    <w:lvl w:ilvl="1">
      <w:lvlJc w:val="left"/>
      <w:lvlText w:val="·"/>
      <w:numFmt w:val="bullet"/>
      <w:start w:val="1"/>
    </w:lvl>
  </w:abstractNum>
  <w:abstractNum w:abstractNumId="7">
    <w:nsid w:val="189A769B"/>
    <w:multiLevelType w:val="hybridMultilevel"/>
    <w:lvl w:ilvl="0">
      <w:lvlJc w:val="left"/>
      <w:lvlText w:val="·"/>
      <w:numFmt w:val="bullet"/>
      <w:start w:val="1"/>
    </w:lvl>
  </w:abstractNum>
  <w:abstractNum w:abstractNumId="8">
    <w:nsid w:val="54E49EB4"/>
    <w:multiLevelType w:val="hybridMultilevel"/>
    <w:lvl w:ilvl="0">
      <w:lvlJc w:val="left"/>
      <w:lvlText w:val="·"/>
      <w:numFmt w:val="bullet"/>
      <w:start w:val="1"/>
    </w:lvl>
  </w:abstractNum>
  <w:abstractNum w:abstractNumId="9">
    <w:nsid w:val="71F32454"/>
    <w:multiLevelType w:val="hybridMultilevel"/>
    <w:lvl w:ilvl="0">
      <w:lvlJc w:val="left"/>
      <w:lvlText w:val="(%1)"/>
      <w:numFmt w:val="decimal"/>
      <w:start w:val="1"/>
    </w:lvl>
  </w:abstractNum>
  <w:abstractNum w:abstractNumId="10">
    <w:nsid w:val="2CA88611"/>
    <w:multiLevelType w:val="hybridMultilevel"/>
    <w:lvl w:ilvl="0">
      <w:lvlJc w:val="left"/>
      <w:lvlText w:val="ü"/>
      <w:numFmt w:val="bullet"/>
      <w:start w:val="1"/>
    </w:lvl>
  </w:abstractNum>
  <w:abstractNum w:abstractNumId="11">
    <w:nsid w:val="836C40E"/>
    <w:multiLevelType w:val="hybridMultilevel"/>
    <w:lvl w:ilvl="0">
      <w:lvlJc w:val="left"/>
      <w:lvlText w:val="û"/>
      <w:numFmt w:val="bullet"/>
      <w:start w:val="1"/>
    </w:lvl>
  </w:abstractNum>
  <w:abstractNum w:abstractNumId="12">
    <w:nsid w:val="2901D82"/>
    <w:multiLevelType w:val="hybridMultilevel"/>
    <w:lvl w:ilvl="0">
      <w:lvlJc w:val="left"/>
      <w:lvlText w:val="·"/>
      <w:numFmt w:val="bullet"/>
      <w:start w:val="1"/>
    </w:lvl>
  </w:abstractNum>
  <w:abstractNum w:abstractNumId="13">
    <w:nsid w:val="3A95F874"/>
    <w:multiLevelType w:val="hybridMultilevel"/>
    <w:lvl w:ilvl="0">
      <w:lvlJc w:val="left"/>
      <w:lvlText w:val="·"/>
      <w:numFmt w:val="bullet"/>
      <w:start w:val="1"/>
    </w:lvl>
  </w:abstractNum>
  <w:abstractNum w:abstractNumId="14">
    <w:nsid w:val="8138641"/>
    <w:multiLevelType w:val="hybridMultilevel"/>
    <w:lvl w:ilvl="0">
      <w:lvlJc w:val="left"/>
      <w:lvlText w:val="·"/>
      <w:numFmt w:val="bullet"/>
      <w:start w:val="1"/>
    </w:lvl>
  </w:abstractNum>
  <w:abstractNum w:abstractNumId="15">
    <w:nsid w:val="1E7FF521"/>
    <w:multiLevelType w:val="hybridMultilevel"/>
    <w:lvl w:ilvl="0">
      <w:lvlJc w:val="left"/>
      <w:lvlText w:val="·"/>
      <w:numFmt w:val="bullet"/>
      <w:start w:val="1"/>
    </w:lvl>
  </w:abstractNum>
  <w:abstractNum w:abstractNumId="16">
    <w:nsid w:val="7C3DBD3D"/>
    <w:multiLevelType w:val="hybridMultilevel"/>
    <w:lvl w:ilvl="0">
      <w:lvlJc w:val="left"/>
      <w:lvlText w:val="(%1)"/>
      <w:numFmt w:val="decimal"/>
      <w:start w:val="1"/>
    </w:lvl>
  </w:abstractNum>
  <w:abstractNum w:abstractNumId="17">
    <w:nsid w:val="737B8DDC"/>
    <w:multiLevelType w:val="hybridMultilevel"/>
    <w:lvl w:ilvl="0">
      <w:lvlJc w:val="left"/>
      <w:lvlText w:val="(%1)"/>
      <w:numFmt w:val="decimal"/>
      <w:start w:val="1"/>
    </w:lvl>
  </w:abstractNum>
  <w:abstractNum w:abstractNumId="18">
    <w:nsid w:val="6CEAF087"/>
    <w:multiLevelType w:val="hybridMultilevel"/>
    <w:lvl w:ilvl="0">
      <w:lvlJc w:val="left"/>
      <w:lvlText w:val="·"/>
      <w:numFmt w:val="bullet"/>
      <w:start w:val="1"/>
    </w:lvl>
  </w:abstractNum>
  <w:abstractNum w:abstractNumId="19">
    <w:nsid w:val="22221A70"/>
    <w:multiLevelType w:val="hybridMultilevel"/>
    <w:lvl w:ilvl="0">
      <w:lvlJc w:val="left"/>
      <w:lvlText w:val="·"/>
      <w:numFmt w:val="bullet"/>
      <w:start w:val="1"/>
    </w:lvl>
  </w:abstractNum>
  <w:abstractNum w:abstractNumId="20">
    <w:nsid w:val="4516DDE9"/>
    <w:multiLevelType w:val="hybridMultilevel"/>
    <w:lvl w:ilvl="0">
      <w:lvlJc w:val="left"/>
      <w:lvlText w:val="·"/>
      <w:numFmt w:val="bullet"/>
      <w:start w:val="1"/>
    </w:lvl>
  </w:abstractNum>
  <w:abstractNum w:abstractNumId="21">
    <w:nsid w:val="3006C83E"/>
    <w:multiLevelType w:val="hybridMultilevel"/>
    <w:lvl w:ilvl="0">
      <w:lvlJc w:val="left"/>
      <w:lvlText w:val="·"/>
      <w:numFmt w:val="bullet"/>
      <w:start w:val="1"/>
    </w:lvl>
  </w:abstractNum>
  <w:abstractNum w:abstractNumId="22">
    <w:nsid w:val="614FD4A1"/>
    <w:multiLevelType w:val="hybridMultilevel"/>
    <w:lvl w:ilvl="0">
      <w:lvlJc w:val="left"/>
      <w:lvlText w:val="1"/>
      <w:numFmt w:val="bullet"/>
      <w:start w:val="1"/>
    </w:lvl>
  </w:abstractNum>
  <w:abstractNum w:abstractNumId="23">
    <w:nsid w:val="419AC241"/>
    <w:multiLevelType w:val="hybridMultilevel"/>
    <w:lvl w:ilvl="0">
      <w:lvlJc w:val="left"/>
      <w:lvlText w:val="·"/>
      <w:numFmt w:val="bullet"/>
      <w:start w:val="1"/>
    </w:lvl>
  </w:abstractNum>
  <w:abstractNum w:abstractNumId="24">
    <w:nsid w:val="5577F8E1"/>
    <w:multiLevelType w:val="hybridMultilevel"/>
    <w:lvl w:ilvl="0">
      <w:lvlJc w:val="left"/>
      <w:lvlText w:val="·"/>
      <w:numFmt w:val="bullet"/>
      <w:start w:val="1"/>
    </w:lvl>
  </w:abstractNum>
  <w:abstractNum w:abstractNumId="25">
    <w:nsid w:val="440BADFC"/>
    <w:multiLevelType w:val="hybridMultilevel"/>
    <w:lvl w:ilvl="0">
      <w:lvlJc w:val="left"/>
      <w:lvlText w:val="·"/>
      <w:numFmt w:val="bullet"/>
      <w:start w:val="1"/>
    </w:lvl>
  </w:abstractNum>
  <w:abstractNum w:abstractNumId="26">
    <w:nsid w:val="5072367"/>
    <w:multiLevelType w:val="hybridMultilevel"/>
    <w:lvl w:ilvl="0">
      <w:lvlJc w:val="left"/>
      <w:lvlText w:val="·"/>
      <w:numFmt w:val="bullet"/>
      <w:start w:val="1"/>
    </w:lvl>
  </w:abstractNum>
  <w:abstractNum w:abstractNumId="27">
    <w:nsid w:val="3804823E"/>
    <w:multiLevelType w:val="hybridMultilevel"/>
    <w:lvl w:ilvl="0">
      <w:lvlJc w:val="left"/>
      <w:lvlText w:val="·"/>
      <w:numFmt w:val="bullet"/>
      <w:start w:val="1"/>
    </w:lvl>
  </w:abstractNum>
  <w:abstractNum w:abstractNumId="28">
    <w:nsid w:val="77465F01"/>
    <w:multiLevelType w:val="hybridMultilevel"/>
    <w:lvl w:ilvl="0">
      <w:lvlJc w:val="left"/>
      <w:lvlText w:val="(%1)"/>
      <w:numFmt w:val="decimal"/>
      <w:start w:val="1"/>
    </w:lvl>
  </w:abstractNum>
  <w:abstractNum w:abstractNumId="29">
    <w:nsid w:val="7724C67E"/>
    <w:multiLevelType w:val="hybridMultilevel"/>
    <w:lvl w:ilvl="0">
      <w:lvlJc w:val="left"/>
      <w:lvlText w:val="·"/>
      <w:numFmt w:val="bullet"/>
      <w:start w:val="1"/>
    </w:lvl>
  </w:abstractNum>
  <w:abstractNum w:abstractNumId="30">
    <w:nsid w:val="5C482A97"/>
    <w:multiLevelType w:val="hybridMultilevel"/>
    <w:lvl w:ilvl="0">
      <w:lvlJc w:val="left"/>
      <w:lvlText w:val="·"/>
      <w:numFmt w:val="bullet"/>
      <w:start w:val="1"/>
    </w:lvl>
  </w:abstractNum>
  <w:abstractNum w:abstractNumId="31">
    <w:nsid w:val="2463B9EA"/>
    <w:multiLevelType w:val="hybridMultilevel"/>
    <w:lvl w:ilvl="0">
      <w:lvlJc w:val="left"/>
      <w:lvlText w:val="(%1)"/>
      <w:numFmt w:val="decimal"/>
      <w:start w:val="1"/>
    </w:lvl>
  </w:abstractNum>
  <w:abstractNum w:abstractNumId="32">
    <w:nsid w:val="5E884ADC"/>
    <w:multiLevelType w:val="hybridMultilevel"/>
    <w:lvl w:ilvl="0">
      <w:lvlJc w:val="left"/>
      <w:lvlText w:val="(%1)"/>
      <w:numFmt w:val="decimal"/>
      <w:start w:val="2"/>
    </w:lvl>
  </w:abstractNum>
  <w:abstractNum w:abstractNumId="33">
    <w:nsid w:val="51EAD36B"/>
    <w:multiLevelType w:val="hybridMultilevel"/>
    <w:lvl w:ilvl="0">
      <w:lvlJc w:val="left"/>
      <w:lvlText w:val="*"/>
      <w:numFmt w:val="bullet"/>
      <w:start w:val="1"/>
    </w:lvl>
  </w:abstractNum>
  <w:abstractNum w:abstractNumId="34">
    <w:nsid w:val="2D517796"/>
    <w:multiLevelType w:val="hybridMultilevel"/>
    <w:lvl w:ilvl="0">
      <w:lvlJc w:val="left"/>
      <w:lvlText w:val="(%1)"/>
      <w:numFmt w:val="decimal"/>
      <w:start w:val="1"/>
    </w:lvl>
  </w:abstractNum>
  <w:abstractNum w:abstractNumId="35">
    <w:nsid w:val="580BD78F"/>
    <w:multiLevelType w:val="hybridMultilevel"/>
    <w:lvl w:ilvl="0">
      <w:lvlJc w:val="left"/>
      <w:lvlText w:val="(%1)"/>
      <w:numFmt w:val="decimal"/>
      <w:start w:val="3"/>
    </w:lvl>
  </w:abstractNum>
  <w:abstractNum w:abstractNumId="36">
    <w:nsid w:val="153EA438"/>
    <w:multiLevelType w:val="hybridMultilevel"/>
    <w:lvl w:ilvl="0">
      <w:lvlJc w:val="left"/>
      <w:lvlText w:val="(%1)"/>
      <w:numFmt w:val="decimal"/>
      <w:start w:val="1"/>
    </w:lvl>
  </w:abstractNum>
  <w:abstractNum w:abstractNumId="37">
    <w:nsid w:val="3855585C"/>
    <w:multiLevelType w:val="hybridMultilevel"/>
    <w:lvl w:ilvl="0">
      <w:lvlJc w:val="left"/>
      <w:lvlText w:val="(%1)"/>
      <w:numFmt w:val="decimal"/>
      <w:start w:val="3"/>
    </w:lvl>
  </w:abstractNum>
  <w:abstractNum w:abstractNumId="38">
    <w:nsid w:val="70A64E2A"/>
    <w:multiLevelType w:val="hybridMultilevel"/>
    <w:lvl w:ilvl="0">
      <w:lvlJc w:val="left"/>
      <w:lvlText w:val="(%1)"/>
      <w:numFmt w:val="decimal"/>
      <w:start w:val="1"/>
    </w:lvl>
  </w:abstractNum>
  <w:abstractNum w:abstractNumId="39">
    <w:nsid w:val="6A2342EC"/>
    <w:multiLevelType w:val="hybridMultilevel"/>
    <w:lvl w:ilvl="0">
      <w:lvlJc w:val="left"/>
      <w:lvlText w:val="(%1)"/>
      <w:numFmt w:val="decimal"/>
      <w:start w:val="1"/>
    </w:lvl>
  </w:abstractNum>
  <w:abstractNum w:abstractNumId="40">
    <w:nsid w:val="2A487CB0"/>
    <w:multiLevelType w:val="hybridMultilevel"/>
    <w:lvl w:ilvl="0">
      <w:lvlJc w:val="left"/>
      <w:lvlText w:val="(%1)"/>
      <w:numFmt w:val="decimal"/>
      <w:start w:val="1"/>
    </w:lvl>
  </w:abstractNum>
  <w:abstractNum w:abstractNumId="41">
    <w:nsid w:val="1D4ED43B"/>
    <w:multiLevelType w:val="hybridMultilevel"/>
    <w:lvl w:ilvl="0">
      <w:lvlJc w:val="left"/>
      <w:lvlText w:val="(%1)"/>
      <w:numFmt w:val="decimal"/>
      <w:start w:val="1"/>
    </w:lvl>
  </w:abstractNum>
  <w:abstractNum w:abstractNumId="42">
    <w:nsid w:val="725A06FB"/>
    <w:multiLevelType w:val="hybridMultilevel"/>
    <w:lvl w:ilvl="0">
      <w:lvlJc w:val="left"/>
      <w:lvlText w:val="•"/>
      <w:numFmt w:val="bullet"/>
      <w:start w:val="1"/>
    </w:lvl>
  </w:abstractNum>
  <w:abstractNum w:abstractNumId="43">
    <w:nsid w:val="2CD89A32"/>
    <w:multiLevelType w:val="hybridMultilevel"/>
    <w:lvl w:ilvl="0">
      <w:lvlJc w:val="left"/>
      <w:lvlText w:val="•"/>
      <w:numFmt w:val="bullet"/>
      <w:start w:val="1"/>
    </w:lvl>
  </w:abstractNum>
  <w:abstractNum w:abstractNumId="44">
    <w:nsid w:val="57E4CCA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2020-03-16T11:38:07Z</dcterms:created>
  <dcterms:modified xsi:type="dcterms:W3CDTF">2020-03-16T11:38:07Z</dcterms:modified>
</cp:coreProperties>
</file>