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DONAHUE TIMOTHY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1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40" w:type="dxa"/>
            <w:vAlign w:val="bottom"/>
            <w:gridSpan w:val="3"/>
            <w:vMerge w:val="continue"/>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86,236</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665,979</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4,236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90.34</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661,743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81"/>
              <w:spacing w:after="0" w:line="213" w:lineRule="exact"/>
              <w:rPr>
                <w:sz w:val="20"/>
                <w:szCs w:val="20"/>
                <w:color w:val="auto"/>
              </w:rPr>
            </w:pPr>
            <w:r>
              <w:rPr>
                <w:rFonts w:ascii="Times New Roman" w:cs="Times New Roman" w:eastAsia="Times New Roman" w:hAnsi="Times New Roman"/>
                <w:sz w:val="24"/>
                <w:szCs w:val="24"/>
                <w:color w:val="0000FF"/>
                <w:vertAlign w:val="subscript"/>
              </w:rPr>
              <w:t>762</w:t>
            </w:r>
            <w:r>
              <w:rPr>
                <w:rFonts w:ascii="Times New Roman" w:cs="Times New Roman" w:eastAsia="Times New Roman" w:hAnsi="Times New Roman"/>
                <w:sz w:val="10"/>
                <w:szCs w:val="10"/>
                <w:color w:val="008000"/>
              </w:rPr>
              <w:t>(3)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86,236 shares of Restricted Common Stock under the 2022 Stock-Based Compensation Plan. 29,651 time-vested restricted shares vest over a three year period as follows: 9,884 time-vested restricted shares on January 6, 2025 and January 5, 2026, respectively and 9,883 time-vested restricted shares on January 4, 2027. 26,600 performance-based restricted shares are targeted to vest on January 4, 2027 based on the Company's Total Shareholder Return versus a defined peer group of companies, with the final number of performance-based vested shares varying from 0 to 200% of 26,600. 29,985 performance-based restricted shares are targeted to vest on January 4, 2027 based on the Return on Invested Capital achieved by the Company compared to the ROIC target, with the final number of performance-based vested shares varying from 0 to 29,985.</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2023, the Reporting Person owned 762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1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2024-01-05T11:15:46Z</dcterms:created>
  <dcterms:modified xsi:type="dcterms:W3CDTF">2024-01-05T11:15:46Z</dcterms:modified>
</cp:coreProperties>
</file>