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40,412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584,580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40,984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109.54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543,596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108.85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536,322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8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additional performance-based shares of Restricted Common Stock that vested on January 7, 2022 whose grant was originally reported on a Form 4 filed with the Securities and Exchange Commission on January 9, 2019 (the "Original Form 4"). As reported on the Original Form 4, such performance-based shares were originally granted to the Reporting Person based on the Company's Total Shareholder Return versus a defined group of companies with the final number of performance-based shares varying from 0 to 200% of 40,412.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2022-01-11T09:40:32Z</dcterms:created>
  <dcterms:modified xsi:type="dcterms:W3CDTF">2022-01-11T09:40:32Z</dcterms:modified>
</cp:coreProperties>
</file>