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NOVAES DJALMA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President - Americas Division</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01/03/2024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15,669</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106,511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73"/>
              <w:spacing w:after="0"/>
              <w:rPr>
                <w:sz w:val="20"/>
                <w:szCs w:val="20"/>
                <w:color w:val="auto"/>
              </w:rPr>
            </w:pPr>
            <w:r>
              <w:rPr>
                <w:rFonts w:ascii="Times New Roman" w:cs="Times New Roman" w:eastAsia="Times New Roman" w:hAnsi="Times New Roman"/>
                <w:sz w:val="17"/>
                <w:szCs w:val="17"/>
                <w:color w:val="0000FF"/>
              </w:rPr>
              <w:t>750</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90.34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105,761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15,669 shares of Restricted Common Stock under the 2022 Stock-Based Compensation Plan. 5,388 time-vested restricted shares vest over a three year period as follows: 1,796 time-vested restricted shares on January 6, 2025, January 5, 2026 and January 4, 2027, respectively. 4,833 performance-based restricted shares are targeted to vest on January 4, 2027 based on the Company's Total Shareholder Return versus a defined peer group of companies, with the final number of performance-based vested shares varying from 0 to 200% of 4,833. 5,448 performance-based restricted shares are targeted to vest on January 4, 2027 based on the Return on Invested Capital achieved by the Company compared to the ROIC target, with the final number of performance-based vested shares varying from 0 to 5,448.</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01/05/2024</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599"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2024-01-05T11:09:23Z</dcterms:created>
  <dcterms:modified xsi:type="dcterms:W3CDTF">2024-01-05T11:09:23Z</dcterms:modified>
</cp:coreProperties>
</file>