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rdgdoc.xml.htm"/>
      <w:bookmarkStart w:id="1" w:name="ksrdg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pPr>
                  <w:hyperlink r:id="rId3">
                    <w:r>
                      <w:rPr>
                        <w:rStyle w:val="InternetLink"/>
                      </w:rPr>
                      <w:t>Bourque Robert H Jr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 TOWNSHIP LINE ROAD</w:t>
                  </w:r>
                </w:p>
              </w:tc>
            </w:tr>
            <w:tr>
              <w:trPr/>
              <w:tc>
                <w:tcPr>
                  <w:tcW w:w="345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YARDLEY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19067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CROWN HOLDINGS INC</w:t>
              </w:r>
            </w:hyperlink>
            <w:r>
              <w:rPr/>
              <w:t xml:space="preserve"> [ </w:t>
            </w:r>
            <w:r>
              <w:rPr>
                <w:rFonts w:ascii="Times;serif" w:hAnsi="Times;serif"/>
                <w:color w:val="0000FF"/>
                <w:sz w:val="24"/>
                <w:highlight w:val="white"/>
              </w:rPr>
              <w:t>CCK</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0"/>
              <w:gridCol w:w="441"/>
              <w:gridCol w:w="1030"/>
            </w:tblGrid>
            <w:tr>
              <w:trPr/>
              <w:tc>
                <w:tcPr>
                  <w:tcW w:w="44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President - Transit Packaging</w:t>
                  </w:r>
                </w:p>
              </w:tc>
            </w:tr>
          </w:tbl>
          <w:p>
            <w:pPr>
              <w:pStyle w:val="TableContents"/>
              <w:spacing w:before="0" w:after="283"/>
              <w:rPr>
                <w:sz w:val="4"/>
                <w:szCs w:val="4"/>
              </w:rPr>
            </w:pPr>
            <w:r>
              <w:rPr>
                <w:sz w:val="4"/>
                <w:szCs w:val="4"/>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02/24/2022</w:t>
            </w:r>
            <w:r>
              <w:rPr/>
              <w:t xml:space="preserve"> </w:t>
            </w:r>
          </w:p>
        </w:tc>
        <w:tc>
          <w:tcPr>
            <w:tcW w:w="306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2,072</w:t>
            </w:r>
            <w:r>
              <w:rPr>
                <w:rFonts w:ascii="Times;serif" w:hAnsi="Times;serif"/>
                <w:color w:val="008000"/>
                <w:position w:val="7"/>
                <w:sz w:val="16"/>
                <w:sz w:val="20"/>
                <w:highlight w:val="white"/>
              </w:rPr>
              <w:t>(1)</w:t>
            </w:r>
            <w:r>
              <w:rPr/>
              <w:t xml:space="preserve"> </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71,869</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3,534</w:t>
            </w:r>
            <w:r>
              <w:rPr>
                <w:rFonts w:ascii="Times;serif" w:hAnsi="Times;serif"/>
                <w:color w:val="008000"/>
                <w:position w:val="7"/>
                <w:sz w:val="16"/>
                <w:sz w:val="20"/>
                <w:highlight w:val="white"/>
              </w:rPr>
              <w:t>(2)</w:t>
            </w:r>
            <w:r>
              <w:rPr/>
              <w:t xml:space="preserve"> </w:t>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3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117.99</w:t>
            </w:r>
            <w:r>
              <w:rPr/>
              <w:t xml:space="preserve"> </w:t>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68,335</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additional performance-based shares of Restricted Common Stock that vested on February 24, 2022 whose grant was originally reported on a Form 4 filed with the Securities and Exchange Commission on January 9, 2019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6,907.</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shares transferred to the Company for tax withholding in connection with vesting of restricted stock.</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Rosemary Haselroth, by Power of Attorney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02/28/2022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72913" TargetMode="External"/><Relationship Id="rId4" Type="http://schemas.openxmlformats.org/officeDocument/2006/relationships/hyperlink" Target="http://www.sec.gov/cgi-bin/browse-edgar?action=getcompany&amp;CIK=000121960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634</Words>
  <CharactersWithSpaces>4001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