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46"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19, 2021</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CROWN HOLDINGS, INC.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3160" w:type="dxa"/>
            <w:vAlign w:val="bottom"/>
          </w:tcPr>
          <w:p>
            <w:pPr>
              <w:jc w:val="center"/>
              <w:ind w:right="850"/>
              <w:spacing w:after="0"/>
              <w:rPr>
                <w:sz w:val="20"/>
                <w:szCs w:val="20"/>
                <w:color w:val="auto"/>
              </w:rPr>
            </w:pPr>
            <w:r>
              <w:rPr>
                <w:rFonts w:ascii="Arial" w:cs="Arial" w:eastAsia="Arial" w:hAnsi="Arial"/>
                <w:sz w:val="18"/>
                <w:szCs w:val="18"/>
                <w:b w:val="1"/>
                <w:bCs w:val="1"/>
                <w:color w:val="auto"/>
                <w:w w:val="88"/>
              </w:rPr>
              <w:t>Pennsylvania</w:t>
            </w:r>
          </w:p>
        </w:tc>
        <w:tc>
          <w:tcPr>
            <w:tcW w:w="3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000-50189</w:t>
            </w:r>
          </w:p>
        </w:tc>
        <w:tc>
          <w:tcPr>
            <w:tcW w:w="250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75-3099507</w:t>
            </w:r>
          </w:p>
        </w:tc>
      </w:tr>
      <w:tr>
        <w:trPr>
          <w:trHeight w:val="176"/>
        </w:trPr>
        <w:tc>
          <w:tcPr>
            <w:tcW w:w="3160" w:type="dxa"/>
            <w:vAlign w:val="bottom"/>
          </w:tcPr>
          <w:p>
            <w:pPr>
              <w:jc w:val="center"/>
              <w:ind w:right="870"/>
              <w:spacing w:after="0" w:line="176" w:lineRule="exact"/>
              <w:rPr>
                <w:sz w:val="20"/>
                <w:szCs w:val="20"/>
                <w:color w:val="auto"/>
              </w:rPr>
            </w:pPr>
            <w:r>
              <w:rPr>
                <w:rFonts w:ascii="Arial" w:cs="Arial" w:eastAsia="Arial" w:hAnsi="Arial"/>
                <w:sz w:val="18"/>
                <w:szCs w:val="18"/>
                <w:color w:val="auto"/>
                <w:w w:val="92"/>
              </w:rPr>
              <w:t>(State or Other Jurisdiction of</w:t>
            </w:r>
          </w:p>
        </w:tc>
        <w:tc>
          <w:tcPr>
            <w:tcW w:w="310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3"/>
              </w:rPr>
              <w:t>(Commission</w:t>
            </w:r>
          </w:p>
        </w:tc>
        <w:tc>
          <w:tcPr>
            <w:tcW w:w="2500" w:type="dxa"/>
            <w:vAlign w:val="bottom"/>
          </w:tcPr>
          <w:p>
            <w:pPr>
              <w:jc w:val="center"/>
              <w:ind w:left="1070"/>
              <w:spacing w:after="0" w:line="176" w:lineRule="exact"/>
              <w:rPr>
                <w:sz w:val="20"/>
                <w:szCs w:val="20"/>
                <w:color w:val="auto"/>
              </w:rPr>
            </w:pPr>
            <w:r>
              <w:rPr>
                <w:rFonts w:ascii="Arial" w:cs="Arial" w:eastAsia="Arial" w:hAnsi="Arial"/>
                <w:sz w:val="18"/>
                <w:szCs w:val="18"/>
                <w:color w:val="auto"/>
                <w:w w:val="92"/>
              </w:rPr>
              <w:t>(I.R.S. Employer</w:t>
            </w:r>
          </w:p>
        </w:tc>
      </w:tr>
      <w:tr>
        <w:trPr>
          <w:trHeight w:val="230"/>
        </w:trPr>
        <w:tc>
          <w:tcPr>
            <w:tcW w:w="3160" w:type="dxa"/>
            <w:vAlign w:val="bottom"/>
          </w:tcPr>
          <w:p>
            <w:pPr>
              <w:jc w:val="center"/>
              <w:ind w:right="870"/>
              <w:spacing w:after="0"/>
              <w:rPr>
                <w:sz w:val="20"/>
                <w:szCs w:val="20"/>
                <w:color w:val="auto"/>
              </w:rPr>
            </w:pPr>
            <w:r>
              <w:rPr>
                <w:rFonts w:ascii="Arial" w:cs="Arial" w:eastAsia="Arial" w:hAnsi="Arial"/>
                <w:sz w:val="18"/>
                <w:szCs w:val="18"/>
                <w:color w:val="auto"/>
                <w:w w:val="91"/>
              </w:rPr>
              <w:t>Incorporation or Organization)</w:t>
            </w:r>
          </w:p>
        </w:tc>
        <w:tc>
          <w:tcPr>
            <w:tcW w:w="3100" w:type="dxa"/>
            <w:vAlign w:val="bottom"/>
          </w:tcPr>
          <w:p>
            <w:pPr>
              <w:jc w:val="center"/>
              <w:ind w:right="150"/>
              <w:spacing w:after="0"/>
              <w:rPr>
                <w:sz w:val="20"/>
                <w:szCs w:val="20"/>
                <w:color w:val="auto"/>
              </w:rPr>
            </w:pPr>
            <w:r>
              <w:rPr>
                <w:rFonts w:ascii="Arial" w:cs="Arial" w:eastAsia="Arial" w:hAnsi="Arial"/>
                <w:sz w:val="18"/>
                <w:szCs w:val="18"/>
                <w:color w:val="auto"/>
                <w:w w:val="94"/>
              </w:rPr>
              <w:t>File Number)</w:t>
            </w:r>
          </w:p>
        </w:tc>
        <w:tc>
          <w:tcPr>
            <w:tcW w:w="2500" w:type="dxa"/>
            <w:vAlign w:val="bottom"/>
          </w:tcPr>
          <w:p>
            <w:pPr>
              <w:jc w:val="center"/>
              <w:ind w:left="1070"/>
              <w:spacing w:after="0"/>
              <w:rPr>
                <w:sz w:val="20"/>
                <w:szCs w:val="20"/>
                <w:color w:val="auto"/>
              </w:rPr>
            </w:pPr>
            <w:r>
              <w:rPr>
                <w:rFonts w:ascii="Arial" w:cs="Arial" w:eastAsia="Arial" w:hAnsi="Arial"/>
                <w:sz w:val="18"/>
                <w:szCs w:val="18"/>
                <w:color w:val="auto"/>
                <w:w w:val="95"/>
              </w:rPr>
              <w:t>Identification No.)</w:t>
            </w:r>
          </w:p>
        </w:tc>
      </w:tr>
    </w:tbl>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3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Title of each class</w:t>
            </w:r>
          </w:p>
        </w:tc>
        <w:tc>
          <w:tcPr>
            <w:tcW w:w="17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Trading Symbols</w:t>
            </w:r>
          </w:p>
        </w:tc>
        <w:tc>
          <w:tcPr>
            <w:tcW w:w="54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Name of each exchange on which registered</w:t>
            </w:r>
          </w:p>
        </w:tc>
        <w:tc>
          <w:tcPr>
            <w:tcW w:w="1400" w:type="dxa"/>
            <w:vAlign w:val="bottom"/>
          </w:tcPr>
          <w:p>
            <w:pPr>
              <w:spacing w:after="0"/>
              <w:rPr>
                <w:sz w:val="18"/>
                <w:szCs w:val="18"/>
                <w:color w:val="auto"/>
              </w:rPr>
            </w:pPr>
          </w:p>
        </w:tc>
      </w:tr>
      <w:tr>
        <w:trPr>
          <w:trHeight w:val="206"/>
        </w:trPr>
        <w:tc>
          <w:tcPr>
            <w:tcW w:w="2580" w:type="dxa"/>
            <w:vAlign w:val="bottom"/>
          </w:tcPr>
          <w:p>
            <w:pPr>
              <w:ind w:left="20"/>
              <w:spacing w:after="0"/>
              <w:rPr>
                <w:sz w:val="20"/>
                <w:szCs w:val="20"/>
                <w:color w:val="auto"/>
              </w:rPr>
            </w:pPr>
            <w:r>
              <w:rPr>
                <w:rFonts w:ascii="Arial" w:cs="Arial" w:eastAsia="Arial" w:hAnsi="Arial"/>
                <w:sz w:val="16"/>
                <w:szCs w:val="16"/>
                <w:color w:val="auto"/>
              </w:rPr>
              <w:t>Common Stock $5.00 Par Value</w:t>
            </w:r>
          </w:p>
        </w:tc>
        <w:tc>
          <w:tcPr>
            <w:tcW w:w="1780" w:type="dxa"/>
            <w:vAlign w:val="bottom"/>
          </w:tcPr>
          <w:p>
            <w:pPr>
              <w:ind w:left="480"/>
              <w:spacing w:after="0"/>
              <w:rPr>
                <w:sz w:val="20"/>
                <w:szCs w:val="20"/>
                <w:color w:val="auto"/>
              </w:rPr>
            </w:pPr>
            <w:r>
              <w:rPr>
                <w:rFonts w:ascii="Arial" w:cs="Arial" w:eastAsia="Arial" w:hAnsi="Arial"/>
                <w:sz w:val="16"/>
                <w:szCs w:val="16"/>
                <w:color w:val="auto"/>
              </w:rPr>
              <w:t>CCK</w:t>
            </w:r>
          </w:p>
        </w:tc>
        <w:tc>
          <w:tcPr>
            <w:tcW w:w="6880" w:type="dxa"/>
            <w:vAlign w:val="bottom"/>
            <w:gridSpan w:val="2"/>
          </w:tcPr>
          <w:p>
            <w:pPr>
              <w:ind w:left="200"/>
              <w:spacing w:after="0"/>
              <w:rPr>
                <w:sz w:val="20"/>
                <w:szCs w:val="20"/>
                <w:color w:val="auto"/>
              </w:rPr>
            </w:pPr>
            <w:r>
              <w:rPr>
                <w:rFonts w:ascii="Arial" w:cs="Arial" w:eastAsia="Arial" w:hAnsi="Arial"/>
                <w:sz w:val="16"/>
                <w:szCs w:val="16"/>
                <w:color w:val="auto"/>
              </w:rPr>
              <w:t>New York Stock Exchange</w:t>
            </w:r>
          </w:p>
        </w:tc>
      </w:tr>
      <w:tr>
        <w:trPr>
          <w:trHeight w:val="216"/>
        </w:trPr>
        <w:tc>
          <w:tcPr>
            <w:tcW w:w="2580" w:type="dxa"/>
            <w:vAlign w:val="bottom"/>
          </w:tcPr>
          <w:p>
            <w:pPr>
              <w:ind w:left="20"/>
              <w:spacing w:after="0"/>
              <w:rPr>
                <w:sz w:val="20"/>
                <w:szCs w:val="20"/>
                <w:color w:val="auto"/>
              </w:rPr>
            </w:pPr>
            <w:r>
              <w:rPr>
                <w:rFonts w:ascii="Arial" w:cs="Arial" w:eastAsia="Arial" w:hAnsi="Arial"/>
                <w:sz w:val="16"/>
                <w:szCs w:val="16"/>
                <w:color w:val="auto"/>
              </w:rPr>
              <w:t>7 3/8% Debentures Due 2026</w:t>
            </w:r>
          </w:p>
        </w:tc>
        <w:tc>
          <w:tcPr>
            <w:tcW w:w="1780" w:type="dxa"/>
            <w:vAlign w:val="bottom"/>
          </w:tcPr>
          <w:p>
            <w:pPr>
              <w:ind w:left="480"/>
              <w:spacing w:after="0"/>
              <w:rPr>
                <w:sz w:val="20"/>
                <w:szCs w:val="20"/>
                <w:color w:val="auto"/>
              </w:rPr>
            </w:pPr>
            <w:r>
              <w:rPr>
                <w:rFonts w:ascii="Arial" w:cs="Arial" w:eastAsia="Arial" w:hAnsi="Arial"/>
                <w:sz w:val="16"/>
                <w:szCs w:val="16"/>
                <w:color w:val="auto"/>
              </w:rPr>
              <w:t>CCK26</w:t>
            </w:r>
          </w:p>
        </w:tc>
        <w:tc>
          <w:tcPr>
            <w:tcW w:w="6880" w:type="dxa"/>
            <w:vAlign w:val="bottom"/>
            <w:gridSpan w:val="2"/>
          </w:tcPr>
          <w:p>
            <w:pPr>
              <w:ind w:left="200"/>
              <w:spacing w:after="0"/>
              <w:rPr>
                <w:sz w:val="20"/>
                <w:szCs w:val="20"/>
                <w:color w:val="auto"/>
              </w:rPr>
            </w:pPr>
            <w:r>
              <w:rPr>
                <w:rFonts w:ascii="Arial" w:cs="Arial" w:eastAsia="Arial" w:hAnsi="Arial"/>
                <w:sz w:val="16"/>
                <w:szCs w:val="16"/>
                <w:color w:val="auto"/>
              </w:rPr>
              <w:t>New York Stock Exchange</w:t>
            </w:r>
          </w:p>
        </w:tc>
      </w:tr>
      <w:tr>
        <w:trPr>
          <w:trHeight w:val="216"/>
        </w:trPr>
        <w:tc>
          <w:tcPr>
            <w:tcW w:w="2580" w:type="dxa"/>
            <w:vAlign w:val="bottom"/>
          </w:tcPr>
          <w:p>
            <w:pPr>
              <w:ind w:left="20"/>
              <w:spacing w:after="0"/>
              <w:rPr>
                <w:sz w:val="20"/>
                <w:szCs w:val="20"/>
                <w:color w:val="auto"/>
              </w:rPr>
            </w:pPr>
            <w:r>
              <w:rPr>
                <w:rFonts w:ascii="Arial" w:cs="Arial" w:eastAsia="Arial" w:hAnsi="Arial"/>
                <w:sz w:val="16"/>
                <w:szCs w:val="16"/>
                <w:color w:val="auto"/>
              </w:rPr>
              <w:t>7 1/2% Debentures Due 2096</w:t>
            </w:r>
          </w:p>
        </w:tc>
        <w:tc>
          <w:tcPr>
            <w:tcW w:w="1780" w:type="dxa"/>
            <w:vAlign w:val="bottom"/>
          </w:tcPr>
          <w:p>
            <w:pPr>
              <w:ind w:left="480"/>
              <w:spacing w:after="0"/>
              <w:rPr>
                <w:sz w:val="20"/>
                <w:szCs w:val="20"/>
                <w:color w:val="auto"/>
              </w:rPr>
            </w:pPr>
            <w:r>
              <w:rPr>
                <w:rFonts w:ascii="Arial" w:cs="Arial" w:eastAsia="Arial" w:hAnsi="Arial"/>
                <w:sz w:val="16"/>
                <w:szCs w:val="16"/>
                <w:color w:val="auto"/>
              </w:rPr>
              <w:t>CCK96</w:t>
            </w:r>
          </w:p>
        </w:tc>
        <w:tc>
          <w:tcPr>
            <w:tcW w:w="6880" w:type="dxa"/>
            <w:vAlign w:val="bottom"/>
            <w:gridSpan w:val="2"/>
          </w:tcPr>
          <w:p>
            <w:pPr>
              <w:ind w:left="200"/>
              <w:spacing w:after="0"/>
              <w:rPr>
                <w:sz w:val="20"/>
                <w:szCs w:val="20"/>
                <w:color w:val="auto"/>
              </w:rPr>
            </w:pPr>
            <w:r>
              <w:rPr>
                <w:rFonts w:ascii="Arial" w:cs="Arial" w:eastAsia="Arial" w:hAnsi="Arial"/>
                <w:sz w:val="16"/>
                <w:szCs w:val="16"/>
                <w:color w:val="auto"/>
              </w:rPr>
              <w:t>New York Stock Exchange</w:t>
            </w:r>
          </w:p>
        </w:tc>
      </w:tr>
      <w:tr>
        <w:trPr>
          <w:trHeight w:val="216"/>
        </w:trPr>
        <w:tc>
          <w:tcPr>
            <w:tcW w:w="25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54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979"/>
        </w:trPr>
        <w:tc>
          <w:tcPr>
            <w:tcW w:w="25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892" w:gutter="0" w:footer="0" w:header="0"/>
        </w:sectPr>
      </w:pPr>
    </w:p>
    <w:bookmarkStart w:id="1" w:name="page2"/>
    <w:bookmarkEnd w:id="1"/>
    <w:p>
      <w:pPr>
        <w:spacing w:after="0" w:line="42" w:lineRule="exact"/>
        <w:rPr>
          <w:sz w:val="20"/>
          <w:szCs w:val="20"/>
          <w:color w:val="auto"/>
        </w:rPr>
      </w:pPr>
    </w:p>
    <w:p>
      <w:pPr>
        <w:jc w:val="right"/>
        <w:ind w:right="3419"/>
        <w:spacing w:after="0"/>
        <w:rPr>
          <w:sz w:val="20"/>
          <w:szCs w:val="20"/>
          <w:color w:val="auto"/>
        </w:rPr>
      </w:pPr>
      <w:r>
        <w:rPr>
          <w:rFonts w:ascii="Arial" w:cs="Arial" w:eastAsia="Arial" w:hAnsi="Arial"/>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1"/>
          <w:szCs w:val="21"/>
          <w:color w:val="auto"/>
        </w:rPr>
        <w:t>Item 2.02. RESULTS OF OPERATIONS AND FINANCIAL CONDITION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Item 9.01. FINANCIAL STATEMENTS AND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INDEX TO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EX-99 PRESS RELEASE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On July 19, 2021 Crown Holdings, Inc. issued a press release announcing its earnings for the second quarter ended June 30, 2021. A copy of the press release is attached hereto as Exhibit 99 and incorporated herein by reference.</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w:t>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(c) Exhibits.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furnished as an exhibit to this report.</w:t>
      </w:r>
    </w:p>
    <w:p>
      <w:pPr>
        <w:spacing w:after="0" w:line="98" w:lineRule="exact"/>
        <w:rPr>
          <w:sz w:val="20"/>
          <w:szCs w:val="20"/>
          <w:color w:val="auto"/>
        </w:rPr>
      </w:pPr>
    </w:p>
    <w:p>
      <w:pPr>
        <w:ind w:left="500" w:hanging="492"/>
        <w:spacing w:after="0"/>
        <w:tabs>
          <w:tab w:leader="none" w:pos="500" w:val="left"/>
        </w:tabs>
        <w:numPr>
          <w:ilvl w:val="0"/>
          <w:numId w:val="2"/>
        </w:numPr>
        <w:rPr>
          <w:rFonts w:ascii="Arial" w:cs="Arial" w:eastAsia="Arial" w:hAnsi="Arial"/>
          <w:sz w:val="22"/>
          <w:szCs w:val="22"/>
          <w:u w:val="single" w:color="auto"/>
          <w:color w:val="0000FF"/>
        </w:rPr>
      </w:pPr>
      <w:hyperlink w:anchor="page5">
        <w:r>
          <w:rPr>
            <w:rFonts w:ascii="Arial" w:cs="Arial" w:eastAsia="Arial" w:hAnsi="Arial"/>
            <w:sz w:val="22"/>
            <w:szCs w:val="22"/>
            <w:u w:val="single" w:color="auto"/>
            <w:color w:val="0000FF"/>
          </w:rPr>
          <w:t>Press release, dated July 19, 2021, issued by Crown Holdings, Inc.</w:t>
        </w:r>
      </w:hyperlink>
    </w:p>
    <w:p>
      <w:pPr>
        <w:spacing w:after="0" w:line="2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80"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15875</wp:posOffset>
            </wp:positionV>
            <wp:extent cx="3257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David A. Beaver</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Dated: July 19,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320" w:right="339" w:bottom="1440" w:gutter="0" w:footer="0" w:header="0"/>
        </w:sectPr>
      </w:pPr>
    </w:p>
    <w:bookmarkStart w:id="4" w:name="page5"/>
    <w:bookmarkEnd w:id="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332105</wp:posOffset>
            </wp:positionV>
            <wp:extent cx="685800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CROWN HOLDINGS, INC. REPORTS STRONG SECOND QUARTER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99695</wp:posOffset>
            </wp:positionV>
            <wp:extent cx="685800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Yardley, PA - July 19, 2021. </w:t>
      </w:r>
      <w:r>
        <w:rPr>
          <w:rFonts w:ascii="Arial" w:cs="Arial" w:eastAsia="Arial" w:hAnsi="Arial"/>
          <w:sz w:val="17"/>
          <w:szCs w:val="17"/>
          <w:color w:val="auto"/>
        </w:rPr>
        <w:t>Crown Holdings, Inc. (NYSE: CCK) today announced its financial results for the second quarter ended June 30, 2021.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4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Earnings per share $0.95 versus $0.94 in 2020</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Adjusted earnings per share increased to $2.14 over the $1.33 in 2020</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Global beverage can volumes grew 20%</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Solid food can demand</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Repurchased $379 million in Company shares year to date through July 16</w:t>
      </w:r>
    </w:p>
    <w:p>
      <w:pPr>
        <w:spacing w:after="0" w:line="10" w:lineRule="exact"/>
        <w:rPr>
          <w:rFonts w:ascii="Arial" w:cs="Arial" w:eastAsia="Arial" w:hAnsi="Arial"/>
          <w:sz w:val="22"/>
          <w:szCs w:val="22"/>
          <w:color w:val="auto"/>
        </w:rPr>
      </w:pPr>
    </w:p>
    <w:p>
      <w:pPr>
        <w:ind w:left="660" w:hanging="328"/>
        <w:spacing w:after="0" w:line="208"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b w:val="1"/>
          <w:bCs w:val="1"/>
          <w:color w:val="auto"/>
        </w:rPr>
        <w:t>European Tinplate sale on schedule for expected Q3 closing; reported as discontinued operations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Net sales in the second quarter were $2,856 million compared to $2,137 million in the second quarter of 2020 reflecting increased beverage can and transit packaging sales unit volumes, the pass through of higher material costs and favorable currency translation of $125 million.</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Income from operations was $385 million in the second quarter compared to $208 million in the second quarter of 2020. Segment income was $395 million in the second quarter compared to $250 million in the prior year second quarter primarily due to increased sales unit volumes and $18 million of favorable currency translation.</w:t>
      </w:r>
    </w:p>
    <w:p>
      <w:pPr>
        <w:spacing w:after="0" w:line="20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Commenting on the quarter, Timothy J. Donahue, President and Chief Executive Officer, stated, “The Company’s performance during the second quarter continued to be strong, and Crown remains on track for another record year in earnings. Adjusted earnings per share and segment income increased 61% and 58%, respectively, and were largely fueled by beverage can volume growth of 20%, as each global region recorded double-digit gains. Demand recovery has been robust in regions such as Brazil, throughout Europe, Mexico, the Middle East and Southeast Asia that previously had been adversely impacted by the pandemic. Each of our businesses performed very well commercially and operationally despite certain challenges posed by supply chain disruptions. The strong results delivered by Transit Packaging were driven by continuing improvement in global manufacturing activity and the achievement of several cost reduction initiatives. So far this year, the Company has repurchased $379 million of common stock, executing on our capital allocation strategy of returning cash to shareholders.</w:t>
      </w:r>
    </w:p>
    <w:p>
      <w:pPr>
        <w:spacing w:after="0" w:line="20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Company previously announced an agreement to sell its European Tinplate business to KPS Capital Partners. The business comprises 44 manufacturing facilities in Europe, the Middle East and Africa that produce food cans and ends, aerosol cans, metal closures and promotional packaging for various consumer brands. We expect that the transaction will close during the third quarter of 2021. Net proceeds from the transaction will be used for debt reduction, beverage can capital projects and continued share repurchases over time.</w:t>
      </w:r>
    </w:p>
    <w:p>
      <w:pPr>
        <w:spacing w:after="0" w:line="20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“To meet accelerating demand for beverage cans, the world’s most recycled and sustainable beverage packaging, the Company is implementing several capacity expansion projects globally, which include both the construction of new plants and the addition of production lines to existing facilities. By the end of 2022, we expect to have 97 billion units of annualized global beverage can capacity, an increase of 28%, or 21 billion units, from the 2019 base. During the second quarter, the first line in our new Bowling Green, Kentucky facility began commercial shipments, with the second line expected to commence production during the third quarter. Also early in the fourth quarter, the Company will begin operation of a new one-line plant in Vung Tau, Vietnam as well as additional production lines in Olympia, Washington and Rio Verde, Brazil. Beverage cans now account for approximately 75% of the Company’s income from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was $68 million in the second quarter of 2021 compared to $73 million in 2020 primarily due to lower outstanding debt balances.</w:t>
      </w:r>
    </w:p>
    <w:p>
      <w:pPr>
        <w:spacing w:after="0" w:line="23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Net income attributable to Crown Holdings in the second quarter was $128 million compared to $126 million in the second quarter of 2020. Reported diluted earnings per share were $0.95 in the second quarter of 2021 compared to $0.94 in 2020. Adjusted diluted earnings per share increased to $2.14 over the $1.33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of 11</w:t>
      </w:r>
    </w:p>
    <w:p>
      <w:pPr>
        <w:sectPr>
          <w:pgSz w:w="11900" w:h="16838" w:orient="portrait"/>
          <w:cols w:equalWidth="0" w:num="1">
            <w:col w:w="11240"/>
          </w:cols>
          <w:pgMar w:left="320" w:top="487" w:right="339" w:bottom="1440" w:gutter="0" w:footer="0" w:header="0"/>
        </w:sectPr>
      </w:pPr>
    </w:p>
    <w:bookmarkStart w:id="5" w:name="page6"/>
    <w:bookmarkEnd w:id="5"/>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from net income and diluted earnings per share to adjusted net income and adjusted diluted earnings per share is provided below.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Results</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Net sales for the first six months of 2021 were $5,420 million compared to $4,443 million in the first six months of 2020, primarily due to increased sales unit volumes, the pass through of higher material costs and $177 million of favorable currency translation.</w:t>
      </w:r>
    </w:p>
    <w:p>
      <w:pPr>
        <w:spacing w:after="0" w:line="203"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Income from operations was $712 million in the first half of 2021 compared to $426 million in the first half of 2020. Segment income in the first half of 2021 was $764 million versus $515 million in the prior year period, primarily due to increased sales unit volumes and $24 of foreign currency translation.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was $137 million for the first six months of 2021 compared to $151 million in 2020 primarily due to lower outstanding debt balances.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Net income attributable to Crown Holdings in the first six months of 2021 was $339 million compared to $214 million in the first six months of 2020.</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Reported diluted earnings per share were $2.52 compared to $1.59 in 2020. Adjusted diluted earnings per share were $3.97 compared to $2.46 in 2020.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 Company currently expects third quarter adjusted earnings to be in the range of $1.90 to $2.00 per share, and full year adjusted earnings in the range of $7.30 to $7.40 per share. These estimates include the results of the European Tinplate business through August 31,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Segment income, adjusted free cash flow, adjusted net leverage ratio, adjusted net income, the adjusted effective tax rate, adjusted diluted earnings per share and adjusted EBITDA are not defined terms under U.S. generally accepted accounting principles (non-GAAP measures). Non-GAAP measures should not be considered in isolation or as a substitute for income from operations, net income, diluted earnings per share, effective tax rates, cash flow or leverage ratio data prepared in accordance with U.S. GAAP and may not be comparable to calculations of similarly titled measures by other companies.</w:t>
      </w:r>
    </w:p>
    <w:p>
      <w:pPr>
        <w:spacing w:after="0" w:line="189"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 Company views segment income as the principal measure of the performance of its operations and adjusted free cash flow and adjusted net leverage ratio as the principal measure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Reconciliations of estimated adjusted diluted earnings per share for the third quarter and full year of 2021 to estimated diluted earnings per share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and could have a significant impact on earnings per share on a GAAP basis: gains or losses on the sale of businesses or other assets, restructuring and other costs, asset impairment charges, asbestos-related charges, losses from early extinguishment of debt, pension settlement and curtailment charges, the tax and noncontrolling interest impact of the items above, and the impact of tax law changes or other tax matters. The Company believes that adjusted net income, the adjusted effective tax rate and adjusted diluted earnings per share are useful in evaluating the Company’s operations as these measures are adjusted for items that affect comparability between periods. The Company believes that adjusted free cash flow and adjusted net leverage ratio provide meaningful measures of liquidity and a useful basis for assessing the Company’s ability to fund its activities, including the financing of acquisitions, debt repayments, share repurchases or dividends. Segment income, adjusted free cash flow, adjusted net leverage ratio, the adjusted effective tax rate, adjusted net income, adjusted diluted earnings per share and adjusted EBITDA are derived from the Company’s Consolidated Statements of Operations and Cash Flows and Consolidated Balance Sheets, as applicable, and reconciliations to segment income, adjusted free cash flow, net leverage ratio, the adjusted effective tax rate, adjusted net income, adjusted diluted earnings per share and adjusted EBITDA can be found within this release.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 xml:space="preserve">The Company will hold a conference call tomorrow, July 20, 2021 at 9:00 a.m. (EDT) to discuss this news release. Forward-looking and other material information may be discussed on the conference call. The dial-in numbers for the conference call are 630-395-0194 or toll-free 888-324-8108 and the access password is “packaging.” A live webcast of the call will be made available to the public on the internet at the Company’s website, </w:t>
      </w:r>
      <w:r>
        <w:rPr>
          <w:rFonts w:ascii="Arial" w:cs="Arial" w:eastAsia="Arial" w:hAnsi="Arial"/>
          <w:sz w:val="18"/>
          <w:szCs w:val="18"/>
          <w:u w:val="single" w:color="auto"/>
          <w:color w:val="0000FF"/>
        </w:rPr>
        <w:t>www.crowncork.com</w:t>
      </w:r>
      <w:r>
        <w:rPr>
          <w:rFonts w:ascii="Arial" w:cs="Arial" w:eastAsia="Arial" w:hAnsi="Arial"/>
          <w:sz w:val="18"/>
          <w:szCs w:val="18"/>
          <w:color w:val="000000"/>
        </w:rPr>
        <w:t>. A replay of the conference call will be available for a one-week period ending at midnight on July 27. The telephone numbers for the</w:t>
      </w:r>
      <w:r>
        <w:rPr>
          <w:rFonts w:ascii="Arial" w:cs="Arial" w:eastAsia="Arial" w:hAnsi="Arial"/>
          <w:sz w:val="18"/>
          <w:szCs w:val="18"/>
          <w:color w:val="0000FF"/>
        </w:rPr>
        <w:t xml:space="preserve"> </w:t>
      </w:r>
      <w:r>
        <w:rPr>
          <w:rFonts w:ascii="Arial" w:cs="Arial" w:eastAsia="Arial" w:hAnsi="Arial"/>
          <w:sz w:val="18"/>
          <w:szCs w:val="18"/>
          <w:color w:val="000000"/>
        </w:rPr>
        <w:t>replay are 203-369-3272 or toll free 800-396-1242.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of 11</w:t>
      </w:r>
    </w:p>
    <w:p>
      <w:pPr>
        <w:sectPr>
          <w:pgSz w:w="11900" w:h="16838" w:orient="portrait"/>
          <w:cols w:equalWidth="0" w:num="1">
            <w:col w:w="11240"/>
          </w:cols>
          <w:pgMar w:left="320" w:top="595" w:right="339" w:bottom="1440" w:gutter="0" w:footer="0" w:header="0"/>
        </w:sectPr>
      </w:pPr>
    </w:p>
    <w:bookmarkStart w:id="6" w:name="page7"/>
    <w:bookmarkEnd w:id="6"/>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Except for historical information, all other information in this press release consists of forward-looking statements. These forward-looking statements involve a number of risks, uncertainties and other factors, including the future impact of the coronavirus pandemic on the Company’s operations, including the Company’s ability to continue to operate its plants, distribute its products, and maintain its supply chain; the impact of the coronavirus pandemic on demand for the Company’s products; the future impact of currency translation; the continuation of performance and market trends in 2021, including consumer preference for beverage cans and increasing global beverage can demand; future demand for food cans; the Company’s ability to close the European Tinplate sale in the third quarter of 2021, or at all, and the impact of the transaction on the Company’s earnings; and the Company’s ability to successfully complete its previously announced capacity expansion projects and begin production within expected timelines, including any delays related to the pandemic,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2020 and in subsequent filings made prior to or after the date hereof. The Company does not intend to review or revise any particular forward-looking statement in light of future events.</w:t>
      </w:r>
    </w:p>
    <w:p>
      <w:pPr>
        <w:spacing w:after="0" w:line="208" w:lineRule="exact"/>
        <w:rPr>
          <w:sz w:val="20"/>
          <w:szCs w:val="20"/>
          <w:color w:val="auto"/>
        </w:rPr>
      </w:pPr>
    </w:p>
    <w:p>
      <w:pPr>
        <w:jc w:val="both"/>
        <w:ind w:right="20"/>
        <w:spacing w:after="0" w:line="307" w:lineRule="auto"/>
        <w:rPr>
          <w:sz w:val="20"/>
          <w:szCs w:val="20"/>
          <w:color w:val="auto"/>
        </w:rPr>
      </w:pPr>
      <w:r>
        <w:rPr>
          <w:rFonts w:ascii="Arial" w:cs="Arial" w:eastAsia="Arial" w:hAnsi="Arial"/>
          <w:sz w:val="16"/>
          <w:szCs w:val="16"/>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Yardley, Pennsylvania.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contact:</w:t>
      </w:r>
    </w:p>
    <w:p>
      <w:pPr>
        <w:ind w:right="4520"/>
        <w:spacing w:after="0" w:line="286" w:lineRule="auto"/>
        <w:rPr>
          <w:sz w:val="20"/>
          <w:szCs w:val="20"/>
          <w:color w:val="auto"/>
        </w:rPr>
      </w:pPr>
      <w:r>
        <w:rPr>
          <w:rFonts w:ascii="Arial" w:cs="Arial" w:eastAsia="Arial" w:hAnsi="Arial"/>
          <w:sz w:val="16"/>
          <w:szCs w:val="16"/>
          <w:color w:val="auto"/>
        </w:rPr>
        <w:t>Thomas A. Kelly, Senior Vice President and Chief Financial Officer, (215) 698-5341 Thomas T. Fischer, Vice President, Investor Relations and Corporate Affairs, (215) 552-3720</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b w:val="1"/>
          <w:bCs w:val="1"/>
          <w:color w:val="auto"/>
        </w:rPr>
        <w:t>Unaudited Consolidated Statements of Operations, Balance Sheets, Statements of Cash Flows, Segment Information and Supplemental Data follow.</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11</w:t>
      </w:r>
    </w:p>
    <w:p>
      <w:pPr>
        <w:sectPr>
          <w:pgSz w:w="11900" w:h="16838" w:orient="portrait"/>
          <w:cols w:equalWidth="0" w:num="1">
            <w:col w:w="11240"/>
          </w:cols>
          <w:pgMar w:left="320" w:top="595" w:right="339" w:bottom="1440" w:gutter="0" w:footer="0" w:header="0"/>
        </w:sectPr>
      </w:pPr>
    </w:p>
    <w:bookmarkStart w:id="7" w:name="page8"/>
    <w:bookmarkEnd w:id="7"/>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Consolidated Statements of Operations (Unaudited)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and per share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8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7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7"/>
              </w:rPr>
              <w:t>Six Months Ended June 30,</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2,856</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2,137</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5,420</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4,443</w:t>
            </w:r>
          </w:p>
        </w:tc>
        <w:tc>
          <w:tcPr>
            <w:tcW w:w="0" w:type="dxa"/>
            <w:vAlign w:val="bottom"/>
          </w:tcPr>
          <w:p>
            <w:pPr>
              <w:spacing w:after="0"/>
              <w:rPr>
                <w:sz w:val="1"/>
                <w:szCs w:val="1"/>
                <w:color w:val="auto"/>
              </w:rPr>
            </w:pPr>
          </w:p>
        </w:tc>
      </w:tr>
      <w:tr>
        <w:trPr>
          <w:trHeight w:val="223"/>
        </w:trPr>
        <w:tc>
          <w:tcPr>
            <w:tcW w:w="5100" w:type="dxa"/>
            <w:vAlign w:val="bottom"/>
          </w:tcPr>
          <w:p>
            <w:pPr>
              <w:ind w:left="180"/>
              <w:spacing w:after="0"/>
              <w:rPr>
                <w:sz w:val="20"/>
                <w:szCs w:val="20"/>
                <w:color w:val="auto"/>
              </w:rPr>
            </w:pPr>
            <w:r>
              <w:rPr>
                <w:rFonts w:ascii="Arial" w:cs="Arial" w:eastAsia="Arial" w:hAnsi="Arial"/>
                <w:sz w:val="18"/>
                <w:szCs w:val="18"/>
                <w:color w:val="auto"/>
              </w:rPr>
              <w:t>Cost of products sold</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4,226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9"/>
        </w:trPr>
        <w:tc>
          <w:tcPr>
            <w:tcW w:w="5100" w:type="dxa"/>
            <w:vAlign w:val="bottom"/>
          </w:tcPr>
          <w:p>
            <w:pPr>
              <w:ind w:left="180"/>
              <w:spacing w:after="0"/>
              <w:rPr>
                <w:sz w:val="20"/>
                <w:szCs w:val="20"/>
                <w:color w:val="auto"/>
              </w:rPr>
            </w:pPr>
            <w:r>
              <w:rPr>
                <w:rFonts w:ascii="Arial" w:cs="Arial" w:eastAsia="Arial" w:hAnsi="Arial"/>
                <w:sz w:val="18"/>
                <w:szCs w:val="18"/>
                <w:color w:val="auto"/>
              </w:rPr>
              <w:t>Selling and administrative expense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and other</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Income from operations </w:t>
            </w:r>
            <w:r>
              <w:rPr>
                <w:rFonts w:ascii="Arial" w:cs="Arial" w:eastAsia="Arial" w:hAnsi="Arial"/>
                <w:sz w:val="23"/>
                <w:szCs w:val="23"/>
                <w:b w:val="1"/>
                <w:bCs w:val="1"/>
                <w:color w:val="auto"/>
                <w:vertAlign w:val="superscript"/>
              </w:rPr>
              <w:t>(1)</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385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712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426</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Pension settlements and curtailments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8"/>
                <w:szCs w:val="18"/>
                <w:color w:val="auto"/>
              </w:rPr>
              <w:t>Other pension and postretirement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Earnings before interest and taxes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386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716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582</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earnings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 net of tax</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Loss from reclassification to held for sale</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discontinued operations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418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255</w:t>
            </w:r>
          </w:p>
        </w:tc>
        <w:tc>
          <w:tcPr>
            <w:tcW w:w="0" w:type="dxa"/>
            <w:vAlign w:val="bottom"/>
          </w:tcPr>
          <w:p>
            <w:pPr>
              <w:spacing w:after="0"/>
              <w:rPr>
                <w:sz w:val="1"/>
                <w:szCs w:val="1"/>
                <w:color w:val="auto"/>
              </w:rPr>
            </w:pPr>
          </w:p>
        </w:tc>
      </w:tr>
      <w:tr>
        <w:trPr>
          <w:trHeight w:val="175"/>
        </w:trPr>
        <w:tc>
          <w:tcPr>
            <w:tcW w:w="51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income from continuing operations attributable to</w:t>
            </w:r>
          </w:p>
        </w:tc>
        <w:tc>
          <w:tcPr>
            <w:tcW w:w="1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noncontrolling interests</w:t>
            </w:r>
          </w:p>
        </w:tc>
        <w:tc>
          <w:tcPr>
            <w:tcW w:w="18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00" w:type="dxa"/>
            <w:vAlign w:val="bottom"/>
          </w:tcPr>
          <w:p>
            <w:pPr>
              <w:ind w:left="180"/>
              <w:spacing w:after="0" w:line="176" w:lineRule="exact"/>
              <w:rPr>
                <w:sz w:val="20"/>
                <w:szCs w:val="20"/>
                <w:color w:val="auto"/>
              </w:rPr>
            </w:pPr>
            <w:r>
              <w:rPr>
                <w:rFonts w:ascii="Arial" w:cs="Arial" w:eastAsia="Arial" w:hAnsi="Arial"/>
                <w:sz w:val="18"/>
                <w:szCs w:val="18"/>
                <w:color w:val="auto"/>
              </w:rPr>
              <w:t>Net income from discontinued operations attributable to</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380" w:right="4680" w:hanging="4238"/>
        <w:spacing w:after="0" w:line="966" w:lineRule="auto"/>
        <w:tabs>
          <w:tab w:leader="none" w:pos="1330"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Reconciliation from income from operations to segment income follows. 4 of 11</w:t>
      </w:r>
    </w:p>
    <w:p>
      <w:pPr>
        <w:sectPr>
          <w:pgSz w:w="11900" w:h="16838" w:orient="portrait"/>
          <w:cols w:equalWidth="0" w:num="1">
            <w:col w:w="11240"/>
          </w:cols>
          <w:pgMar w:left="320" w:top="595" w:right="339" w:bottom="1440" w:gutter="0" w:footer="0" w:header="0"/>
        </w:sectPr>
      </w:pPr>
    </w:p>
    <w:bookmarkStart w:id="8" w:name="page9"/>
    <w:bookmarkEnd w:id="8"/>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Earnings Per Share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3080" w:type="dxa"/>
            <w:vAlign w:val="bottom"/>
            <w:gridSpan w:val="6"/>
          </w:tcPr>
          <w:p>
            <w:pPr>
              <w:ind w:left="26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0"/>
                <w:szCs w:val="20"/>
                <w:color w:val="auto"/>
              </w:rPr>
            </w:pPr>
          </w:p>
        </w:tc>
        <w:tc>
          <w:tcPr>
            <w:tcW w:w="27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3"/>
        </w:trPr>
        <w:tc>
          <w:tcPr>
            <w:tcW w:w="508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0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080" w:type="dxa"/>
            <w:vAlign w:val="bottom"/>
          </w:tcPr>
          <w:p>
            <w:pPr>
              <w:ind w:left="180"/>
              <w:spacing w:after="0"/>
              <w:rPr>
                <w:sz w:val="20"/>
                <w:szCs w:val="20"/>
                <w:color w:val="auto"/>
              </w:rPr>
            </w:pPr>
            <w:r>
              <w:rPr>
                <w:rFonts w:ascii="Arial" w:cs="Arial" w:eastAsia="Arial" w:hAnsi="Arial"/>
                <w:sz w:val="18"/>
                <w:szCs w:val="18"/>
                <w:color w:val="auto"/>
              </w:rPr>
              <w:t>From continuing operations</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50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From discontinued operations </w:t>
            </w:r>
            <w:r>
              <w:rPr>
                <w:rFonts w:ascii="Arial" w:cs="Arial" w:eastAsia="Arial" w:hAnsi="Arial"/>
                <w:sz w:val="23"/>
                <w:szCs w:val="23"/>
                <w:color w:val="auto"/>
                <w:vertAlign w:val="superscript"/>
              </w:rPr>
              <w:t>(1)</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508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5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Earnings per share attributable to Crown Holdings: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Basic earnings per share from continuing operations</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0.98</w:t>
            </w:r>
          </w:p>
        </w:tc>
        <w:tc>
          <w:tcPr>
            <w:tcW w:w="2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0.57</w:t>
            </w:r>
          </w:p>
        </w:tc>
        <w:tc>
          <w:tcPr>
            <w:tcW w:w="2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earnings per share from discontinued operations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(0.02)</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r>
      <w:tr>
        <w:trPr>
          <w:trHeight w:val="223"/>
        </w:trPr>
        <w:tc>
          <w:tcPr>
            <w:tcW w:w="5080" w:type="dxa"/>
            <w:vAlign w:val="bottom"/>
          </w:tcPr>
          <w:p>
            <w:pPr>
              <w:ind w:left="180"/>
              <w:spacing w:after="0"/>
              <w:rPr>
                <w:sz w:val="20"/>
                <w:szCs w:val="20"/>
                <w:color w:val="auto"/>
              </w:rPr>
            </w:pPr>
            <w:r>
              <w:rPr>
                <w:rFonts w:ascii="Arial" w:cs="Arial" w:eastAsia="Arial" w:hAnsi="Arial"/>
                <w:sz w:val="18"/>
                <w:szCs w:val="18"/>
                <w:b w:val="1"/>
                <w:bCs w:val="1"/>
                <w:color w:val="auto"/>
              </w:rPr>
              <w:t>Basic earnings per common share</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0.96</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0.95</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5080" w:type="dxa"/>
            <w:vAlign w:val="bottom"/>
          </w:tcPr>
          <w:p>
            <w:pPr>
              <w:ind w:left="180"/>
              <w:spacing w:after="0"/>
              <w:rPr>
                <w:sz w:val="20"/>
                <w:szCs w:val="20"/>
                <w:color w:val="auto"/>
              </w:rPr>
            </w:pPr>
            <w:r>
              <w:rPr>
                <w:rFonts w:ascii="Arial" w:cs="Arial" w:eastAsia="Arial" w:hAnsi="Arial"/>
                <w:sz w:val="18"/>
                <w:szCs w:val="18"/>
                <w:color w:val="auto"/>
              </w:rPr>
              <w:t>Diluted earnings per share from continuing operations</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0.97</w:t>
            </w:r>
          </w:p>
        </w:tc>
        <w:tc>
          <w:tcPr>
            <w:tcW w:w="2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0.57</w:t>
            </w:r>
          </w:p>
        </w:tc>
        <w:tc>
          <w:tcPr>
            <w:tcW w:w="2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per share from discontinued operations</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(0.02)</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r>
      <w:tr>
        <w:trPr>
          <w:trHeight w:val="223"/>
        </w:trPr>
        <w:tc>
          <w:tcPr>
            <w:tcW w:w="5080" w:type="dxa"/>
            <w:vAlign w:val="bottom"/>
          </w:tcPr>
          <w:p>
            <w:pPr>
              <w:ind w:left="180"/>
              <w:spacing w:after="0"/>
              <w:rPr>
                <w:sz w:val="20"/>
                <w:szCs w:val="20"/>
                <w:color w:val="auto"/>
              </w:rPr>
            </w:pPr>
            <w:r>
              <w:rPr>
                <w:rFonts w:ascii="Arial" w:cs="Arial" w:eastAsia="Arial" w:hAnsi="Arial"/>
                <w:sz w:val="18"/>
                <w:szCs w:val="18"/>
                <w:b w:val="1"/>
                <w:bCs w:val="1"/>
                <w:color w:val="auto"/>
              </w:rPr>
              <w:t>Diluted earnings per common share</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0.95</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0.94</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50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2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2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133,146,361</w:t>
            </w:r>
          </w:p>
        </w:tc>
        <w:tc>
          <w:tcPr>
            <w:tcW w:w="16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133,268,852</w:t>
            </w:r>
          </w:p>
        </w:tc>
        <w:tc>
          <w:tcPr>
            <w:tcW w:w="16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133,379,911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133,670,652</w:t>
            </w:r>
          </w:p>
        </w:tc>
      </w:tr>
      <w:tr>
        <w:trPr>
          <w:trHeight w:val="229"/>
        </w:trPr>
        <w:tc>
          <w:tcPr>
            <w:tcW w:w="4540" w:type="dxa"/>
            <w:vAlign w:val="bottom"/>
          </w:tcPr>
          <w:p>
            <w:pPr>
              <w:ind w:left="260"/>
              <w:spacing w:after="0"/>
              <w:rPr>
                <w:sz w:val="20"/>
                <w:szCs w:val="20"/>
                <w:color w:val="auto"/>
              </w:rPr>
            </w:pPr>
            <w:r>
              <w:rPr>
                <w:rFonts w:ascii="Arial" w:cs="Arial" w:eastAsia="Arial" w:hAnsi="Arial"/>
                <w:sz w:val="18"/>
                <w:szCs w:val="18"/>
                <w:color w:val="auto"/>
              </w:rPr>
              <w:t>Diluted</w:t>
            </w:r>
          </w:p>
        </w:tc>
        <w:tc>
          <w:tcPr>
            <w:tcW w:w="2120" w:type="dxa"/>
            <w:vAlign w:val="bottom"/>
          </w:tcPr>
          <w:p>
            <w:pPr>
              <w:jc w:val="right"/>
              <w:ind w:right="250"/>
              <w:spacing w:after="0"/>
              <w:rPr>
                <w:sz w:val="20"/>
                <w:szCs w:val="20"/>
                <w:color w:val="auto"/>
              </w:rPr>
            </w:pPr>
            <w:r>
              <w:rPr>
                <w:rFonts w:ascii="Arial" w:cs="Arial" w:eastAsia="Arial" w:hAnsi="Arial"/>
                <w:sz w:val="18"/>
                <w:szCs w:val="18"/>
                <w:color w:val="auto"/>
              </w:rPr>
              <w:t>134,179,586</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134,002,315</w:t>
            </w: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134,400,624</w:t>
            </w:r>
          </w:p>
        </w:tc>
        <w:tc>
          <w:tcPr>
            <w:tcW w:w="1300" w:type="dxa"/>
            <w:vAlign w:val="bottom"/>
          </w:tcPr>
          <w:p>
            <w:pPr>
              <w:jc w:val="right"/>
              <w:spacing w:after="0"/>
              <w:rPr>
                <w:sz w:val="20"/>
                <w:szCs w:val="20"/>
                <w:color w:val="auto"/>
              </w:rPr>
            </w:pPr>
            <w:r>
              <w:rPr>
                <w:rFonts w:ascii="Arial" w:cs="Arial" w:eastAsia="Arial" w:hAnsi="Arial"/>
                <w:sz w:val="18"/>
                <w:szCs w:val="18"/>
                <w:color w:val="auto"/>
              </w:rPr>
              <w:t>134,501,406</w:t>
            </w:r>
          </w:p>
        </w:tc>
      </w:tr>
      <w:tr>
        <w:trPr>
          <w:trHeight w:val="230"/>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Actual common shares outstanding at quarter end</w:t>
            </w:r>
          </w:p>
        </w:tc>
        <w:tc>
          <w:tcPr>
            <w:tcW w:w="21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132,157,477</w:t>
            </w:r>
          </w:p>
        </w:tc>
        <w:tc>
          <w:tcPr>
            <w:tcW w:w="16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134,770,527</w:t>
            </w:r>
          </w:p>
        </w:tc>
        <w:tc>
          <w:tcPr>
            <w:tcW w:w="16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132,157,477</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134,770,527</w:t>
            </w:r>
          </w:p>
        </w:tc>
      </w:tr>
    </w:tbl>
    <w:p>
      <w:pPr>
        <w:spacing w:after="0" w:line="299" w:lineRule="exact"/>
        <w:rPr>
          <w:sz w:val="20"/>
          <w:szCs w:val="20"/>
          <w:color w:val="auto"/>
        </w:rPr>
      </w:pPr>
    </w:p>
    <w:p>
      <w:pPr>
        <w:ind w:left="1320" w:hanging="178"/>
        <w:spacing w:after="0"/>
        <w:tabs>
          <w:tab w:leader="none" w:pos="132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Discontinued operations does not include any allocation of interest expense or indirect costs.</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52" w:lineRule="exact"/>
        <w:rPr>
          <w:rFonts w:ascii="Arial" w:cs="Arial" w:eastAsia="Arial" w:hAnsi="Arial"/>
          <w:sz w:val="21"/>
          <w:szCs w:val="21"/>
          <w:color w:val="auto"/>
          <w:vertAlign w:val="superscript"/>
        </w:rPr>
      </w:pPr>
    </w:p>
    <w:p>
      <w:pPr>
        <w:ind w:left="5380"/>
        <w:spacing w:after="0"/>
        <w:rPr>
          <w:rFonts w:ascii="Arial" w:cs="Arial" w:eastAsia="Arial" w:hAnsi="Arial"/>
          <w:sz w:val="21"/>
          <w:szCs w:val="21"/>
          <w:color w:val="auto"/>
          <w:vertAlign w:val="superscript"/>
        </w:rPr>
      </w:pPr>
      <w:r>
        <w:rPr>
          <w:rFonts w:ascii="Arial" w:cs="Arial" w:eastAsia="Arial" w:hAnsi="Arial"/>
          <w:sz w:val="18"/>
          <w:szCs w:val="18"/>
          <w:color w:val="auto"/>
        </w:rPr>
        <w:t>5 of 11</w:t>
      </w:r>
    </w:p>
    <w:p>
      <w:pPr>
        <w:sectPr>
          <w:pgSz w:w="11900" w:h="16838" w:orient="portrait"/>
          <w:cols w:equalWidth="0" w:num="1">
            <w:col w:w="11240"/>
          </w:cols>
          <w:pgMar w:left="320" w:top="595" w:right="339" w:bottom="1440" w:gutter="0" w:footer="0" w:header="0"/>
        </w:sectPr>
      </w:pPr>
    </w:p>
    <w:bookmarkStart w:id="9" w:name="page10"/>
    <w:bookmarkEnd w:id="9"/>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Supplemental Financial Data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Income from Operations to Segment Income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views segment income, as defined below, as a principal measure of performance of its operations and for the allocation of resources. Segment income is defined by the Company as income from operations adjusted to exclude intangibles amortization charges and provisions for restructuring and other.</w:t>
      </w:r>
    </w:p>
    <w:p>
      <w:pPr>
        <w:spacing w:after="0" w:line="132"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3600" w:type="dxa"/>
            <w:vAlign w:val="bottom"/>
            <w:gridSpan w:val="6"/>
          </w:tcPr>
          <w:p>
            <w:pPr>
              <w:ind w:left="34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7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3"/>
        </w:trPr>
        <w:tc>
          <w:tcPr>
            <w:tcW w:w="284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385</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r>
      <w:tr>
        <w:trPr>
          <w:trHeight w:val="229"/>
        </w:trPr>
        <w:tc>
          <w:tcPr>
            <w:tcW w:w="2840" w:type="dxa"/>
            <w:vAlign w:val="bottom"/>
          </w:tcPr>
          <w:p>
            <w:pPr>
              <w:ind w:left="20"/>
              <w:spacing w:after="0"/>
              <w:rPr>
                <w:sz w:val="20"/>
                <w:szCs w:val="20"/>
                <w:color w:val="auto"/>
              </w:rPr>
            </w:pPr>
            <w:r>
              <w:rPr>
                <w:rFonts w:ascii="Arial" w:cs="Arial" w:eastAsia="Arial" w:hAnsi="Arial"/>
                <w:sz w:val="18"/>
                <w:szCs w:val="18"/>
                <w:color w:val="auto"/>
              </w:rPr>
              <w:t>Intangibles amortization</w:t>
            </w:r>
          </w:p>
        </w:tc>
        <w:tc>
          <w:tcPr>
            <w:tcW w:w="840" w:type="dxa"/>
            <w:vAlign w:val="bottom"/>
          </w:tcPr>
          <w:p>
            <w:pPr>
              <w:spacing w:after="0"/>
              <w:rPr>
                <w:sz w:val="19"/>
                <w:szCs w:val="19"/>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30"/>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23"/>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Segment income</w:t>
            </w: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395</w:t>
            </w:r>
          </w:p>
        </w:tc>
        <w:tc>
          <w:tcPr>
            <w:tcW w:w="5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250</w:t>
            </w:r>
          </w:p>
        </w:tc>
        <w:tc>
          <w:tcPr>
            <w:tcW w:w="5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764</w:t>
            </w:r>
          </w:p>
        </w:tc>
        <w:tc>
          <w:tcPr>
            <w:tcW w:w="5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515</w:t>
            </w:r>
          </w:p>
        </w:tc>
      </w:tr>
      <w:tr>
        <w:trPr>
          <w:trHeight w:val="21"/>
        </w:trPr>
        <w:tc>
          <w:tcPr>
            <w:tcW w:w="2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Segment Information</w:t>
      </w:r>
    </w:p>
    <w:p>
      <w:pPr>
        <w:spacing w:after="0" w:line="301"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2800" w:type="dxa"/>
            <w:vAlign w:val="bottom"/>
            <w:gridSpan w:val="4"/>
          </w:tcPr>
          <w:p>
            <w:pPr>
              <w:ind w:left="20"/>
              <w:spacing w:after="0"/>
              <w:rPr>
                <w:sz w:val="20"/>
                <w:szCs w:val="20"/>
                <w:color w:val="auto"/>
              </w:rPr>
            </w:pPr>
            <w:r>
              <w:rPr>
                <w:rFonts w:ascii="Arial" w:cs="Arial" w:eastAsia="Arial" w:hAnsi="Arial"/>
                <w:sz w:val="18"/>
                <w:szCs w:val="18"/>
                <w:b w:val="1"/>
                <w:bCs w:val="1"/>
                <w:color w:val="auto"/>
              </w:rPr>
              <w:t>Net Sales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80" w:type="dxa"/>
            <w:vAlign w:val="bottom"/>
            <w:gridSpan w:val="8"/>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gridSpan w:val="6"/>
          </w:tcPr>
          <w:p>
            <w:pPr>
              <w:jc w:val="right"/>
              <w:ind w:right="410"/>
              <w:spacing w:after="0"/>
              <w:rPr>
                <w:sz w:val="20"/>
                <w:szCs w:val="20"/>
                <w:color w:val="auto"/>
              </w:rPr>
            </w:pPr>
            <w:r>
              <w:rPr>
                <w:rFonts w:ascii="Arial" w:cs="Arial" w:eastAsia="Arial" w:hAnsi="Arial"/>
                <w:sz w:val="18"/>
                <w:szCs w:val="18"/>
                <w:b w:val="1"/>
                <w:bCs w:val="1"/>
                <w:color w:val="auto"/>
                <w:w w:val="97"/>
              </w:rPr>
              <w:t>Six Months Ended June 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28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2,089</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30"/>
        </w:trPr>
        <w:tc>
          <w:tcPr>
            <w:tcW w:w="2800" w:type="dxa"/>
            <w:vAlign w:val="bottom"/>
            <w:gridSpan w:val="4"/>
          </w:tcPr>
          <w:p>
            <w:pPr>
              <w:ind w:left="20"/>
              <w:spacing w:after="0"/>
              <w:rPr>
                <w:sz w:val="20"/>
                <w:szCs w:val="20"/>
                <w:color w:val="auto"/>
              </w:rPr>
            </w:pPr>
            <w:r>
              <w:rPr>
                <w:rFonts w:ascii="Arial" w:cs="Arial" w:eastAsia="Arial" w:hAnsi="Arial"/>
                <w:sz w:val="18"/>
                <w:szCs w:val="18"/>
                <w:color w:val="auto"/>
              </w:rPr>
              <w:t>European Beverage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868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30"/>
        </w:trPr>
        <w:tc>
          <w:tcPr>
            <w:tcW w:w="28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30"/>
        </w:trPr>
        <w:tc>
          <w:tcPr>
            <w:tcW w:w="280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Transit Packaging</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462</w:t>
            </w:r>
          </w:p>
        </w:tc>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1,194</w:t>
            </w: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reportable segments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1,839</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4,812</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3,879</w:t>
            </w:r>
          </w:p>
        </w:tc>
        <w:tc>
          <w:tcPr>
            <w:tcW w:w="0" w:type="dxa"/>
            <w:vAlign w:val="bottom"/>
          </w:tcPr>
          <w:p>
            <w:pPr>
              <w:spacing w:after="0"/>
              <w:rPr>
                <w:sz w:val="1"/>
                <w:szCs w:val="1"/>
                <w:color w:val="auto"/>
              </w:rPr>
            </w:pPr>
          </w:p>
        </w:tc>
      </w:tr>
      <w:tr>
        <w:trPr>
          <w:trHeight w:val="229"/>
        </w:trPr>
        <w:tc>
          <w:tcPr>
            <w:tcW w:w="2800" w:type="dxa"/>
            <w:vAlign w:val="bottom"/>
            <w:tcBorders>
              <w:bottom w:val="single" w:sz="8" w:color="CCEEFF"/>
            </w:tcBorders>
            <w:gridSpan w:val="4"/>
          </w:tcPr>
          <w:p>
            <w:pPr>
              <w:ind w:left="20"/>
              <w:spacing w:after="0" w:line="230" w:lineRule="exact"/>
              <w:rPr>
                <w:sz w:val="20"/>
                <w:szCs w:val="20"/>
                <w:color w:val="auto"/>
              </w:rPr>
            </w:pPr>
            <w:r>
              <w:rPr>
                <w:rFonts w:ascii="Arial" w:cs="Arial" w:eastAsia="Arial" w:hAnsi="Arial"/>
                <w:sz w:val="18"/>
                <w:szCs w:val="18"/>
                <w:color w:val="auto"/>
              </w:rPr>
              <w:t xml:space="preserve">Other segments </w:t>
            </w:r>
            <w:r>
              <w:rPr>
                <w:rFonts w:ascii="Arial" w:cs="Arial" w:eastAsia="Arial" w:hAnsi="Arial"/>
                <w:sz w:val="23"/>
                <w:szCs w:val="23"/>
                <w:color w:val="auto"/>
                <w:vertAlign w:val="superscript"/>
              </w:rPr>
              <w:t>(1)</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298</w:t>
            </w:r>
          </w:p>
        </w:tc>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608</w:t>
            </w: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Total net sales</w:t>
            </w: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2,856</w:t>
            </w: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2,137</w:t>
            </w: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5,420</w:t>
            </w: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107"/>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4,443</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8"/>
                <w:szCs w:val="18"/>
                <w:b w:val="1"/>
                <w:bCs w:val="1"/>
                <w:color w:val="auto"/>
              </w:rPr>
              <w:t>Segment Income</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8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8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2800" w:type="dxa"/>
            <w:vAlign w:val="bottom"/>
            <w:gridSpan w:val="4"/>
          </w:tcPr>
          <w:p>
            <w:pPr>
              <w:ind w:left="20"/>
              <w:spacing w:after="0"/>
              <w:rPr>
                <w:sz w:val="20"/>
                <w:szCs w:val="20"/>
                <w:color w:val="auto"/>
              </w:rPr>
            </w:pPr>
            <w:r>
              <w:rPr>
                <w:rFonts w:ascii="Arial" w:cs="Arial" w:eastAsia="Arial" w:hAnsi="Arial"/>
                <w:sz w:val="18"/>
                <w:szCs w:val="18"/>
                <w:color w:val="auto"/>
              </w:rPr>
              <w:t>European Beverage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28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280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Transit Packaging</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7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reportable segments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9"/>
        </w:trPr>
        <w:tc>
          <w:tcPr>
            <w:tcW w:w="280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 xml:space="preserve">Other segments </w:t>
            </w:r>
            <w:r>
              <w:rPr>
                <w:rFonts w:ascii="Arial" w:cs="Arial" w:eastAsia="Arial" w:hAnsi="Arial"/>
                <w:sz w:val="23"/>
                <w:szCs w:val="23"/>
                <w:color w:val="auto"/>
                <w:vertAlign w:val="superscript"/>
              </w:rPr>
              <w:t>(1)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8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0"/>
              </w:rPr>
              <w:t>Corporate and other unallocated items</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auto"/>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auto"/>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gridSpan w:val="3"/>
          </w:tcPr>
          <w:p>
            <w:pPr>
              <w:ind w:left="220"/>
              <w:spacing w:after="0"/>
              <w:rPr>
                <w:sz w:val="20"/>
                <w:szCs w:val="20"/>
                <w:color w:val="auto"/>
              </w:rPr>
            </w:pPr>
            <w:r>
              <w:rPr>
                <w:rFonts w:ascii="Arial" w:cs="Arial" w:eastAsia="Arial" w:hAnsi="Arial"/>
                <w:sz w:val="18"/>
                <w:szCs w:val="18"/>
                <w:b w:val="1"/>
                <w:bCs w:val="1"/>
                <w:color w:val="auto"/>
              </w:rPr>
              <w:t>Total segment income</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764</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hanging="252"/>
        <w:spacing w:after="0" w:line="246" w:lineRule="auto"/>
        <w:tabs>
          <w:tab w:leader="none" w:pos="246" w:val="left"/>
        </w:tabs>
        <w:numPr>
          <w:ilvl w:val="0"/>
          <w:numId w:val="6"/>
        </w:numPr>
        <w:rPr>
          <w:rFonts w:ascii="Arial" w:cs="Arial" w:eastAsia="Arial" w:hAnsi="Arial"/>
          <w:sz w:val="16"/>
          <w:szCs w:val="16"/>
          <w:color w:val="auto"/>
        </w:rPr>
      </w:pPr>
      <w:r>
        <w:rPr>
          <w:rFonts w:ascii="Arial" w:cs="Arial" w:eastAsia="Arial" w:hAnsi="Arial"/>
          <w:sz w:val="18"/>
          <w:szCs w:val="18"/>
          <w:color w:val="auto"/>
        </w:rPr>
        <w:t>Includes the Company’s food can, aerosol can and closures businesses in North America, and beverage tooling and equipment operations in the U.S. and United Kingdom.</w:t>
      </w:r>
    </w:p>
    <w:p>
      <w:pPr>
        <w:sectPr>
          <w:pgSz w:w="11900" w:h="16838" w:orient="portrait"/>
          <w:cols w:equalWidth="0" w:num="1">
            <w:col w:w="11240"/>
          </w:cols>
          <w:pgMar w:left="320" w:top="595" w:right="339" w:bottom="6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 of 11</w:t>
      </w:r>
    </w:p>
    <w:p>
      <w:pPr>
        <w:sectPr>
          <w:pgSz w:w="11900" w:h="16838" w:orient="portrait"/>
          <w:cols w:equalWidth="0" w:num="1">
            <w:col w:w="11240"/>
          </w:cols>
          <w:pgMar w:left="320" w:top="595" w:right="339" w:bottom="669" w:gutter="0" w:footer="0" w:header="0"/>
          <w:type w:val="continuous"/>
        </w:sectPr>
      </w:pPr>
    </w:p>
    <w:bookmarkStart w:id="10" w:name="page11"/>
    <w:bookmarkEnd w:id="10"/>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315"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Consolidated Supplemental Data (Unaudited)</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Net Income and Diluted Earnings Per Share to Adjusted Net Income and Adjusted Diluted Earnings Per Share</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reported net income and diluted earnings per share attributable to the Company to adjusted net income and adjusted diluted</w:t>
      </w:r>
    </w:p>
    <w:p>
      <w:pPr>
        <w:spacing w:after="0" w:line="4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earnings per share, as used elsewhere in this release. Some or all of each reconciling item is reported within discontinued operations in the Consolidated Statement of Operations.</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9"/>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40" w:type="dxa"/>
            <w:vAlign w:val="bottom"/>
            <w:gridSpan w:val="9"/>
          </w:tcPr>
          <w:p>
            <w:pPr>
              <w:ind w:left="40"/>
              <w:spacing w:after="0"/>
              <w:rPr>
                <w:sz w:val="20"/>
                <w:szCs w:val="20"/>
                <w:color w:val="auto"/>
              </w:rPr>
            </w:pPr>
            <w:r>
              <w:rPr>
                <w:rFonts w:ascii="Arial" w:cs="Arial" w:eastAsia="Arial" w:hAnsi="Arial"/>
                <w:sz w:val="17"/>
                <w:szCs w:val="17"/>
                <w:b w:val="1"/>
                <w:bCs w:val="1"/>
                <w:color w:val="auto"/>
                <w:w w:val="89"/>
              </w:rPr>
              <w:t>Six Months Ended June 30,</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7"/>
                <w:szCs w:val="17"/>
                <w:b w:val="1"/>
                <w:bCs w:val="1"/>
                <w:color w:val="auto"/>
                <w:w w:val="84"/>
              </w:rPr>
              <w:t>2021</w:t>
            </w:r>
          </w:p>
        </w:tc>
        <w:tc>
          <w:tcPr>
            <w:tcW w:w="52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4"/>
          </w:tcPr>
          <w:p>
            <w:pPr>
              <w:jc w:val="right"/>
              <w:ind w:right="45"/>
              <w:spacing w:after="0"/>
              <w:rPr>
                <w:sz w:val="20"/>
                <w:szCs w:val="20"/>
                <w:color w:val="auto"/>
              </w:rPr>
            </w:pPr>
            <w:r>
              <w:rPr>
                <w:rFonts w:ascii="Arial" w:cs="Arial" w:eastAsia="Arial" w:hAnsi="Arial"/>
                <w:sz w:val="17"/>
                <w:szCs w:val="17"/>
                <w:b w:val="1"/>
                <w:bCs w:val="1"/>
                <w:color w:val="auto"/>
              </w:rPr>
              <w:t>2020</w:t>
            </w:r>
          </w:p>
        </w:tc>
        <w:tc>
          <w:tcPr>
            <w:tcW w:w="5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7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8"/>
              </w:rPr>
              <w:t>Net income/diluted earnings per</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share</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b w:val="1"/>
                <w:bCs w:val="1"/>
                <w:color w:val="auto"/>
                <w:w w:val="95"/>
              </w:rPr>
              <w:t>attributable to Crown Holdings,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128</w:t>
            </w:r>
          </w:p>
        </w:tc>
        <w:tc>
          <w:tcPr>
            <w:tcW w:w="14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2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0.95</w:t>
            </w:r>
          </w:p>
        </w:tc>
        <w:tc>
          <w:tcPr>
            <w:tcW w:w="14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126</w:t>
            </w:r>
          </w:p>
        </w:tc>
        <w:tc>
          <w:tcPr>
            <w:tcW w:w="16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0.94</w:t>
            </w:r>
          </w:p>
        </w:tc>
        <w:tc>
          <w:tcPr>
            <w:tcW w:w="14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339</w:t>
            </w:r>
          </w:p>
        </w:tc>
        <w:tc>
          <w:tcPr>
            <w:tcW w:w="4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w:t>
            </w:r>
          </w:p>
        </w:tc>
        <w:tc>
          <w:tcPr>
            <w:tcW w:w="520" w:type="dxa"/>
            <w:vAlign w:val="bottom"/>
            <w:vMerge w:val="restart"/>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2.52</w:t>
            </w:r>
          </w:p>
        </w:tc>
        <w:tc>
          <w:tcPr>
            <w:tcW w:w="14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600" w:type="dxa"/>
            <w:vAlign w:val="bottom"/>
            <w:vMerge w:val="restart"/>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214</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vMerge w:val="restart"/>
            <w:shd w:val="clear" w:color="auto" w:fill="CCEEFF"/>
          </w:tcPr>
          <w:p>
            <w:pPr>
              <w:jc w:val="center"/>
              <w:spacing w:after="0"/>
              <w:rPr>
                <w:sz w:val="20"/>
                <w:szCs w:val="20"/>
                <w:color w:val="auto"/>
              </w:rPr>
            </w:pPr>
            <w:r>
              <w:rPr>
                <w:rFonts w:ascii="Arial" w:cs="Arial" w:eastAsia="Arial" w:hAnsi="Arial"/>
                <w:sz w:val="17"/>
                <w:szCs w:val="17"/>
                <w:b w:val="1"/>
                <w:bCs w:val="1"/>
                <w:color w:val="auto"/>
                <w:w w:val="90"/>
              </w:rPr>
              <w:t>1.59</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reported</w:t>
            </w:r>
          </w:p>
        </w:tc>
        <w:tc>
          <w:tcPr>
            <w:tcW w:w="18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440" w:type="dxa"/>
            <w:vAlign w:val="bottom"/>
            <w:gridSpan w:val="3"/>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740" w:type="dxa"/>
            <w:vAlign w:val="bottom"/>
          </w:tcPr>
          <w:p>
            <w:pPr>
              <w:ind w:left="240"/>
              <w:spacing w:after="0"/>
              <w:rPr>
                <w:sz w:val="20"/>
                <w:szCs w:val="20"/>
                <w:color w:val="auto"/>
              </w:rPr>
            </w:pPr>
            <w:r>
              <w:rPr>
                <w:rFonts w:ascii="Arial" w:cs="Arial" w:eastAsia="Arial" w:hAnsi="Arial"/>
                <w:sz w:val="18"/>
                <w:szCs w:val="18"/>
                <w:color w:val="auto"/>
              </w:rPr>
              <w:t xml:space="preserve">Intangibles amortization </w:t>
            </w:r>
            <w:r>
              <w:rPr>
                <w:rFonts w:ascii="Arial" w:cs="Arial" w:eastAsia="Arial" w:hAnsi="Arial"/>
                <w:sz w:val="23"/>
                <w:szCs w:val="23"/>
                <w:color w:val="auto"/>
                <w:vertAlign w:val="superscript"/>
              </w:rPr>
              <w:t>(1)</w:t>
            </w:r>
          </w:p>
        </w:tc>
        <w:tc>
          <w:tcPr>
            <w:tcW w:w="180" w:type="dxa"/>
            <w:vAlign w:val="bottom"/>
          </w:tcPr>
          <w:p>
            <w:pPr>
              <w:spacing w:after="0"/>
              <w:rPr>
                <w:sz w:val="23"/>
                <w:szCs w:val="23"/>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5"/>
              </w:rPr>
              <w:t>0.31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0.33</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88</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center"/>
              <w:spacing w:after="0"/>
              <w:rPr>
                <w:sz w:val="20"/>
                <w:szCs w:val="20"/>
                <w:color w:val="auto"/>
              </w:rPr>
            </w:pPr>
            <w:r>
              <w:rPr>
                <w:rFonts w:ascii="Arial" w:cs="Arial" w:eastAsia="Arial" w:hAnsi="Arial"/>
                <w:sz w:val="17"/>
                <w:szCs w:val="17"/>
                <w:color w:val="auto"/>
                <w:w w:val="90"/>
              </w:rPr>
              <w:t>0.65</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135"/>
              <w:spacing w:after="0"/>
              <w:rPr>
                <w:sz w:val="20"/>
                <w:szCs w:val="20"/>
                <w:color w:val="auto"/>
              </w:rPr>
            </w:pPr>
            <w:r>
              <w:rPr>
                <w:rFonts w:ascii="Arial" w:cs="Arial" w:eastAsia="Arial" w:hAnsi="Arial"/>
                <w:sz w:val="17"/>
                <w:szCs w:val="17"/>
                <w:color w:val="auto"/>
              </w:rPr>
              <w:t>89</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w w:val="90"/>
              </w:rPr>
              <w:t>0.66</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Restructuring and other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(0.19)</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0.02</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(0.17)</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0.07</w:t>
            </w:r>
          </w:p>
        </w:tc>
        <w:tc>
          <w:tcPr>
            <w:tcW w:w="0" w:type="dxa"/>
            <w:vAlign w:val="bottom"/>
          </w:tcPr>
          <w:p>
            <w:pPr>
              <w:spacing w:after="0"/>
              <w:rPr>
                <w:sz w:val="1"/>
                <w:szCs w:val="1"/>
                <w:color w:val="auto"/>
              </w:rPr>
            </w:pPr>
          </w:p>
        </w:tc>
      </w:tr>
      <w:tr>
        <w:trPr>
          <w:trHeight w:val="175"/>
        </w:trPr>
        <w:tc>
          <w:tcPr>
            <w:tcW w:w="2740" w:type="dxa"/>
            <w:vAlign w:val="bottom"/>
          </w:tcPr>
          <w:p>
            <w:pPr>
              <w:ind w:left="240"/>
              <w:spacing w:after="0" w:line="176" w:lineRule="exact"/>
              <w:rPr>
                <w:sz w:val="20"/>
                <w:szCs w:val="20"/>
                <w:color w:val="auto"/>
              </w:rPr>
            </w:pPr>
            <w:r>
              <w:rPr>
                <w:rFonts w:ascii="Arial" w:cs="Arial" w:eastAsia="Arial" w:hAnsi="Arial"/>
                <w:sz w:val="18"/>
                <w:szCs w:val="18"/>
                <w:color w:val="auto"/>
              </w:rPr>
              <w:t>Pension settlements and</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restart"/>
          </w:tcPr>
          <w:p>
            <w:pPr>
              <w:jc w:val="right"/>
              <w:ind w:right="13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1"/>
              </w:rPr>
              <w:t>0.14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curtailments </w:t>
            </w:r>
            <w:r>
              <w:rPr>
                <w:rFonts w:ascii="Arial" w:cs="Arial" w:eastAsia="Arial" w:hAnsi="Arial"/>
                <w:sz w:val="23"/>
                <w:szCs w:val="23"/>
                <w:color w:val="auto"/>
                <w:vertAlign w:val="superscript"/>
              </w:rPr>
              <w:t>(3)</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ind w:right="135"/>
              <w:spacing w:after="0"/>
              <w:rPr>
                <w:sz w:val="20"/>
                <w:szCs w:val="20"/>
                <w:color w:val="auto"/>
              </w:rPr>
            </w:pPr>
            <w:r>
              <w:rPr>
                <w:rFonts w:ascii="Arial" w:cs="Arial" w:eastAsia="Arial" w:hAnsi="Arial"/>
                <w:sz w:val="17"/>
                <w:szCs w:val="17"/>
                <w:color w:val="auto"/>
              </w:rPr>
              <w:t>56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7"/>
                <w:szCs w:val="17"/>
                <w:color w:val="auto"/>
                <w:w w:val="90"/>
              </w:rPr>
              <w:t>0.42</w:t>
            </w:r>
          </w:p>
        </w:tc>
        <w:tc>
          <w:tcPr>
            <w:tcW w:w="0" w:type="dxa"/>
            <w:vAlign w:val="bottom"/>
          </w:tcPr>
          <w:p>
            <w:pPr>
              <w:spacing w:after="0"/>
              <w:rPr>
                <w:sz w:val="1"/>
                <w:szCs w:val="1"/>
                <w:color w:val="auto"/>
              </w:rPr>
            </w:pPr>
          </w:p>
        </w:tc>
      </w:tr>
      <w:tr>
        <w:trPr>
          <w:trHeight w:val="257"/>
        </w:trPr>
        <w:tc>
          <w:tcPr>
            <w:tcW w:w="2740" w:type="dxa"/>
            <w:vAlign w:val="bottom"/>
            <w:shd w:val="clear" w:color="auto" w:fill="CCEEFF"/>
          </w:tcPr>
          <w:p>
            <w:pPr>
              <w:ind w:left="240"/>
              <w:spacing w:after="0" w:line="256" w:lineRule="exact"/>
              <w:rPr>
                <w:sz w:val="20"/>
                <w:szCs w:val="20"/>
                <w:color w:val="auto"/>
              </w:rPr>
            </w:pPr>
            <w:r>
              <w:rPr>
                <w:rFonts w:ascii="Arial" w:cs="Arial" w:eastAsia="Arial" w:hAnsi="Arial"/>
                <w:sz w:val="18"/>
                <w:szCs w:val="18"/>
                <w:color w:val="auto"/>
              </w:rPr>
              <w:t xml:space="preserve">Income taxes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0.47</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(0.10)</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0.37</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(38)</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(0.28)</w:t>
            </w:r>
          </w:p>
        </w:tc>
        <w:tc>
          <w:tcPr>
            <w:tcW w:w="0" w:type="dxa"/>
            <w:vAlign w:val="bottom"/>
          </w:tcPr>
          <w:p>
            <w:pPr>
              <w:spacing w:after="0"/>
              <w:rPr>
                <w:sz w:val="1"/>
                <w:szCs w:val="1"/>
                <w:color w:val="auto"/>
              </w:rPr>
            </w:pPr>
          </w:p>
        </w:tc>
      </w:tr>
      <w:tr>
        <w:trPr>
          <w:trHeight w:val="175"/>
        </w:trPr>
        <w:tc>
          <w:tcPr>
            <w:tcW w:w="2740" w:type="dxa"/>
            <w:vAlign w:val="bottom"/>
          </w:tcPr>
          <w:p>
            <w:pPr>
              <w:ind w:left="240"/>
              <w:spacing w:after="0" w:line="176" w:lineRule="exact"/>
              <w:rPr>
                <w:sz w:val="20"/>
                <w:szCs w:val="20"/>
                <w:color w:val="auto"/>
              </w:rPr>
            </w:pPr>
            <w:r>
              <w:rPr>
                <w:rFonts w:ascii="Arial" w:cs="Arial" w:eastAsia="Arial" w:hAnsi="Arial"/>
                <w:sz w:val="18"/>
                <w:szCs w:val="18"/>
                <w:color w:val="auto"/>
              </w:rPr>
              <w:t>Loss from discontinued</w:t>
            </w:r>
          </w:p>
        </w:tc>
        <w:tc>
          <w:tcPr>
            <w:tcW w:w="180" w:type="dxa"/>
            <w:vAlign w:val="bottom"/>
          </w:tcPr>
          <w:p>
            <w:pPr>
              <w:spacing w:after="0"/>
              <w:rPr>
                <w:sz w:val="15"/>
                <w:szCs w:val="15"/>
                <w:color w:val="auto"/>
              </w:rPr>
            </w:pPr>
          </w:p>
        </w:tc>
        <w:tc>
          <w:tcPr>
            <w:tcW w:w="600" w:type="dxa"/>
            <w:vAlign w:val="bottom"/>
            <w:vMerge w:val="restart"/>
          </w:tcPr>
          <w:p>
            <w:pPr>
              <w:jc w:val="right"/>
              <w:ind w:right="13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color w:val="auto"/>
                <w:w w:val="85"/>
              </w:rPr>
              <w:t>0.52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operations </w:t>
            </w:r>
            <w:r>
              <w:rPr>
                <w:rFonts w:ascii="Arial" w:cs="Arial" w:eastAsia="Arial" w:hAnsi="Arial"/>
                <w:sz w:val="23"/>
                <w:szCs w:val="23"/>
                <w:color w:val="auto"/>
                <w:vertAlign w:val="superscript"/>
              </w:rPr>
              <w:t>(5)</w:t>
            </w:r>
          </w:p>
        </w:tc>
        <w:tc>
          <w:tcPr>
            <w:tcW w:w="1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7"/>
                <w:szCs w:val="17"/>
                <w:color w:val="auto"/>
                <w:w w:val="90"/>
              </w:rPr>
              <w:t>0.52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40" w:type="dxa"/>
            <w:vAlign w:val="bottom"/>
            <w:shd w:val="clear" w:color="auto" w:fill="CCEEFF"/>
          </w:tcPr>
          <w:p>
            <w:pPr>
              <w:ind w:left="240"/>
              <w:spacing w:after="0" w:line="256" w:lineRule="exact"/>
              <w:rPr>
                <w:sz w:val="20"/>
                <w:szCs w:val="20"/>
                <w:color w:val="auto"/>
              </w:rPr>
            </w:pPr>
            <w:r>
              <w:rPr>
                <w:rFonts w:ascii="Arial" w:cs="Arial" w:eastAsia="Arial" w:hAnsi="Arial"/>
                <w:sz w:val="18"/>
                <w:szCs w:val="18"/>
                <w:color w:val="auto"/>
              </w:rPr>
              <w:t xml:space="preserve">Noncontrolling interests </w:t>
            </w:r>
            <w:r>
              <w:rPr>
                <w:rFonts w:ascii="Arial" w:cs="Arial" w:eastAsia="Arial" w:hAnsi="Arial"/>
                <w:sz w:val="23"/>
                <w:szCs w:val="23"/>
                <w:color w:val="auto"/>
                <w:vertAlign w:val="superscript"/>
              </w:rPr>
              <w:t>(6)</w:t>
            </w: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0.08</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40" w:type="dxa"/>
            <w:vAlign w:val="bottom"/>
            <w:tcBorders>
              <w:bottom w:val="single" w:sz="8" w:color="auto"/>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0.08</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7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Adjusted net income/diluted</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287</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2.14</w:t>
            </w:r>
          </w:p>
        </w:tc>
        <w:tc>
          <w:tcPr>
            <w:tcW w:w="14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178</w:t>
            </w:r>
          </w:p>
        </w:tc>
        <w:tc>
          <w:tcPr>
            <w:tcW w:w="16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1.33</w:t>
            </w:r>
          </w:p>
        </w:tc>
        <w:tc>
          <w:tcPr>
            <w:tcW w:w="14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4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533</w:t>
            </w:r>
          </w:p>
        </w:tc>
        <w:tc>
          <w:tcPr>
            <w:tcW w:w="440" w:type="dxa"/>
            <w:vAlign w:val="bottom"/>
            <w:gridSpan w:val="3"/>
            <w:vMerge w:val="restart"/>
          </w:tcPr>
          <w:p>
            <w:pPr>
              <w:jc w:val="right"/>
              <w:ind w:right="40"/>
              <w:spacing w:after="0"/>
              <w:rPr>
                <w:sz w:val="20"/>
                <w:szCs w:val="20"/>
                <w:color w:val="auto"/>
              </w:rPr>
            </w:pPr>
            <w:r>
              <w:rPr>
                <w:rFonts w:ascii="Arial" w:cs="Arial" w:eastAsia="Arial" w:hAnsi="Arial"/>
                <w:sz w:val="17"/>
                <w:szCs w:val="17"/>
                <w:b w:val="1"/>
                <w:bCs w:val="1"/>
                <w:color w:val="auto"/>
              </w:rPr>
              <w:t>$</w:t>
            </w:r>
          </w:p>
        </w:tc>
        <w:tc>
          <w:tcPr>
            <w:tcW w:w="5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0"/>
              </w:rPr>
              <w:t>3.97</w:t>
            </w:r>
          </w:p>
        </w:tc>
        <w:tc>
          <w:tcPr>
            <w:tcW w:w="14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600" w:type="dxa"/>
            <w:vAlign w:val="bottom"/>
            <w:vMerge w:val="restart"/>
          </w:tcPr>
          <w:p>
            <w:pPr>
              <w:jc w:val="right"/>
              <w:ind w:right="135"/>
              <w:spacing w:after="0"/>
              <w:rPr>
                <w:sz w:val="20"/>
                <w:szCs w:val="20"/>
                <w:color w:val="auto"/>
              </w:rPr>
            </w:pPr>
            <w:r>
              <w:rPr>
                <w:rFonts w:ascii="Arial" w:cs="Arial" w:eastAsia="Arial" w:hAnsi="Arial"/>
                <w:sz w:val="17"/>
                <w:szCs w:val="17"/>
                <w:b w:val="1"/>
                <w:bCs w:val="1"/>
                <w:color w:val="auto"/>
              </w:rPr>
              <w:t>331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0"/>
              </w:rPr>
              <w:t>2.46</w:t>
            </w:r>
          </w:p>
        </w:tc>
        <w:tc>
          <w:tcPr>
            <w:tcW w:w="0" w:type="dxa"/>
            <w:vAlign w:val="bottom"/>
          </w:tcPr>
          <w:p>
            <w:pPr>
              <w:spacing w:after="0"/>
              <w:rPr>
                <w:sz w:val="1"/>
                <w:szCs w:val="1"/>
                <w:color w:val="auto"/>
              </w:rPr>
            </w:pPr>
          </w:p>
        </w:tc>
      </w:tr>
      <w:tr>
        <w:trPr>
          <w:trHeight w:val="203"/>
        </w:trPr>
        <w:tc>
          <w:tcPr>
            <w:tcW w:w="27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earnings per share</w:t>
            </w:r>
          </w:p>
        </w:tc>
        <w:tc>
          <w:tcPr>
            <w:tcW w:w="18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440" w:type="dxa"/>
            <w:vAlign w:val="bottom"/>
            <w:gridSpan w:val="3"/>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7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Effective tax rate as reported </w:t>
            </w:r>
            <w:r>
              <w:rPr>
                <w:rFonts w:ascii="Arial" w:cs="Arial" w:eastAsia="Arial" w:hAnsi="Arial"/>
                <w:sz w:val="23"/>
                <w:szCs w:val="23"/>
                <w:color w:val="auto"/>
                <w:vertAlign w:val="superscript"/>
              </w:rPr>
              <w:t>(7)</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49.1 %</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9"/>
              </w:rPr>
              <w:t>27.6 %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36.7 %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26.5 %</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80" w:type="dxa"/>
            <w:vAlign w:val="bottom"/>
            <w:gridSpan w:val="2"/>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39"/>
        </w:trPr>
        <w:tc>
          <w:tcPr>
            <w:tcW w:w="2740" w:type="dxa"/>
            <w:vAlign w:val="bottom"/>
          </w:tcPr>
          <w:p>
            <w:pPr>
              <w:ind w:left="20"/>
              <w:spacing w:after="0"/>
              <w:rPr>
                <w:sz w:val="20"/>
                <w:szCs w:val="20"/>
                <w:color w:val="auto"/>
              </w:rPr>
            </w:pPr>
            <w:r>
              <w:rPr>
                <w:rFonts w:ascii="Arial" w:cs="Arial" w:eastAsia="Arial" w:hAnsi="Arial"/>
                <w:sz w:val="18"/>
                <w:szCs w:val="18"/>
                <w:color w:val="auto"/>
              </w:rPr>
              <w:t xml:space="preserve">Adjusted effective tax rate </w:t>
            </w:r>
            <w:r>
              <w:rPr>
                <w:rFonts w:ascii="Arial" w:cs="Arial" w:eastAsia="Arial" w:hAnsi="Arial"/>
                <w:sz w:val="23"/>
                <w:szCs w:val="23"/>
                <w:color w:val="auto"/>
                <w:vertAlign w:val="superscript"/>
              </w:rPr>
              <w:t>(7)</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24.1 %</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9"/>
              </w:rPr>
              <w:t>26.0 %</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24.2 %</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25.9 %</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spacing w:after="0" w:line="202" w:lineRule="exact"/>
        <w:rPr>
          <w:sz w:val="20"/>
          <w:szCs w:val="20"/>
          <w:color w:val="auto"/>
        </w:rPr>
      </w:pPr>
    </w:p>
    <w:p>
      <w:pPr>
        <w:jc w:val="both"/>
        <w:ind w:left="340" w:hanging="332"/>
        <w:spacing w:after="0" w:line="235"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second quarter and first six months of 2021, the Company recorded charges of $41 million ($30 million net of tax) and $88 million ($66 million net of tax) for intangibles amortization arising from prior acquisitions. In the second quarter and first six months of 2020, the Company recorded charges of $44 million ($34 million net of tax) and $89 million ($68 million net of tax) for intangibles amortization.</w:t>
      </w:r>
    </w:p>
    <w:p>
      <w:pPr>
        <w:spacing w:after="0" w:line="201" w:lineRule="exact"/>
        <w:rPr>
          <w:rFonts w:ascii="Arial" w:cs="Arial" w:eastAsia="Arial" w:hAnsi="Arial"/>
          <w:sz w:val="18"/>
          <w:szCs w:val="18"/>
          <w:color w:val="auto"/>
        </w:rPr>
      </w:pPr>
    </w:p>
    <w:p>
      <w:pPr>
        <w:jc w:val="both"/>
        <w:ind w:left="340" w:hanging="332"/>
        <w:spacing w:after="0" w:line="222"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second quarter and first six months of 2021, the Company recorded net restructuring and other gains of $25 million ($17 million net of tax) and $23 million ($15 million net of tax), including a second quarter gain of $30 million arising from a favorable court ruling in Brazil related to overcharges of indirect taxes paid in prior years. This gain was offset by other net charges of $5 million in the quarter and $7 million in the first six months primarily related to transaction costs. In the second quarter and first six months of 2020, the Company recorded net restructuring and other charges of $3 million ($3 million net of tax) and $10 million ($8 million net of tax).</w:t>
      </w:r>
    </w:p>
    <w:p>
      <w:pPr>
        <w:spacing w:after="0" w:line="3" w:lineRule="exact"/>
        <w:rPr>
          <w:rFonts w:ascii="Arial" w:cs="Arial" w:eastAsia="Arial" w:hAnsi="Arial"/>
          <w:sz w:val="18"/>
          <w:szCs w:val="18"/>
          <w:color w:val="auto"/>
        </w:rPr>
      </w:pPr>
    </w:p>
    <w:p>
      <w:pPr>
        <w:ind w:left="340" w:right="80" w:hanging="332"/>
        <w:spacing w:after="0" w:line="233"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second quarter and first six months of 2020, the Company recorded charges of $19 million ($15 million net of tax) and $56 million ($45 million net of tax) arising from pension plan settlements.</w:t>
      </w:r>
    </w:p>
    <w:p>
      <w:pPr>
        <w:spacing w:after="0" w:line="203" w:lineRule="exact"/>
        <w:rPr>
          <w:rFonts w:ascii="Arial" w:cs="Arial" w:eastAsia="Arial" w:hAnsi="Arial"/>
          <w:sz w:val="18"/>
          <w:szCs w:val="18"/>
          <w:color w:val="auto"/>
        </w:rPr>
      </w:pPr>
    </w:p>
    <w:p>
      <w:pPr>
        <w:jc w:val="both"/>
        <w:ind w:left="340" w:hanging="332"/>
        <w:spacing w:after="0"/>
        <w:tabs>
          <w:tab w:leader="none" w:pos="334"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second quarter and first six months of 2021, the Company recorded income tax benefits of $3 million and $14 million related to the items described above; and benefits of $5 million in the quarter and $8 million in the first six months related to tax law changes in the U.K and India. Also in the second quarter of 2021, the Company recorded charges of $31 million for tax costs arising from reorganizations and other transactions required to prepare its European Tinplate business for sale, and $40 million for deferred tax valuation allowance adjustments in France. In the second quarter and first six months of 2020, the Company recorded benefits of $14 million and $34 million related to the items described above. In the first quarter of 2020, the Company recorded benefits of $4 million arising from tax law changes in India.</w:t>
      </w:r>
    </w:p>
    <w:p>
      <w:pPr>
        <w:sectPr>
          <w:pgSz w:w="11900" w:h="16838" w:orient="portrait"/>
          <w:cols w:equalWidth="0" w:num="1">
            <w:col w:w="11240"/>
          </w:cols>
          <w:pgMar w:left="320" w:top="5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 of 11</w:t>
      </w:r>
    </w:p>
    <w:p>
      <w:pPr>
        <w:sectPr>
          <w:pgSz w:w="11900" w:h="16838" w:orient="portrait"/>
          <w:cols w:equalWidth="0" w:num="1">
            <w:col w:w="11240"/>
          </w:cols>
          <w:pgMar w:left="320" w:top="595" w:right="339" w:bottom="1440" w:gutter="0" w:footer="0" w:header="0"/>
          <w:type w:val="continuous"/>
        </w:sectPr>
      </w:pPr>
    </w:p>
    <w:bookmarkStart w:id="11" w:name="page12"/>
    <w:bookmarkEnd w:id="11"/>
    <w:p>
      <w:pPr>
        <w:ind w:left="72"/>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5537835</wp:posOffset>
            </wp:positionH>
            <wp:positionV relativeFrom="paragraph">
              <wp:posOffset>-145415</wp:posOffset>
            </wp:positionV>
            <wp:extent cx="1551305"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72"/>
        <w:spacing w:after="0"/>
        <w:rPr>
          <w:sz w:val="20"/>
          <w:szCs w:val="20"/>
          <w:color w:val="auto"/>
        </w:rPr>
      </w:pPr>
      <w:r>
        <w:rPr>
          <w:rFonts w:ascii="Arial" w:cs="Arial" w:eastAsia="Arial" w:hAnsi="Arial"/>
          <w:sz w:val="14"/>
          <w:szCs w:val="14"/>
          <w:color w:val="auto"/>
        </w:rPr>
        <w:t>Corporate Headquarters</w:t>
      </w:r>
    </w:p>
    <w:p>
      <w:pPr>
        <w:ind w:left="72"/>
        <w:spacing w:after="0" w:line="201" w:lineRule="auto"/>
        <w:rPr>
          <w:sz w:val="20"/>
          <w:szCs w:val="20"/>
          <w:color w:val="auto"/>
        </w:rPr>
      </w:pPr>
      <w:r>
        <w:rPr>
          <w:rFonts w:ascii="Arial" w:cs="Arial" w:eastAsia="Arial" w:hAnsi="Arial"/>
          <w:sz w:val="14"/>
          <w:szCs w:val="14"/>
          <w:color w:val="auto"/>
        </w:rPr>
        <w:t>770 Township Line Road</w:t>
      </w:r>
    </w:p>
    <w:p>
      <w:pPr>
        <w:ind w:left="72"/>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389" w:lineRule="exact"/>
        <w:rPr>
          <w:sz w:val="20"/>
          <w:szCs w:val="20"/>
          <w:color w:val="auto"/>
        </w:rPr>
      </w:pPr>
    </w:p>
    <w:p>
      <w:pPr>
        <w:ind w:left="332" w:right="440" w:hanging="332"/>
        <w:spacing w:after="0" w:line="246" w:lineRule="auto"/>
        <w:tabs>
          <w:tab w:leader="none" w:pos="32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second quarter of 2021, the Company recorded an after-tax charge of $70 million (primarily due to cumulative translation adjustments of approximately $600 million) in connection with the agreement to sell its European Tinplate operations.</w:t>
      </w:r>
    </w:p>
    <w:p>
      <w:pPr>
        <w:spacing w:after="0" w:line="196" w:lineRule="exact"/>
        <w:rPr>
          <w:rFonts w:ascii="Arial" w:cs="Arial" w:eastAsia="Arial" w:hAnsi="Arial"/>
          <w:sz w:val="18"/>
          <w:szCs w:val="18"/>
          <w:color w:val="auto"/>
        </w:rPr>
      </w:pPr>
    </w:p>
    <w:p>
      <w:pPr>
        <w:ind w:left="312" w:hanging="312"/>
        <w:spacing w:after="0"/>
        <w:tabs>
          <w:tab w:leader="none" w:pos="312"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the second quarter of 2021, the Company recorded noncontrolling interest charges of $10 million related to the items described above.</w:t>
      </w:r>
    </w:p>
    <w:p>
      <w:pPr>
        <w:spacing w:after="0" w:line="236" w:lineRule="exact"/>
        <w:rPr>
          <w:rFonts w:ascii="Arial" w:cs="Arial" w:eastAsia="Arial" w:hAnsi="Arial"/>
          <w:sz w:val="17"/>
          <w:szCs w:val="17"/>
          <w:color w:val="auto"/>
        </w:rPr>
      </w:pPr>
    </w:p>
    <w:p>
      <w:pPr>
        <w:ind w:left="332" w:hanging="332"/>
        <w:spacing w:after="0" w:line="246" w:lineRule="auto"/>
        <w:tabs>
          <w:tab w:leader="none" w:pos="32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reported and adjusted effective tax rates include income from discontinued operations, which is reported net of tax in the statement of operations. Income tax effects on adjusted net income were calculated using the applicable tax rates of the underlying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8 of 11</w:t>
      </w:r>
    </w:p>
    <w:p>
      <w:pPr>
        <w:sectPr>
          <w:pgSz w:w="11900" w:h="16838" w:orient="portrait"/>
          <w:cols w:equalWidth="0" w:num="1">
            <w:col w:w="11092"/>
          </w:cols>
          <w:pgMar w:left="328" w:top="595" w:right="479" w:bottom="1440" w:gutter="0" w:footer="0" w:header="0"/>
        </w:sectPr>
      </w:pPr>
    </w:p>
    <w:bookmarkStart w:id="12" w:name="page13"/>
    <w:bookmarkEnd w:id="12"/>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(Condensed &amp; Unaudited)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June 30,</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80" w:type="dxa"/>
            <w:vAlign w:val="bottom"/>
          </w:tcPr>
          <w:p>
            <w:pPr>
              <w:spacing w:after="0"/>
              <w:rPr>
                <w:sz w:val="20"/>
                <w:szCs w:val="20"/>
                <w:color w:val="auto"/>
              </w:rPr>
            </w:pPr>
          </w:p>
        </w:tc>
      </w:tr>
      <w:tr>
        <w:trPr>
          <w:trHeight w:val="250"/>
        </w:trPr>
        <w:tc>
          <w:tcPr>
            <w:tcW w:w="1500" w:type="dxa"/>
            <w:vAlign w:val="bottom"/>
          </w:tcPr>
          <w:p>
            <w:pPr>
              <w:spacing w:after="0"/>
              <w:rPr>
                <w:sz w:val="21"/>
                <w:szCs w:val="21"/>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1,766</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1,276</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1,304</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 held for sale</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7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823</w:t>
            </w:r>
          </w:p>
        </w:tc>
        <w:tc>
          <w:tcPr>
            <w:tcW w:w="1480" w:type="dxa"/>
            <w:vAlign w:val="bottom"/>
          </w:tcPr>
          <w:p>
            <w:pPr>
              <w:spacing w:after="0"/>
              <w:rPr>
                <w:sz w:val="23"/>
                <w:szCs w:val="23"/>
                <w:color w:val="auto"/>
              </w:rPr>
            </w:pPr>
          </w:p>
        </w:tc>
      </w:tr>
      <w:tr>
        <w:trPr>
          <w:trHeight w:val="250"/>
        </w:trPr>
        <w:tc>
          <w:tcPr>
            <w:tcW w:w="1500" w:type="dxa"/>
            <w:vAlign w:val="bottom"/>
          </w:tcPr>
          <w:p>
            <w:pPr>
              <w:spacing w:after="0"/>
              <w:rPr>
                <w:sz w:val="21"/>
                <w:szCs w:val="21"/>
                <w:color w:val="auto"/>
              </w:rPr>
            </w:pPr>
          </w:p>
        </w:tc>
        <w:tc>
          <w:tcPr>
            <w:tcW w:w="4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7,105</w:t>
            </w:r>
          </w:p>
        </w:tc>
        <w:tc>
          <w:tcPr>
            <w:tcW w:w="7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3,992</w:t>
            </w:r>
          </w:p>
        </w:tc>
        <w:tc>
          <w:tcPr>
            <w:tcW w:w="1480" w:type="dxa"/>
            <w:vAlign w:val="bottom"/>
          </w:tcPr>
          <w:p>
            <w:pPr>
              <w:spacing w:after="0"/>
              <w:rPr>
                <w:sz w:val="21"/>
                <w:szCs w:val="21"/>
                <w:color w:val="auto"/>
              </w:rPr>
            </w:pPr>
          </w:p>
        </w:tc>
      </w:tr>
      <w:tr>
        <w:trPr>
          <w:trHeight w:val="250"/>
        </w:trPr>
        <w:tc>
          <w:tcPr>
            <w:tcW w:w="1500" w:type="dxa"/>
            <w:vAlign w:val="bottom"/>
          </w:tcPr>
          <w:p>
            <w:pPr>
              <w:spacing w:after="0"/>
              <w:rPr>
                <w:sz w:val="21"/>
                <w:szCs w:val="21"/>
                <w:color w:val="auto"/>
              </w:rPr>
            </w:pPr>
          </w:p>
        </w:tc>
        <w:tc>
          <w:tcPr>
            <w:tcW w:w="4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Goodwill and intangible assets, net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4,770</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4,721</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3,316</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1,037</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1,225</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 held for sale</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2,030</w:t>
            </w:r>
          </w:p>
        </w:tc>
        <w:tc>
          <w:tcPr>
            <w:tcW w:w="1480" w:type="dxa"/>
            <w:vAlign w:val="bottom"/>
          </w:tcPr>
          <w:p>
            <w:pPr>
              <w:spacing w:after="0"/>
              <w:rPr>
                <w:sz w:val="23"/>
                <w:szCs w:val="23"/>
                <w:color w:val="auto"/>
              </w:rPr>
            </w:pPr>
          </w:p>
        </w:tc>
      </w:tr>
      <w:tr>
        <w:trPr>
          <w:trHeight w:val="223"/>
        </w:trPr>
        <w:tc>
          <w:tcPr>
            <w:tcW w:w="1500" w:type="dxa"/>
            <w:vAlign w:val="bottom"/>
          </w:tcPr>
          <w:p>
            <w:pPr>
              <w:spacing w:after="0"/>
              <w:rPr>
                <w:sz w:val="19"/>
                <w:szCs w:val="19"/>
                <w:color w:val="auto"/>
              </w:rPr>
            </w:pPr>
          </w:p>
        </w:tc>
        <w:tc>
          <w:tcPr>
            <w:tcW w:w="482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16,695</w:t>
            </w:r>
          </w:p>
        </w:tc>
        <w:tc>
          <w:tcPr>
            <w:tcW w:w="7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15,284</w:t>
            </w:r>
          </w:p>
        </w:tc>
        <w:tc>
          <w:tcPr>
            <w:tcW w:w="148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7"/>
        </w:trPr>
        <w:tc>
          <w:tcPr>
            <w:tcW w:w="150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debt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14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2,466</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Current liabilities held for sale</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7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807</w:t>
            </w:r>
          </w:p>
        </w:tc>
        <w:tc>
          <w:tcPr>
            <w:tcW w:w="1480" w:type="dxa"/>
            <w:vAlign w:val="bottom"/>
          </w:tcPr>
          <w:p>
            <w:pPr>
              <w:spacing w:after="0"/>
              <w:rPr>
                <w:sz w:val="23"/>
                <w:szCs w:val="23"/>
                <w:color w:val="auto"/>
              </w:rPr>
            </w:pPr>
          </w:p>
        </w:tc>
      </w:tr>
      <w:tr>
        <w:trPr>
          <w:trHeight w:val="250"/>
        </w:trPr>
        <w:tc>
          <w:tcPr>
            <w:tcW w:w="1500" w:type="dxa"/>
            <w:vAlign w:val="bottom"/>
          </w:tcPr>
          <w:p>
            <w:pPr>
              <w:spacing w:after="0"/>
              <w:rPr>
                <w:sz w:val="21"/>
                <w:szCs w:val="21"/>
                <w:color w:val="auto"/>
              </w:rPr>
            </w:pPr>
          </w:p>
        </w:tc>
        <w:tc>
          <w:tcPr>
            <w:tcW w:w="482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4,514</w:t>
            </w:r>
          </w:p>
        </w:tc>
        <w:tc>
          <w:tcPr>
            <w:tcW w:w="7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3,466</w:t>
            </w:r>
          </w:p>
        </w:tc>
        <w:tc>
          <w:tcPr>
            <w:tcW w:w="1480" w:type="dxa"/>
            <w:vAlign w:val="bottom"/>
          </w:tcPr>
          <w:p>
            <w:pPr>
              <w:spacing w:after="0"/>
              <w:rPr>
                <w:sz w:val="21"/>
                <w:szCs w:val="21"/>
                <w:color w:val="auto"/>
              </w:rPr>
            </w:pPr>
          </w:p>
        </w:tc>
      </w:tr>
      <w:tr>
        <w:trPr>
          <w:trHeight w:val="250"/>
        </w:trPr>
        <w:tc>
          <w:tcPr>
            <w:tcW w:w="150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7,999</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1,578</w:t>
            </w: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1,402</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 held for sale</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Crown Holdings shareholders' equity</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w:t>
            </w:r>
          </w:p>
        </w:tc>
        <w:tc>
          <w:tcPr>
            <w:tcW w:w="7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1,815</w:t>
            </w:r>
          </w:p>
        </w:tc>
        <w:tc>
          <w:tcPr>
            <w:tcW w:w="1480" w:type="dxa"/>
            <w:vAlign w:val="bottom"/>
          </w:tcPr>
          <w:p>
            <w:pPr>
              <w:spacing w:after="0"/>
              <w:rPr>
                <w:sz w:val="23"/>
                <w:szCs w:val="23"/>
                <w:color w:val="auto"/>
              </w:rPr>
            </w:pPr>
          </w:p>
        </w:tc>
      </w:tr>
      <w:tr>
        <w:trPr>
          <w:trHeight w:val="250"/>
        </w:trPr>
        <w:tc>
          <w:tcPr>
            <w:tcW w:w="1500" w:type="dxa"/>
            <w:vAlign w:val="bottom"/>
          </w:tcPr>
          <w:p>
            <w:pPr>
              <w:spacing w:after="0"/>
              <w:rPr>
                <w:sz w:val="21"/>
                <w:szCs w:val="21"/>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7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2,221</w:t>
            </w:r>
          </w:p>
        </w:tc>
        <w:tc>
          <w:tcPr>
            <w:tcW w:w="1480" w:type="dxa"/>
            <w:vAlign w:val="bottom"/>
          </w:tcPr>
          <w:p>
            <w:pPr>
              <w:spacing w:after="0"/>
              <w:rPr>
                <w:sz w:val="21"/>
                <w:szCs w:val="21"/>
                <w:color w:val="auto"/>
              </w:rPr>
            </w:pPr>
          </w:p>
        </w:tc>
      </w:tr>
      <w:tr>
        <w:trPr>
          <w:trHeight w:val="223"/>
        </w:trPr>
        <w:tc>
          <w:tcPr>
            <w:tcW w:w="1500" w:type="dxa"/>
            <w:vAlign w:val="bottom"/>
          </w:tcPr>
          <w:p>
            <w:pPr>
              <w:spacing w:after="0"/>
              <w:rPr>
                <w:sz w:val="19"/>
                <w:szCs w:val="19"/>
                <w:color w:val="auto"/>
              </w:rPr>
            </w:pPr>
          </w:p>
        </w:tc>
        <w:tc>
          <w:tcPr>
            <w:tcW w:w="482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16,695</w:t>
            </w:r>
          </w:p>
        </w:tc>
        <w:tc>
          <w:tcPr>
            <w:tcW w:w="7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15,284</w:t>
            </w:r>
          </w:p>
        </w:tc>
        <w:tc>
          <w:tcPr>
            <w:tcW w:w="148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33"/>
        </w:trPr>
        <w:tc>
          <w:tcPr>
            <w:tcW w:w="15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5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 of 11</w:t>
      </w:r>
    </w:p>
    <w:p>
      <w:pPr>
        <w:sectPr>
          <w:pgSz w:w="11900" w:h="16838" w:orient="portrait"/>
          <w:cols w:equalWidth="0" w:num="1">
            <w:col w:w="11240"/>
          </w:cols>
          <w:pgMar w:left="320" w:top="595" w:right="339" w:bottom="1440" w:gutter="0" w:footer="0" w:header="0"/>
          <w:type w:val="continuous"/>
        </w:sectPr>
      </w:pPr>
    </w:p>
    <w:bookmarkStart w:id="13" w:name="page14"/>
    <w:bookmarkEnd w:id="13"/>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 (Condensed &amp;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Six months ended June 30,</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920" w:type="dxa"/>
            <w:vAlign w:val="bottom"/>
          </w:tcPr>
          <w:p>
            <w:pPr>
              <w:spacing w:after="0"/>
              <w:rPr>
                <w:sz w:val="20"/>
                <w:szCs w:val="20"/>
                <w:color w:val="auto"/>
              </w:rPr>
            </w:pPr>
          </w:p>
        </w:tc>
      </w:tr>
      <w:tr>
        <w:trPr>
          <w:trHeight w:val="88"/>
        </w:trPr>
        <w:tc>
          <w:tcPr>
            <w:tcW w:w="1940" w:type="dxa"/>
            <w:vAlign w:val="bottom"/>
          </w:tcPr>
          <w:p>
            <w:pPr>
              <w:spacing w:after="0"/>
              <w:rPr>
                <w:sz w:val="7"/>
                <w:szCs w:val="7"/>
                <w:color w:val="auto"/>
              </w:rPr>
            </w:pPr>
          </w:p>
        </w:tc>
        <w:tc>
          <w:tcPr>
            <w:tcW w:w="4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920" w:type="dxa"/>
            <w:vAlign w:val="bottom"/>
          </w:tcPr>
          <w:p>
            <w:pPr>
              <w:spacing w:after="0"/>
              <w:rPr>
                <w:sz w:val="7"/>
                <w:szCs w:val="7"/>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418</w:t>
            </w:r>
          </w:p>
        </w:tc>
        <w:tc>
          <w:tcPr>
            <w:tcW w:w="4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255</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Restructuring and other</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disposal of discontinued operations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Pension expense</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contributions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Working capital changes and other</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4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920" w:type="dxa"/>
            <w:vAlign w:val="bottom"/>
          </w:tcPr>
          <w:p>
            <w:pPr>
              <w:spacing w:after="0"/>
              <w:rPr>
                <w:sz w:val="22"/>
                <w:szCs w:val="22"/>
                <w:color w:val="auto"/>
              </w:rPr>
            </w:pPr>
          </w:p>
        </w:tc>
      </w:tr>
      <w:tr>
        <w:trPr>
          <w:trHeight w:val="237"/>
        </w:trPr>
        <w:tc>
          <w:tcPr>
            <w:tcW w:w="1940" w:type="dxa"/>
            <w:vAlign w:val="bottom"/>
          </w:tcPr>
          <w:p>
            <w:pPr>
              <w:spacing w:after="0"/>
              <w:rPr>
                <w:sz w:val="20"/>
                <w:szCs w:val="20"/>
                <w:color w:val="auto"/>
              </w:rPr>
            </w:pPr>
          </w:p>
        </w:tc>
        <w:tc>
          <w:tcPr>
            <w:tcW w:w="4620" w:type="dxa"/>
            <w:vAlign w:val="bottom"/>
          </w:tcPr>
          <w:p>
            <w:pPr>
              <w:ind w:left="460"/>
              <w:spacing w:after="0" w:line="236" w:lineRule="exact"/>
              <w:rPr>
                <w:sz w:val="20"/>
                <w:szCs w:val="20"/>
                <w:color w:val="auto"/>
              </w:rPr>
            </w:pPr>
            <w:r>
              <w:rPr>
                <w:rFonts w:ascii="Arial" w:cs="Arial" w:eastAsia="Arial" w:hAnsi="Arial"/>
                <w:sz w:val="18"/>
                <w:szCs w:val="18"/>
                <w:b w:val="1"/>
                <w:bCs w:val="1"/>
                <w:color w:val="auto"/>
                <w:w w:val="89"/>
              </w:rPr>
              <w:t xml:space="preserve">Net cash provided by/(used) for operating activities </w:t>
            </w:r>
            <w:r>
              <w:rPr>
                <w:rFonts w:ascii="Arial" w:cs="Arial" w:eastAsia="Arial" w:hAnsi="Arial"/>
                <w:sz w:val="23"/>
                <w:szCs w:val="23"/>
                <w:b w:val="1"/>
                <w:bCs w:val="1"/>
                <w:color w:val="auto"/>
                <w:w w:val="89"/>
                <w:vertAlign w:val="superscript"/>
              </w:rPr>
              <w:t>(1)</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(238)</w:t>
            </w:r>
          </w:p>
        </w:tc>
        <w:tc>
          <w:tcPr>
            <w:tcW w:w="1920" w:type="dxa"/>
            <w:vAlign w:val="bottom"/>
          </w:tcPr>
          <w:p>
            <w:pPr>
              <w:spacing w:after="0"/>
              <w:rPr>
                <w:sz w:val="20"/>
                <w:szCs w:val="20"/>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w:t>
            </w: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920" w:type="dxa"/>
            <w:vAlign w:val="bottom"/>
          </w:tcPr>
          <w:p>
            <w:pPr>
              <w:spacing w:after="0"/>
              <w:rPr>
                <w:sz w:val="22"/>
                <w:szCs w:val="22"/>
                <w:color w:val="auto"/>
              </w:rPr>
            </w:pPr>
          </w:p>
        </w:tc>
      </w:tr>
      <w:tr>
        <w:trPr>
          <w:trHeight w:val="237"/>
        </w:trPr>
        <w:tc>
          <w:tcPr>
            <w:tcW w:w="1940" w:type="dxa"/>
            <w:vAlign w:val="bottom"/>
          </w:tcPr>
          <w:p>
            <w:pPr>
              <w:spacing w:after="0"/>
              <w:rPr>
                <w:sz w:val="20"/>
                <w:szCs w:val="20"/>
                <w:color w:val="auto"/>
              </w:rPr>
            </w:pPr>
          </w:p>
        </w:tc>
        <w:tc>
          <w:tcPr>
            <w:tcW w:w="4620" w:type="dxa"/>
            <w:vAlign w:val="bottom"/>
          </w:tcPr>
          <w:p>
            <w:pPr>
              <w:ind w:left="460"/>
              <w:spacing w:after="0"/>
              <w:rPr>
                <w:sz w:val="20"/>
                <w:szCs w:val="20"/>
                <w:color w:val="auto"/>
              </w:rPr>
            </w:pPr>
            <w:r>
              <w:rPr>
                <w:rFonts w:ascii="Arial" w:cs="Arial" w:eastAsia="Arial" w:hAnsi="Arial"/>
                <w:sz w:val="18"/>
                <w:szCs w:val="18"/>
                <w:b w:val="1"/>
                <w:bCs w:val="1"/>
                <w:color w:val="auto"/>
              </w:rPr>
              <w:t>Net cash used for investing activities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(311)</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(184)</w:t>
            </w:r>
          </w:p>
        </w:tc>
        <w:tc>
          <w:tcPr>
            <w:tcW w:w="1920" w:type="dxa"/>
            <w:vAlign w:val="bottom"/>
          </w:tcPr>
          <w:p>
            <w:pPr>
              <w:spacing w:after="0"/>
              <w:rPr>
                <w:sz w:val="20"/>
                <w:szCs w:val="20"/>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Net change in debt</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253</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to stockholders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Common stock repurchased</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to noncontrolling interests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920" w:type="dxa"/>
            <w:vAlign w:val="bottom"/>
          </w:tcPr>
          <w:p>
            <w:pPr>
              <w:spacing w:after="0"/>
              <w:rPr>
                <w:sz w:val="22"/>
                <w:szCs w:val="22"/>
                <w:color w:val="auto"/>
              </w:rPr>
            </w:pPr>
          </w:p>
        </w:tc>
      </w:tr>
      <w:tr>
        <w:trPr>
          <w:trHeight w:val="237"/>
        </w:trPr>
        <w:tc>
          <w:tcPr>
            <w:tcW w:w="1940" w:type="dxa"/>
            <w:vAlign w:val="bottom"/>
          </w:tcPr>
          <w:p>
            <w:pPr>
              <w:spacing w:after="0"/>
              <w:rPr>
                <w:sz w:val="20"/>
                <w:szCs w:val="20"/>
                <w:color w:val="auto"/>
              </w:rPr>
            </w:pPr>
          </w:p>
        </w:tc>
        <w:tc>
          <w:tcPr>
            <w:tcW w:w="46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w w:val="94"/>
              </w:rPr>
              <w:t>Net cash provided by/(used for) financing activities</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(423)</w:t>
            </w:r>
          </w:p>
        </w:tc>
        <w:tc>
          <w:tcPr>
            <w:tcW w:w="4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920" w:type="dxa"/>
            <w:vAlign w:val="bottom"/>
          </w:tcPr>
          <w:p>
            <w:pPr>
              <w:spacing w:after="0"/>
              <w:rPr>
                <w:sz w:val="20"/>
                <w:szCs w:val="20"/>
                <w:color w:val="auto"/>
              </w:rPr>
            </w:pPr>
          </w:p>
        </w:tc>
      </w:tr>
      <w:tr>
        <w:trPr>
          <w:trHeight w:val="88"/>
        </w:trPr>
        <w:tc>
          <w:tcPr>
            <w:tcW w:w="1940" w:type="dxa"/>
            <w:vAlign w:val="bottom"/>
          </w:tcPr>
          <w:p>
            <w:pPr>
              <w:spacing w:after="0"/>
              <w:rPr>
                <w:sz w:val="7"/>
                <w:szCs w:val="7"/>
                <w:color w:val="auto"/>
              </w:rPr>
            </w:pPr>
          </w:p>
        </w:tc>
        <w:tc>
          <w:tcPr>
            <w:tcW w:w="4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920" w:type="dxa"/>
            <w:vAlign w:val="bottom"/>
          </w:tcPr>
          <w:p>
            <w:pPr>
              <w:spacing w:after="0"/>
              <w:rPr>
                <w:sz w:val="7"/>
                <w:szCs w:val="7"/>
                <w:color w:val="auto"/>
              </w:rPr>
            </w:pPr>
          </w:p>
        </w:tc>
      </w:tr>
      <w:tr>
        <w:trPr>
          <w:trHeight w:val="257"/>
        </w:trPr>
        <w:tc>
          <w:tcPr>
            <w:tcW w:w="1940" w:type="dxa"/>
            <w:vAlign w:val="bottom"/>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1"/>
              </w:rPr>
              <w:t>Effect of exchange rate changes on cash and cash equivalents</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920" w:type="dxa"/>
            <w:vAlign w:val="bottom"/>
          </w:tcPr>
          <w:p>
            <w:pPr>
              <w:spacing w:after="0"/>
              <w:rPr>
                <w:sz w:val="22"/>
                <w:szCs w:val="22"/>
                <w:color w:val="auto"/>
              </w:rPr>
            </w:pPr>
          </w:p>
        </w:tc>
      </w:tr>
      <w:tr>
        <w:trPr>
          <w:trHeight w:val="88"/>
        </w:trPr>
        <w:tc>
          <w:tcPr>
            <w:tcW w:w="1940" w:type="dxa"/>
            <w:vAlign w:val="bottom"/>
          </w:tcPr>
          <w:p>
            <w:pPr>
              <w:spacing w:after="0"/>
              <w:rPr>
                <w:sz w:val="7"/>
                <w:szCs w:val="7"/>
                <w:color w:val="auto"/>
              </w:rPr>
            </w:pPr>
          </w:p>
        </w:tc>
        <w:tc>
          <w:tcPr>
            <w:tcW w:w="4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920" w:type="dxa"/>
            <w:vAlign w:val="bottom"/>
          </w:tcPr>
          <w:p>
            <w:pPr>
              <w:spacing w:after="0"/>
              <w:rPr>
                <w:sz w:val="7"/>
                <w:szCs w:val="7"/>
                <w:color w:val="auto"/>
              </w:rPr>
            </w:pPr>
          </w:p>
        </w:tc>
      </w:tr>
      <w:tr>
        <w:trPr>
          <w:trHeight w:val="256"/>
        </w:trPr>
        <w:tc>
          <w:tcPr>
            <w:tcW w:w="1940" w:type="dxa"/>
            <w:vAlign w:val="bottom"/>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4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920" w:type="dxa"/>
            <w:vAlign w:val="bottom"/>
          </w:tcPr>
          <w:p>
            <w:pPr>
              <w:spacing w:after="0"/>
              <w:rPr>
                <w:sz w:val="22"/>
                <w:szCs w:val="22"/>
                <w:color w:val="auto"/>
              </w:rPr>
            </w:pPr>
          </w:p>
        </w:tc>
      </w:tr>
      <w:tr>
        <w:trPr>
          <w:trHeight w:val="257"/>
        </w:trPr>
        <w:tc>
          <w:tcPr>
            <w:tcW w:w="1940" w:type="dxa"/>
            <w:vAlign w:val="bottom"/>
          </w:tcPr>
          <w:p>
            <w:pPr>
              <w:spacing w:after="0"/>
              <w:rPr>
                <w:sz w:val="22"/>
                <w:szCs w:val="22"/>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January 1</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4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920" w:type="dxa"/>
            <w:vAlign w:val="bottom"/>
          </w:tcPr>
          <w:p>
            <w:pPr>
              <w:spacing w:after="0"/>
              <w:rPr>
                <w:sz w:val="22"/>
                <w:szCs w:val="22"/>
                <w:color w:val="auto"/>
              </w:rPr>
            </w:pPr>
          </w:p>
        </w:tc>
      </w:tr>
      <w:tr>
        <w:trPr>
          <w:trHeight w:val="88"/>
        </w:trPr>
        <w:tc>
          <w:tcPr>
            <w:tcW w:w="1940" w:type="dxa"/>
            <w:vAlign w:val="bottom"/>
          </w:tcPr>
          <w:p>
            <w:pPr>
              <w:spacing w:after="0"/>
              <w:rPr>
                <w:sz w:val="7"/>
                <w:szCs w:val="7"/>
                <w:color w:val="auto"/>
              </w:rPr>
            </w:pPr>
          </w:p>
        </w:tc>
        <w:tc>
          <w:tcPr>
            <w:tcW w:w="46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920" w:type="dxa"/>
            <w:vAlign w:val="bottom"/>
          </w:tcPr>
          <w:p>
            <w:pPr>
              <w:spacing w:after="0"/>
              <w:rPr>
                <w:sz w:val="7"/>
                <w:szCs w:val="7"/>
                <w:color w:val="auto"/>
              </w:rPr>
            </w:pPr>
          </w:p>
        </w:tc>
      </w:tr>
      <w:tr>
        <w:trPr>
          <w:trHeight w:val="230"/>
        </w:trPr>
        <w:tc>
          <w:tcPr>
            <w:tcW w:w="1940" w:type="dxa"/>
            <w:vAlign w:val="bottom"/>
          </w:tcPr>
          <w:p>
            <w:pPr>
              <w:spacing w:after="0"/>
              <w:rPr>
                <w:sz w:val="19"/>
                <w:szCs w:val="19"/>
                <w:color w:val="auto"/>
              </w:rPr>
            </w:pPr>
          </w:p>
        </w:tc>
        <w:tc>
          <w:tcPr>
            <w:tcW w:w="4620" w:type="dxa"/>
            <w:vAlign w:val="bottom"/>
          </w:tcPr>
          <w:p>
            <w:pPr>
              <w:spacing w:after="0" w:line="230" w:lineRule="exact"/>
              <w:rPr>
                <w:sz w:val="20"/>
                <w:szCs w:val="20"/>
                <w:color w:val="auto"/>
              </w:rPr>
            </w:pPr>
            <w:r>
              <w:rPr>
                <w:rFonts w:ascii="Arial" w:cs="Arial" w:eastAsia="Arial" w:hAnsi="Arial"/>
                <w:sz w:val="18"/>
                <w:szCs w:val="18"/>
                <w:b w:val="1"/>
                <w:bCs w:val="1"/>
                <w:color w:val="auto"/>
              </w:rPr>
              <w:t xml:space="preserve">Cash and cash equivalents at June 30 </w:t>
            </w:r>
            <w:r>
              <w:rPr>
                <w:rFonts w:ascii="Arial" w:cs="Arial" w:eastAsia="Arial" w:hAnsi="Arial"/>
                <w:sz w:val="23"/>
                <w:szCs w:val="23"/>
                <w:b w:val="1"/>
                <w:bCs w:val="1"/>
                <w:color w:val="auto"/>
                <w:vertAlign w:val="superscript"/>
              </w:rPr>
              <w:t>(2)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664</w:t>
            </w:r>
          </w:p>
        </w:tc>
        <w:tc>
          <w:tcPr>
            <w:tcW w:w="4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427</w:t>
            </w:r>
          </w:p>
        </w:tc>
        <w:tc>
          <w:tcPr>
            <w:tcW w:w="1920" w:type="dxa"/>
            <w:vAlign w:val="bottom"/>
          </w:tcPr>
          <w:p>
            <w:pPr>
              <w:spacing w:after="0"/>
              <w:rPr>
                <w:sz w:val="19"/>
                <w:szCs w:val="19"/>
                <w:color w:val="auto"/>
              </w:rPr>
            </w:pPr>
          </w:p>
        </w:tc>
      </w:tr>
      <w:tr>
        <w:trPr>
          <w:trHeight w:val="20"/>
        </w:trPr>
        <w:tc>
          <w:tcPr>
            <w:tcW w:w="19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0"/>
        </w:trPr>
        <w:tc>
          <w:tcPr>
            <w:tcW w:w="194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r>
    </w:tbl>
    <w:p>
      <w:pPr>
        <w:spacing w:after="0" w:line="107" w:lineRule="exact"/>
        <w:rPr>
          <w:sz w:val="20"/>
          <w:szCs w:val="20"/>
          <w:color w:val="auto"/>
        </w:rPr>
      </w:pPr>
    </w:p>
    <w:p>
      <w:pPr>
        <w:jc w:val="both"/>
        <w:ind w:left="420" w:right="540" w:hanging="331"/>
        <w:spacing w:after="0" w:line="235" w:lineRule="auto"/>
        <w:tabs>
          <w:tab w:leader="none" w:pos="414"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free cash flow is defined by the Company as net cash used for operating activities less capital expenditures and certain other items. A reconciliation from net cash used for operating activities to adjusted free cash flow for the three and six months ended June 30, 2021 and 2020 follows.</w:t>
      </w:r>
    </w:p>
    <w:p>
      <w:pPr>
        <w:spacing w:after="0" w:line="201" w:lineRule="exact"/>
        <w:rPr>
          <w:rFonts w:ascii="Arial" w:cs="Arial" w:eastAsia="Arial" w:hAnsi="Arial"/>
          <w:sz w:val="18"/>
          <w:szCs w:val="18"/>
          <w:color w:val="auto"/>
        </w:rPr>
      </w:pPr>
    </w:p>
    <w:p>
      <w:pPr>
        <w:ind w:left="400" w:hanging="311"/>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and cash equivalents includes $98 and $61 of restricted cash at June 30, 2021 and 2020.</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0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Six Months Ended June</w:t>
            </w:r>
          </w:p>
        </w:tc>
      </w:tr>
      <w:tr>
        <w:trPr>
          <w:trHeight w:val="230"/>
        </w:trPr>
        <w:tc>
          <w:tcPr>
            <w:tcW w:w="4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r>
      <w:tr>
        <w:trPr>
          <w:trHeight w:val="250"/>
        </w:trPr>
        <w:tc>
          <w:tcPr>
            <w:tcW w:w="4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2020</w:t>
            </w:r>
          </w:p>
        </w:tc>
        <w:tc>
          <w:tcPr>
            <w:tcW w:w="3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2020</w:t>
            </w:r>
          </w:p>
        </w:tc>
      </w:tr>
      <w:tr>
        <w:trPr>
          <w:trHeight w:val="250"/>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Net cash from operating activities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86"/>
              </w:rPr>
              <w:t>554</w:t>
            </w: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369</w:t>
            </w: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w:t>
            </w:r>
          </w:p>
        </w:tc>
      </w:tr>
      <w:tr>
        <w:trPr>
          <w:trHeight w:val="270"/>
        </w:trPr>
        <w:tc>
          <w:tcPr>
            <w:tcW w:w="4140" w:type="dxa"/>
            <w:vAlign w:val="bottom"/>
          </w:tcPr>
          <w:p>
            <w:pPr>
              <w:ind w:left="100"/>
              <w:spacing w:after="0"/>
              <w:rPr>
                <w:sz w:val="20"/>
                <w:szCs w:val="20"/>
                <w:color w:val="auto"/>
              </w:rPr>
            </w:pPr>
            <w:r>
              <w:rPr>
                <w:rFonts w:ascii="Arial" w:cs="Arial" w:eastAsia="Arial" w:hAnsi="Arial"/>
                <w:sz w:val="18"/>
                <w:szCs w:val="18"/>
                <w:color w:val="auto"/>
              </w:rPr>
              <w:t xml:space="preserve">Interest included in investing activities </w:t>
            </w:r>
            <w:r>
              <w:rPr>
                <w:rFonts w:ascii="Arial" w:cs="Arial" w:eastAsia="Arial" w:hAnsi="Arial"/>
                <w:sz w:val="23"/>
                <w:szCs w:val="23"/>
                <w:color w:val="auto"/>
                <w:vertAlign w:val="superscript"/>
              </w:rPr>
              <w:t>(3)</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0"/>
        </w:trPr>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Capital expenditures</w:t>
            </w: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95"/>
              </w:rPr>
              <w:t>(190)</w:t>
            </w:r>
          </w:p>
        </w:tc>
        <w:tc>
          <w:tcPr>
            <w:tcW w:w="3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3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23"/>
        </w:trPr>
        <w:tc>
          <w:tcPr>
            <w:tcW w:w="4140" w:type="dxa"/>
            <w:vAlign w:val="bottom"/>
          </w:tcPr>
          <w:p>
            <w:pPr>
              <w:ind w:left="100"/>
              <w:spacing w:after="0"/>
              <w:rPr>
                <w:sz w:val="20"/>
                <w:szCs w:val="20"/>
                <w:color w:val="auto"/>
              </w:rPr>
            </w:pPr>
            <w:r>
              <w:rPr>
                <w:rFonts w:ascii="Arial" w:cs="Arial" w:eastAsia="Arial" w:hAnsi="Arial"/>
                <w:sz w:val="18"/>
                <w:szCs w:val="18"/>
                <w:b w:val="1"/>
                <w:bCs w:val="1"/>
                <w:color w:val="auto"/>
              </w:rPr>
              <w:t>Adjusted free cash flow</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6"/>
              </w:rPr>
              <w:t>364</w:t>
            </w:r>
          </w:p>
        </w:tc>
        <w:tc>
          <w:tcPr>
            <w:tcW w:w="32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281</w:t>
            </w:r>
          </w:p>
        </w:tc>
        <w:tc>
          <w:tcPr>
            <w:tcW w:w="3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w:t>
            </w: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w:t>
            </w:r>
          </w:p>
        </w:tc>
      </w:tr>
      <w:tr>
        <w:trPr>
          <w:trHeight w:val="21"/>
        </w:trPr>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80"/>
        <w:spacing w:after="0"/>
        <w:tabs>
          <w:tab w:leader="none" w:pos="4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Interest benefit of cross currency swaps included in investing activities.</w:t>
      </w:r>
    </w:p>
    <w:p>
      <w:pPr>
        <w:sectPr>
          <w:pgSz w:w="11900" w:h="16838" w:orient="portrait"/>
          <w:cols w:equalWidth="0" w:num="1">
            <w:col w:w="11240"/>
          </w:cols>
          <w:pgMar w:left="320" w:top="5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 of 11</w:t>
      </w:r>
    </w:p>
    <w:p>
      <w:pPr>
        <w:sectPr>
          <w:pgSz w:w="11900" w:h="16838" w:orient="portrait"/>
          <w:cols w:equalWidth="0" w:num="1">
            <w:col w:w="11240"/>
          </w:cols>
          <w:pgMar w:left="320" w:top="595" w:right="339" w:bottom="1440" w:gutter="0" w:footer="0" w:header="0"/>
          <w:type w:val="continuous"/>
        </w:sectPr>
      </w:pPr>
    </w:p>
    <w:bookmarkStart w:id="14" w:name="page15"/>
    <w:bookmarkEnd w:id="1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-145415</wp:posOffset>
            </wp:positionV>
            <wp:extent cx="1551305" cy="497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0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Consolidated Supplemental Data (Unaudited)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Impact of Foreign Currency Translation by Segment - Favorable/(Unfavorable) </w:t>
      </w:r>
      <w:r>
        <w:rPr>
          <w:rFonts w:ascii="Arial" w:cs="Arial" w:eastAsia="Arial" w:hAnsi="Arial"/>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45777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77715" cy="825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2"/>
              </w:rPr>
              <w:t>Three Months Ended</w:t>
            </w:r>
          </w:p>
        </w:tc>
        <w:tc>
          <w:tcPr>
            <w:tcW w:w="2020" w:type="dxa"/>
            <w:vAlign w:val="bottom"/>
            <w:gridSpan w:val="5"/>
          </w:tcPr>
          <w:p>
            <w:pPr>
              <w:ind w:left="100"/>
              <w:spacing w:after="0"/>
              <w:rPr>
                <w:sz w:val="20"/>
                <w:szCs w:val="20"/>
                <w:color w:val="auto"/>
              </w:rPr>
            </w:pPr>
            <w:r>
              <w:rPr>
                <w:rFonts w:ascii="Arial" w:cs="Arial" w:eastAsia="Arial" w:hAnsi="Arial"/>
                <w:sz w:val="18"/>
                <w:szCs w:val="18"/>
                <w:b w:val="1"/>
                <w:bCs w:val="1"/>
                <w:color w:val="auto"/>
                <w:w w:val="93"/>
              </w:rPr>
              <w:t>Six Months Ended June</w:t>
            </w:r>
          </w:p>
        </w:tc>
        <w:tc>
          <w:tcPr>
            <w:tcW w:w="0" w:type="dxa"/>
            <w:vAlign w:val="bottom"/>
          </w:tcPr>
          <w:p>
            <w:pPr>
              <w:spacing w:after="0"/>
              <w:rPr>
                <w:sz w:val="1"/>
                <w:szCs w:val="1"/>
                <w:color w:val="auto"/>
              </w:rPr>
            </w:pPr>
          </w:p>
        </w:tc>
      </w:tr>
      <w:tr>
        <w:trPr>
          <w:trHeight w:val="229"/>
        </w:trPr>
        <w:tc>
          <w:tcPr>
            <w:tcW w:w="3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June 30, 2021</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30, 2021</w:t>
            </w:r>
          </w:p>
        </w:tc>
        <w:tc>
          <w:tcPr>
            <w:tcW w:w="0" w:type="dxa"/>
            <w:vAlign w:val="bottom"/>
          </w:tcPr>
          <w:p>
            <w:pPr>
              <w:spacing w:after="0"/>
              <w:rPr>
                <w:sz w:val="1"/>
                <w:szCs w:val="1"/>
                <w:color w:val="auto"/>
              </w:rPr>
            </w:pPr>
          </w:p>
        </w:tc>
      </w:tr>
      <w:tr>
        <w:trPr>
          <w:trHeight w:val="345"/>
        </w:trPr>
        <w:tc>
          <w:tcPr>
            <w:tcW w:w="3000" w:type="dxa"/>
            <w:vAlign w:val="bottom"/>
          </w:tcPr>
          <w:p>
            <w:pPr>
              <w:spacing w:after="0"/>
              <w:rPr>
                <w:sz w:val="24"/>
                <w:szCs w:val="24"/>
                <w:color w:val="auto"/>
              </w:rPr>
            </w:pPr>
          </w:p>
        </w:tc>
        <w:tc>
          <w:tcPr>
            <w:tcW w:w="108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10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Net Sales</w:t>
            </w:r>
          </w:p>
        </w:tc>
        <w:tc>
          <w:tcPr>
            <w:tcW w:w="120" w:type="dxa"/>
            <w:vAlign w:val="bottom"/>
          </w:tcPr>
          <w:p>
            <w:pPr>
              <w:spacing w:after="0"/>
              <w:rPr>
                <w:sz w:val="24"/>
                <w:szCs w:val="24"/>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w w:val="84"/>
              </w:rPr>
              <w:t>Segment</w:t>
            </w:r>
          </w:p>
        </w:tc>
        <w:tc>
          <w:tcPr>
            <w:tcW w:w="0" w:type="dxa"/>
            <w:vAlign w:val="bottom"/>
          </w:tcPr>
          <w:p>
            <w:pPr>
              <w:spacing w:after="0"/>
              <w:rPr>
                <w:sz w:val="1"/>
                <w:szCs w:val="1"/>
                <w:color w:val="auto"/>
              </w:rPr>
            </w:pPr>
          </w:p>
        </w:tc>
      </w:tr>
      <w:tr>
        <w:trPr>
          <w:trHeight w:val="229"/>
        </w:trPr>
        <w:tc>
          <w:tcPr>
            <w:tcW w:w="3000" w:type="dxa"/>
            <w:vAlign w:val="bottom"/>
          </w:tcPr>
          <w:p>
            <w:pPr>
              <w:spacing w:after="0"/>
              <w:rPr>
                <w:sz w:val="19"/>
                <w:szCs w:val="19"/>
                <w:color w:val="auto"/>
              </w:rPr>
            </w:pPr>
          </w:p>
        </w:tc>
        <w:tc>
          <w:tcPr>
            <w:tcW w:w="108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Income</w:t>
            </w:r>
          </w:p>
        </w:tc>
        <w:tc>
          <w:tcPr>
            <w:tcW w:w="110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Income</w:t>
            </w:r>
          </w:p>
        </w:tc>
        <w:tc>
          <w:tcPr>
            <w:tcW w:w="0" w:type="dxa"/>
            <w:vAlign w:val="bottom"/>
          </w:tcPr>
          <w:p>
            <w:pPr>
              <w:spacing w:after="0"/>
              <w:rPr>
                <w:sz w:val="1"/>
                <w:szCs w:val="1"/>
                <w:color w:val="auto"/>
              </w:rPr>
            </w:pPr>
          </w:p>
        </w:tc>
      </w:tr>
      <w:tr>
        <w:trPr>
          <w:trHeight w:val="237"/>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300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3000" w:type="dxa"/>
            <w:vAlign w:val="bottom"/>
          </w:tcPr>
          <w:p>
            <w:pPr>
              <w:ind w:left="20"/>
              <w:spacing w:after="0"/>
              <w:rPr>
                <w:sz w:val="20"/>
                <w:szCs w:val="20"/>
                <w:color w:val="auto"/>
              </w:rPr>
            </w:pPr>
            <w:r>
              <w:rPr>
                <w:rFonts w:ascii="Arial" w:cs="Arial" w:eastAsia="Arial" w:hAnsi="Arial"/>
                <w:sz w:val="18"/>
                <w:szCs w:val="18"/>
                <w:color w:val="auto"/>
              </w:rPr>
              <w:t>Transit Packaging</w:t>
            </w: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740" w:right="240" w:hanging="408"/>
        <w:spacing w:after="0" w:line="228" w:lineRule="auto"/>
        <w:tabs>
          <w:tab w:leader="none" w:pos="7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multiplying or dividing, as appropriate, the current U.S. dollar results by current year average foreign exchange rates and then multiplying or dividing, as appropriate, those amounts by the applicable prior year average foreign exchange rates.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Reconciliation of Adjusted EBITDA</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2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320" w:type="dxa"/>
            <w:vAlign w:val="bottom"/>
            <w:gridSpan w:val="14"/>
          </w:tcPr>
          <w:p>
            <w:pPr>
              <w:spacing w:after="0"/>
              <w:rPr>
                <w:sz w:val="20"/>
                <w:szCs w:val="20"/>
                <w:color w:val="auto"/>
              </w:rPr>
            </w:pPr>
            <w:r>
              <w:rPr>
                <w:rFonts w:ascii="Arial" w:cs="Arial" w:eastAsia="Arial" w:hAnsi="Arial"/>
                <w:sz w:val="18"/>
                <w:szCs w:val="18"/>
                <w:b w:val="1"/>
                <w:bCs w:val="1"/>
                <w:color w:val="auto"/>
              </w:rPr>
              <w:t>With European Tinplate Reported as Discontinued Operations</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vMerge w:val="restart"/>
          </w:tcPr>
          <w:p>
            <w:pPr>
              <w:jc w:val="center"/>
              <w:ind w:right="11"/>
              <w:spacing w:after="0"/>
              <w:rPr>
                <w:sz w:val="20"/>
                <w:szCs w:val="20"/>
                <w:color w:val="auto"/>
              </w:rPr>
            </w:pPr>
            <w:r>
              <w:rPr>
                <w:rFonts w:ascii="Arial" w:cs="Arial" w:eastAsia="Arial" w:hAnsi="Arial"/>
                <w:sz w:val="18"/>
                <w:szCs w:val="18"/>
                <w:b w:val="1"/>
                <w:bCs w:val="1"/>
                <w:color w:val="auto"/>
                <w:w w:val="91"/>
              </w:rPr>
              <w:t>Pro Forma Twelve</w:t>
            </w:r>
          </w:p>
        </w:tc>
        <w:tc>
          <w:tcPr>
            <w:tcW w:w="0" w:type="dxa"/>
            <w:vAlign w:val="bottom"/>
          </w:tcPr>
          <w:p>
            <w:pPr>
              <w:spacing w:after="0" w:line="20" w:lineRule="exact"/>
              <w:rPr>
                <w:sz w:val="1"/>
                <w:szCs w:val="1"/>
                <w:color w:val="auto"/>
              </w:rPr>
            </w:pPr>
          </w:p>
        </w:tc>
      </w:tr>
      <w:tr>
        <w:trPr>
          <w:trHeight w:val="209"/>
        </w:trPr>
        <w:tc>
          <w:tcPr>
            <w:tcW w:w="2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3"/>
            <w:vMerge w:val="restart"/>
          </w:tcPr>
          <w:p>
            <w:pPr>
              <w:jc w:val="center"/>
              <w:ind w:right="360"/>
              <w:spacing w:after="0"/>
              <w:rPr>
                <w:sz w:val="20"/>
                <w:szCs w:val="20"/>
                <w:color w:val="auto"/>
              </w:rPr>
            </w:pPr>
            <w:r>
              <w:rPr>
                <w:rFonts w:ascii="Arial" w:cs="Arial" w:eastAsia="Arial" w:hAnsi="Arial"/>
                <w:sz w:val="18"/>
                <w:szCs w:val="18"/>
                <w:b w:val="1"/>
                <w:bCs w:val="1"/>
                <w:color w:val="auto"/>
                <w:w w:val="91"/>
              </w:rPr>
              <w:t>Twelve Months</w:t>
            </w:r>
          </w:p>
        </w:tc>
        <w:tc>
          <w:tcPr>
            <w:tcW w:w="10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center"/>
              <w:ind w:right="11"/>
              <w:spacing w:after="0"/>
              <w:rPr>
                <w:sz w:val="20"/>
                <w:szCs w:val="20"/>
                <w:color w:val="auto"/>
              </w:rPr>
            </w:pPr>
            <w:r>
              <w:rPr>
                <w:rFonts w:ascii="Arial" w:cs="Arial" w:eastAsia="Arial" w:hAnsi="Arial"/>
                <w:sz w:val="18"/>
                <w:szCs w:val="18"/>
                <w:b w:val="1"/>
                <w:bCs w:val="1"/>
                <w:color w:val="auto"/>
                <w:w w:val="90"/>
              </w:rPr>
              <w:t>Months</w:t>
            </w:r>
          </w:p>
        </w:tc>
        <w:tc>
          <w:tcPr>
            <w:tcW w:w="0" w:type="dxa"/>
            <w:vAlign w:val="bottom"/>
          </w:tcPr>
          <w:p>
            <w:pPr>
              <w:spacing w:after="0"/>
              <w:rPr>
                <w:sz w:val="1"/>
                <w:szCs w:val="1"/>
                <w:color w:val="auto"/>
              </w:rPr>
            </w:pPr>
          </w:p>
        </w:tc>
      </w:tr>
      <w:tr>
        <w:trPr>
          <w:trHeight w:val="226"/>
        </w:trPr>
        <w:tc>
          <w:tcPr>
            <w:tcW w:w="2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9"/>
                <w:szCs w:val="19"/>
                <w:color w:val="auto"/>
              </w:rPr>
            </w:pPr>
          </w:p>
        </w:tc>
        <w:tc>
          <w:tcPr>
            <w:tcW w:w="1560" w:type="dxa"/>
            <w:vAlign w:val="bottom"/>
          </w:tcPr>
          <w:p>
            <w:pPr>
              <w:jc w:val="center"/>
              <w:ind w:right="11"/>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184"/>
        </w:trPr>
        <w:tc>
          <w:tcPr>
            <w:tcW w:w="2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40"/>
              <w:spacing w:after="0" w:line="183" w:lineRule="exact"/>
              <w:rPr>
                <w:sz w:val="20"/>
                <w:szCs w:val="20"/>
                <w:color w:val="auto"/>
              </w:rPr>
            </w:pPr>
            <w:r>
              <w:rPr>
                <w:rFonts w:ascii="Arial" w:cs="Arial" w:eastAsia="Arial" w:hAnsi="Arial"/>
                <w:sz w:val="18"/>
                <w:szCs w:val="18"/>
                <w:b w:val="1"/>
                <w:bCs w:val="1"/>
                <w:color w:val="auto"/>
              </w:rPr>
              <w:t>June YTD</w:t>
            </w:r>
          </w:p>
        </w:tc>
        <w:tc>
          <w:tcPr>
            <w:tcW w:w="160" w:type="dxa"/>
            <w:vAlign w:val="bottom"/>
          </w:tcPr>
          <w:p>
            <w:pPr>
              <w:spacing w:after="0"/>
              <w:rPr>
                <w:sz w:val="15"/>
                <w:szCs w:val="15"/>
                <w:color w:val="auto"/>
              </w:rPr>
            </w:pPr>
          </w:p>
        </w:tc>
        <w:tc>
          <w:tcPr>
            <w:tcW w:w="1200" w:type="dxa"/>
            <w:vAlign w:val="bottom"/>
            <w:gridSpan w:val="2"/>
          </w:tcPr>
          <w:p>
            <w:pPr>
              <w:ind w:left="40"/>
              <w:spacing w:after="0" w:line="183" w:lineRule="exact"/>
              <w:rPr>
                <w:sz w:val="20"/>
                <w:szCs w:val="20"/>
                <w:color w:val="auto"/>
              </w:rPr>
            </w:pPr>
            <w:r>
              <w:rPr>
                <w:rFonts w:ascii="Arial" w:cs="Arial" w:eastAsia="Arial" w:hAnsi="Arial"/>
                <w:sz w:val="18"/>
                <w:szCs w:val="18"/>
                <w:b w:val="1"/>
                <w:bCs w:val="1"/>
                <w:color w:val="auto"/>
              </w:rPr>
              <w:t>June YTD</w:t>
            </w:r>
          </w:p>
        </w:tc>
        <w:tc>
          <w:tcPr>
            <w:tcW w:w="146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Full Year 2020</w:t>
            </w:r>
          </w:p>
        </w:tc>
        <w:tc>
          <w:tcPr>
            <w:tcW w:w="180" w:type="dxa"/>
            <w:vAlign w:val="bottom"/>
          </w:tcPr>
          <w:p>
            <w:pPr>
              <w:spacing w:after="0"/>
              <w:rPr>
                <w:sz w:val="15"/>
                <w:szCs w:val="15"/>
                <w:color w:val="auto"/>
              </w:rPr>
            </w:pPr>
          </w:p>
        </w:tc>
        <w:tc>
          <w:tcPr>
            <w:tcW w:w="1700" w:type="dxa"/>
            <w:vAlign w:val="bottom"/>
            <w:gridSpan w:val="3"/>
          </w:tcPr>
          <w:p>
            <w:pPr>
              <w:jc w:val="center"/>
              <w:ind w:right="380"/>
              <w:spacing w:after="0" w:line="183" w:lineRule="exact"/>
              <w:rPr>
                <w:sz w:val="20"/>
                <w:szCs w:val="20"/>
                <w:color w:val="auto"/>
              </w:rPr>
            </w:pPr>
            <w:r>
              <w:rPr>
                <w:rFonts w:ascii="Arial" w:cs="Arial" w:eastAsia="Arial" w:hAnsi="Arial"/>
                <w:sz w:val="18"/>
                <w:szCs w:val="18"/>
                <w:b w:val="1"/>
                <w:bCs w:val="1"/>
                <w:color w:val="auto"/>
                <w:w w:val="88"/>
              </w:rPr>
              <w:t>June 30, 2021</w:t>
            </w:r>
          </w:p>
        </w:tc>
        <w:tc>
          <w:tcPr>
            <w:tcW w:w="100" w:type="dxa"/>
            <w:vAlign w:val="bottom"/>
          </w:tcPr>
          <w:p>
            <w:pPr>
              <w:spacing w:after="0"/>
              <w:rPr>
                <w:sz w:val="15"/>
                <w:szCs w:val="15"/>
                <w:color w:val="auto"/>
              </w:rPr>
            </w:pPr>
          </w:p>
        </w:tc>
        <w:tc>
          <w:tcPr>
            <w:tcW w:w="1560" w:type="dxa"/>
            <w:vAlign w:val="bottom"/>
          </w:tcPr>
          <w:p>
            <w:pPr>
              <w:jc w:val="center"/>
              <w:ind w:right="11"/>
              <w:spacing w:after="0" w:line="184" w:lineRule="exact"/>
              <w:rPr>
                <w:sz w:val="20"/>
                <w:szCs w:val="20"/>
                <w:color w:val="auto"/>
              </w:rPr>
            </w:pPr>
            <w:r>
              <w:rPr>
                <w:rFonts w:ascii="Arial" w:cs="Arial" w:eastAsia="Arial" w:hAnsi="Arial"/>
                <w:sz w:val="17"/>
                <w:szCs w:val="17"/>
                <w:b w:val="1"/>
                <w:bCs w:val="1"/>
                <w:color w:val="auto"/>
                <w:w w:val="92"/>
              </w:rPr>
              <w:t>June 30, 2021</w:t>
            </w:r>
            <w:r>
              <w:rPr>
                <w:rFonts w:ascii="Arial" w:cs="Arial" w:eastAsia="Arial" w:hAnsi="Arial"/>
                <w:sz w:val="21"/>
                <w:szCs w:val="21"/>
                <w:b w:val="1"/>
                <w:bCs w:val="1"/>
                <w:color w:val="auto"/>
                <w:w w:val="92"/>
                <w:vertAlign w:val="superscript"/>
              </w:rPr>
              <w:t>(2)</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4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712</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426</w:t>
            </w:r>
          </w:p>
        </w:tc>
        <w:tc>
          <w:tcPr>
            <w:tcW w:w="2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1,048</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1,334</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1,609</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Add:</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Intangibles amortization</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and other</w:t>
            </w:r>
          </w:p>
        </w:tc>
        <w:tc>
          <w:tcPr>
            <w:tcW w:w="4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income</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w:t>
            </w:r>
          </w:p>
        </w:tc>
        <w:tc>
          <w:tcPr>
            <w:tcW w:w="4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904</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645</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1,500</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1,759</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2,081</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8,049</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w:t>
            </w:r>
          </w:p>
        </w:tc>
        <w:tc>
          <w:tcPr>
            <w:tcW w:w="4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debt at June 30</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7,483</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leverage ratio</w:t>
            </w: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3.6x</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740" w:hanging="40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amounts as if European Tinplate was not reported as discontinued operations.</w:t>
      </w:r>
    </w:p>
    <w:p>
      <w:pPr>
        <w:sectPr>
          <w:pgSz w:w="11900" w:h="16838" w:orient="portrait"/>
          <w:cols w:equalWidth="0" w:num="1">
            <w:col w:w="11180"/>
          </w:cols>
          <w:pgMar w:left="320" w:top="59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 of 11</w:t>
      </w:r>
    </w:p>
    <w:sectPr>
      <w:pgSz w:w="11900" w:h="16838" w:orient="portrait"/>
      <w:cols w:equalWidth="0" w:num="1">
        <w:col w:w="11180"/>
      </w:cols>
      <w:pgMar w:left="320" w:top="595"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99"/>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5"/>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2021-07-19T15:40:25Z</dcterms:created>
  <dcterms:modified xsi:type="dcterms:W3CDTF">2021-07-19T15:40:25Z</dcterms:modified>
</cp:coreProperties>
</file>