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7, 2022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3180" w:type="dxa"/>
            <w:vAlign w:val="bottom"/>
          </w:tcPr>
          <w:p>
            <w:pPr>
              <w:jc w:val="center"/>
              <w:ind w:right="870"/>
              <w:spacing w:after="0"/>
              <w:rPr>
                <w:sz w:val="20"/>
                <w:szCs w:val="20"/>
                <w:color w:val="auto"/>
              </w:rPr>
            </w:pPr>
            <w:r>
              <w:rPr>
                <w:rFonts w:ascii="Arial" w:cs="Arial" w:eastAsia="Arial" w:hAnsi="Arial"/>
                <w:sz w:val="18"/>
                <w:szCs w:val="18"/>
                <w:b w:val="1"/>
                <w:bCs w:val="1"/>
                <w:color w:val="auto"/>
                <w:w w:val="88"/>
              </w:rPr>
              <w:t>Pennsylvania</w:t>
            </w:r>
          </w:p>
        </w:tc>
        <w:tc>
          <w:tcPr>
            <w:tcW w:w="3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000-50189</w:t>
            </w:r>
          </w:p>
        </w:tc>
        <w:tc>
          <w:tcPr>
            <w:tcW w:w="2540" w:type="dxa"/>
            <w:vAlign w:val="bottom"/>
          </w:tcPr>
          <w:p>
            <w:pPr>
              <w:jc w:val="center"/>
              <w:ind w:left="1110"/>
              <w:spacing w:after="0"/>
              <w:rPr>
                <w:sz w:val="20"/>
                <w:szCs w:val="20"/>
                <w:color w:val="auto"/>
              </w:rPr>
            </w:pPr>
            <w:r>
              <w:rPr>
                <w:rFonts w:ascii="Arial" w:cs="Arial" w:eastAsia="Arial" w:hAnsi="Arial"/>
                <w:sz w:val="18"/>
                <w:szCs w:val="18"/>
                <w:b w:val="1"/>
                <w:bCs w:val="1"/>
                <w:color w:val="auto"/>
                <w:w w:val="89"/>
              </w:rPr>
              <w:t>75-3099507</w:t>
            </w:r>
          </w:p>
        </w:tc>
      </w:tr>
      <w:tr>
        <w:trPr>
          <w:trHeight w:val="176"/>
        </w:trPr>
        <w:tc>
          <w:tcPr>
            <w:tcW w:w="3180" w:type="dxa"/>
            <w:vAlign w:val="bottom"/>
          </w:tcPr>
          <w:p>
            <w:pPr>
              <w:jc w:val="center"/>
              <w:ind w:right="89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1"/>
              </w:rPr>
              <w:t>(Commission</w:t>
            </w:r>
          </w:p>
        </w:tc>
        <w:tc>
          <w:tcPr>
            <w:tcW w:w="2540" w:type="dxa"/>
            <w:vAlign w:val="bottom"/>
          </w:tcPr>
          <w:p>
            <w:pPr>
              <w:jc w:val="center"/>
              <w:ind w:left="111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3180" w:type="dxa"/>
            <w:vAlign w:val="bottom"/>
          </w:tcPr>
          <w:p>
            <w:pPr>
              <w:jc w:val="center"/>
              <w:ind w:right="890"/>
              <w:spacing w:after="0"/>
              <w:rPr>
                <w:sz w:val="20"/>
                <w:szCs w:val="20"/>
                <w:color w:val="auto"/>
              </w:rPr>
            </w:pPr>
            <w:r>
              <w:rPr>
                <w:rFonts w:ascii="Arial" w:cs="Arial" w:eastAsia="Arial" w:hAnsi="Arial"/>
                <w:sz w:val="18"/>
                <w:szCs w:val="18"/>
                <w:color w:val="auto"/>
                <w:w w:val="91"/>
              </w:rPr>
              <w:t>Incorporation or Organization)</w:t>
            </w:r>
          </w:p>
        </w:tc>
        <w:tc>
          <w:tcPr>
            <w:tcW w:w="31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2540" w:type="dxa"/>
            <w:vAlign w:val="bottom"/>
          </w:tcPr>
          <w:p>
            <w:pPr>
              <w:jc w:val="center"/>
              <w:ind w:left="1110"/>
              <w:spacing w:after="0"/>
              <w:rPr>
                <w:sz w:val="20"/>
                <w:szCs w:val="20"/>
                <w:color w:val="auto"/>
              </w:rPr>
            </w:pPr>
            <w:r>
              <w:rPr>
                <w:rFonts w:ascii="Arial" w:cs="Arial" w:eastAsia="Arial" w:hAnsi="Arial"/>
                <w:sz w:val="18"/>
                <w:szCs w:val="18"/>
                <w:color w:val="auto"/>
                <w:w w:val="95"/>
              </w:rPr>
              <w:t>Identification No.)</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84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Trading Symbols</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220" w:type="dxa"/>
            <w:vAlign w:val="bottom"/>
            <w:gridSpan w:val="2"/>
          </w:tcPr>
          <w:p>
            <w:pPr>
              <w:spacing w:after="0"/>
              <w:rPr>
                <w:sz w:val="18"/>
                <w:szCs w:val="18"/>
                <w:color w:val="auto"/>
              </w:rPr>
            </w:pPr>
          </w:p>
        </w:tc>
      </w:tr>
      <w:tr>
        <w:trPr>
          <w:trHeight w:val="206"/>
        </w:trPr>
        <w:tc>
          <w:tcPr>
            <w:tcW w:w="260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840" w:type="dxa"/>
            <w:vAlign w:val="bottom"/>
          </w:tcPr>
          <w:p>
            <w:pPr>
              <w:ind w:left="500"/>
              <w:spacing w:after="0"/>
              <w:rPr>
                <w:sz w:val="20"/>
                <w:szCs w:val="20"/>
                <w:color w:val="auto"/>
              </w:rPr>
            </w:pPr>
            <w:r>
              <w:rPr>
                <w:rFonts w:ascii="Arial" w:cs="Arial" w:eastAsia="Arial" w:hAnsi="Arial"/>
                <w:sz w:val="16"/>
                <w:szCs w:val="16"/>
                <w:color w:val="auto"/>
              </w:rPr>
              <w:t>CCK</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840" w:type="dxa"/>
            <w:vAlign w:val="bottom"/>
          </w:tcPr>
          <w:p>
            <w:pPr>
              <w:ind w:left="500"/>
              <w:spacing w:after="0"/>
              <w:rPr>
                <w:sz w:val="20"/>
                <w:szCs w:val="20"/>
                <w:color w:val="auto"/>
              </w:rPr>
            </w:pPr>
            <w:r>
              <w:rPr>
                <w:rFonts w:ascii="Arial" w:cs="Arial" w:eastAsia="Arial" w:hAnsi="Arial"/>
                <w:sz w:val="16"/>
                <w:szCs w:val="16"/>
                <w:color w:val="auto"/>
              </w:rPr>
              <w:t>CCK26</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60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840" w:type="dxa"/>
            <w:vAlign w:val="bottom"/>
          </w:tcPr>
          <w:p>
            <w:pPr>
              <w:ind w:left="500"/>
              <w:spacing w:after="0"/>
              <w:rPr>
                <w:sz w:val="20"/>
                <w:szCs w:val="20"/>
                <w:color w:val="auto"/>
              </w:rPr>
            </w:pPr>
            <w:r>
              <w:rPr>
                <w:rFonts w:ascii="Arial" w:cs="Arial" w:eastAsia="Arial" w:hAnsi="Arial"/>
                <w:sz w:val="16"/>
                <w:szCs w:val="16"/>
                <w:color w:val="auto"/>
              </w:rPr>
              <w:t>CCK96</w:t>
            </w:r>
          </w:p>
        </w:tc>
        <w:tc>
          <w:tcPr>
            <w:tcW w:w="6800" w:type="dxa"/>
            <w:vAlign w:val="bottom"/>
            <w:gridSpan w:val="3"/>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6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979"/>
        </w:trPr>
        <w:tc>
          <w:tcPr>
            <w:tcW w:w="26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92"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5 - CORPORATE GOVERNANCE AND MANAGEMENT</w:t>
      </w:r>
    </w:p>
    <w:p>
      <w:pPr>
        <w:spacing w:after="0" w:line="81" w:lineRule="exact"/>
        <w:rPr>
          <w:sz w:val="20"/>
          <w:szCs w:val="20"/>
          <w:color w:val="auto"/>
        </w:rPr>
      </w:pPr>
    </w:p>
    <w:p>
      <w:pPr>
        <w:ind w:right="66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4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On January 7, 2022, Crown Holdings, Inc. (the "Company") entered into an employment agreement with its Senior Vice President and Chief Financial Officer Kevin C. Clothier (the "Employment Agreement") in connection with Mr. Clothier's promotion to Chief Financial Officer of the Company. The material terms of the Employment Agreement, which became effective January 1, 2022, are summarized below.</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Term. </w:t>
      </w:r>
      <w:r>
        <w:rPr>
          <w:rFonts w:ascii="Arial" w:cs="Arial" w:eastAsia="Arial" w:hAnsi="Arial"/>
          <w:sz w:val="20"/>
          <w:szCs w:val="20"/>
          <w:color w:val="auto"/>
        </w:rPr>
        <w:t>Mr. Clothier's initial term shall be for a period of one year and shall automatically renew for one year terms unless either party gives</w:t>
      </w:r>
      <w:r>
        <w:rPr>
          <w:rFonts w:ascii="Arial" w:cs="Arial" w:eastAsia="Arial" w:hAnsi="Arial"/>
          <w:sz w:val="20"/>
          <w:szCs w:val="20"/>
          <w:i w:val="1"/>
          <w:iCs w:val="1"/>
          <w:color w:val="auto"/>
        </w:rPr>
        <w:t xml:space="preserve"> </w:t>
      </w:r>
      <w:r>
        <w:rPr>
          <w:rFonts w:ascii="Arial" w:cs="Arial" w:eastAsia="Arial" w:hAnsi="Arial"/>
          <w:sz w:val="20"/>
          <w:szCs w:val="20"/>
          <w:color w:val="auto"/>
        </w:rPr>
        <w:t>written notice at least thirty days prior to any automatic renewal.</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Base Salary and Bonus</w:t>
      </w:r>
      <w:r>
        <w:rPr>
          <w:rFonts w:ascii="Arial" w:cs="Arial" w:eastAsia="Arial" w:hAnsi="Arial"/>
          <w:sz w:val="18"/>
          <w:szCs w:val="18"/>
          <w:color w:val="auto"/>
        </w:rPr>
        <w:t>. Mr. Clothier's starting annual base salary will be $535,000. Mr. Clothier's base salary will be reviewed and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as appropriate in accordance with the Company's regular compensation review practices. Additionally, Mr. Clothier will be eligible for a cash bonus in an amount to be determined in accordance with the Company's existing annual cash incentive bonus plan or any successor plan. Mr. Clothier is also eligible to participate in the Company's Restoration Plan and the Company's equity-based incentive plans.</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Other Benefits</w:t>
      </w:r>
      <w:r>
        <w:rPr>
          <w:rFonts w:ascii="Arial" w:cs="Arial" w:eastAsia="Arial" w:hAnsi="Arial"/>
          <w:sz w:val="20"/>
          <w:szCs w:val="20"/>
          <w:color w:val="auto"/>
        </w:rPr>
        <w:t>. Mr. Clothier will be eligible to participate in the Company's employee benefit plans and programs on the same terms and</w:t>
      </w:r>
      <w:r>
        <w:rPr>
          <w:rFonts w:ascii="Arial" w:cs="Arial" w:eastAsia="Arial" w:hAnsi="Arial"/>
          <w:sz w:val="20"/>
          <w:szCs w:val="20"/>
          <w:i w:val="1"/>
          <w:iCs w:val="1"/>
          <w:color w:val="auto"/>
        </w:rPr>
        <w:t xml:space="preserve"> </w:t>
      </w:r>
      <w:r>
        <w:rPr>
          <w:rFonts w:ascii="Arial" w:cs="Arial" w:eastAsia="Arial" w:hAnsi="Arial"/>
          <w:sz w:val="20"/>
          <w:szCs w:val="20"/>
          <w:color w:val="auto"/>
        </w:rPr>
        <w:t>conditions as apply to the Company's salaried personnel generally, as in effect from time to time.</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Severance Terms. </w:t>
      </w:r>
      <w:r>
        <w:rPr>
          <w:rFonts w:ascii="Arial" w:cs="Arial" w:eastAsia="Arial" w:hAnsi="Arial"/>
          <w:sz w:val="16"/>
          <w:szCs w:val="16"/>
          <w:color w:val="auto"/>
        </w:rPr>
        <w:t>Upon termination of Mr. Clothier's employment by the Company without "cause" prior to a change in control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Mr. Clothier will be entitled to any unpaid base salary earned through the date of termination; a pro-rata incentive bonus for the year of termination determined based on the actual bonus, if any, he would have been paid for such year absent such termination; a lump-sum payment equal to his then-current base salary; and such retirement and other benefits earned and vested as of the date of his termination. Upon termination of Mr. Clothier's employment by the Company without "cause" or by Mr. Clothier for "good reason," in either case, during the 12-month period following a change in control of the Company, Mr. Clothier will be entitled to any unpaid base salary earned through the date of termination; a lump-sum payment equal to three times the sum of his then-current base salary and his average annual bonus for the three completed years prior to the year of such termination of employment, such retirement and other benefits earned and vested as of the date of his termination, and accelerated vesting and exercisability, as applicable, of all outstanding stock options and restricted stock.</w:t>
      </w:r>
    </w:p>
    <w:p>
      <w:pPr>
        <w:spacing w:after="0" w:line="200" w:lineRule="exact"/>
        <w:rPr>
          <w:sz w:val="20"/>
          <w:szCs w:val="20"/>
          <w:color w:val="auto"/>
        </w:rPr>
      </w:pP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foregoing description of the Employment Agreement is qualified in its entirety by reference to the full text of the Agreement, which is filed as Exhibit 10.1 to this Current Report on Form 8-K and is incorporated by reference herein.</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Exhibits.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furnished as an exhibit to this report.</w:t>
      </w:r>
    </w:p>
    <w:p>
      <w:pPr>
        <w:spacing w:after="0" w:line="94"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10.1 </w:t>
      </w:r>
      <w:hyperlink w:anchor="page4">
        <w:r>
          <w:rPr>
            <w:rFonts w:ascii="Arial" w:cs="Arial" w:eastAsia="Arial" w:hAnsi="Arial"/>
            <w:sz w:val="20"/>
            <w:szCs w:val="20"/>
            <w:u w:val="single" w:color="auto"/>
            <w:color w:val="0000FF"/>
          </w:rPr>
          <w:t>Employment Agreement, dated January 7, 2022, between Crown Holdings, Inc. and Kevin C. Clothier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8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By: /s/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308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Christy L. Kalaus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Dated: January 11, 2022</w:t>
      </w:r>
    </w:p>
    <w:p>
      <w:pPr>
        <w:sectPr>
          <w:pgSz w:w="11900" w:h="16838" w:orient="portrait"/>
          <w:cols w:equalWidth="0" w:num="1">
            <w:col w:w="11240"/>
          </w:cols>
          <w:pgMar w:left="320" w:top="1320"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2"/>
          <w:szCs w:val="22"/>
          <w:color w:val="auto"/>
        </w:rPr>
        <w:t>EXECUTIVE EMPLOYMENT AGREEMENT</w:t>
      </w:r>
    </w:p>
    <w:p>
      <w:pPr>
        <w:ind w:right="260" w:firstLine="1296"/>
        <w:spacing w:after="0" w:line="293" w:lineRule="auto"/>
        <w:rPr>
          <w:sz w:val="20"/>
          <w:szCs w:val="20"/>
          <w:color w:val="auto"/>
        </w:rPr>
      </w:pPr>
      <w:r>
        <w:rPr>
          <w:rFonts w:ascii="Arial" w:cs="Arial" w:eastAsia="Arial" w:hAnsi="Arial"/>
          <w:sz w:val="19"/>
          <w:szCs w:val="19"/>
          <w:color w:val="auto"/>
        </w:rPr>
        <w:t>THIS IS AN EMPLOYMENT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effective January 1, 2022, (“</w:t>
      </w:r>
      <w:r>
        <w:rPr>
          <w:rFonts w:ascii="Arial" w:cs="Arial" w:eastAsia="Arial" w:hAnsi="Arial"/>
          <w:sz w:val="19"/>
          <w:szCs w:val="19"/>
          <w:u w:val="single" w:color="auto"/>
          <w:color w:val="auto"/>
        </w:rPr>
        <w:t>Effective Date</w:t>
      </w:r>
      <w:r>
        <w:rPr>
          <w:rFonts w:ascii="Arial" w:cs="Arial" w:eastAsia="Arial" w:hAnsi="Arial"/>
          <w:sz w:val="19"/>
          <w:szCs w:val="19"/>
          <w:color w:val="auto"/>
        </w:rPr>
        <w:t>”) between Crown Holdings, Inc. (“</w:t>
      </w:r>
      <w:r>
        <w:rPr>
          <w:rFonts w:ascii="Arial" w:cs="Arial" w:eastAsia="Arial" w:hAnsi="Arial"/>
          <w:sz w:val="19"/>
          <w:szCs w:val="19"/>
          <w:u w:val="single" w:color="auto"/>
          <w:color w:val="auto"/>
        </w:rPr>
        <w:t>Crown</w:t>
      </w:r>
      <w:r>
        <w:rPr>
          <w:rFonts w:ascii="Arial" w:cs="Arial" w:eastAsia="Arial" w:hAnsi="Arial"/>
          <w:sz w:val="19"/>
          <w:szCs w:val="19"/>
          <w:color w:val="auto"/>
        </w:rPr>
        <w:t>” and, with its subsidiaries, the “</w:t>
      </w:r>
      <w:r>
        <w:rPr>
          <w:rFonts w:ascii="Arial" w:cs="Arial" w:eastAsia="Arial" w:hAnsi="Arial"/>
          <w:sz w:val="19"/>
          <w:szCs w:val="19"/>
          <w:u w:val="single" w:color="auto"/>
          <w:color w:val="auto"/>
        </w:rPr>
        <w:t>Company</w:t>
      </w:r>
      <w:r>
        <w:rPr>
          <w:rFonts w:ascii="Arial" w:cs="Arial" w:eastAsia="Arial" w:hAnsi="Arial"/>
          <w:sz w:val="19"/>
          <w:szCs w:val="19"/>
          <w:color w:val="auto"/>
        </w:rPr>
        <w:t>”), and Kevin C. Clothier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151" w:lineRule="exact"/>
        <w:rPr>
          <w:sz w:val="20"/>
          <w:szCs w:val="20"/>
          <w:color w:val="auto"/>
        </w:rPr>
      </w:pPr>
    </w:p>
    <w:p>
      <w:pPr>
        <w:ind w:left="5100"/>
        <w:spacing w:after="0"/>
        <w:rPr>
          <w:sz w:val="20"/>
          <w:szCs w:val="20"/>
          <w:color w:val="auto"/>
        </w:rPr>
      </w:pPr>
      <w:r>
        <w:rPr>
          <w:rFonts w:ascii="Arial" w:cs="Arial" w:eastAsia="Arial" w:hAnsi="Arial"/>
          <w:sz w:val="22"/>
          <w:szCs w:val="22"/>
          <w:u w:val="single" w:color="auto"/>
          <w:color w:val="auto"/>
        </w:rPr>
        <w:t>Background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Executive is currently employed by the Company.</w:t>
      </w:r>
    </w:p>
    <w:p>
      <w:pPr>
        <w:spacing w:after="0" w:line="220" w:lineRule="exact"/>
        <w:rPr>
          <w:sz w:val="20"/>
          <w:szCs w:val="20"/>
          <w:color w:val="auto"/>
        </w:rPr>
      </w:pPr>
    </w:p>
    <w:p>
      <w:pPr>
        <w:ind w:right="800" w:firstLine="1296"/>
        <w:spacing w:after="0" w:line="313" w:lineRule="auto"/>
        <w:rPr>
          <w:sz w:val="20"/>
          <w:szCs w:val="20"/>
          <w:color w:val="auto"/>
        </w:rPr>
      </w:pPr>
      <w:r>
        <w:rPr>
          <w:rFonts w:ascii="Arial" w:cs="Arial" w:eastAsia="Arial" w:hAnsi="Arial"/>
          <w:sz w:val="19"/>
          <w:szCs w:val="19"/>
          <w:color w:val="auto"/>
        </w:rPr>
        <w:t>WHEREAS, the Company desires to assure itself of the continued employment of the Executive with the Company and to encourage his continued attention and dedication to the best interests of the Company.</w:t>
      </w:r>
    </w:p>
    <w:p>
      <w:pPr>
        <w:spacing w:after="0" w:line="132" w:lineRule="exact"/>
        <w:rPr>
          <w:sz w:val="20"/>
          <w:szCs w:val="20"/>
          <w:color w:val="auto"/>
        </w:rPr>
      </w:pPr>
    </w:p>
    <w:p>
      <w:pPr>
        <w:ind w:right="40" w:firstLine="1296"/>
        <w:spacing w:after="0" w:line="239" w:lineRule="auto"/>
        <w:rPr>
          <w:sz w:val="20"/>
          <w:szCs w:val="20"/>
          <w:color w:val="auto"/>
        </w:rPr>
      </w:pPr>
      <w:r>
        <w:rPr>
          <w:rFonts w:ascii="Arial" w:cs="Arial" w:eastAsia="Arial" w:hAnsi="Arial"/>
          <w:sz w:val="22"/>
          <w:szCs w:val="22"/>
          <w:color w:val="auto"/>
        </w:rPr>
        <w:t>WHEREAS, the Executive desires to remain and continue in the employment of the Company in accordance with the terms of this Agreement.</w:t>
      </w:r>
    </w:p>
    <w:p>
      <w:pPr>
        <w:spacing w:after="0" w:line="198" w:lineRule="exact"/>
        <w:rPr>
          <w:sz w:val="20"/>
          <w:szCs w:val="20"/>
          <w:color w:val="auto"/>
        </w:rPr>
      </w:pPr>
    </w:p>
    <w:p>
      <w:pPr>
        <w:ind w:firstLine="1296"/>
        <w:spacing w:after="0" w:line="239" w:lineRule="auto"/>
        <w:rPr>
          <w:sz w:val="20"/>
          <w:szCs w:val="20"/>
          <w:color w:val="auto"/>
        </w:rPr>
      </w:pPr>
      <w:r>
        <w:rPr>
          <w:rFonts w:ascii="Arial" w:cs="Arial" w:eastAsia="Arial" w:hAnsi="Arial"/>
          <w:sz w:val="22"/>
          <w:szCs w:val="22"/>
          <w:color w:val="auto"/>
        </w:rPr>
        <w:t>NOW, THEREFORE, in consideration of the promises and mutual covenants contained herein and intending to be legally bound hereby, the parties agree as follows: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Terms</w:t>
      </w:r>
    </w:p>
    <w:p>
      <w:pPr>
        <w:ind w:left="1300" w:right="1820" w:hanging="968"/>
        <w:spacing w:after="0" w:line="230" w:lineRule="auto"/>
        <w:tabs>
          <w:tab w:leader="none" w:pos="652"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Agreement, the following terms shall have the meanings set forth below: 1.1 “</w:t>
      </w:r>
      <w:r>
        <w:rPr>
          <w:rFonts w:ascii="Arial" w:cs="Arial" w:eastAsia="Arial" w:hAnsi="Arial"/>
          <w:sz w:val="22"/>
          <w:szCs w:val="22"/>
          <w:u w:val="single" w:color="auto"/>
          <w:color w:val="auto"/>
        </w:rPr>
        <w:t>Board</w:t>
      </w:r>
      <w:r>
        <w:rPr>
          <w:rFonts w:ascii="Arial" w:cs="Arial" w:eastAsia="Arial" w:hAnsi="Arial"/>
          <w:sz w:val="22"/>
          <w:szCs w:val="22"/>
          <w:color w:val="auto"/>
        </w:rPr>
        <w:t>” shall mean the Board of Directors of Crown.</w:t>
      </w:r>
    </w:p>
    <w:p>
      <w:pPr>
        <w:spacing w:after="0" w:line="199"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the termination of the Executive’s employment with the Company as a result of:</w:t>
      </w:r>
    </w:p>
    <w:p>
      <w:pPr>
        <w:spacing w:after="0" w:line="220" w:lineRule="exact"/>
        <w:rPr>
          <w:sz w:val="20"/>
          <w:szCs w:val="20"/>
          <w:color w:val="auto"/>
        </w:rPr>
      </w:pPr>
    </w:p>
    <w:p>
      <w:pPr>
        <w:ind w:left="260" w:right="80" w:firstLine="1773"/>
        <w:spacing w:after="0" w:line="313" w:lineRule="auto"/>
        <w:tabs>
          <w:tab w:leader="none" w:pos="2552"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Executive’s willful failure to perform such services as may be reasonably delegated or assigned to the Executive by the Board, Crown’s Chief Executive Officer or any other executive to whom the Executive reports;</w:t>
      </w:r>
    </w:p>
    <w:p>
      <w:pPr>
        <w:spacing w:after="0" w:line="132" w:lineRule="exact"/>
        <w:rPr>
          <w:rFonts w:ascii="Arial" w:cs="Arial" w:eastAsia="Arial" w:hAnsi="Arial"/>
          <w:sz w:val="19"/>
          <w:szCs w:val="19"/>
          <w:color w:val="auto"/>
        </w:rPr>
      </w:pPr>
    </w:p>
    <w:p>
      <w:pPr>
        <w:jc w:val="both"/>
        <w:ind w:left="260" w:right="200" w:firstLine="1773"/>
        <w:spacing w:after="0" w:line="231" w:lineRule="auto"/>
        <w:tabs>
          <w:tab w:leader="none" w:pos="256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continued failure by the Executive to devote his full-time best effort to the performance of his duties under the Agreement (other than any such failure resulting from the Executive’s incapacity due to physical or mental illness);</w:t>
      </w:r>
    </w:p>
    <w:p>
      <w:pPr>
        <w:spacing w:after="0" w:line="201" w:lineRule="exact"/>
        <w:rPr>
          <w:rFonts w:ascii="Arial" w:cs="Arial" w:eastAsia="Arial" w:hAnsi="Arial"/>
          <w:sz w:val="22"/>
          <w:szCs w:val="22"/>
          <w:color w:val="auto"/>
        </w:rPr>
      </w:pPr>
    </w:p>
    <w:p>
      <w:pPr>
        <w:ind w:left="2320" w:hanging="287"/>
        <w:spacing w:after="0"/>
        <w:tabs>
          <w:tab w:leader="none" w:pos="2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breach by the Executive of any provision of Sections 6, 7, 8 or 9 hereof;</w:t>
      </w:r>
    </w:p>
    <w:p>
      <w:pPr>
        <w:spacing w:after="0" w:line="219" w:lineRule="exact"/>
        <w:rPr>
          <w:rFonts w:ascii="Arial" w:cs="Arial" w:eastAsia="Arial" w:hAnsi="Arial"/>
          <w:sz w:val="22"/>
          <w:szCs w:val="22"/>
          <w:color w:val="auto"/>
        </w:rPr>
      </w:pPr>
    </w:p>
    <w:p>
      <w:pPr>
        <w:ind w:left="260" w:right="100" w:firstLine="1773"/>
        <w:spacing w:after="0" w:line="239" w:lineRule="auto"/>
        <w:tabs>
          <w:tab w:leader="none" w:pos="256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willful engaging by the Executive in misconduct which is materially injurious to the Company, monetarily or otherwise; or</w:t>
      </w:r>
    </w:p>
    <w:p>
      <w:pPr>
        <w:spacing w:after="0" w:line="198" w:lineRule="exact"/>
        <w:rPr>
          <w:rFonts w:ascii="Arial" w:cs="Arial" w:eastAsia="Arial" w:hAnsi="Arial"/>
          <w:sz w:val="22"/>
          <w:szCs w:val="22"/>
          <w:color w:val="auto"/>
        </w:rPr>
      </w:pPr>
    </w:p>
    <w:p>
      <w:pPr>
        <w:ind w:left="2540" w:hanging="507"/>
        <w:spacing w:after="0"/>
        <w:tabs>
          <w:tab w:leader="none" w:pos="2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the Executive’s conviction of, or a plea of </w:t>
      </w:r>
      <w:r>
        <w:rPr>
          <w:rFonts w:ascii="Arial" w:cs="Arial" w:eastAsia="Arial" w:hAnsi="Arial"/>
          <w:sz w:val="19"/>
          <w:szCs w:val="19"/>
          <w:u w:val="single" w:color="auto"/>
          <w:color w:val="auto"/>
        </w:rPr>
        <w:t>nolo contendere</w:t>
      </w:r>
      <w:r>
        <w:rPr>
          <w:rFonts w:ascii="Arial" w:cs="Arial" w:eastAsia="Arial" w:hAnsi="Arial"/>
          <w:sz w:val="19"/>
          <w:szCs w:val="19"/>
          <w:color w:val="auto"/>
        </w:rPr>
        <w:t xml:space="preserve"> to, a felony or a crime involving moral</w:t>
      </w:r>
    </w:p>
    <w:p>
      <w:pPr>
        <w:spacing w:after="0" w:line="29"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22"/>
          <w:szCs w:val="22"/>
          <w:color w:val="auto"/>
        </w:rPr>
        <w:t>turpitude.</w:t>
      </w:r>
    </w:p>
    <w:p>
      <w:pPr>
        <w:spacing w:after="0" w:line="20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mean any of the following events:</w:t>
      </w:r>
    </w:p>
    <w:p>
      <w:pPr>
        <w:sectPr>
          <w:pgSz w:w="11900" w:h="16838" w:orient="portrait"/>
          <w:cols w:equalWidth="0" w:num="1">
            <w:col w:w="11180"/>
          </w:cols>
          <w:pgMar w:left="320" w:top="1409" w:right="399" w:bottom="1440" w:gutter="0" w:footer="0" w:header="0"/>
        </w:sectPr>
      </w:pPr>
    </w:p>
    <w:bookmarkStart w:id="4" w:name="page5"/>
    <w:bookmarkEnd w:id="4"/>
    <w:p>
      <w:pPr>
        <w:ind w:left="80" w:right="160" w:firstLine="1305"/>
        <w:spacing w:after="0" w:line="224" w:lineRule="auto"/>
        <w:tabs>
          <w:tab w:leader="none" w:pos="1670" w:val="left"/>
        </w:tabs>
        <w:numPr>
          <w:ilvl w:val="1"/>
          <w:numId w:val="4"/>
        </w:numPr>
        <w:rPr>
          <w:rFonts w:ascii="Arial" w:cs="Arial" w:eastAsia="Arial" w:hAnsi="Arial"/>
          <w:sz w:val="22"/>
          <w:szCs w:val="22"/>
          <w:color w:val="auto"/>
        </w:rPr>
      </w:pPr>
      <w:r>
        <w:rPr>
          <w:rFonts w:ascii="Arial" w:cs="Arial" w:eastAsia="Arial" w:hAnsi="Arial"/>
          <w:sz w:val="22"/>
          <w:szCs w:val="22"/>
          <w:color w:val="auto"/>
        </w:rPr>
        <w:t>a “person” (as such term is used in Sections 13(d) and 14(d) of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other than a trustee or other fiduciary holding securities under an employee benefit plan of the Company or a corporation owned, directly or indirectly, by the stockholders of Crown in substantially the same proportions as their ownership of stock of Crown, is or becomes the “beneficial owner” (as defined in Rule 13d-3 under the Exchange Act), directly or indirectly, of securities of Crown representing 50% or more of the combined voting power of Crown’s then outstanding securities; or</w:t>
      </w:r>
    </w:p>
    <w:p>
      <w:pPr>
        <w:spacing w:after="0" w:line="203" w:lineRule="exact"/>
        <w:rPr>
          <w:rFonts w:ascii="Arial" w:cs="Arial" w:eastAsia="Arial" w:hAnsi="Arial"/>
          <w:sz w:val="22"/>
          <w:szCs w:val="22"/>
          <w:color w:val="auto"/>
        </w:rPr>
      </w:pPr>
    </w:p>
    <w:p>
      <w:pPr>
        <w:ind w:left="80" w:firstLine="1305"/>
        <w:spacing w:after="0" w:line="235" w:lineRule="auto"/>
        <w:tabs>
          <w:tab w:leader="none" w:pos="1682" w:val="left"/>
        </w:tabs>
        <w:numPr>
          <w:ilvl w:val="1"/>
          <w:numId w:val="4"/>
        </w:numPr>
        <w:rPr>
          <w:rFonts w:ascii="Arial" w:cs="Arial" w:eastAsia="Arial" w:hAnsi="Arial"/>
          <w:sz w:val="21"/>
          <w:szCs w:val="21"/>
          <w:color w:val="auto"/>
        </w:rPr>
      </w:pPr>
      <w:r>
        <w:rPr>
          <w:rFonts w:ascii="Arial" w:cs="Arial" w:eastAsia="Arial" w:hAnsi="Arial"/>
          <w:sz w:val="21"/>
          <w:szCs w:val="21"/>
          <w:color w:val="auto"/>
        </w:rPr>
        <w:t>during any period of two consecutive years, individuals who at the beginning of such period constitute the Board and any new director (other than a director designated by a person who has entered into an agreement with Crown to effect a transaction described in Section 1.3(a), Section 1.3(c) or Section 1.3(d) hereof) whose election by the Board or nomination for election by Crown’s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 or</w:t>
      </w:r>
    </w:p>
    <w:p>
      <w:pPr>
        <w:spacing w:after="0" w:line="201" w:lineRule="exact"/>
        <w:rPr>
          <w:rFonts w:ascii="Arial" w:cs="Arial" w:eastAsia="Arial" w:hAnsi="Arial"/>
          <w:sz w:val="21"/>
          <w:szCs w:val="21"/>
          <w:color w:val="auto"/>
        </w:rPr>
      </w:pPr>
    </w:p>
    <w:p>
      <w:pPr>
        <w:ind w:left="80" w:right="100" w:firstLine="1305"/>
        <w:spacing w:after="0" w:line="272" w:lineRule="auto"/>
        <w:tabs>
          <w:tab w:leader="none" w:pos="1670" w:val="left"/>
        </w:tabs>
        <w:numPr>
          <w:ilvl w:val="1"/>
          <w:numId w:val="4"/>
        </w:numPr>
        <w:rPr>
          <w:rFonts w:ascii="Arial" w:cs="Arial" w:eastAsia="Arial" w:hAnsi="Arial"/>
          <w:sz w:val="19"/>
          <w:szCs w:val="19"/>
          <w:color w:val="auto"/>
        </w:rPr>
      </w:pPr>
      <w:r>
        <w:rPr>
          <w:rFonts w:ascii="Arial" w:cs="Arial" w:eastAsia="Arial" w:hAnsi="Arial"/>
          <w:sz w:val="19"/>
          <w:szCs w:val="19"/>
          <w:color w:val="auto"/>
        </w:rPr>
        <w:t>Crown merges or consolidates with any other corporation, other than in a merger or consolidation that would result in the voting securities of Crown outstanding immediately prior thereto continuing to represent (either by remaining outstanding or by being converted into voting securities of the surviving entity) at least 75% of the combined voting power of the voting securities of Crown or such surviving entity outstanding immediately after such merger or consolidation; or</w:t>
      </w:r>
    </w:p>
    <w:p>
      <w:pPr>
        <w:spacing w:after="0" w:line="170" w:lineRule="exact"/>
        <w:rPr>
          <w:rFonts w:ascii="Arial" w:cs="Arial" w:eastAsia="Arial" w:hAnsi="Arial"/>
          <w:sz w:val="19"/>
          <w:szCs w:val="19"/>
          <w:color w:val="auto"/>
        </w:rPr>
      </w:pPr>
    </w:p>
    <w:p>
      <w:pPr>
        <w:ind w:left="1600" w:hanging="296"/>
        <w:spacing w:after="0"/>
        <w:tabs>
          <w:tab w:leader="none" w:pos="160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complete liquidation of Crown or Crown sells or otherwise disposes of all or substantially all of Crown’s</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assets.</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w:t>
      </w:r>
    </w:p>
    <w:p>
      <w:pPr>
        <w:spacing w:after="0" w:line="22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w:t>
      </w:r>
    </w:p>
    <w:p>
      <w:pPr>
        <w:spacing w:after="0" w:line="220" w:lineRule="exact"/>
        <w:rPr>
          <w:sz w:val="20"/>
          <w:szCs w:val="20"/>
          <w:color w:val="auto"/>
        </w:rPr>
      </w:pPr>
    </w:p>
    <w:p>
      <w:pPr>
        <w:ind w:left="80" w:firstLine="1224"/>
        <w:spacing w:after="0" w:line="282" w:lineRule="auto"/>
        <w:tabs>
          <w:tab w:leader="none" w:pos="1751" w:val="left"/>
        </w:tabs>
        <w:numPr>
          <w:ilvl w:val="2"/>
          <w:numId w:val="6"/>
        </w:numPr>
        <w:rPr>
          <w:rFonts w:ascii="Arial" w:cs="Arial" w:eastAsia="Arial" w:hAnsi="Arial"/>
          <w:sz w:val="19"/>
          <w:szCs w:val="19"/>
          <w:color w:val="auto"/>
        </w:rPr>
      </w:pPr>
      <w:r>
        <w:rPr>
          <w:rFonts w:ascii="Arial" w:cs="Arial" w:eastAsia="Arial" w:hAnsi="Arial"/>
          <w:sz w:val="19"/>
          <w:szCs w:val="19"/>
          <w:color w:val="auto"/>
        </w:rPr>
        <w:t>the assignment to the Executive, without the Executive’s express written approval, of duties or responsibilities, inconsistent, in a material respect, with the Executive’s title and position on the date of a Change in Control or a material reduction in the Executive’s duties, responsibilities or authority from those in effect on the date of a Change in Control;</w:t>
      </w:r>
    </w:p>
    <w:p>
      <w:pPr>
        <w:spacing w:after="0" w:line="161" w:lineRule="exact"/>
        <w:rPr>
          <w:rFonts w:ascii="Arial" w:cs="Arial" w:eastAsia="Arial" w:hAnsi="Arial"/>
          <w:sz w:val="19"/>
          <w:szCs w:val="19"/>
          <w:color w:val="auto"/>
        </w:rPr>
      </w:pPr>
    </w:p>
    <w:p>
      <w:pPr>
        <w:ind w:left="80" w:firstLine="1224"/>
        <w:spacing w:after="0" w:line="282" w:lineRule="auto"/>
        <w:tabs>
          <w:tab w:leader="none" w:pos="1763" w:val="left"/>
        </w:tabs>
        <w:numPr>
          <w:ilvl w:val="2"/>
          <w:numId w:val="6"/>
        </w:numPr>
        <w:rPr>
          <w:rFonts w:ascii="Arial" w:cs="Arial" w:eastAsia="Arial" w:hAnsi="Arial"/>
          <w:sz w:val="19"/>
          <w:szCs w:val="19"/>
          <w:color w:val="auto"/>
        </w:rPr>
      </w:pPr>
      <w:r>
        <w:rPr>
          <w:rFonts w:ascii="Arial" w:cs="Arial" w:eastAsia="Arial" w:hAnsi="Arial"/>
          <w:sz w:val="19"/>
          <w:szCs w:val="19"/>
          <w:color w:val="auto"/>
        </w:rPr>
        <w:t>following a Change in Control, a reduction by the Company in the Executive’s Base Salary (as defined in Section 4.1 below) or in the other compensation and benefits, in the aggregate, payable to the Executive hereunder, or a material adverse change in the terms or conditions on which any such compensation or benefits are payable;</w:t>
      </w:r>
    </w:p>
    <w:p>
      <w:pPr>
        <w:spacing w:after="0" w:line="161" w:lineRule="exact"/>
        <w:rPr>
          <w:rFonts w:ascii="Arial" w:cs="Arial" w:eastAsia="Arial" w:hAnsi="Arial"/>
          <w:sz w:val="19"/>
          <w:szCs w:val="19"/>
          <w:color w:val="auto"/>
        </w:rPr>
      </w:pPr>
    </w:p>
    <w:p>
      <w:pPr>
        <w:ind w:right="220" w:firstLine="1223"/>
        <w:spacing w:after="0" w:line="260" w:lineRule="auto"/>
        <w:tabs>
          <w:tab w:leader="none" w:pos="1671" w:val="left"/>
        </w:tabs>
        <w:numPr>
          <w:ilvl w:val="1"/>
          <w:numId w:val="7"/>
        </w:numPr>
        <w:rPr>
          <w:rFonts w:ascii="Arial" w:cs="Arial" w:eastAsia="Arial" w:hAnsi="Arial"/>
          <w:sz w:val="21"/>
          <w:szCs w:val="21"/>
          <w:color w:val="auto"/>
        </w:rPr>
      </w:pPr>
      <w:r>
        <w:rPr>
          <w:rFonts w:ascii="Arial" w:cs="Arial" w:eastAsia="Arial" w:hAnsi="Arial"/>
          <w:sz w:val="21"/>
          <w:szCs w:val="21"/>
          <w:color w:val="auto"/>
        </w:rPr>
        <w:t>following a Change in Control, the Company’s failure, without the express consent of the Executive, to pay the Executive any amounts otherwise vested and due hereunder or under any plan or policy of the Company;</w:t>
      </w:r>
    </w:p>
    <w:p>
      <w:pPr>
        <w:spacing w:after="0" w:line="178" w:lineRule="exact"/>
        <w:rPr>
          <w:rFonts w:ascii="Arial" w:cs="Arial" w:eastAsia="Arial" w:hAnsi="Arial"/>
          <w:sz w:val="21"/>
          <w:szCs w:val="21"/>
          <w:color w:val="auto"/>
        </w:rPr>
      </w:pPr>
    </w:p>
    <w:p>
      <w:pPr>
        <w:ind w:right="440" w:firstLine="1142"/>
        <w:spacing w:after="0" w:line="239" w:lineRule="auto"/>
        <w:tabs>
          <w:tab w:leader="none" w:pos="1656" w:val="left"/>
        </w:tabs>
        <w:numPr>
          <w:ilvl w:val="0"/>
          <w:numId w:val="8"/>
        </w:numPr>
        <w:rPr>
          <w:rFonts w:ascii="Arial" w:cs="Arial" w:eastAsia="Arial" w:hAnsi="Arial"/>
          <w:sz w:val="22"/>
          <w:szCs w:val="22"/>
          <w:color w:val="auto"/>
        </w:rPr>
      </w:pPr>
      <w:r>
        <w:rPr>
          <w:rFonts w:ascii="Arial" w:cs="Arial" w:eastAsia="Arial" w:hAnsi="Arial"/>
          <w:sz w:val="22"/>
          <w:szCs w:val="22"/>
          <w:color w:val="auto"/>
        </w:rPr>
        <w:t>following a Change in Control, a relocation of the Executive’s primary place of employment, without the Executive’s express written approval, to a location more than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1414" w:right="39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miles from the location at which the Executive performed his duties on the date of such Change in Control; or</w:t>
      </w:r>
    </w:p>
    <w:p>
      <w:pPr>
        <w:spacing w:after="0" w:line="220" w:lineRule="exact"/>
        <w:rPr>
          <w:sz w:val="20"/>
          <w:szCs w:val="20"/>
          <w:color w:val="auto"/>
        </w:rPr>
      </w:pPr>
    </w:p>
    <w:p>
      <w:pPr>
        <w:ind w:right="80" w:firstLine="1142"/>
        <w:spacing w:after="0" w:line="260" w:lineRule="auto"/>
        <w:tabs>
          <w:tab w:leader="none" w:pos="1428"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failure or refusal of Crown’s Successor (as defined in Section 14 below) to expressly assume this Agreement in writing, and all of the duties and obligations of the Company hereunder in accordance with Section 14.</w:t>
      </w:r>
    </w:p>
    <w:p>
      <w:pPr>
        <w:spacing w:after="0" w:line="179"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Short-Term Disability</w:t>
      </w:r>
      <w:r>
        <w:rPr>
          <w:rFonts w:ascii="Arial" w:cs="Arial" w:eastAsia="Arial" w:hAnsi="Arial"/>
          <w:sz w:val="19"/>
          <w:szCs w:val="19"/>
          <w:color w:val="auto"/>
        </w:rPr>
        <w:t>” shall mean the temporary incapacity of the Executive that, as determined by the Board in a uniformly-applied manner, renders the Executive temporarily incapable of engaging in his usual executive function and as a result, the Executive is under the direct care and treatment of a physician who certifies to such incapacity.</w:t>
      </w:r>
    </w:p>
    <w:p>
      <w:pPr>
        <w:spacing w:after="0" w:line="15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Total Disability</w:t>
      </w:r>
      <w:r>
        <w:rPr>
          <w:rFonts w:ascii="Arial" w:cs="Arial" w:eastAsia="Arial" w:hAnsi="Arial"/>
          <w:sz w:val="19"/>
          <w:szCs w:val="19"/>
          <w:color w:val="auto"/>
        </w:rPr>
        <w:t>” shall mean that a qualified physician designated by the Company has determined that the</w:t>
      </w:r>
    </w:p>
    <w:p>
      <w:pPr>
        <w:spacing w:after="0"/>
        <w:rPr>
          <w:sz w:val="20"/>
          <w:szCs w:val="20"/>
          <w:color w:val="auto"/>
        </w:rPr>
      </w:pPr>
      <w:r>
        <w:rPr>
          <w:rFonts w:ascii="Arial" w:cs="Arial" w:eastAsia="Arial" w:hAnsi="Arial"/>
          <w:sz w:val="22"/>
          <w:szCs w:val="22"/>
          <w:color w:val="auto"/>
        </w:rPr>
        <w:t>Executive:</w:t>
      </w:r>
    </w:p>
    <w:p>
      <w:pPr>
        <w:spacing w:after="0" w:line="202" w:lineRule="exact"/>
        <w:rPr>
          <w:sz w:val="20"/>
          <w:szCs w:val="20"/>
          <w:color w:val="auto"/>
        </w:rPr>
      </w:pPr>
    </w:p>
    <w:p>
      <w:pPr>
        <w:ind w:right="120" w:firstLine="1142"/>
        <w:spacing w:after="0" w:line="231" w:lineRule="auto"/>
        <w:tabs>
          <w:tab w:leader="none" w:pos="1644" w:val="left"/>
        </w:tabs>
        <w:numPr>
          <w:ilvl w:val="1"/>
          <w:numId w:val="10"/>
        </w:numPr>
        <w:rPr>
          <w:rFonts w:ascii="Arial" w:cs="Arial" w:eastAsia="Arial" w:hAnsi="Arial"/>
          <w:sz w:val="22"/>
          <w:szCs w:val="22"/>
          <w:color w:val="auto"/>
        </w:rPr>
      </w:pPr>
      <w:r>
        <w:rPr>
          <w:rFonts w:ascii="Arial" w:cs="Arial" w:eastAsia="Arial" w:hAnsi="Arial"/>
          <w:sz w:val="22"/>
          <w:szCs w:val="22"/>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201" w:lineRule="exact"/>
        <w:rPr>
          <w:rFonts w:ascii="Arial" w:cs="Arial" w:eastAsia="Arial" w:hAnsi="Arial"/>
          <w:sz w:val="22"/>
          <w:szCs w:val="22"/>
          <w:color w:val="auto"/>
        </w:rPr>
      </w:pPr>
    </w:p>
    <w:p>
      <w:pPr>
        <w:jc w:val="both"/>
        <w:ind w:right="140" w:firstLine="1142"/>
        <w:spacing w:after="0" w:line="282" w:lineRule="auto"/>
        <w:tabs>
          <w:tab w:leader="none" w:pos="1602" w:val="left"/>
        </w:tabs>
        <w:numPr>
          <w:ilvl w:val="1"/>
          <w:numId w:val="10"/>
        </w:numPr>
        <w:rPr>
          <w:rFonts w:ascii="Arial" w:cs="Arial" w:eastAsia="Arial" w:hAnsi="Arial"/>
          <w:sz w:val="19"/>
          <w:szCs w:val="19"/>
          <w:color w:val="auto"/>
        </w:rPr>
      </w:pPr>
      <w:r>
        <w:rPr>
          <w:rFonts w:ascii="Arial" w:cs="Arial" w:eastAsia="Arial" w:hAnsi="Arial"/>
          <w:sz w:val="19"/>
          <w:szCs w:val="19"/>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61" w:lineRule="exact"/>
        <w:rPr>
          <w:rFonts w:ascii="Arial" w:cs="Arial" w:eastAsia="Arial" w:hAnsi="Arial"/>
          <w:sz w:val="19"/>
          <w:szCs w:val="19"/>
          <w:color w:val="auto"/>
        </w:rPr>
      </w:pPr>
    </w:p>
    <w:p>
      <w:pPr>
        <w:ind w:firstLine="8"/>
        <w:spacing w:after="0" w:line="257" w:lineRule="auto"/>
        <w:tabs>
          <w:tab w:leader="none" w:pos="378"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The Company agrees to continue to employ the Executive and the Executive hereby agrees to continue to be employed by the Company, upon the terms, conditions and limitations set forth in this Agreement. The Executive shall serve as the Company’s Senior Vice President and Chief Financial Officer (or in such other position as agreed to by the parties), with the customary duties, authorities and responsibility of such position of a publicly-traded corporation and such other duties, authorities and responsibility (a) as have been agreed upon by the Company and the Executive or (b) as may from time to time be delegated to the Executive by the Board, Crown’s Chief Executive Officer or any other executive to whom the Executive reports as are consistent with such position. In addition, for no additional compensation, the Executive shall serve in such other positions as reasonably requested by the Board, Crown’s Chief Executive Officer or any other executive to whom the Executive reports. The Executive agrees to perform the duties and responsibilities called for hereunder to the best of his ability and to devote his full time, energies and skills to such duties, with the understanding that he may participate in charitable and similar activities and may have business interests in passive investments which may, from time to time, require portions of his time, but such activities shall be done in a manner consistent with his obligations hereunder.</w:t>
      </w:r>
    </w:p>
    <w:p>
      <w:pPr>
        <w:spacing w:after="0" w:line="189" w:lineRule="exact"/>
        <w:rPr>
          <w:rFonts w:ascii="Arial" w:cs="Arial" w:eastAsia="Arial" w:hAnsi="Arial"/>
          <w:sz w:val="19"/>
          <w:szCs w:val="19"/>
          <w:color w:val="auto"/>
        </w:rPr>
      </w:pPr>
    </w:p>
    <w:p>
      <w:pPr>
        <w:ind w:right="40" w:firstLine="8"/>
        <w:spacing w:after="0" w:line="224" w:lineRule="auto"/>
        <w:tabs>
          <w:tab w:leader="none" w:pos="378"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Executive’s employment under this Agreement shall commence on the Effective Date and unless sooner terminated as provided in Article 5 shall continue for a period of one year (the “</w:t>
      </w:r>
      <w:r>
        <w:rPr>
          <w:rFonts w:ascii="Arial" w:cs="Arial" w:eastAsia="Arial" w:hAnsi="Arial"/>
          <w:sz w:val="22"/>
          <w:szCs w:val="22"/>
          <w:u w:val="single" w:color="auto"/>
          <w:color w:val="auto"/>
        </w:rPr>
        <w:t>Initial Term</w:t>
      </w:r>
      <w:r>
        <w:rPr>
          <w:rFonts w:ascii="Arial" w:cs="Arial" w:eastAsia="Arial" w:hAnsi="Arial"/>
          <w:sz w:val="22"/>
          <w:szCs w:val="22"/>
          <w:color w:val="auto"/>
        </w:rPr>
        <w:t>”). Except as otherwise provided herein, unless either party gives written notice to the other party at least 30 days before any anniversary of the Effective Date that the term hereunder shall not be extended beyond its then term (a “</w:t>
      </w:r>
      <w:r>
        <w:rPr>
          <w:rFonts w:ascii="Arial" w:cs="Arial" w:eastAsia="Arial" w:hAnsi="Arial"/>
          <w:sz w:val="22"/>
          <w:szCs w:val="22"/>
          <w:u w:val="single" w:color="auto"/>
          <w:color w:val="auto"/>
        </w:rPr>
        <w:t>Nonrenewal Notice</w:t>
      </w:r>
      <w:r>
        <w:rPr>
          <w:rFonts w:ascii="Arial" w:cs="Arial" w:eastAsia="Arial" w:hAnsi="Arial"/>
          <w:sz w:val="22"/>
          <w:szCs w:val="22"/>
          <w:color w:val="auto"/>
        </w:rPr>
        <w:t>”), the term of the Agreement shall automatically be extended for an additional one year period from each anniversary, subject to the same terms, conditions and limitations as applicable to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14" w:right="359" w:bottom="1440" w:gutter="0" w:footer="0" w:header="0"/>
        </w:sectPr>
      </w:pPr>
    </w:p>
    <w:bookmarkStart w:id="6" w:name="page7"/>
    <w:bookmarkEnd w:id="6"/>
    <w:p>
      <w:pPr>
        <w:ind w:right="20"/>
        <w:spacing w:after="0" w:line="231" w:lineRule="auto"/>
        <w:rPr>
          <w:sz w:val="20"/>
          <w:szCs w:val="20"/>
          <w:color w:val="auto"/>
        </w:rPr>
      </w:pPr>
      <w:r>
        <w:rPr>
          <w:rFonts w:ascii="Arial" w:cs="Arial" w:eastAsia="Arial" w:hAnsi="Arial"/>
          <w:sz w:val="22"/>
          <w:szCs w:val="22"/>
          <w:color w:val="auto"/>
        </w:rPr>
        <w:t>Term unless amended or terminated as provided herein (each such additional one year period a “</w:t>
      </w:r>
      <w:r>
        <w:rPr>
          <w:rFonts w:ascii="Arial" w:cs="Arial" w:eastAsia="Arial" w:hAnsi="Arial"/>
          <w:sz w:val="22"/>
          <w:szCs w:val="22"/>
          <w:u w:val="single" w:color="auto"/>
          <w:color w:val="auto"/>
        </w:rPr>
        <w:t>Renewal Term</w:t>
      </w:r>
      <w:r>
        <w:rPr>
          <w:rFonts w:ascii="Arial" w:cs="Arial" w:eastAsia="Arial" w:hAnsi="Arial"/>
          <w:sz w:val="22"/>
          <w:szCs w:val="22"/>
          <w:color w:val="auto"/>
        </w:rPr>
        <w:t>”). For purposes of this Agreement, the Initial Term and all subsequent Renewal Terms shall be collectively referred to as the “</w:t>
      </w:r>
      <w:r>
        <w:rPr>
          <w:rFonts w:ascii="Arial" w:cs="Arial" w:eastAsia="Arial" w:hAnsi="Arial"/>
          <w:sz w:val="22"/>
          <w:szCs w:val="22"/>
          <w:u w:val="single" w:color="auto"/>
          <w:color w:val="auto"/>
        </w:rPr>
        <w:t>Term</w:t>
      </w:r>
      <w:r>
        <w:rPr>
          <w:rFonts w:ascii="Arial" w:cs="Arial" w:eastAsia="Arial" w:hAnsi="Arial"/>
          <w:sz w:val="22"/>
          <w:szCs w:val="22"/>
          <w:color w:val="auto"/>
        </w:rPr>
        <w:t>” of the Agreement.</w:t>
      </w:r>
    </w:p>
    <w:p>
      <w:pPr>
        <w:spacing w:after="0" w:line="201"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20" w:lineRule="exact"/>
        <w:rPr>
          <w:sz w:val="20"/>
          <w:szCs w:val="20"/>
          <w:color w:val="auto"/>
        </w:rPr>
      </w:pPr>
    </w:p>
    <w:p>
      <w:pPr>
        <w:ind w:right="100" w:firstLine="648"/>
        <w:spacing w:after="0" w:line="26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Base Salary</w:t>
      </w:r>
      <w:r>
        <w:rPr>
          <w:rFonts w:ascii="Arial" w:cs="Arial" w:eastAsia="Arial" w:hAnsi="Arial"/>
          <w:sz w:val="19"/>
          <w:szCs w:val="19"/>
          <w:color w:val="auto"/>
        </w:rPr>
        <w:t>. The Company shall pay to the Executive for the performance of his duties under this Agreement an initial base salary of $535,000 per year (the “</w:t>
      </w:r>
      <w:r>
        <w:rPr>
          <w:rFonts w:ascii="Arial" w:cs="Arial" w:eastAsia="Arial" w:hAnsi="Arial"/>
          <w:sz w:val="19"/>
          <w:szCs w:val="19"/>
          <w:u w:val="single" w:color="auto"/>
          <w:color w:val="auto"/>
        </w:rPr>
        <w:t>Base Salary</w:t>
      </w:r>
      <w:r>
        <w:rPr>
          <w:rFonts w:ascii="Arial" w:cs="Arial" w:eastAsia="Arial" w:hAnsi="Arial"/>
          <w:sz w:val="19"/>
          <w:szCs w:val="19"/>
          <w:color w:val="auto"/>
        </w:rPr>
        <w:t>”), payable in accordance with the Company’s normal payroll practices. Thereafter, the rate of the Executive’s Base Salary will be reviewed and adjusted as appropriate in accordance with the Company’s regular compensation review practices. Effective as of the date of any such increase, the Base Salary so increased shall be considered the new Base Salary for all purposes of this Agreement.</w:t>
      </w:r>
    </w:p>
    <w:p>
      <w:pPr>
        <w:spacing w:after="0" w:line="175" w:lineRule="exact"/>
        <w:rPr>
          <w:sz w:val="20"/>
          <w:szCs w:val="20"/>
          <w:color w:val="auto"/>
        </w:rPr>
      </w:pPr>
    </w:p>
    <w:p>
      <w:pPr>
        <w:ind w:firstLine="648"/>
        <w:spacing w:after="0" w:line="239"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Incentive Bonus</w:t>
      </w:r>
      <w:r>
        <w:rPr>
          <w:rFonts w:ascii="Arial" w:cs="Arial" w:eastAsia="Arial" w:hAnsi="Arial"/>
          <w:sz w:val="21"/>
          <w:szCs w:val="21"/>
          <w:color w:val="auto"/>
        </w:rPr>
        <w:t>. During the Term, in addition to Base Salary, for each calendar year ending during the Term, the Executive shall participate in, and shall have the opportunity to receive a cash bonus in an amount to be determined in accordance with, the Company’s existing incentive bonus plan or any successor bonus plan, program or arrangement established by the Company for the benefit of its executive officers (the “</w:t>
      </w:r>
      <w:r>
        <w:rPr>
          <w:rFonts w:ascii="Arial" w:cs="Arial" w:eastAsia="Arial" w:hAnsi="Arial"/>
          <w:sz w:val="21"/>
          <w:szCs w:val="21"/>
          <w:u w:val="single" w:color="auto"/>
          <w:color w:val="auto"/>
        </w:rPr>
        <w:t>Incentive Bonus Payment</w:t>
      </w:r>
      <w:r>
        <w:rPr>
          <w:rFonts w:ascii="Arial" w:cs="Arial" w:eastAsia="Arial" w:hAnsi="Arial"/>
          <w:sz w:val="21"/>
          <w:szCs w:val="21"/>
          <w:color w:val="auto"/>
        </w:rPr>
        <w:t>”).</w:t>
      </w:r>
    </w:p>
    <w:p>
      <w:pPr>
        <w:spacing w:after="0" w:line="199" w:lineRule="exact"/>
        <w:rPr>
          <w:sz w:val="20"/>
          <w:szCs w:val="20"/>
          <w:color w:val="auto"/>
        </w:rPr>
      </w:pPr>
    </w:p>
    <w:p>
      <w:pPr>
        <w:ind w:right="100" w:firstLine="648"/>
        <w:spacing w:after="0" w:line="26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Term, the Executive shall be eligible to participate in the applicable employee benefit plans, programs and policies of the Company (or other applicable affiliate as agreed to by the parties) that are now or hereafter made available to its salaried personnel generally, as such plans, programs and policies may be in effect from time to time, in each case to the extent that the Executive is eligible under the terms of such plans, programs and policies and the Executive’s participation therein is not duplicative of other benefits provided by the Company. Without limiting the generality of the foregoing, the Executive shall also be eligible to participate in Crown’s Restoration Plan (the “Restoration Plan”) and Crown’s equity-based incentive plans as maintained by Crown from time to time for the benefit of senior executives.</w:t>
      </w:r>
    </w:p>
    <w:p>
      <w:pPr>
        <w:spacing w:after="0" w:line="18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Vacation</w:t>
      </w:r>
      <w:r>
        <w:rPr>
          <w:rFonts w:ascii="Arial" w:cs="Arial" w:eastAsia="Arial" w:hAnsi="Arial"/>
          <w:sz w:val="19"/>
          <w:szCs w:val="19"/>
          <w:color w:val="auto"/>
        </w:rPr>
        <w:t>. The Executive shall be entitled to vacation in accordance with the Company’s vacation policy.</w:t>
      </w:r>
    </w:p>
    <w:p>
      <w:pPr>
        <w:spacing w:after="0" w:line="220" w:lineRule="exact"/>
        <w:rPr>
          <w:sz w:val="20"/>
          <w:szCs w:val="20"/>
          <w:color w:val="auto"/>
        </w:rPr>
      </w:pPr>
    </w:p>
    <w:p>
      <w:pPr>
        <w:ind w:right="40" w:firstLine="648"/>
        <w:spacing w:after="0" w:line="228"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During the Term, the Company will reimburse the Executive in accordance with the Company’s expense reimbursement policy as in effect from time to time for expenses reasonably and properly incurred by him in performing his duties, provided that such expenses are incurred and accounted for in accordance with the policies and procedures presently or hereinafter established by the Company.</w:t>
      </w:r>
    </w:p>
    <w:p>
      <w:pPr>
        <w:spacing w:after="0" w:line="200" w:lineRule="exact"/>
        <w:rPr>
          <w:sz w:val="20"/>
          <w:szCs w:val="20"/>
          <w:color w:val="auto"/>
        </w:rPr>
      </w:pPr>
    </w:p>
    <w:p>
      <w:pPr>
        <w:ind w:right="80" w:firstLine="648"/>
        <w:spacing w:after="0" w:line="264"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Short-Term Disability</w:t>
      </w:r>
      <w:r>
        <w:rPr>
          <w:rFonts w:ascii="Arial" w:cs="Arial" w:eastAsia="Arial" w:hAnsi="Arial"/>
          <w:sz w:val="19"/>
          <w:szCs w:val="19"/>
          <w:color w:val="auto"/>
        </w:rPr>
        <w:t>. In the event that the Executive incurs a Short-Term Disability, the Executive shall be entitled to six months of Base Salary and incentive payments, payable in accordance with the Company’s normal payroll practices, provided that all payments under this provision shall be reduced dollar-for-dollar by any other short-term disability benefits the Executive is entitled to under any other Company-sponsored short-term disability plan or arrangement and shall cease as of the earliest of the Executive’s cessation of Short-Term Disability, the occurrence of Total Disability, death or the first day of the month following the month in which the Executive attains age 65 (the “</w:t>
      </w:r>
      <w:r>
        <w:rPr>
          <w:rFonts w:ascii="Arial" w:cs="Arial" w:eastAsia="Arial" w:hAnsi="Arial"/>
          <w:sz w:val="19"/>
          <w:szCs w:val="19"/>
          <w:u w:val="single" w:color="auto"/>
          <w:color w:val="auto"/>
        </w:rPr>
        <w:t>Normal Retirement Date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7" w:name="page8"/>
    <w:bookmarkEnd w:id="7"/>
    <w:p>
      <w:pPr>
        <w:ind w:right="320" w:firstLine="648"/>
        <w:spacing w:after="0" w:line="239"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Medical Examination Benefit</w:t>
      </w:r>
      <w:r>
        <w:rPr>
          <w:rFonts w:ascii="Arial" w:cs="Arial" w:eastAsia="Arial" w:hAnsi="Arial"/>
          <w:sz w:val="22"/>
          <w:szCs w:val="22"/>
          <w:color w:val="auto"/>
        </w:rPr>
        <w:t>. During the Term, the Executive shall be entitled to reimbursement for actual costs incurred, up to $2,500 per calendar year, for medical examinations.</w:t>
      </w:r>
    </w:p>
    <w:p>
      <w:pPr>
        <w:spacing w:after="0" w:line="198"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Death</w:t>
      </w:r>
      <w:r>
        <w:rPr>
          <w:rFonts w:ascii="Arial" w:cs="Arial" w:eastAsia="Arial" w:hAnsi="Arial"/>
          <w:sz w:val="19"/>
          <w:szCs w:val="19"/>
          <w:color w:val="auto"/>
        </w:rPr>
        <w:t>. The Executive’s employment under this Agreement shall terminate immediately upon the Executive’s death, and the Company shall have no further obligations under this Agreement, except to pay to the Executive’s estate (or his beneficiary, as may be appropriate) (a) any Base Salary earned through his date of death, to the extent theretofore unpaid, (b) a pro-rated Incentive Bonus Payment for the year in which the Executive’s death occurs,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retirement and other benefits earned and vested (if applicable) by the Executive as of the date of his death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Disability</w:t>
      </w:r>
      <w:r>
        <w:rPr>
          <w:rFonts w:ascii="Arial" w:cs="Arial" w:eastAsia="Arial" w:hAnsi="Arial"/>
          <w:sz w:val="19"/>
          <w:szCs w:val="19"/>
          <w:color w:val="auto"/>
        </w:rPr>
        <w:t>. If the Executive is unable to perform his duties under this Agreement because of a Total Disability, the Company may terminate the Executive’s employment by giving written notice to the Executive. Such termination shall be effective as of the date of such notice and the Company shall have no further obligations under this Agreement, except to pay to the Executive (a) any Base Salary earned through the date of such termination, to the extent theretofore unpaid, (b) Total Disability benefits as described below, (c)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(d) such retirement and other benefits earned and vested (if applicable) by the Executive as of the date of his termination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the event that the Executive incurs a Total Disability, the Executive shall be entitled to an annual disability benefit equal to 75% of his Base Salary, payable in accordance with the Company’s normal payroll practices, provided that all payments under this provision shall be reduced dollar-for-dollar by Social Security disability benefits and any other long-term disability benefits the Executive is entitled to under any other Company-sponsored or Company funded long-term disability plan or arrangements and shall cease as of the earliest of the Executive’s cessation of Total Disability, death or attainment of his Normal Retirement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1414" w:right="379" w:bottom="1440" w:gutter="0" w:footer="0" w:header="0"/>
        </w:sectPr>
      </w:pPr>
    </w:p>
    <w:bookmarkStart w:id="8" w:name="page9"/>
    <w:bookmarkEnd w:id="8"/>
    <w:p>
      <w:pPr>
        <w:ind w:firstLine="648"/>
        <w:spacing w:after="0" w:line="231"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Retirement</w:t>
      </w:r>
      <w:r>
        <w:rPr>
          <w:rFonts w:ascii="Arial" w:cs="Arial" w:eastAsia="Arial" w:hAnsi="Arial"/>
          <w:sz w:val="21"/>
          <w:szCs w:val="21"/>
          <w:color w:val="auto"/>
        </w:rPr>
        <w:t>. The Executive’s voluntary termination of employment at a time when he is eligible to begin receiving retirement benefits under the Crown Cork &amp; Seal Company, Inc. Pension Plan (the “Pension Plan”) shall be treated as a retirement termination under this Agreement. Unless Section 5.7 is applicable, upon such termination, the Company shall have no further obligations under this Agreement, except to pay to the Executive (a) any Base Salary earned through the date of the Executive’s retirement,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and (c) such retirement, incentive and other benefits earned and vested (if applicable) by the Executive as of the date of his retirement under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w:t>
      </w:r>
    </w:p>
    <w:p>
      <w:pPr>
        <w:spacing w:after="0" w:line="205"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Voluntary Termination</w:t>
      </w:r>
      <w:r>
        <w:rPr>
          <w:rFonts w:ascii="Arial" w:cs="Arial" w:eastAsia="Arial" w:hAnsi="Arial"/>
          <w:sz w:val="19"/>
          <w:szCs w:val="19"/>
          <w:color w:val="auto"/>
        </w:rPr>
        <w:t>. At any time during the Term, upon 30 days’ written notice to the Company, the Executive may voluntarily terminate his employment with the Company. Unless Section 5.7 is applicable, upon such termination the Company shall have no further obligations under this Agreement except to pay to the Executive (a) any Base Salary earned to the date of the Executive’s termination of employment, to the extent theretofore unpaid, and (b)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addition, at the discretion of the Committee, the Company may pay to the Executive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provided that Executive’s receipt of such pro-rated Incentive Bonus Payment shall be contingent on the Executive’s prior execution and non-revocation of a release of claims in favor of the Company and its affiliates in the form attached as Exhibit A (the “Release”).</w:t>
      </w:r>
    </w:p>
    <w:p>
      <w:pPr>
        <w:spacing w:after="0" w:line="200" w:lineRule="exact"/>
        <w:rPr>
          <w:sz w:val="20"/>
          <w:szCs w:val="20"/>
          <w:color w:val="auto"/>
        </w:rPr>
      </w:pPr>
    </w:p>
    <w:p>
      <w:pPr>
        <w:spacing w:after="0" w:line="223"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Termination For Cause</w:t>
      </w:r>
      <w:r>
        <w:rPr>
          <w:rFonts w:ascii="Arial" w:cs="Arial" w:eastAsia="Arial" w:hAnsi="Arial"/>
          <w:sz w:val="22"/>
          <w:szCs w:val="22"/>
          <w:color w:val="auto"/>
        </w:rPr>
        <w:t>. The Board may terminate the Executive’s employment and the Company’s obligations under this Agreement at any time for Cause by giving written notice to the Executive. The Company’s required notice of termination shall specify the event or circumstances that constitute Cause. Executive’s termination shall be effective as of the date of such notice. Upon termination of the Executive’s employment for Cause, the obligations of the Company under this Agreement shall terminate, except for the obligation to pay to the Executive (a) any Base Salary earned through the date of such termination, to the extent theretofore unpaid, and (b) such retirement and other benefits earned and vested (if applicable) by the Executive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4" w:right="339" w:bottom="1440" w:gutter="0" w:footer="0" w:header="0"/>
        </w:sectPr>
      </w:pPr>
    </w:p>
    <w:bookmarkStart w:id="9" w:name="page10"/>
    <w:bookmarkEnd w:id="9"/>
    <w:p>
      <w:pPr>
        <w:ind w:right="140"/>
        <w:spacing w:after="0" w:line="239" w:lineRule="auto"/>
        <w:rPr>
          <w:sz w:val="20"/>
          <w:szCs w:val="20"/>
          <w:color w:val="auto"/>
        </w:rPr>
      </w:pPr>
      <w:r>
        <w:rPr>
          <w:rFonts w:ascii="Arial" w:cs="Arial" w:eastAsia="Arial" w:hAnsi="Arial"/>
          <w:sz w:val="22"/>
          <w:szCs w:val="22"/>
          <w:color w:val="auto"/>
        </w:rPr>
        <w:t>of such termination under any employee benefit plan of the Company in which the Executive participates, all of the foregoing to be paid in the normal course for such payments and in accordance with the terms of such plans.</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Involuntary Termination by the Company without Cause Prior to a Change in Control</w:t>
      </w:r>
      <w:r>
        <w:rPr>
          <w:rFonts w:ascii="Arial" w:cs="Arial" w:eastAsia="Arial" w:hAnsi="Arial"/>
          <w:sz w:val="19"/>
          <w:szCs w:val="19"/>
          <w:color w:val="auto"/>
        </w:rPr>
        <w:t xml:space="preserve">. The Company may terminate the Executive’s employment without Cause at any time during the Term, upon thirty (30) days’ written notice;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during such notice period, the Company, in its absolute discretion, may relieve the Executive of all his duties, responsibilities and authority with respect to the Company and restrict the Executive’s access to Company property. For purposes of this Section 5.6, the Company’s delivery of a Nonrenewal Notice to the Executive shall be treated as termination without Cause on the last day of the then current Term. If the Company so terminates the Executive’s employment without Cause at any time other than the 12-month period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pro-rated Incentive Bonus Payment equal to the product of (i) the actual Incentive Bonus Payment for the year of termination multiplied by (ii) a fraction, the numerator of which is the number of completed days in the year of termination during which the Executive was employed by the Company and the denominator of which is 365, and provided that such amount will be paid in the normal course and shall only be paid if the Executive would have become entitled to such amount if he had not terminated his employment, (c) a lump-sum payment equal to the Executive’s Base Salary, payable within 60 days following the Executive’s termination of employment,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 Executive is a “Specified Employee,” as that term is defined in Section 409A of the Code, any payments under this clause, if so required, shall be made on the date that is six months and one day after the date of the Executive’s termination hereunder and (d)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In no event shall the payment in clause (c) be included for purposes of the Restoration Plan or the Pension Plan. Notwithstanding anything herein to the contrary, the payments described in clauses (b) and (c) shall be contingent on the Executive’s prior execution and non-revocation of the Release within 60 days following his termination date and shall be paid as specified above or such later date as may be required to comply with Section 409A of the Code.</w:t>
      </w:r>
    </w:p>
    <w:p>
      <w:pPr>
        <w:spacing w:after="0" w:line="203" w:lineRule="exact"/>
        <w:rPr>
          <w:sz w:val="20"/>
          <w:szCs w:val="20"/>
          <w:color w:val="auto"/>
        </w:rPr>
      </w:pPr>
    </w:p>
    <w:p>
      <w:pPr>
        <w:ind w:right="80" w:firstLine="648"/>
        <w:spacing w:after="0" w:line="260"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Involuntary Termination by the Company or by the Executive for Good Reason Following a Change of Control</w:t>
      </w:r>
      <w:r>
        <w:rPr>
          <w:rFonts w:ascii="Arial" w:cs="Arial" w:eastAsia="Arial" w:hAnsi="Arial"/>
          <w:sz w:val="19"/>
          <w:szCs w:val="19"/>
          <w:color w:val="auto"/>
        </w:rPr>
        <w:t>. If the Company terminates the Executive’s employment without Cause during the 12-month period following a Change in Control, or the Executive voluntarily terminates his employment for Good Reason during the 12 months following a Change in Control, the Company’s obligations under this Agreement shall terminate except for the Company’s obligation to pay to the Executive the following: (a) any Base Salary earned through the date of the Executive’s termination of employment, to the extent theretofore unpaid, (b) a lump-sum payment equal to three times the sum of the Executive’s Base Salary and average Incentive Bonus Payment paid or payable to the Executive for the three completed years prior to the year of such termination, payable within 60 days following the Executive’s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14" w:right="339" w:bottom="1440" w:gutter="0" w:footer="0" w:header="0"/>
        </w:sectPr>
      </w:pPr>
    </w:p>
    <w:bookmarkStart w:id="10" w:name="page11"/>
    <w:bookmarkEnd w:id="10"/>
    <w:p>
      <w:pPr>
        <w:ind w:right="20"/>
        <w:spacing w:after="0" w:line="257" w:lineRule="auto"/>
        <w:rPr>
          <w:sz w:val="20"/>
          <w:szCs w:val="20"/>
          <w:color w:val="auto"/>
        </w:rPr>
      </w:pPr>
      <w:r>
        <w:rPr>
          <w:rFonts w:ascii="Arial" w:cs="Arial" w:eastAsia="Arial" w:hAnsi="Arial"/>
          <w:sz w:val="19"/>
          <w:szCs w:val="19"/>
          <w:color w:val="auto"/>
        </w:rPr>
        <w:t>employment, provided, however, that if the Executive is a Specified Employee, such payment if so required, shall be made on the date that is six months and one day after the date of the Executive’s termination hereunder, (c) such retirement and other benefits earned by the Executive and vested (if applicable) as of the date of his termination under the terms of any employee benefit plan of the Company in which the Executive participates, including without limitation all vested benefits due under the Restoration Plan and other retirement plans, all of the foregoing to be paid in the normal course for such payments and in accordance with the terms of such plans, and (d) all outstanding stock options and restricted stock held by the Executive shall become immediately vested and such stock options shall become exercisable and shall remain exercisable for a period of 30 days or such longer period as provided under the terms of such option. In no event shall the payment in clause (b) be included for purposes of the Restoration Plan or the Pension Plan. Notwithstanding anything herein to the contrary, the payment described in clause (b) and vesting described in clause (d) shall be contingent on the Executive’s prior execution and non-revocation of the Release within 60 days following his termination date and shall be paid as specified above or such later date as may be required to comply with Section 409A of the Code.</w:t>
      </w:r>
    </w:p>
    <w:p>
      <w:pPr>
        <w:spacing w:after="0" w:line="200" w:lineRule="exact"/>
        <w:rPr>
          <w:sz w:val="20"/>
          <w:szCs w:val="20"/>
          <w:color w:val="auto"/>
        </w:rPr>
      </w:pPr>
    </w:p>
    <w:p>
      <w:pPr>
        <w:spacing w:after="0" w:line="223" w:lineRule="exact"/>
        <w:rPr>
          <w:sz w:val="20"/>
          <w:szCs w:val="20"/>
          <w:color w:val="auto"/>
        </w:rPr>
      </w:pPr>
    </w:p>
    <w:p>
      <w:pPr>
        <w:ind w:right="620" w:firstLine="648"/>
        <w:spacing w:after="0" w:line="282"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Mitigation</w:t>
      </w:r>
      <w:r>
        <w:rPr>
          <w:rFonts w:ascii="Arial" w:cs="Arial" w:eastAsia="Arial" w:hAnsi="Arial"/>
          <w:sz w:val="19"/>
          <w:szCs w:val="19"/>
          <w:color w:val="auto"/>
        </w:rPr>
        <w:t>. The Executive shall not be required to mitigate the amount of any payment provided for in this Agreement by seeking other employment or otherwise, nor shall any profits, income or earnings or other benefits from any source whatsoever create any mitigation, offset, reduction or any other obligation on the part of Executive hereunder.</w:t>
      </w:r>
    </w:p>
    <w:p>
      <w:pPr>
        <w:spacing w:after="0" w:line="161" w:lineRule="exact"/>
        <w:rPr>
          <w:sz w:val="20"/>
          <w:szCs w:val="20"/>
          <w:color w:val="auto"/>
        </w:rPr>
      </w:pPr>
    </w:p>
    <w:p>
      <w:pPr>
        <w:ind w:firstLine="648"/>
        <w:spacing w:after="0" w:line="254"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Excise Taxes</w:t>
      </w:r>
      <w:r>
        <w:rPr>
          <w:rFonts w:ascii="Arial" w:cs="Arial" w:eastAsia="Arial" w:hAnsi="Arial"/>
          <w:sz w:val="19"/>
          <w:szCs w:val="19"/>
          <w:color w:val="auto"/>
        </w:rPr>
        <w:t>. If any payment or benefit, or the acceleration of any payment or benefit, the Executive would receive from the Company under this Agreement or otherwise in connection with a Change in Control (collectively, the “</w:t>
      </w:r>
      <w:r>
        <w:rPr>
          <w:rFonts w:ascii="Arial" w:cs="Arial" w:eastAsia="Arial" w:hAnsi="Arial"/>
          <w:sz w:val="19"/>
          <w:szCs w:val="19"/>
          <w:u w:val="single" w:color="auto"/>
          <w:color w:val="auto"/>
        </w:rPr>
        <w:t>Payments</w:t>
      </w:r>
      <w:r>
        <w:rPr>
          <w:rFonts w:ascii="Arial" w:cs="Arial" w:eastAsia="Arial" w:hAnsi="Arial"/>
          <w:sz w:val="19"/>
          <w:szCs w:val="19"/>
          <w:color w:val="auto"/>
        </w:rPr>
        <w:t>”)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either (a) such Payments will be reduced or delayed by the minimum amount necessary such that no portion of the Payments is subject to the Excise Tax, or (b) the full amount of the Payments shall be made, whichever, after taking into account all applicable taxes, including the Excise Tax, results in the Executive’s receipt, on an after-tax basis, of the greater amount. If a reduction or delay in the Payments is necessary, such reduction or delay will occur in the following order: (1) cancellation of accelerated vesting of stock and option awards (reduced from the highest value to the lowest value under Section 280G of the Code) with the understanding that such awards may be replaced with the right to an equivalent cash payment at such future time because of the delisting of the underlying stock;</w:t>
      </w:r>
    </w:p>
    <w:p>
      <w:pPr>
        <w:spacing w:after="0" w:line="2" w:lineRule="exact"/>
        <w:rPr>
          <w:sz w:val="20"/>
          <w:szCs w:val="20"/>
          <w:color w:val="auto"/>
        </w:rPr>
      </w:pPr>
    </w:p>
    <w:p>
      <w:pPr>
        <w:ind w:right="20" w:firstLine="8"/>
        <w:spacing w:after="0" w:line="259" w:lineRule="auto"/>
        <w:tabs>
          <w:tab w:leader="none" w:pos="306"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reduction or delay of cash payments (reduced from the latest payment to the earliest payment); and (3) reduction of other benefits payable to the Executive (reduced from the highest value to the lowest value under Section 280G of the Code). The Company will select a reputable third party professional firm to make all determinations required to be made under this provision. The Company will bear all reasonable expenses with respect to the determinations by such firm required to be made hereunder. For the avoidance of doubt, neither the Company nor any of its affiliates shall have any obligation to indemnify, gross-up or otherwise pay or reimburse the Executive for any Excise Tax assessed on any payment or benefit made or provided, or required to be made or provided, to the Executive by the Company under this Agreement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14" w:right="339" w:bottom="1440" w:gutter="0" w:footer="0" w:header="0"/>
        </w:sectPr>
      </w:pPr>
    </w:p>
    <w:bookmarkStart w:id="11" w:name="page12"/>
    <w:bookmarkEnd w:id="11"/>
    <w:p>
      <w:pPr>
        <w:ind w:right="480" w:firstLine="648"/>
        <w:spacing w:after="0" w:line="313"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Resignation</w:t>
      </w:r>
      <w:r>
        <w:rPr>
          <w:rFonts w:ascii="Arial" w:cs="Arial" w:eastAsia="Arial" w:hAnsi="Arial"/>
          <w:sz w:val="19"/>
          <w:szCs w:val="19"/>
          <w:color w:val="auto"/>
        </w:rPr>
        <w:t>. Upon the termination of the Executive's employment for whatever reason, the Executive shall be deemed to have automatically resigned without claims for compensation from any position he holds with the Company.</w:t>
      </w:r>
    </w:p>
    <w:p>
      <w:pPr>
        <w:spacing w:after="0" w:line="132" w:lineRule="exact"/>
        <w:rPr>
          <w:sz w:val="20"/>
          <w:szCs w:val="20"/>
          <w:color w:val="auto"/>
        </w:rPr>
      </w:pPr>
    </w:p>
    <w:p>
      <w:pPr>
        <w:ind w:firstLine="8"/>
        <w:spacing w:after="0" w:line="253" w:lineRule="auto"/>
        <w:tabs>
          <w:tab w:leader="none" w:pos="37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Except as required in the performance of his duties to the Company under this Agreement, the Executive shall not, during or after the Term of this Agreement, use for himself or others, or disclose to others, any confidential information including without limitation, trade secrets, data, know-how, design, developmental or experimental work, Company relationships, computer programs, proprietary information bases and systems, data bases, customer lists, business plans, financial information of or about the Company or any of its affiliates, customers or clients, unless authorized in writing to do so by the Board or Crown’s Chief Executive Officer, but excluding any information generally available to the public or information (except information related to the Company) which Executive possessed prior to his employment with the Company. The Executive understands that this undertaking applies to the information of either a technical or commercial or other nature and that any information not made available to the general public is to be considered confidential. The Executive acknowledges that such confidential information as is acquired and used by the Company or its affiliates is a special, valuable and unique asset. All records, files, materials and confidential information obtained by Executive in the course of his employment with the Company are confidential and proprietary and shall remain the exclusive property of the Company or its affiliates, as the case may be. Notwithstanding the foregoing, (i) nothing in this Section or Agreement shall prohibit the Executive from reporting possible violations of federal law or regulation to any governmental agency or entity or self-regulatory organization or making disclosures that are protected under the whistleblower provisions of applicable law or regulation (and the Executive shall not be required to obtain the written consent of the Company prior to making any such reports or disclosures); and (ii) in accordance with the Defend Trade Secrets Act of 2016, (A)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w:t>
      </w:r>
    </w:p>
    <w:p>
      <w:pPr>
        <w:spacing w:after="0" w:line="1" w:lineRule="exact"/>
        <w:rPr>
          <w:rFonts w:ascii="Arial" w:cs="Arial" w:eastAsia="Arial" w:hAnsi="Arial"/>
          <w:sz w:val="19"/>
          <w:szCs w:val="19"/>
          <w:color w:val="auto"/>
        </w:rPr>
      </w:pPr>
    </w:p>
    <w:p>
      <w:pPr>
        <w:ind w:right="220"/>
        <w:spacing w:after="0" w:line="272" w:lineRule="auto"/>
        <w:rPr>
          <w:rFonts w:ascii="Arial" w:cs="Arial" w:eastAsia="Arial" w:hAnsi="Arial"/>
          <w:sz w:val="19"/>
          <w:szCs w:val="19"/>
          <w:color w:val="auto"/>
        </w:rPr>
      </w:pPr>
      <w:r>
        <w:rPr>
          <w:rFonts w:ascii="Arial" w:cs="Arial" w:eastAsia="Arial" w:hAnsi="Arial"/>
          <w:sz w:val="19"/>
          <w:szCs w:val="19"/>
          <w:color w:val="auto"/>
        </w:rPr>
        <w:t>(B) if the Executive files a lawsuit for retaliation by the Company for reporting a suspected violation of law, the Executive may disclose a trade secret to his attorney and use the trade secret information in the court proceeding, if the Executive files any document containing the trade secret under seal and does not disclose the trade secret except pursuant to court order.</w:t>
      </w:r>
    </w:p>
    <w:p>
      <w:pPr>
        <w:spacing w:after="0" w:line="170" w:lineRule="exact"/>
        <w:rPr>
          <w:rFonts w:ascii="Arial" w:cs="Arial" w:eastAsia="Arial" w:hAnsi="Arial"/>
          <w:sz w:val="19"/>
          <w:szCs w:val="19"/>
          <w:color w:val="auto"/>
        </w:rPr>
      </w:pPr>
    </w:p>
    <w:p>
      <w:pPr>
        <w:ind w:right="460" w:firstLine="8"/>
        <w:spacing w:after="0" w:line="267" w:lineRule="auto"/>
        <w:tabs>
          <w:tab w:leader="none" w:pos="378"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Return of Documents and Property</w:t>
      </w:r>
      <w:r>
        <w:rPr>
          <w:rFonts w:ascii="Arial" w:cs="Arial" w:eastAsia="Arial" w:hAnsi="Arial"/>
          <w:sz w:val="19"/>
          <w:szCs w:val="19"/>
          <w:color w:val="auto"/>
        </w:rPr>
        <w:t>. Upon the termination of Executive’s employment from the Company, or at any time upon the request of the Company, Executive (or his heirs or personal representative) shall deliver to the Company (a) all documents and materials containing confidential information relating to the business or affairs of the Company or any of its affiliates, customers or clients and (b) all other documents, materials and other property belonging to the Company or its affiliates, customers or clients that are in the possession or under the control of Executive.</w:t>
      </w:r>
    </w:p>
    <w:p>
      <w:pPr>
        <w:spacing w:after="0" w:line="175" w:lineRule="exact"/>
        <w:rPr>
          <w:rFonts w:ascii="Arial" w:cs="Arial" w:eastAsia="Arial" w:hAnsi="Arial"/>
          <w:sz w:val="19"/>
          <w:szCs w:val="19"/>
          <w:color w:val="auto"/>
        </w:rPr>
      </w:pPr>
    </w:p>
    <w:p>
      <w:pPr>
        <w:ind w:right="100" w:firstLine="8"/>
        <w:spacing w:after="0" w:line="231" w:lineRule="auto"/>
        <w:tabs>
          <w:tab w:leader="none" w:pos="37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By and in consideration of the salary and benefits to be provided by the Company hereunder, including the severance arrangements set forth herein, and further in consideration of the Executive’s exposure to the proprietary information of the Company,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20" w:top="1414" w:right="359" w:bottom="1440" w:gutter="0" w:footer="0" w:header="0"/>
        </w:sectPr>
      </w:pPr>
    </w:p>
    <w:bookmarkStart w:id="12" w:name="page13"/>
    <w:bookmarkEnd w:id="12"/>
    <w:p>
      <w:pPr>
        <w:ind w:right="40"/>
        <w:spacing w:after="0" w:line="258" w:lineRule="auto"/>
        <w:rPr>
          <w:sz w:val="20"/>
          <w:szCs w:val="20"/>
          <w:color w:val="auto"/>
        </w:rPr>
      </w:pPr>
      <w:r>
        <w:rPr>
          <w:rFonts w:ascii="Arial" w:cs="Arial" w:eastAsia="Arial" w:hAnsi="Arial"/>
          <w:sz w:val="19"/>
          <w:szCs w:val="19"/>
          <w:color w:val="auto"/>
        </w:rPr>
        <w:t>Executive agrees, unless the Executive requests in writing to the Board, and is thereafter authorized in writing to do so by the Board, that (a) during his employment under this Agreement, and (b)(i) for the one year period following the termination of employment prior to a Change in Control or (ii) the two year period following the termination of employment following a Change in Control, the Executive shall not directly or indirectly, own, manage, operate, join, control or participate in the ownership, management, operation or control of, or be employed or otherwise connected in any manner with, including without limitation as a consultant, any business which at any relevant time during said period directly or indirectly competes with the Company or any of its affiliates in any country in which the Company does business. Notwithstanding the foregoing, the Executive shall not be prohibited during the non-competition period described above from being a passive investor where he owns not more than five percent of the issued and outstanding capital stock of any publicly-held company. The Executive further agrees that during said period, the Executive shall not, directly or indirectly, solicit or induce, or attempt to solicit or induce, any employee of the Company to terminate employment with the Company or hire any employee of the Company.</w:t>
      </w:r>
    </w:p>
    <w:p>
      <w:pPr>
        <w:spacing w:after="0" w:line="184" w:lineRule="exact"/>
        <w:rPr>
          <w:sz w:val="20"/>
          <w:szCs w:val="20"/>
          <w:color w:val="auto"/>
        </w:rPr>
      </w:pPr>
    </w:p>
    <w:p>
      <w:pPr>
        <w:ind w:right="120" w:firstLine="8"/>
        <w:spacing w:after="0" w:line="259" w:lineRule="auto"/>
        <w:tabs>
          <w:tab w:leader="none" w:pos="378"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The Executive shall not, whether in writing or orally, in any forum, malign, denigrate or disparage the Company, its affiliates or any of their respective predecessors or successors, or any of the current or former directors, officers, employees, shareholders, partners, members, agents or representatives of any of the foregoing, with respect to any of their respective past or present activities, or otherwise publish (whether in writing or orally) in any forum statements that tend to portray any of the aforementioned parties in an unfavorable light. Disclosure of information that the Executive is required to disclose pursuant to any applicable law, court order, subpoena, compulsory process of law or governmental decree shall not constitute a violation or breach of this Section; provided that the Executive delivers written notice of such required disclosure to the Company or its designee promptly before making such disclosure if such notice is not prohibited by applicable law, court order, subpoena, compulsory process of law or governmental decree.</w:t>
      </w:r>
    </w:p>
    <w:p>
      <w:pPr>
        <w:spacing w:after="0" w:line="186" w:lineRule="exact"/>
        <w:rPr>
          <w:rFonts w:ascii="Arial" w:cs="Arial" w:eastAsia="Arial" w:hAnsi="Arial"/>
          <w:sz w:val="19"/>
          <w:szCs w:val="19"/>
          <w:color w:val="auto"/>
        </w:rPr>
      </w:pPr>
    </w:p>
    <w:p>
      <w:pPr>
        <w:ind w:firstLine="8"/>
        <w:spacing w:after="0" w:line="222" w:lineRule="auto"/>
        <w:tabs>
          <w:tab w:leader="none" w:pos="486"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The Executive acknowledges that (i) the Executive’s work for the Company has given and will continue to give him access to the confidential affairs and proprietary information of the Company; (ii) the covenants and agreements of the Executive contained in Sections 6, 7, 8 and 9 are essential to the business and goodwill of the Company; and (iii) Crown would not have entered into this Agreement but for the covenants and agreements set forth in Sections 6, 7, 8 and 9. The Executive further acknowledges that in the event of his breach or threat of breach of Sections 6, 7, 8 or 9 of this Agreement, the Company, in addition to any other legal remedies which may be available to it, shall be entitled to appropriate injunctive relief and/or specific performance in order to enforce or prevent any violations of such provisions, and the Executive and the Company hereby confer jurisdiction to enforce such provisions upon the courts of any jurisdiction within the geographical scope of such provisions.</w:t>
      </w:r>
    </w:p>
    <w:p>
      <w:pPr>
        <w:spacing w:after="0" w:line="202" w:lineRule="exact"/>
        <w:rPr>
          <w:rFonts w:ascii="Arial" w:cs="Arial" w:eastAsia="Arial" w:hAnsi="Arial"/>
          <w:sz w:val="22"/>
          <w:szCs w:val="22"/>
          <w:color w:val="auto"/>
        </w:rPr>
      </w:pPr>
    </w:p>
    <w:p>
      <w:pPr>
        <w:jc w:val="both"/>
        <w:ind w:right="80" w:firstLine="8"/>
        <w:spacing w:after="0" w:line="282" w:lineRule="auto"/>
        <w:tabs>
          <w:tab w:leader="none" w:pos="478"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provided for herein that one party intends to give to the other party shall be in writing and shall be considered given when mailed or couriered, return receipt requested, or personally delivered, either to the party or at the addresses set forth below (or to such other address as a party shall designate by notice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00"/>
          </w:cols>
          <w:pgMar w:left="320" w:top="1414" w:right="379" w:bottom="1440" w:gutter="0" w:footer="0" w:header="0"/>
        </w:sectPr>
      </w:pPr>
    </w:p>
    <w:bookmarkStart w:id="13" w:name="page14"/>
    <w:bookmarkEnd w:id="13"/>
    <w:p>
      <w:pPr>
        <w:ind w:left="1292"/>
        <w:spacing w:after="0"/>
        <w:rPr>
          <w:sz w:val="20"/>
          <w:szCs w:val="20"/>
          <w:color w:val="auto"/>
        </w:rPr>
      </w:pPr>
      <w:r>
        <w:rPr>
          <w:rFonts w:ascii="Arial" w:cs="Arial" w:eastAsia="Arial" w:hAnsi="Arial"/>
          <w:sz w:val="22"/>
          <w:szCs w:val="22"/>
          <w:color w:val="auto"/>
        </w:rPr>
        <w:t>If to the Company:</w:t>
      </w:r>
    </w:p>
    <w:p>
      <w:pPr>
        <w:spacing w:after="0" w:line="214"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Crown Holdings, Inc.</w:t>
      </w:r>
    </w:p>
    <w:p>
      <w:pPr>
        <w:ind w:left="1952"/>
        <w:spacing w:after="0" w:line="217" w:lineRule="auto"/>
        <w:rPr>
          <w:sz w:val="20"/>
          <w:szCs w:val="20"/>
          <w:color w:val="auto"/>
        </w:rPr>
      </w:pPr>
      <w:r>
        <w:rPr>
          <w:rFonts w:ascii="Arial" w:cs="Arial" w:eastAsia="Arial" w:hAnsi="Arial"/>
          <w:sz w:val="22"/>
          <w:szCs w:val="22"/>
          <w:color w:val="auto"/>
        </w:rPr>
        <w:t>770 Township Line Road Yardley, PA 19067</w:t>
      </w:r>
    </w:p>
    <w:p>
      <w:pPr>
        <w:spacing w:after="0" w:line="1" w:lineRule="exact"/>
        <w:rPr>
          <w:sz w:val="20"/>
          <w:szCs w:val="20"/>
          <w:color w:val="auto"/>
        </w:rPr>
      </w:pPr>
    </w:p>
    <w:p>
      <w:pPr>
        <w:ind w:left="1952"/>
        <w:spacing w:after="0"/>
        <w:rPr>
          <w:sz w:val="20"/>
          <w:szCs w:val="20"/>
          <w:color w:val="auto"/>
        </w:rPr>
      </w:pPr>
      <w:r>
        <w:rPr>
          <w:rFonts w:ascii="Arial" w:cs="Arial" w:eastAsia="Arial" w:hAnsi="Arial"/>
          <w:sz w:val="22"/>
          <w:szCs w:val="22"/>
          <w:color w:val="auto"/>
        </w:rPr>
        <w:t>Attention: Chief Executive Officer</w:t>
      </w:r>
    </w:p>
    <w:p>
      <w:pPr>
        <w:spacing w:after="0" w:line="202" w:lineRule="exact"/>
        <w:rPr>
          <w:sz w:val="20"/>
          <w:szCs w:val="20"/>
          <w:color w:val="auto"/>
        </w:rPr>
      </w:pPr>
    </w:p>
    <w:p>
      <w:pPr>
        <w:ind w:left="1292" w:right="2820"/>
        <w:spacing w:after="0" w:line="239" w:lineRule="auto"/>
        <w:rPr>
          <w:sz w:val="20"/>
          <w:szCs w:val="20"/>
          <w:color w:val="auto"/>
        </w:rPr>
      </w:pPr>
      <w:r>
        <w:rPr>
          <w:rFonts w:ascii="Arial" w:cs="Arial" w:eastAsia="Arial" w:hAnsi="Arial"/>
          <w:sz w:val="22"/>
          <w:szCs w:val="22"/>
          <w:color w:val="auto"/>
        </w:rPr>
        <w:t>If to the Executive, notice shall be sent to the Executive’s address on file with the Company.</w:t>
      </w:r>
    </w:p>
    <w:p>
      <w:pPr>
        <w:spacing w:after="0" w:line="198" w:lineRule="exact"/>
        <w:rPr>
          <w:sz w:val="20"/>
          <w:szCs w:val="20"/>
          <w:color w:val="auto"/>
        </w:rPr>
      </w:pPr>
    </w:p>
    <w:p>
      <w:pPr>
        <w:ind w:left="-8" w:right="80" w:firstLine="8"/>
        <w:spacing w:after="0" w:line="239" w:lineRule="auto"/>
        <w:tabs>
          <w:tab w:leader="none" w:pos="47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be amended, modified or superseded only by a written instrument executed by both of the parties hereto.</w:t>
      </w:r>
    </w:p>
    <w:p>
      <w:pPr>
        <w:spacing w:after="0" w:line="198" w:lineRule="exact"/>
        <w:rPr>
          <w:rFonts w:ascii="Arial" w:cs="Arial" w:eastAsia="Arial" w:hAnsi="Arial"/>
          <w:sz w:val="22"/>
          <w:szCs w:val="22"/>
          <w:color w:val="auto"/>
        </w:rPr>
      </w:pPr>
    </w:p>
    <w:p>
      <w:pPr>
        <w:ind w:left="-8" w:right="40" w:firstLine="8"/>
        <w:spacing w:after="0" w:line="239" w:lineRule="auto"/>
        <w:tabs>
          <w:tab w:leader="none" w:pos="47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inure to the benefit of and shall be binding upon the Company and the Executive and their respective heirs, executors, personal representatives, successors and permitted assigns.</w:t>
      </w:r>
    </w:p>
    <w:p>
      <w:pPr>
        <w:spacing w:after="0" w:line="198" w:lineRule="exact"/>
        <w:rPr>
          <w:rFonts w:ascii="Arial" w:cs="Arial" w:eastAsia="Arial" w:hAnsi="Arial"/>
          <w:sz w:val="22"/>
          <w:szCs w:val="22"/>
          <w:color w:val="auto"/>
        </w:rPr>
      </w:pPr>
    </w:p>
    <w:p>
      <w:pPr>
        <w:ind w:left="-8" w:firstLine="8"/>
        <w:spacing w:after="0" w:line="224" w:lineRule="auto"/>
        <w:tabs>
          <w:tab w:leader="none" w:pos="47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This Agreement shall not be assignable, in whole or in part, by either party, without the prior written consent of the other party, provided that (i) this Agreement shall be binding upon and shall be assigned by Crown to any person, firm or corporation with which Crown may be merged or consolidated or which may acquire all or substantially all of the assets of Crown, or its successor (“</w:t>
      </w:r>
      <w:r>
        <w:rPr>
          <w:rFonts w:ascii="Arial" w:cs="Arial" w:eastAsia="Arial" w:hAnsi="Arial"/>
          <w:sz w:val="22"/>
          <w:szCs w:val="22"/>
          <w:u w:val="single" w:color="auto"/>
          <w:color w:val="auto"/>
        </w:rPr>
        <w:t>Crown’s Successor</w:t>
      </w:r>
      <w:r>
        <w:rPr>
          <w:rFonts w:ascii="Arial" w:cs="Arial" w:eastAsia="Arial" w:hAnsi="Arial"/>
          <w:sz w:val="22"/>
          <w:szCs w:val="22"/>
          <w:color w:val="auto"/>
        </w:rPr>
        <w:t>”), (ii) Crown shall require Crown’s Successor to expressly assume in writing all of Crown’s obligations under this Agreement and (iii) Crown’s Successor shall be deemed substituted for Crown for all purposes of this Agreement.</w:t>
      </w:r>
    </w:p>
    <w:p>
      <w:pPr>
        <w:spacing w:after="0" w:line="203" w:lineRule="exact"/>
        <w:rPr>
          <w:rFonts w:ascii="Arial" w:cs="Arial" w:eastAsia="Arial" w:hAnsi="Arial"/>
          <w:sz w:val="22"/>
          <w:szCs w:val="22"/>
          <w:color w:val="auto"/>
        </w:rPr>
      </w:pPr>
    </w:p>
    <w:p>
      <w:pPr>
        <w:ind w:left="-8" w:right="60" w:firstLine="8"/>
        <w:spacing w:after="0" w:line="237" w:lineRule="auto"/>
        <w:tabs>
          <w:tab w:leader="none" w:pos="478"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Except as provided in Section 10 of this Agreement, any controversy or claim arising out of or relating to this Agreement or the breach thereof shall be settled by arbitration in Philadelphia, Pennsylvania in accordance with the rules of the American Arbitration Association, and judgment upon any award so rendered may be entered in any court having jurisdiction thereof. The determination of the arbitrator(s) shall be conclusive and binding on the Company and the Executive, and judgment may be entered on the arbitrator(s)’ award in any court having jurisdiction.</w:t>
      </w:r>
    </w:p>
    <w:p>
      <w:pPr>
        <w:spacing w:after="0" w:line="198" w:lineRule="exact"/>
        <w:rPr>
          <w:rFonts w:ascii="Arial" w:cs="Arial" w:eastAsia="Arial" w:hAnsi="Arial"/>
          <w:sz w:val="21"/>
          <w:szCs w:val="21"/>
          <w:color w:val="auto"/>
        </w:rPr>
      </w:pPr>
    </w:p>
    <w:p>
      <w:pPr>
        <w:ind w:left="-8" w:right="220" w:firstLine="8"/>
        <w:spacing w:after="0" w:line="239" w:lineRule="auto"/>
        <w:tabs>
          <w:tab w:leader="none" w:pos="47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Except to the extent such laws are superseded by Federal laws, this Agreement shall be governed by the laws of the Commonwealth of Pennsylvania without reference to principles of conflict of laws.</w:t>
      </w:r>
    </w:p>
    <w:p>
      <w:pPr>
        <w:spacing w:after="0" w:line="198" w:lineRule="exact"/>
        <w:rPr>
          <w:rFonts w:ascii="Arial" w:cs="Arial" w:eastAsia="Arial" w:hAnsi="Arial"/>
          <w:sz w:val="22"/>
          <w:szCs w:val="22"/>
          <w:color w:val="auto"/>
        </w:rPr>
      </w:pPr>
    </w:p>
    <w:p>
      <w:pPr>
        <w:ind w:left="-8" w:right="620" w:firstLine="8"/>
        <w:spacing w:after="0" w:line="282" w:lineRule="auto"/>
        <w:tabs>
          <w:tab w:leader="none" w:pos="478"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contains the entire Agreement between the parties relative to its subject matter, superseding all prior agreements or understandings of the parties relating thereto. In the event of any conflict between this Agreement and the terms of any benefit plan or any other agreement, the terms of this Agreement will control.</w:t>
      </w:r>
    </w:p>
    <w:p>
      <w:pPr>
        <w:spacing w:after="0" w:line="161" w:lineRule="exact"/>
        <w:rPr>
          <w:rFonts w:ascii="Arial" w:cs="Arial" w:eastAsia="Arial" w:hAnsi="Arial"/>
          <w:sz w:val="19"/>
          <w:szCs w:val="19"/>
          <w:color w:val="auto"/>
        </w:rPr>
      </w:pPr>
    </w:p>
    <w:p>
      <w:pPr>
        <w:ind w:left="-8" w:right="140" w:firstLine="8"/>
        <w:spacing w:after="0" w:line="272" w:lineRule="auto"/>
        <w:tabs>
          <w:tab w:leader="none" w:pos="478"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term or provision of this Agreement may be waived in writing at any time by the party entitled to the benefit thereof. The failure of either party at any time to require performance of any provision of this Agreement shall not affect such party’s right at a later time to enforce such provision. No consent or waiver by either party to any default or to any breach of a condition or term in this Agreement shall be deemed or construed to be a consent or waiver to any other breach or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52"/>
          </w:cols>
          <w:pgMar w:left="328" w:top="1414" w:right="419" w:bottom="1440" w:gutter="0" w:footer="0" w:header="0"/>
        </w:sectPr>
      </w:pPr>
    </w:p>
    <w:bookmarkStart w:id="14" w:name="page15"/>
    <w:bookmarkEnd w:id="14"/>
    <w:p>
      <w:pPr>
        <w:jc w:val="both"/>
        <w:ind w:left="-8" w:right="260" w:firstLine="8"/>
        <w:spacing w:after="0" w:line="231" w:lineRule="auto"/>
        <w:tabs>
          <w:tab w:leader="none" w:pos="47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Withholding of Taxes</w:t>
      </w:r>
      <w:r>
        <w:rPr>
          <w:rFonts w:ascii="Arial" w:cs="Arial" w:eastAsia="Arial" w:hAnsi="Arial"/>
          <w:sz w:val="22"/>
          <w:szCs w:val="22"/>
          <w:color w:val="auto"/>
        </w:rPr>
        <w:t>. All payments made by the Company to the Executive under this Agreement shall be subject to the withholding of such amounts, if any, relating to tax, and other payroll deductions as the Company may reasonably determine it should withhold pursuant to any applicable law or regulation.</w:t>
      </w:r>
    </w:p>
    <w:p>
      <w:pPr>
        <w:spacing w:after="0" w:line="201" w:lineRule="exact"/>
        <w:rPr>
          <w:rFonts w:ascii="Arial" w:cs="Arial" w:eastAsia="Arial" w:hAnsi="Arial"/>
          <w:sz w:val="22"/>
          <w:szCs w:val="22"/>
          <w:color w:val="auto"/>
        </w:rPr>
      </w:pPr>
    </w:p>
    <w:p>
      <w:pPr>
        <w:ind w:left="-8" w:right="160" w:firstLine="8"/>
        <w:spacing w:after="0" w:line="228" w:lineRule="auto"/>
        <w:tabs>
          <w:tab w:leader="none" w:pos="47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Anything contained in this Agreement to the contrary notwithstanding, the provisions of Sections 6, 7, 8, 9, 13, 14, 15, 16 and 17, (and the other provisions of this Agreement to the extent necessary to effectuate the survival of Sections 6, 7, 8, 9, 13, 14, 15, 16 and 17), shall survive termination of this Agreement and any termination of the Executive’s employment hereunder.</w:t>
      </w:r>
    </w:p>
    <w:p>
      <w:pPr>
        <w:spacing w:after="0" w:line="199" w:lineRule="exact"/>
        <w:rPr>
          <w:rFonts w:ascii="Arial" w:cs="Arial" w:eastAsia="Arial" w:hAnsi="Arial"/>
          <w:sz w:val="22"/>
          <w:szCs w:val="22"/>
          <w:color w:val="auto"/>
        </w:rPr>
      </w:pPr>
    </w:p>
    <w:p>
      <w:pPr>
        <w:ind w:left="-8" w:right="120" w:firstLine="8"/>
        <w:spacing w:after="0" w:line="224" w:lineRule="auto"/>
        <w:tabs>
          <w:tab w:leader="none" w:pos="47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Invalidity of Portion of Agreement</w:t>
      </w:r>
      <w:r>
        <w:rPr>
          <w:rFonts w:ascii="Arial" w:cs="Arial" w:eastAsia="Arial" w:hAnsi="Arial"/>
          <w:sz w:val="22"/>
          <w:szCs w:val="22"/>
          <w:color w:val="auto"/>
        </w:rPr>
        <w:t>. If any provision of this Agreement or the application thereof to either party shall be invalid or unenforceable to any extent, the remainder of this Agreement shall not be affected thereby and shall be enforceable to the fullest extent of the law. If any clause or provision hereof is determined by any court of competent jurisdiction to be unenforceable because of its scope or duration, the parties expressly agree that such court shall have the power to reduce the duration and/or restrict the scope of such clause or provision to the extent necessary to permit enforcement of such clause or provision in reduced or restricted form.</w:t>
      </w:r>
    </w:p>
    <w:p>
      <w:pPr>
        <w:spacing w:after="0" w:line="203" w:lineRule="exact"/>
        <w:rPr>
          <w:rFonts w:ascii="Arial" w:cs="Arial" w:eastAsia="Arial" w:hAnsi="Arial"/>
          <w:sz w:val="22"/>
          <w:szCs w:val="22"/>
          <w:color w:val="auto"/>
        </w:rPr>
      </w:pPr>
    </w:p>
    <w:p>
      <w:pPr>
        <w:ind w:left="-8" w:firstLine="8"/>
        <w:spacing w:after="0" w:line="228" w:lineRule="auto"/>
        <w:tabs>
          <w:tab w:leader="none" w:pos="47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Compliance with Code Section 409A</w:t>
      </w:r>
      <w:r>
        <w:rPr>
          <w:rFonts w:ascii="Arial" w:cs="Arial" w:eastAsia="Arial" w:hAnsi="Arial"/>
          <w:sz w:val="22"/>
          <w:szCs w:val="22"/>
          <w:color w:val="auto"/>
        </w:rPr>
        <w:t>. Notwithstanding anything else to the contrary in this Agreement, all reimbursements, including, without limitation, for medical related expenses and/or business expenses shall be paid to the Executive as soon as practicable after submission of proper documentation of claims, but no later than December 31 of the year following the year during which the expense or fee was incurred.</w:t>
      </w:r>
    </w:p>
    <w:p>
      <w:pPr>
        <w:spacing w:after="0" w:line="200" w:lineRule="exact"/>
        <w:rPr>
          <w:sz w:val="20"/>
          <w:szCs w:val="20"/>
          <w:color w:val="auto"/>
        </w:rPr>
      </w:pPr>
    </w:p>
    <w:p>
      <w:pPr>
        <w:jc w:val="center"/>
        <w:ind w:right="-51"/>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92"/>
          </w:cols>
          <w:pgMar w:left="328" w:top="1414" w:right="379" w:bottom="1440" w:gutter="0" w:footer="0" w:header="0"/>
        </w:sectPr>
      </w:pPr>
    </w:p>
    <w:bookmarkStart w:id="15" w:name="page16"/>
    <w:bookmarkEnd w:id="15"/>
    <w:p>
      <w:pPr>
        <w:jc w:val="center"/>
        <w:ind w:right="-179"/>
        <w:spacing w:after="0"/>
        <w:rPr>
          <w:sz w:val="20"/>
          <w:szCs w:val="20"/>
          <w:color w:val="auto"/>
        </w:rPr>
      </w:pPr>
      <w:r>
        <w:rPr>
          <w:rFonts w:ascii="Arial" w:cs="Arial" w:eastAsia="Arial" w:hAnsi="Arial"/>
          <w:sz w:val="19"/>
          <w:szCs w:val="19"/>
          <w:color w:val="auto"/>
        </w:rPr>
        <w:t>IN WITNESS WHEREOF, the parties hereto have duly executed this Agreement as of the date first written above.</w:t>
      </w:r>
    </w:p>
    <w:p>
      <w:pPr>
        <w:spacing w:after="0" w:line="2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 Timothy J.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-14605</wp:posOffset>
            </wp:positionV>
            <wp:extent cx="1557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7020" cy="8255"/>
                    </a:xfrm>
                    <a:prstGeom prst="rect">
                      <a:avLst/>
                    </a:prstGeom>
                    <a:noFill/>
                  </pic:spPr>
                </pic:pic>
              </a:graphicData>
            </a:graphic>
          </wp:anchor>
        </w:drawing>
      </w:r>
    </w:p>
    <w:p>
      <w:pPr>
        <w:ind w:left="1040"/>
        <w:spacing w:after="0" w:line="217" w:lineRule="auto"/>
        <w:rPr>
          <w:sz w:val="20"/>
          <w:szCs w:val="20"/>
          <w:color w:val="auto"/>
        </w:rPr>
      </w:pPr>
      <w:r>
        <w:rPr>
          <w:rFonts w:ascii="Arial" w:cs="Arial" w:eastAsia="Arial" w:hAnsi="Arial"/>
          <w:sz w:val="22"/>
          <w:szCs w:val="22"/>
          <w:color w:val="auto"/>
        </w:rPr>
        <w:t>Timothy J. Donahue</w:t>
      </w:r>
    </w:p>
    <w:p>
      <w:pPr>
        <w:ind w:left="4080"/>
        <w:spacing w:after="0" w:line="218" w:lineRule="auto"/>
        <w:rPr>
          <w:sz w:val="20"/>
          <w:szCs w:val="20"/>
          <w:color w:val="auto"/>
        </w:rPr>
      </w:pPr>
      <w:r>
        <w:rPr>
          <w:rFonts w:ascii="Arial" w:cs="Arial" w:eastAsia="Arial" w:hAnsi="Arial"/>
          <w:sz w:val="22"/>
          <w:szCs w:val="22"/>
          <w:color w:val="auto"/>
        </w:rPr>
        <w:t>President and Chief Executive</w:t>
      </w:r>
    </w:p>
    <w:p>
      <w:pPr>
        <w:spacing w:after="0" w:line="1"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-14605</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ind w:left="4080"/>
        <w:spacing w:after="0"/>
        <w:rPr>
          <w:sz w:val="20"/>
          <w:szCs w:val="20"/>
          <w:color w:val="auto"/>
        </w:rPr>
      </w:pPr>
      <w:r>
        <w:rPr>
          <w:rFonts w:ascii="Arial" w:cs="Arial" w:eastAsia="Arial" w:hAnsi="Arial"/>
          <w:sz w:val="22"/>
          <w:szCs w:val="22"/>
          <w:color w:val="auto"/>
        </w:rPr>
        <w:t>Kevin C. Clothier</w:t>
      </w:r>
    </w:p>
    <w:p>
      <w:pPr>
        <w:sectPr>
          <w:pgSz w:w="11900" w:h="16838" w:orient="portrait"/>
          <w:cols w:equalWidth="0" w:num="1">
            <w:col w:w="10080"/>
          </w:cols>
          <w:pgMar w:left="1440" w:top="1414" w:right="379" w:bottom="1440" w:gutter="0" w:footer="0" w:header="0"/>
        </w:sectPr>
      </w:pPr>
    </w:p>
    <w:bookmarkStart w:id="16" w:name="page17"/>
    <w:bookmarkEnd w:id="16"/>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GENERAL RELEASE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NOTICE</w:t>
      </w:r>
    </w:p>
    <w:p>
      <w:pPr>
        <w:spacing w:after="0" w:line="220"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This is a very important document and you should thoroughly review and understand the terms and effect of this document before signing it. By signing this General Release you will be releasing the Company from all liability to you. Therefore, you should consult with an attorney before signing the General Release. You have 21 [or, if required by law, 45] days to consider this document. If you have not returned a signed copy of the General Release by that time, we will assume that you have elected not to sign the General Release. If you choose to sign the General Release, you will have an additional 7 days following the date of your signature to revoke the General Release by providing written notice to the Company to be received during such 7-day revocation period and the General Release shall not become effective or enforceable until the revocation period has expired without revocation.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RELEASE</w:t>
      </w:r>
    </w:p>
    <w:p>
      <w:pPr>
        <w:spacing w:after="0" w:line="220"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In consideration of pay and benefits provided to me by Crown Holdings, Inc. as set forth in my Employment Agreement, dated</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____________, 2022, to which I would not otherwise be entitled, I, Kevin C. Clothier, on behalf of myself, my heirs, assigns,</w:t>
      </w:r>
    </w:p>
    <w:p>
      <w:pPr>
        <w:spacing w:after="0" w:line="11"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executors, agents and representatives, hereby release and discharge Crown Holdings, Inc. and its affiliates, parents, subsidiaries, successors, and predecessors, and all of their respective shareholders, employees, agents, officers and directors (hereinafter collectively referred to as the “Company”) from any and all claims, demands, charges, complaints and/or causes of action, known or unknown, which I may have or could claim to have against the Company arising at any time up to and including the date of my signing of this General Release. This General Release includes, but is not limited to, all claims arising from or during my employment or as a result of the termination of my employment and all claims arising under federal, state or local laws prohibiting employment discrimination based upon age, race, sex, religion, disability, handicap, national origin or any other protected characteristic, including, but not limited to any and all claims arising under the Age Discrimination in Employment Act, as amended, Title VII of the Civil Rights Act, as amended, the Americans with Disabilities Act, and all similar state or local laws, and/or any claims arising out of any legal restrictions, expressed or implied, on the Company’s right to control or terminate the employment of its employees. Notwithstanding the foregoing, this General Release does not apply to claims for (i) amounts payable to me under Section 5 of my Employment Agreement or (ii) payments due to me under any outstanding stock option, restricted stock or other equity award agreement between me and the Company.</w:t>
      </w:r>
    </w:p>
    <w:p>
      <w:pPr>
        <w:spacing w:after="0" w:line="191" w:lineRule="exact"/>
        <w:rPr>
          <w:sz w:val="20"/>
          <w:szCs w:val="20"/>
          <w:color w:val="auto"/>
        </w:rPr>
      </w:pPr>
    </w:p>
    <w:p>
      <w:pPr>
        <w:ind w:right="120"/>
        <w:spacing w:after="0" w:line="226" w:lineRule="auto"/>
        <w:rPr>
          <w:sz w:val="20"/>
          <w:szCs w:val="20"/>
          <w:color w:val="auto"/>
        </w:rPr>
      </w:pPr>
      <w:r>
        <w:rPr>
          <w:rFonts w:ascii="Arial" w:cs="Arial" w:eastAsia="Arial" w:hAnsi="Arial"/>
          <w:sz w:val="22"/>
          <w:szCs w:val="22"/>
          <w:color w:val="auto"/>
        </w:rPr>
        <w:t>I further agree that I will not file (or join, or accept any relief in) a lawsuit against the Company pleading or asserting any claims released in this General Release. If I breach this promise, and the action is found to be barred in whole or in part by this General Release, I agree to pay the attorneys’ fees and costs, or the proportions thereof, incurred by the Company in defending against those claims that are found to be barred by this General Release. Nothing in this paragraph precludes me from challenging the validity of this General Release under the</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60" w:lineRule="auto"/>
        <w:rPr>
          <w:sz w:val="20"/>
          <w:szCs w:val="20"/>
          <w:color w:val="auto"/>
        </w:rPr>
      </w:pPr>
      <w:r>
        <w:rPr>
          <w:rFonts w:ascii="Arial" w:cs="Arial" w:eastAsia="Arial" w:hAnsi="Arial"/>
          <w:sz w:val="19"/>
          <w:szCs w:val="19"/>
          <w:color w:val="auto"/>
        </w:rPr>
        <w:t xml:space="preserve">requirements of the Age Discrimination in Employment Act, and I shall not be responsible for reimbursing the attorneys’ fees and costs of the Company in connection with such a challenge to the validity of the release. However, I acknowledge that this General Release applies to all claims I have under the Age Discrimination in Employment Act, and that, unless this General Release is held to be invalid, all of my claims under that Act shall be extinguished. Further, nothing in this </w:t>
      </w:r>
      <w:r>
        <w:rPr>
          <w:rFonts w:ascii="Arial" w:cs="Arial" w:eastAsia="Arial" w:hAnsi="Arial"/>
          <w:sz w:val="19"/>
          <w:szCs w:val="19"/>
          <w:u w:val="single" w:color="auto"/>
          <w:color w:val="auto"/>
        </w:rPr>
        <w:t>General Release</w:t>
      </w:r>
      <w:r>
        <w:rPr>
          <w:rFonts w:ascii="Arial" w:cs="Arial" w:eastAsia="Arial" w:hAnsi="Arial"/>
          <w:sz w:val="19"/>
          <w:szCs w:val="19"/>
          <w:color w:val="auto"/>
        </w:rPr>
        <w:t xml:space="preserve"> shall preclude or prevent me from filing a charge with, providing information to, communicating with or cooperating with any governmental agency, including but not limited to the U.S. Equal Employment Opportunity Commission. I agree that I will not seek or accept any relief obtained on my behalf by any governmental agency, private party, class, or otherwise with respect to any claims released in this General Release provided that this General Release does not limit my right to receive an award for information provided to any governmental agency.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By signing below, I acknowledge that I have carefully read and fully understand the provisions of this General Release. I further acknowledge that I am signing this General Release knowingly and voluntarily and without duress, coercion or undue influence. This General Release constitutes the total and complete understanding between me and the Company relating to the subject matter covered by this General Release, and all other prior or contemporaneous written or oral agreements or representations, if any, relating to the subject matter covered by this General Release are null and void. Neither the Company nor its agents, representatives or attorneys have made any representations to me concerning the terms or effects of this General Release other than those contained herein. It is also expressly understood and agreed that the terms of this General Release may not be altered except in a writing signed by both me and the Company.</w:t>
      </w:r>
    </w:p>
    <w:p>
      <w:pPr>
        <w:spacing w:after="0" w:line="200" w:lineRule="exact"/>
        <w:rPr>
          <w:sz w:val="20"/>
          <w:szCs w:val="20"/>
          <w:color w:val="auto"/>
        </w:rPr>
      </w:pPr>
    </w:p>
    <w:p>
      <w:pPr>
        <w:spacing w:after="0" w:line="228" w:lineRule="exact"/>
        <w:rPr>
          <w:sz w:val="20"/>
          <w:szCs w:val="20"/>
          <w:color w:val="auto"/>
        </w:rPr>
      </w:pPr>
    </w:p>
    <w:p>
      <w:pPr>
        <w:ind w:right="40"/>
        <w:spacing w:after="0" w:line="239" w:lineRule="auto"/>
        <w:rPr>
          <w:sz w:val="20"/>
          <w:szCs w:val="20"/>
          <w:color w:val="auto"/>
        </w:rPr>
      </w:pPr>
      <w:r>
        <w:rPr>
          <w:rFonts w:ascii="Arial" w:cs="Arial" w:eastAsia="Arial" w:hAnsi="Arial"/>
          <w:sz w:val="21"/>
          <w:szCs w:val="21"/>
          <w:i w:val="1"/>
          <w:iCs w:val="1"/>
          <w:color w:val="auto"/>
        </w:rPr>
        <w:t>I agree and acknowledge that I have carefully read and understand this General Release, including the Section labeled “Notice” on the top of the first page; that I understand, in particular that I am agreeing to release all legal claims against the Company; that I sign this General Release knowingly and voluntarily; that I have been advised to consult with an attorney before signing it; and that this General Release shall not be subject to claims of fraud, duress and/or mistake.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INTENDING TO BE LEGALLY BOUND, I hereby set my hand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SIGNED BY: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_______ _____</w:t>
      </w:r>
    </w:p>
    <w:p>
      <w:pPr>
        <w:spacing w:after="0"/>
        <w:rPr>
          <w:sz w:val="20"/>
          <w:szCs w:val="20"/>
          <w:color w:val="auto"/>
        </w:rPr>
      </w:pPr>
      <w:r>
        <w:rPr>
          <w:rFonts w:ascii="Arial" w:cs="Arial" w:eastAsia="Arial" w:hAnsi="Arial"/>
          <w:sz w:val="22"/>
          <w:szCs w:val="22"/>
          <w:color w:val="auto"/>
        </w:rPr>
        <w:t>Kevin C. Clothier Date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WITNESSED BY: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 _____</w:t>
      </w:r>
    </w:p>
    <w:p>
      <w:pPr>
        <w:spacing w:after="0"/>
        <w:rPr>
          <w:sz w:val="20"/>
          <w:szCs w:val="20"/>
          <w:color w:val="auto"/>
        </w:rPr>
      </w:pPr>
      <w:r>
        <w:rPr>
          <w:rFonts w:ascii="Arial" w:cs="Arial" w:eastAsia="Arial" w:hAnsi="Arial"/>
          <w:sz w:val="22"/>
          <w:szCs w:val="22"/>
          <w:color w:val="auto"/>
        </w:rPr>
        <w:t>Witness signature Date</w:t>
      </w:r>
    </w:p>
    <w:sectPr>
      <w:pgSz w:w="11900" w:h="16838" w:orient="portrait"/>
      <w:cols w:equalWidth="0" w:num="1">
        <w:col w:w="11220"/>
      </w:cols>
      <w:pgMar w:left="320" w:top="14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lvl w:ilvl="1">
      <w:lvlJc w:val="left"/>
      <w:lvlText w:val="(%2)"/>
      <w:numFmt w:val="lowerLetter"/>
      <w:start w:val="1"/>
    </w:lvl>
  </w:abstractNum>
  <w:abstractNum w:abstractNumId="4">
    <w:nsid w:val="1190CDE7"/>
    <w:multiLevelType w:val="hybridMultilevel"/>
    <w:lvl w:ilvl="0">
      <w:lvlJc w:val="left"/>
      <w:lvlText w:val="(%1)"/>
      <w:numFmt w:val="lowerLetter"/>
      <w:start w:val="4"/>
    </w:lvl>
    <w:lvl w:ilvl="1">
      <w:lvlJc w:val="left"/>
      <w:lvlText w:val="%2"/>
      <w:numFmt w:val="lowerLetter"/>
      <w:start w:val="1"/>
    </w:lvl>
  </w:abstractNum>
  <w:abstractNum w:abstractNumId="5">
    <w:nsid w:val="66EF438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
    <w:nsid w:val="140E0F76"/>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7">
    <w:nsid w:val="3352255A"/>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8">
    <w:nsid w:val="109CF92E"/>
    <w:multiLevelType w:val="hybridMultilevel"/>
    <w:lvl w:ilvl="0">
      <w:lvlJc w:val="left"/>
      <w:lvlText w:val="(%1)"/>
      <w:numFmt w:val="lowerLetter"/>
      <w:start w:val="5"/>
    </w:lvl>
  </w:abstractNum>
  <w:abstractNum w:abstractNumId="9">
    <w:nsid w:val="DED7263"/>
    <w:multiLevelType w:val="hybridMultilevel"/>
    <w:lvl w:ilvl="0">
      <w:lvlJc w:val="left"/>
      <w:lvlText w:val="%1"/>
      <w:numFmt w:val="decimal"/>
      <w:start w:val="1"/>
    </w:lvl>
    <w:lvl w:ilvl="1">
      <w:lvlJc w:val="left"/>
      <w:lvlText w:val="(%2)"/>
      <w:numFmt w:val="lowerLetter"/>
      <w:start w:val="1"/>
    </w:lvl>
  </w:abstractNum>
  <w:abstractNum w:abstractNumId="10">
    <w:nsid w:val="7FDCC233"/>
    <w:multiLevelType w:val="hybridMultilevel"/>
    <w:lvl w:ilvl="0">
      <w:lvlJc w:val="left"/>
      <w:lvlText w:val="%1."/>
      <w:numFmt w:val="decimal"/>
      <w:start w:val="2"/>
    </w:lvl>
    <w:lvl w:ilvl="1">
      <w:lvlJc w:val="left"/>
      <w:lvlText w:val="%2"/>
      <w:numFmt w:val="lowerLetter"/>
      <w:start w:val="1"/>
    </w:lvl>
  </w:abstractNum>
  <w:abstractNum w:abstractNumId="11">
    <w:nsid w:val="1BEFD79F"/>
    <w:multiLevelType w:val="hybridMultilevel"/>
    <w:lvl w:ilvl="0">
      <w:lvlJc w:val="left"/>
      <w:lvlText w:val="%1."/>
      <w:numFmt w:val="decimal"/>
      <w:start w:val="4"/>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1."/>
      <w:numFmt w:val="decimal"/>
      <w:start w:val="6"/>
    </w:lvl>
  </w:abstractNum>
  <w:abstractNum w:abstractNumId="15">
    <w:nsid w:val="25E45D32"/>
    <w:multiLevelType w:val="hybridMultilevel"/>
    <w:lvl w:ilvl="0">
      <w:lvlJc w:val="left"/>
      <w:lvlText w:val="%1."/>
      <w:numFmt w:val="decimal"/>
      <w:start w:val="9"/>
    </w:lvl>
  </w:abstractNum>
  <w:abstractNum w:abstractNumId="16">
    <w:nsid w:val="519B500D"/>
    <w:multiLevelType w:val="hybridMultilevel"/>
    <w:lvl w:ilvl="0">
      <w:lvlJc w:val="left"/>
      <w:lvlText w:val="%1."/>
      <w:numFmt w:val="decimal"/>
      <w:start w:val="12"/>
    </w:lvl>
  </w:abstractNum>
  <w:abstractNum w:abstractNumId="17">
    <w:nsid w:val="431BD7B7"/>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2022-01-11T14:17:22Z</dcterms:created>
  <dcterms:modified xsi:type="dcterms:W3CDTF">2022-01-11T14:17:22Z</dcterms:modified>
</cp:coreProperties>
</file>