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Crown Holdings,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228368106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31, 2018</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99" w:hanging="5"/>
        <w:spacing w:after="0" w:line="547" w:lineRule="auto"/>
        <w:tabs>
          <w:tab w:leader="none" w:pos="9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rPr>
              <w:t>CUSIP No.228368106</w:t>
            </w:r>
          </w:p>
        </w:tc>
        <w:tc>
          <w:tcPr>
            <w:tcW w:w="1420" w:type="dxa"/>
            <w:vAlign w:val="bottom"/>
          </w:tcPr>
          <w:p>
            <w:pPr>
              <w:ind w:left="110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Cambridge Global Asset Management (the "Investment Manager"),</w:t>
      </w:r>
    </w:p>
    <w:p>
      <w:pPr>
        <w:ind w:left="740"/>
        <w:spacing w:after="0"/>
        <w:rPr>
          <w:sz w:val="20"/>
          <w:szCs w:val="20"/>
          <w:color w:val="auto"/>
        </w:rPr>
      </w:pPr>
      <w:r>
        <w:rPr>
          <w:rFonts w:ascii="Courier New" w:cs="Courier New" w:eastAsia="Courier New" w:hAnsi="Courier New"/>
          <w:sz w:val="18"/>
          <w:szCs w:val="18"/>
          <w:color w:val="auto"/>
        </w:rPr>
        <w:t>a business unit of CI Investments Inc.</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Province of Ontario, Canada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1,827,583</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1,827,583</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ectPr>
          <w:pgSz w:w="11900" w:h="16855" w:orient="portrait"/>
          <w:cols w:equalWidth="0" w:num="1">
            <w:col w:w="10219"/>
          </w:cols>
          <w:pgMar w:left="240" w:top="244" w:right="1440" w:bottom="0" w:gutter="0" w:footer="0" w:header="0"/>
        </w:sectPr>
      </w:pPr>
    </w:p>
    <w:bookmarkStart w:id="1" w:name="page2"/>
    <w:bookmarkEnd w:id="1"/>
    <w:p>
      <w:pPr>
        <w:ind w:left="244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740"/>
        <w:spacing w:after="0" w:line="238" w:lineRule="auto"/>
        <w:rPr>
          <w:sz w:val="20"/>
          <w:szCs w:val="20"/>
          <w:color w:val="auto"/>
        </w:rPr>
      </w:pPr>
      <w:r>
        <w:rPr>
          <w:rFonts w:ascii="Courier New" w:cs="Courier New" w:eastAsia="Courier New" w:hAnsi="Courier New"/>
          <w:sz w:val="18"/>
          <w:szCs w:val="18"/>
          <w:color w:val="auto"/>
        </w:rPr>
        <w:t>1,827,583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99" w:hanging="521"/>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99" w:hanging="521"/>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1.35%(1)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839" w:hanging="521"/>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FI</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jc w:val="both"/>
        <w:ind w:right="2099" w:firstLine="113"/>
        <w:spacing w:after="0" w:line="237" w:lineRule="auto"/>
        <w:tabs>
          <w:tab w:leader="none" w:pos="84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upon 135,190,167 Shares of Common Stock of Crown Holdings, Inc. (the "Issuer") outstanding as of October 25, 2018 as reported in the Issuer's Form 10-Q filed with the Securities and Exchange Commission (the "SEC") on October 29, 2018.</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Crown Holdings, Inc.</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   Address of Issuer's Principal Executive Offices: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770 Township Line Road</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Yardley, PA</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w w:val="98"/>
              </w:rPr>
              <w:t>Cambridge Global Asset Management (the "Investment Manager"),</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 business unit of CI Investments Inc.</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   Address of Principal Business Office, or if None, Residence:</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2 Queen Street East</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Twentieth Floor</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Toronto, ON</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M5C 3G7</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See Item 4 on the cover page hereto.</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(d)   Title of Class of Securities: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Common Stock</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(e)</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228368106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If this statement is filed pursuant to Sections 240.13d-1(b) or</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240.13d-2(b) or (c), check whether the person filing is a:</w:t>
            </w:r>
          </w:p>
        </w:tc>
      </w:tr>
    </w:tbl>
    <w:p>
      <w:pPr>
        <w:spacing w:after="0" w:line="207" w:lineRule="exact"/>
        <w:rPr>
          <w:sz w:val="20"/>
          <w:szCs w:val="20"/>
          <w:color w:val="auto"/>
        </w:rPr>
      </w:pPr>
    </w:p>
    <w:p>
      <w:pPr>
        <w:ind w:left="2220" w:right="2199" w:hanging="948"/>
        <w:spacing w:after="0" w:line="235" w:lineRule="auto"/>
        <w:tabs>
          <w:tab w:leader="none" w:pos="169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779" w:hanging="948"/>
        <w:spacing w:after="0" w:line="235" w:lineRule="auto"/>
        <w:tabs>
          <w:tab w:leader="none" w:pos="169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519" w:hanging="948"/>
        <w:spacing w:after="0" w:line="290" w:lineRule="auto"/>
        <w:tabs>
          <w:tab w:leader="none" w:pos="169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220" w:right="2099" w:hanging="948"/>
        <w:spacing w:after="0" w:line="235" w:lineRule="auto"/>
        <w:tabs>
          <w:tab w:leader="none" w:pos="169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99" w:hanging="948"/>
        <w:spacing w:after="0" w:line="235" w:lineRule="auto"/>
        <w:tabs>
          <w:tab w:leader="none" w:pos="169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Section 240.13d-1(b)(1)(ii)(G);</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w:t>
      </w:r>
    </w:p>
    <w:p>
      <w:pPr>
        <w:sectPr>
          <w:pgSz w:w="11900" w:h="16838" w:orient="portrait"/>
          <w:cols w:equalWidth="0" w:num="1">
            <w:col w:w="10219"/>
          </w:cols>
          <w:pgMar w:left="240" w:top="136" w:right="1440" w:bottom="0" w:gutter="0" w:footer="0" w:header="0"/>
        </w:sectPr>
      </w:pPr>
    </w:p>
    <w:bookmarkStart w:id="2" w:name="page3"/>
    <w:bookmarkEnd w:id="2"/>
    <w:p>
      <w:pPr>
        <w:ind w:left="2220"/>
        <w:spacing w:after="0"/>
        <w:rPr>
          <w:sz w:val="20"/>
          <w:szCs w:val="20"/>
          <w:color w:val="auto"/>
        </w:rPr>
      </w:pPr>
      <w:r>
        <w:rPr>
          <w:rFonts w:ascii="Courier New" w:cs="Courier New" w:eastAsia="Courier New" w:hAnsi="Courier New"/>
          <w:sz w:val="18"/>
          <w:szCs w:val="18"/>
          <w:color w:val="auto"/>
        </w:rPr>
        <w:t>Federal Deposit Insurance Act (12 U.S.C. 1813);</w:t>
      </w:r>
    </w:p>
    <w:p>
      <w:pPr>
        <w:spacing w:after="0" w:line="207" w:lineRule="exact"/>
        <w:rPr>
          <w:sz w:val="20"/>
          <w:szCs w:val="20"/>
          <w:color w:val="auto"/>
        </w:rPr>
      </w:pPr>
    </w:p>
    <w:p>
      <w:pPr>
        <w:ind w:left="2220" w:right="2099" w:hanging="948"/>
        <w:spacing w:after="0" w:line="236" w:lineRule="auto"/>
        <w:tabs>
          <w:tab w:leader="none" w:pos="169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non-U.S. institution in accordance with Section</w:t>
      </w:r>
    </w:p>
    <w:p>
      <w:pPr>
        <w:ind w:left="2220"/>
        <w:spacing w:after="0" w:line="238" w:lineRule="auto"/>
        <w:rPr>
          <w:sz w:val="20"/>
          <w:szCs w:val="20"/>
          <w:color w:val="auto"/>
        </w:rPr>
      </w:pPr>
      <w:r>
        <w:rPr>
          <w:rFonts w:ascii="Courier New" w:cs="Courier New" w:eastAsia="Courier New" w:hAnsi="Courier New"/>
          <w:sz w:val="18"/>
          <w:szCs w:val="18"/>
          <w:color w:val="auto"/>
        </w:rPr>
        <w:t>240.13d-1(b)(1)(ii)(J).</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160" w:right="5899" w:firstLine="7"/>
        <w:spacing w:after="0" w:line="235" w:lineRule="auto"/>
        <w:tabs>
          <w:tab w:leader="none" w:pos="158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1,827,583</w:t>
      </w:r>
    </w:p>
    <w:p>
      <w:pPr>
        <w:spacing w:after="0" w:line="202"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160"/>
        <w:spacing w:after="0" w:line="238" w:lineRule="auto"/>
        <w:rPr>
          <w:sz w:val="20"/>
          <w:szCs w:val="20"/>
          <w:color w:val="auto"/>
        </w:rPr>
      </w:pPr>
      <w:r>
        <w:rPr>
          <w:rFonts w:ascii="Courier New" w:cs="Courier New" w:eastAsia="Courier New" w:hAnsi="Courier New"/>
          <w:sz w:val="18"/>
          <w:szCs w:val="18"/>
          <w:color w:val="auto"/>
        </w:rPr>
        <w:t>1.35%</w:t>
      </w:r>
    </w:p>
    <w:p>
      <w:pPr>
        <w:spacing w:after="0" w:line="202" w:lineRule="exact"/>
        <w:rPr>
          <w:sz w:val="20"/>
          <w:szCs w:val="20"/>
          <w:color w:val="auto"/>
        </w:rPr>
      </w:pPr>
    </w:p>
    <w:p>
      <w:pPr>
        <w:ind w:left="1580" w:hanging="413"/>
        <w:spacing w:after="0"/>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2120" w:right="3779" w:hanging="637"/>
        <w:spacing w:after="0" w:line="290" w:lineRule="auto"/>
        <w:tabs>
          <w:tab w:leader="none" w:pos="21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See Item 5 on the cover page hereto.</w:t>
      </w:r>
    </w:p>
    <w:p>
      <w:pPr>
        <w:spacing w:after="0" w:line="169" w:lineRule="exact"/>
        <w:rPr>
          <w:rFonts w:ascii="Courier New" w:cs="Courier New" w:eastAsia="Courier New" w:hAnsi="Courier New"/>
          <w:sz w:val="16"/>
          <w:szCs w:val="16"/>
          <w:color w:val="auto"/>
        </w:rPr>
      </w:pPr>
    </w:p>
    <w:p>
      <w:pPr>
        <w:ind w:left="2120" w:right="3579" w:hanging="637"/>
        <w:spacing w:after="0" w:line="290" w:lineRule="auto"/>
        <w:tabs>
          <w:tab w:leader="none" w:pos="212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See Item 6 on the cover page hereto.</w:t>
      </w:r>
    </w:p>
    <w:p>
      <w:pPr>
        <w:spacing w:after="0" w:line="169" w:lineRule="exact"/>
        <w:rPr>
          <w:rFonts w:ascii="Courier New" w:cs="Courier New" w:eastAsia="Courier New" w:hAnsi="Courier New"/>
          <w:sz w:val="16"/>
          <w:szCs w:val="16"/>
          <w:color w:val="auto"/>
        </w:rPr>
      </w:pPr>
    </w:p>
    <w:p>
      <w:pPr>
        <w:ind w:left="2120" w:right="2419" w:hanging="637"/>
        <w:spacing w:after="0" w:line="235" w:lineRule="auto"/>
        <w:tabs>
          <w:tab w:leader="none" w:pos="21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See Item 7 on the cover page hereto.</w:t>
      </w:r>
    </w:p>
    <w:p>
      <w:pPr>
        <w:spacing w:after="0" w:line="208" w:lineRule="exact"/>
        <w:rPr>
          <w:rFonts w:ascii="Courier New" w:cs="Courier New" w:eastAsia="Courier New" w:hAnsi="Courier New"/>
          <w:sz w:val="18"/>
          <w:szCs w:val="18"/>
          <w:color w:val="auto"/>
        </w:rPr>
      </w:pPr>
    </w:p>
    <w:p>
      <w:pPr>
        <w:ind w:left="2120" w:right="2199" w:hanging="637"/>
        <w:spacing w:after="0" w:line="235" w:lineRule="auto"/>
        <w:tabs>
          <w:tab w:leader="none" w:pos="21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See Item 8 on the cover page hereto.</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Yes</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99" w:hanging="1158"/>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(i) the securities referred to above were acquired and are held in the ordinary course of business and were not acquired and are not held for the purpose or with the effect of changing or influencing control of the Issuer of the securities and were not acquired and are not held in connection with or as a participant in any transaction having that purpose or effect, other than activities solely in connection with nomination under Section 240.14a-11; and (ii) the foreign regulatory scheme applicable to the non-U.S. institutions above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00" w:lineRule="exact"/>
        <w:rPr>
          <w:sz w:val="20"/>
          <w:szCs w:val="20"/>
          <w:color w:val="auto"/>
        </w:rPr>
      </w:pPr>
    </w:p>
    <w:p>
      <w:pPr>
        <w:spacing w:after="0" w:line="20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36" w:right="1440" w:bottom="0" w:gutter="0" w:footer="0" w:header="0"/>
        </w:sect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29, 2019</w:t>
      </w:r>
    </w:p>
    <w:p>
      <w:pPr>
        <w:spacing w:after="0" w:line="216" w:lineRule="exact"/>
        <w:rPr>
          <w:sz w:val="20"/>
          <w:szCs w:val="20"/>
          <w:color w:val="auto"/>
        </w:rPr>
      </w:pPr>
    </w:p>
    <w:p>
      <w:pPr>
        <w:sectPr>
          <w:pgSz w:w="11900" w:h="16838" w:orient="portrait"/>
          <w:cols w:equalWidth="0" w:num="2">
            <w:col w:w="560" w:space="720"/>
            <w:col w:w="8939"/>
          </w:cols>
          <w:pgMar w:left="240" w:top="136"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Anne Ramsay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Name/Title: Anne Ramsay, Chief Compliance Officer</w:t>
      </w:r>
    </w:p>
    <w:sectPr>
      <w:pgSz w:w="11900" w:h="16838" w:orient="portrait"/>
      <w:cols w:equalWidth="0" w:num="1">
        <w:col w:w="10219"/>
      </w:cols>
      <w:pgMar w:left="240" w:top="136" w:right="144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2]"/>
      <w:numFmt w:val="lowerRoman"/>
      <w:start w:val="10"/>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lvl w:ilvl="1">
      <w:lvlJc w:val="left"/>
      <w:lvlText w:val="(%2)"/>
      <w:numFmt w:val="lowerLetter"/>
      <w:start w:val="1"/>
    </w:lvl>
  </w:abstractNum>
  <w:abstractNum w:abstractNumId="3">
    <w:nsid w:val="12200854"/>
    <w:multiLevelType w:val="hybridMultilevel"/>
    <w:lvl w:ilvl="0">
      <w:lvlJc w:val="left"/>
      <w:lvlText w:val="%1."/>
      <w:numFmt w:val="decimal"/>
      <w:start w:val="4"/>
    </w:lvl>
  </w:abstractNum>
  <w:abstractNum w:abstractNumId="4">
    <w:nsid w:val="4DB127F8"/>
    <w:multiLevelType w:val="hybridMultilevel"/>
    <w:lvl w:ilvl="0">
      <w:lvlJc w:val="left"/>
      <w:lvlText w:val="%1."/>
      <w:numFmt w:val="decimal"/>
      <w:start w:val="9"/>
    </w:lvl>
  </w:abstractNum>
  <w:abstractNum w:abstractNumId="5">
    <w:nsid w:val="216231B"/>
    <w:multiLevelType w:val="hybridMultilevel"/>
    <w:lvl w:ilvl="0">
      <w:lvlJc w:val="left"/>
      <w:lvlText w:val="%1."/>
      <w:numFmt w:val="decimal"/>
      <w:start w:val="10"/>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3"/>
    </w:lvl>
  </w:abstractNum>
  <w:abstractNum w:abstractNumId="11">
    <w:nsid w:val="109CF92E"/>
    <w:multiLevelType w:val="hybridMultilevel"/>
    <w:lvl w:ilvl="0">
      <w:lvlJc w:val="left"/>
      <w:lvlText w:val="(%1)"/>
      <w:numFmt w:val="lowerLetter"/>
      <w:start w:val="6"/>
    </w:lvl>
  </w:abstractNum>
  <w:abstractNum w:abstractNumId="12">
    <w:nsid w:val="DED7263"/>
    <w:multiLevelType w:val="hybridMultilevel"/>
    <w:lvl w:ilvl="0">
      <w:lvlJc w:val="left"/>
      <w:lvlText w:val="(%1)"/>
      <w:numFmt w:val="lowerLetter"/>
      <w:start w:val="9"/>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2019-12-03T03:09:07Z</dcterms:created>
  <dcterms:modified xsi:type="dcterms:W3CDTF">2019-12-03T03:09:07Z</dcterms:modified>
</cp:coreProperties>
</file>