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70"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2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Washington, D. C. 20549</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29"/>
          <w:szCs w:val="29"/>
          <w:b w:val="1"/>
          <w:bCs w:val="1"/>
          <w:color w:val="auto"/>
        </w:rPr>
        <w:t>FORM 11-K</w:t>
      </w:r>
    </w:p>
    <w:p>
      <w:pPr>
        <w:sectPr>
          <w:pgSz w:w="11900" w:h="16838" w:orient="portrait"/>
          <w:cols w:equalWidth="0" w:num="1">
            <w:col w:w="9559"/>
          </w:cols>
          <w:pgMar w:left="900" w:top="1440" w:right="1440" w:bottom="1440" w:gutter="0" w:footer="0" w:header="0"/>
        </w:sectPr>
      </w:pPr>
    </w:p>
    <w:p>
      <w:pPr>
        <w:spacing w:after="0" w:line="200" w:lineRule="exact"/>
        <w:rPr>
          <w:sz w:val="24"/>
          <w:szCs w:val="24"/>
          <w:color w:val="auto"/>
        </w:r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 ]</w:t>
      </w:r>
    </w:p>
    <w:p>
      <w:pPr>
        <w:spacing w:after="0" w:line="20" w:lineRule="exact"/>
        <w:rPr>
          <w:sz w:val="24"/>
          <w:szCs w:val="24"/>
          <w:color w:val="auto"/>
        </w:rPr>
      </w:pPr>
      <w:r>
        <w:rPr>
          <w:sz w:val="24"/>
          <w:szCs w:val="24"/>
          <w:color w:val="auto"/>
        </w:rPr>
        <w:br w:type="column"/>
      </w:r>
    </w:p>
    <w:p>
      <w:pPr>
        <w:spacing w:after="0" w:line="38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ANNUAL REPORT PURSUANT TO SECTION 15(d)</w:t>
      </w:r>
    </w:p>
    <w:p>
      <w:pPr>
        <w:spacing w:after="0" w:line="4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00" w:lineRule="exact"/>
        <w:rPr>
          <w:sz w:val="24"/>
          <w:szCs w:val="24"/>
          <w:color w:val="auto"/>
        </w:rPr>
      </w:pPr>
    </w:p>
    <w:p>
      <w:pPr>
        <w:sectPr>
          <w:pgSz w:w="11900" w:h="16838" w:orient="portrait"/>
          <w:cols w:equalWidth="0" w:num="2">
            <w:col w:w="920" w:space="720"/>
            <w:col w:w="7919"/>
          </w:cols>
          <w:pgMar w:left="900" w:top="1440" w:right="1440" w:bottom="1440" w:gutter="0" w:footer="0" w:header="0"/>
          <w:type w:val="continuous"/>
        </w:sectPr>
      </w:pPr>
    </w:p>
    <w:p>
      <w:pPr>
        <w:spacing w:after="0" w:line="341" w:lineRule="exact"/>
        <w:rPr>
          <w:sz w:val="24"/>
          <w:szCs w:val="24"/>
          <w:color w:val="auto"/>
        </w:rPr>
      </w:pPr>
    </w:p>
    <w:p>
      <w:pPr>
        <w:ind w:left="1640"/>
        <w:spacing w:after="0"/>
        <w:rPr>
          <w:sz w:val="20"/>
          <w:szCs w:val="20"/>
          <w:color w:val="auto"/>
        </w:rPr>
      </w:pPr>
      <w:r>
        <w:rPr>
          <w:rFonts w:ascii="Times New Roman" w:cs="Times New Roman" w:eastAsia="Times New Roman" w:hAnsi="Times New Roman"/>
          <w:sz w:val="21"/>
          <w:szCs w:val="21"/>
          <w:b w:val="1"/>
          <w:bCs w:val="1"/>
          <w:color w:val="auto"/>
        </w:rPr>
        <w:t>For the fiscal year ended December 31, 2021</w:t>
      </w:r>
    </w:p>
    <w:p>
      <w:pPr>
        <w:spacing w:after="0" w:line="299" w:lineRule="exact"/>
        <w:rPr>
          <w:sz w:val="24"/>
          <w:szCs w:val="24"/>
          <w:color w:val="auto"/>
        </w:rPr>
      </w:pPr>
    </w:p>
    <w:p>
      <w:pPr>
        <w:ind w:left="1640"/>
        <w:spacing w:after="0"/>
        <w:rPr>
          <w:sz w:val="20"/>
          <w:szCs w:val="20"/>
          <w:color w:val="auto"/>
        </w:rPr>
      </w:pPr>
      <w:r>
        <w:rPr>
          <w:rFonts w:ascii="Times New Roman" w:cs="Times New Roman" w:eastAsia="Times New Roman" w:hAnsi="Times New Roman"/>
          <w:sz w:val="22"/>
          <w:szCs w:val="22"/>
          <w:b w:val="1"/>
          <w:bCs w:val="1"/>
          <w:color w:val="auto"/>
        </w:rPr>
        <w:t>Commission File Number 0-50189</w:t>
      </w:r>
    </w:p>
    <w:p>
      <w:pPr>
        <w:sectPr>
          <w:pgSz w:w="11900" w:h="16838" w:orient="portrait"/>
          <w:cols w:equalWidth="0" w:num="1">
            <w:col w:w="9559"/>
          </w:cols>
          <w:pgMar w:left="900" w:top="1440" w:right="1440" w:bottom="1440" w:gutter="0" w:footer="0" w:header="0"/>
          <w:type w:val="continuous"/>
        </w:sectPr>
      </w:pPr>
    </w:p>
    <w:p>
      <w:pPr>
        <w:spacing w:after="0" w:line="200" w:lineRule="exact"/>
        <w:rPr>
          <w:sz w:val="24"/>
          <w:szCs w:val="24"/>
          <w:color w:val="auto"/>
        </w:rPr>
      </w:pPr>
    </w:p>
    <w:p>
      <w:pPr>
        <w:spacing w:after="0" w:line="263" w:lineRule="exact"/>
        <w:rPr>
          <w:sz w:val="24"/>
          <w:szCs w:val="24"/>
          <w:color w:val="auto"/>
        </w:rPr>
      </w:pPr>
    </w:p>
    <w:p>
      <w:pPr>
        <w:ind w:left="2200" w:hanging="469"/>
        <w:spacing w:after="0"/>
        <w:tabs>
          <w:tab w:leader="none" w:pos="2200"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Full title of the plan:</w:t>
      </w:r>
    </w:p>
    <w:p>
      <w:pPr>
        <w:spacing w:after="0" w:line="287" w:lineRule="exact"/>
        <w:rPr>
          <w:rFonts w:ascii="Times New Roman" w:cs="Times New Roman" w:eastAsia="Times New Roman" w:hAnsi="Times New Roman"/>
          <w:sz w:val="22"/>
          <w:szCs w:val="22"/>
          <w:b w:val="1"/>
          <w:bCs w:val="1"/>
          <w:color w:val="auto"/>
        </w:rPr>
      </w:pPr>
    </w:p>
    <w:p>
      <w:pPr>
        <w:ind w:left="2200" w:right="4119"/>
        <w:spacing w:after="0" w:line="313"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b w:val="1"/>
          <w:bCs w:val="1"/>
          <w:color w:val="auto"/>
        </w:rPr>
        <w:t>Crown Cork &amp; Seal Company, Inc. 401(k) Retirement Savings Plan</w:t>
      </w:r>
    </w:p>
    <w:p>
      <w:pPr>
        <w:spacing w:after="0" w:line="180" w:lineRule="exact"/>
        <w:rPr>
          <w:rFonts w:ascii="Times New Roman" w:cs="Times New Roman" w:eastAsia="Times New Roman" w:hAnsi="Times New Roman"/>
          <w:sz w:val="22"/>
          <w:szCs w:val="22"/>
          <w:b w:val="1"/>
          <w:bCs w:val="1"/>
          <w:color w:val="auto"/>
        </w:rPr>
      </w:pPr>
    </w:p>
    <w:p>
      <w:pPr>
        <w:ind w:left="2200" w:right="2079" w:hanging="457"/>
        <w:spacing w:after="0" w:line="287" w:lineRule="auto"/>
        <w:tabs>
          <w:tab w:leader="none" w:pos="2200"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issuer of the Securities held pursuant to the plan and the address of its principal executive office:</w:t>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CROWN HOLDINGS, INC.</w:t>
      </w:r>
    </w:p>
    <w:p>
      <w:pPr>
        <w:spacing w:after="0" w:line="3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770 TOWNSHIP LINE ROAD</w:t>
      </w:r>
    </w:p>
    <w:p>
      <w:pPr>
        <w:spacing w:after="0" w:line="1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YARDLEY, PA 19067-4232</w:t>
      </w:r>
    </w:p>
    <w:p>
      <w:pPr>
        <w:sectPr>
          <w:pgSz w:w="11900" w:h="16838" w:orient="portrait"/>
          <w:cols w:equalWidth="0" w:num="1">
            <w:col w:w="9559"/>
          </w:cols>
          <w:pgMar w:left="900" w:top="1440" w:right="1440"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25"/>
          <w:szCs w:val="25"/>
          <w:b w:val="1"/>
          <w:bCs w:val="1"/>
          <w:color w:val="auto"/>
        </w:rPr>
        <w:t>Crown Cork &amp; Seal Company, Inc.</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401(k) Retirement Savings Plan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40" w:type="dxa"/>
        <w:tblCellMar>
          <w:top w:w="0" w:type="dxa"/>
          <w:left w:w="0" w:type="dxa"/>
          <w:bottom w:w="0" w:type="dxa"/>
          <w:right w:w="0" w:type="dxa"/>
        </w:tblCellMar>
      </w:tblPr>
      <w:tr>
        <w:trPr>
          <w:trHeight w:val="258"/>
        </w:trPr>
        <w:tc>
          <w:tcPr>
            <w:tcW w:w="8420" w:type="dxa"/>
            <w:vAlign w:val="bottom"/>
          </w:tcPr>
          <w:p>
            <w:pPr>
              <w:spacing w:after="0"/>
              <w:rPr>
                <w:sz w:val="22"/>
                <w:szCs w:val="22"/>
                <w:color w:val="auto"/>
              </w:rPr>
            </w:pPr>
          </w:p>
        </w:tc>
        <w:tc>
          <w:tcPr>
            <w:tcW w:w="2340" w:type="dxa"/>
            <w:vAlign w:val="bottom"/>
          </w:tcPr>
          <w:p>
            <w:pPr>
              <w:ind w:left="1740"/>
              <w:spacing w:after="0"/>
              <w:rPr>
                <w:sz w:val="20"/>
                <w:szCs w:val="20"/>
                <w:color w:val="auto"/>
              </w:rPr>
            </w:pPr>
            <w:r>
              <w:rPr>
                <w:rFonts w:ascii="Times New Roman" w:cs="Times New Roman" w:eastAsia="Times New Roman" w:hAnsi="Times New Roman"/>
                <w:sz w:val="20"/>
                <w:szCs w:val="20"/>
                <w:color w:val="auto"/>
                <w:w w:val="96"/>
              </w:rPr>
              <w:t>Page(s)</w:t>
            </w:r>
          </w:p>
        </w:tc>
        <w:tc>
          <w:tcPr>
            <w:tcW w:w="0" w:type="dxa"/>
            <w:vAlign w:val="bottom"/>
          </w:tcPr>
          <w:p>
            <w:pPr>
              <w:spacing w:after="0"/>
              <w:rPr>
                <w:sz w:val="1"/>
                <w:szCs w:val="1"/>
                <w:color w:val="auto"/>
              </w:rPr>
            </w:pPr>
          </w:p>
        </w:tc>
      </w:tr>
      <w:tr>
        <w:trPr>
          <w:trHeight w:val="527"/>
        </w:trPr>
        <w:tc>
          <w:tcPr>
            <w:tcW w:w="8420" w:type="dxa"/>
            <w:vAlign w:val="bottom"/>
          </w:tcPr>
          <w:p>
            <w:pPr>
              <w:spacing w:after="0"/>
              <w:rPr>
                <w:sz w:val="20"/>
                <w:szCs w:val="20"/>
                <w:color w:val="auto"/>
              </w:rPr>
            </w:pPr>
            <w:r>
              <w:rPr>
                <w:rFonts w:ascii="Times New Roman" w:cs="Times New Roman" w:eastAsia="Times New Roman" w:hAnsi="Times New Roman"/>
                <w:sz w:val="20"/>
                <w:szCs w:val="20"/>
                <w:color w:val="auto"/>
              </w:rPr>
              <w:t>Report of Independent Registered Public Accounting Firm</w:t>
            </w:r>
          </w:p>
        </w:tc>
        <w:tc>
          <w:tcPr>
            <w:tcW w:w="2340" w:type="dxa"/>
            <w:vAlign w:val="bottom"/>
          </w:tcPr>
          <w:p>
            <w:pPr>
              <w:jc w:val="center"/>
              <w:ind w:left="1661"/>
              <w:spacing w:after="0"/>
              <w:rPr>
                <w:sz w:val="20"/>
                <w:szCs w:val="20"/>
                <w:color w:val="auto"/>
              </w:rPr>
            </w:pPr>
            <w:r>
              <w:rPr>
                <w:rFonts w:ascii="Times New Roman" w:cs="Times New Roman" w:eastAsia="Times New Roman" w:hAnsi="Times New Roman"/>
                <w:sz w:val="20"/>
                <w:szCs w:val="20"/>
                <w:color w:val="auto"/>
                <w:w w:val="99"/>
              </w:rPr>
              <w:t>1</w:t>
            </w:r>
          </w:p>
        </w:tc>
        <w:tc>
          <w:tcPr>
            <w:tcW w:w="0" w:type="dxa"/>
            <w:vAlign w:val="bottom"/>
          </w:tcPr>
          <w:p>
            <w:pPr>
              <w:spacing w:after="0"/>
              <w:rPr>
                <w:sz w:val="1"/>
                <w:szCs w:val="1"/>
                <w:color w:val="auto"/>
              </w:rPr>
            </w:pPr>
          </w:p>
        </w:tc>
      </w:tr>
      <w:tr>
        <w:trPr>
          <w:trHeight w:val="527"/>
        </w:trPr>
        <w:tc>
          <w:tcPr>
            <w:tcW w:w="8420" w:type="dxa"/>
            <w:vAlign w:val="bottom"/>
          </w:tcPr>
          <w:p>
            <w:pPr>
              <w:spacing w:after="0"/>
              <w:rPr>
                <w:sz w:val="20"/>
                <w:szCs w:val="20"/>
                <w:color w:val="auto"/>
              </w:rPr>
            </w:pPr>
            <w:r>
              <w:rPr>
                <w:rFonts w:ascii="Times New Roman" w:cs="Times New Roman" w:eastAsia="Times New Roman" w:hAnsi="Times New Roman"/>
                <w:sz w:val="20"/>
                <w:szCs w:val="20"/>
                <w:color w:val="auto"/>
              </w:rPr>
              <w:t>Financial Statements</w:t>
            </w: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6"/>
        </w:trPr>
        <w:tc>
          <w:tcPr>
            <w:tcW w:w="84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Statement of Net Assets Available for Benefits as of December 31, 2021 and 2020</w:t>
            </w:r>
          </w:p>
        </w:tc>
        <w:tc>
          <w:tcPr>
            <w:tcW w:w="2340" w:type="dxa"/>
            <w:vAlign w:val="bottom"/>
          </w:tcPr>
          <w:p>
            <w:pPr>
              <w:jc w:val="center"/>
              <w:ind w:left="1661"/>
              <w:spacing w:after="0"/>
              <w:rPr>
                <w:sz w:val="20"/>
                <w:szCs w:val="20"/>
                <w:color w:val="auto"/>
              </w:rPr>
            </w:pPr>
            <w:r>
              <w:rPr>
                <w:rFonts w:ascii="Times New Roman" w:cs="Times New Roman" w:eastAsia="Times New Roman" w:hAnsi="Times New Roman"/>
                <w:sz w:val="20"/>
                <w:szCs w:val="20"/>
                <w:color w:val="auto"/>
                <w:w w:val="99"/>
              </w:rPr>
              <w:t>2</w:t>
            </w:r>
          </w:p>
        </w:tc>
        <w:tc>
          <w:tcPr>
            <w:tcW w:w="0" w:type="dxa"/>
            <w:vAlign w:val="bottom"/>
          </w:tcPr>
          <w:p>
            <w:pPr>
              <w:spacing w:after="0"/>
              <w:rPr>
                <w:sz w:val="1"/>
                <w:szCs w:val="1"/>
                <w:color w:val="auto"/>
              </w:rPr>
            </w:pPr>
          </w:p>
        </w:tc>
      </w:tr>
      <w:tr>
        <w:trPr>
          <w:trHeight w:val="467"/>
        </w:trPr>
        <w:tc>
          <w:tcPr>
            <w:tcW w:w="84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Statement of Changes in Net Assets Available for Benefits for the years ended</w:t>
            </w:r>
          </w:p>
        </w:tc>
        <w:tc>
          <w:tcPr>
            <w:tcW w:w="2340" w:type="dxa"/>
            <w:vAlign w:val="bottom"/>
            <w:vMerge w:val="restart"/>
          </w:tcPr>
          <w:p>
            <w:pPr>
              <w:jc w:val="center"/>
              <w:ind w:left="1661"/>
              <w:spacing w:after="0"/>
              <w:rPr>
                <w:sz w:val="20"/>
                <w:szCs w:val="20"/>
                <w:color w:val="auto"/>
              </w:rPr>
            </w:pPr>
            <w:r>
              <w:rPr>
                <w:rFonts w:ascii="Times New Roman" w:cs="Times New Roman" w:eastAsia="Times New Roman" w:hAnsi="Times New Roman"/>
                <w:sz w:val="20"/>
                <w:szCs w:val="20"/>
                <w:color w:val="auto"/>
                <w:w w:val="99"/>
              </w:rPr>
              <w:t>3</w:t>
            </w:r>
          </w:p>
        </w:tc>
        <w:tc>
          <w:tcPr>
            <w:tcW w:w="0" w:type="dxa"/>
            <w:vAlign w:val="bottom"/>
          </w:tcPr>
          <w:p>
            <w:pPr>
              <w:spacing w:after="0"/>
              <w:rPr>
                <w:sz w:val="1"/>
                <w:szCs w:val="1"/>
                <w:color w:val="auto"/>
              </w:rPr>
            </w:pPr>
          </w:p>
        </w:tc>
      </w:tr>
      <w:tr>
        <w:trPr>
          <w:trHeight w:val="258"/>
        </w:trPr>
        <w:tc>
          <w:tcPr>
            <w:tcW w:w="84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December 31, 2021 and 2020</w:t>
            </w:r>
          </w:p>
        </w:tc>
        <w:tc>
          <w:tcPr>
            <w:tcW w:w="23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517"/>
        </w:trPr>
        <w:tc>
          <w:tcPr>
            <w:tcW w:w="84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Notes to Financial Statements</w:t>
            </w:r>
          </w:p>
        </w:tc>
        <w:tc>
          <w:tcPr>
            <w:tcW w:w="2340" w:type="dxa"/>
            <w:vAlign w:val="bottom"/>
          </w:tcPr>
          <w:p>
            <w:pPr>
              <w:jc w:val="center"/>
              <w:ind w:left="1661"/>
              <w:spacing w:after="0"/>
              <w:rPr>
                <w:sz w:val="20"/>
                <w:szCs w:val="20"/>
                <w:color w:val="auto"/>
              </w:rPr>
            </w:pPr>
            <w:r>
              <w:rPr>
                <w:rFonts w:ascii="Times New Roman" w:cs="Times New Roman" w:eastAsia="Times New Roman" w:hAnsi="Times New Roman"/>
                <w:sz w:val="20"/>
                <w:szCs w:val="20"/>
                <w:color w:val="auto"/>
                <w:w w:val="97"/>
              </w:rPr>
              <w:t>4-9</w:t>
            </w:r>
          </w:p>
        </w:tc>
        <w:tc>
          <w:tcPr>
            <w:tcW w:w="0" w:type="dxa"/>
            <w:vAlign w:val="bottom"/>
          </w:tcPr>
          <w:p>
            <w:pPr>
              <w:spacing w:after="0"/>
              <w:rPr>
                <w:sz w:val="1"/>
                <w:szCs w:val="1"/>
                <w:color w:val="auto"/>
              </w:rPr>
            </w:pPr>
          </w:p>
        </w:tc>
      </w:tr>
      <w:tr>
        <w:trPr>
          <w:trHeight w:val="526"/>
        </w:trPr>
        <w:tc>
          <w:tcPr>
            <w:tcW w:w="8420" w:type="dxa"/>
            <w:vAlign w:val="bottom"/>
          </w:tcPr>
          <w:p>
            <w:pPr>
              <w:spacing w:after="0"/>
              <w:rPr>
                <w:sz w:val="20"/>
                <w:szCs w:val="20"/>
                <w:color w:val="auto"/>
              </w:rPr>
            </w:pPr>
            <w:r>
              <w:rPr>
                <w:rFonts w:ascii="Times New Roman" w:cs="Times New Roman" w:eastAsia="Times New Roman" w:hAnsi="Times New Roman"/>
                <w:sz w:val="20"/>
                <w:szCs w:val="20"/>
                <w:color w:val="auto"/>
              </w:rPr>
              <w:t>Supplemental Information *</w:t>
            </w: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84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Schedule H, Line 4i - Schedule of Assets (Held at End of Year)</w:t>
            </w:r>
          </w:p>
        </w:tc>
        <w:tc>
          <w:tcPr>
            <w:tcW w:w="2340" w:type="dxa"/>
            <w:vAlign w:val="bottom"/>
          </w:tcPr>
          <w:p>
            <w:pPr>
              <w:jc w:val="center"/>
              <w:ind w:left="1641"/>
              <w:spacing w:after="0"/>
              <w:rPr>
                <w:sz w:val="20"/>
                <w:szCs w:val="20"/>
                <w:color w:val="auto"/>
              </w:rPr>
            </w:pPr>
            <w:r>
              <w:rPr>
                <w:rFonts w:ascii="Times New Roman" w:cs="Times New Roman" w:eastAsia="Times New Roman" w:hAnsi="Times New Roman"/>
                <w:sz w:val="20"/>
                <w:szCs w:val="20"/>
                <w:color w:val="auto"/>
                <w:w w:val="99"/>
              </w:rPr>
              <w:t>10</w:t>
            </w:r>
          </w:p>
        </w:tc>
        <w:tc>
          <w:tcPr>
            <w:tcW w:w="0" w:type="dxa"/>
            <w:vAlign w:val="bottom"/>
          </w:tcPr>
          <w:p>
            <w:pPr>
              <w:spacing w:after="0"/>
              <w:rPr>
                <w:sz w:val="1"/>
                <w:szCs w:val="1"/>
                <w:color w:val="auto"/>
              </w:rPr>
            </w:pPr>
          </w:p>
        </w:tc>
      </w:tr>
      <w:tr>
        <w:trPr>
          <w:trHeight w:val="527"/>
        </w:trPr>
        <w:tc>
          <w:tcPr>
            <w:tcW w:w="84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Exhibit Index</w:t>
            </w:r>
          </w:p>
        </w:tc>
        <w:tc>
          <w:tcPr>
            <w:tcW w:w="2340" w:type="dxa"/>
            <w:vAlign w:val="bottom"/>
          </w:tcPr>
          <w:p>
            <w:pPr>
              <w:jc w:val="center"/>
              <w:ind w:left="1641"/>
              <w:spacing w:after="0"/>
              <w:rPr>
                <w:sz w:val="20"/>
                <w:szCs w:val="20"/>
                <w:color w:val="auto"/>
              </w:rPr>
            </w:pPr>
            <w:r>
              <w:rPr>
                <w:rFonts w:ascii="Times New Roman" w:cs="Times New Roman" w:eastAsia="Times New Roman" w:hAnsi="Times New Roman"/>
                <w:sz w:val="20"/>
                <w:szCs w:val="20"/>
                <w:color w:val="auto"/>
                <w:w w:val="99"/>
              </w:rPr>
              <w:t>11</w:t>
            </w:r>
          </w:p>
        </w:tc>
        <w:tc>
          <w:tcPr>
            <w:tcW w:w="0" w:type="dxa"/>
            <w:vAlign w:val="bottom"/>
          </w:tcPr>
          <w:p>
            <w:pPr>
              <w:spacing w:after="0"/>
              <w:rPr>
                <w:sz w:val="1"/>
                <w:szCs w:val="1"/>
                <w:color w:val="auto"/>
              </w:rPr>
            </w:pPr>
          </w:p>
        </w:tc>
      </w:tr>
      <w:tr>
        <w:trPr>
          <w:trHeight w:val="526"/>
        </w:trPr>
        <w:tc>
          <w:tcPr>
            <w:tcW w:w="84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Signature</w:t>
            </w:r>
          </w:p>
        </w:tc>
        <w:tc>
          <w:tcPr>
            <w:tcW w:w="2340" w:type="dxa"/>
            <w:vAlign w:val="bottom"/>
          </w:tcPr>
          <w:p>
            <w:pPr>
              <w:jc w:val="center"/>
              <w:ind w:left="1641"/>
              <w:spacing w:after="0"/>
              <w:rPr>
                <w:sz w:val="20"/>
                <w:szCs w:val="20"/>
                <w:color w:val="auto"/>
              </w:rPr>
            </w:pPr>
            <w:r>
              <w:rPr>
                <w:rFonts w:ascii="Times New Roman" w:cs="Times New Roman" w:eastAsia="Times New Roman" w:hAnsi="Times New Roman"/>
                <w:sz w:val="20"/>
                <w:szCs w:val="20"/>
                <w:color w:val="auto"/>
                <w:w w:val="99"/>
              </w:rPr>
              <w:t>11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80" w:hanging="172"/>
        <w:spacing w:after="0" w:line="282" w:lineRule="auto"/>
        <w:tabs>
          <w:tab w:leader="none" w:pos="1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supplemental schedules required by Section 2520.103-10 of the Department of Labor's Rules and Regulations for Reporting and Disclosure under the Employee Retirement Income Security Act of 1974 have been omitted because they are not applicable.</w:t>
      </w:r>
    </w:p>
    <w:p>
      <w:pPr>
        <w:sectPr>
          <w:pgSz w:w="11900" w:h="16838" w:orient="portrait"/>
          <w:cols w:equalWidth="0" w:num="1">
            <w:col w:w="11240"/>
          </w:cols>
          <w:pgMar w:left="320" w:top="840"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color w:val="auto"/>
        </w:rPr>
        <w:t>To the Plan Administrator and Plan Participants of</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Crown Cork &amp; Seal Company, Inc. 401(k) Retirement Savings Plan:</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the Financial Statements</w:t>
      </w:r>
    </w:p>
    <w:p>
      <w:pPr>
        <w:spacing w:after="0" w:line="237"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color w:val="auto"/>
        </w:rPr>
        <w:t>We have audited the accompanying statement of net assets available for benefits of the Crown Cork &amp; Seal Company, Inc. 401(k) Retirement Savings Plan (the Plan) as of December 31, 2021 and 2020, the related statement of changes in net assets available for benefits for the years then ended, and the related notes (collectively referred to as the financial statements). In our opinion, the financial statements present fairly, in all material respects, the net assets available for benefits of the Plan as of December 31, 2021 and 2020, and the changes in net assets available for benefits for the years then ended, in conformity with accounting principles generally accepted in the United States of America.</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237" w:lineRule="exact"/>
        <w:rPr>
          <w:sz w:val="20"/>
          <w:szCs w:val="20"/>
          <w:color w:val="auto"/>
        </w:rPr>
      </w:pPr>
    </w:p>
    <w:p>
      <w:pPr>
        <w:ind w:right="260"/>
        <w:spacing w:after="0" w:line="244" w:lineRule="auto"/>
        <w:rPr>
          <w:sz w:val="20"/>
          <w:szCs w:val="20"/>
          <w:color w:val="auto"/>
        </w:rPr>
      </w:pPr>
      <w:r>
        <w:rPr>
          <w:rFonts w:ascii="Arial" w:cs="Arial" w:eastAsia="Arial" w:hAnsi="Arial"/>
          <w:sz w:val="17"/>
          <w:szCs w:val="17"/>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218" w:lineRule="exact"/>
        <w:rPr>
          <w:sz w:val="20"/>
          <w:szCs w:val="20"/>
          <w:color w:val="auto"/>
        </w:rPr>
      </w:pPr>
    </w:p>
    <w:p>
      <w:pPr>
        <w:ind w:right="380"/>
        <w:spacing w:after="0" w:line="267"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w:t>
      </w:r>
    </w:p>
    <w:p>
      <w:pPr>
        <w:spacing w:after="0" w:line="186"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Supplemental Information</w:t>
      </w:r>
    </w:p>
    <w:p>
      <w:pPr>
        <w:spacing w:after="0" w:line="237"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The supplemental Schedule H, Line 4i – Schedule of Assets (Held at End of Year) as of December 31, 2021 has been subjected to audit procedures performed in conjunction with the audit of the Plan’s financial statements.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is fairly stated, in all material respects, in relation to the financial statements as a whole.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7"/>
          <w:szCs w:val="17"/>
          <w:color w:val="auto"/>
        </w:rPr>
        <w:t>/s/ Baker Tilly US, LLP</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Plan's auditor since 2005.</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Philadelphia, Pennsylvania</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June 17,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885" w:right="339" w:bottom="1440" w:gutter="0" w:footer="0" w:header="0"/>
        </w:sectPr>
      </w:pPr>
    </w:p>
    <w:bookmarkStart w:id="3" w:name="page4"/>
    <w:bookmarkEnd w:id="3"/>
    <w:p>
      <w:pPr>
        <w:ind w:left="440"/>
        <w:spacing w:after="0"/>
        <w:rPr>
          <w:sz w:val="20"/>
          <w:szCs w:val="20"/>
          <w:color w:val="auto"/>
        </w:rPr>
      </w:pPr>
      <w:r>
        <w:rPr>
          <w:rFonts w:ascii="Times New Roman" w:cs="Times New Roman" w:eastAsia="Times New Roman" w:hAnsi="Times New Roman"/>
          <w:sz w:val="22"/>
          <w:szCs w:val="22"/>
          <w:b w:val="1"/>
          <w:bCs w:val="1"/>
          <w:color w:val="auto"/>
        </w:rPr>
        <w:t>CROWN CORK &amp; SEAL COMPANY, INC.</w:t>
      </w:r>
    </w:p>
    <w:p>
      <w:pPr>
        <w:spacing w:after="0" w:line="3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b w:val="1"/>
          <w:bCs w:val="1"/>
          <w:color w:val="auto"/>
        </w:rPr>
        <w:t>401(k) RETIREMENT SAVINGS PLAN</w:t>
      </w:r>
    </w:p>
    <w:p>
      <w:pPr>
        <w:spacing w:after="0" w:line="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b w:val="1"/>
          <w:bCs w:val="1"/>
          <w:color w:val="auto"/>
        </w:rPr>
        <w:t>Statement of Net Assets Available for Benefits</w:t>
      </w:r>
    </w:p>
    <w:p>
      <w:pPr>
        <w:spacing w:after="0" w:line="17" w:lineRule="exact"/>
        <w:rPr>
          <w:sz w:val="20"/>
          <w:szCs w:val="20"/>
          <w:color w:val="auto"/>
        </w:rPr>
      </w:pPr>
    </w:p>
    <w:tbl>
      <w:tblPr>
        <w:tblLayout w:type="fixed"/>
        <w:tblInd w:w="420" w:type="dxa"/>
        <w:tblCellMar>
          <w:top w:w="0" w:type="dxa"/>
          <w:left w:w="0" w:type="dxa"/>
          <w:bottom w:w="0" w:type="dxa"/>
          <w:right w:w="0" w:type="dxa"/>
        </w:tblCellMar>
      </w:tblPr>
      <w:tr>
        <w:trPr>
          <w:trHeight w:val="272"/>
        </w:trPr>
        <w:tc>
          <w:tcPr>
            <w:tcW w:w="6000" w:type="dxa"/>
            <w:vAlign w:val="bottom"/>
            <w:tcBorders>
              <w:top w:val="single" w:sz="8" w:color="auto"/>
            </w:tcBorders>
          </w:tcPr>
          <w:p>
            <w:pPr>
              <w:spacing w:after="0"/>
              <w:rPr>
                <w:sz w:val="23"/>
                <w:szCs w:val="23"/>
                <w:color w:val="auto"/>
              </w:rPr>
            </w:pPr>
          </w:p>
        </w:tc>
        <w:tc>
          <w:tcPr>
            <w:tcW w:w="300" w:type="dxa"/>
            <w:vAlign w:val="bottom"/>
            <w:tcBorders>
              <w:top w:val="single" w:sz="8" w:color="auto"/>
              <w:bottom w:val="single" w:sz="8" w:color="auto"/>
            </w:tcBorders>
          </w:tcPr>
          <w:p>
            <w:pPr>
              <w:spacing w:after="0"/>
              <w:rPr>
                <w:sz w:val="23"/>
                <w:szCs w:val="23"/>
                <w:color w:val="auto"/>
              </w:rPr>
            </w:pPr>
          </w:p>
        </w:tc>
        <w:tc>
          <w:tcPr>
            <w:tcW w:w="2880" w:type="dxa"/>
            <w:vAlign w:val="bottom"/>
            <w:tcBorders>
              <w:top w:val="single" w:sz="8" w:color="auto"/>
              <w:bottom w:val="single" w:sz="8" w:color="auto"/>
            </w:tcBorders>
            <w:gridSpan w:val="3"/>
          </w:tcPr>
          <w:p>
            <w:pPr>
              <w:jc w:val="right"/>
              <w:ind w:right="61"/>
              <w:spacing w:after="0"/>
              <w:rPr>
                <w:sz w:val="20"/>
                <w:szCs w:val="20"/>
                <w:color w:val="auto"/>
              </w:rPr>
            </w:pPr>
            <w:r>
              <w:rPr>
                <w:rFonts w:ascii="Times New Roman" w:cs="Times New Roman" w:eastAsia="Times New Roman" w:hAnsi="Times New Roman"/>
                <w:sz w:val="20"/>
                <w:szCs w:val="20"/>
                <w:b w:val="1"/>
                <w:bCs w:val="1"/>
                <w:color w:val="auto"/>
              </w:rPr>
              <w:t>As of December 31,</w:t>
            </w:r>
          </w:p>
        </w:tc>
        <w:tc>
          <w:tcPr>
            <w:tcW w:w="1240" w:type="dxa"/>
            <w:vAlign w:val="bottom"/>
            <w:tcBorders>
              <w:top w:val="single" w:sz="8" w:color="auto"/>
              <w:bottom w:val="single" w:sz="8" w:color="auto"/>
            </w:tcBorders>
          </w:tcPr>
          <w:p>
            <w:pPr>
              <w:spacing w:after="0"/>
              <w:rPr>
                <w:sz w:val="23"/>
                <w:szCs w:val="23"/>
                <w:color w:val="auto"/>
              </w:rPr>
            </w:pPr>
          </w:p>
        </w:tc>
      </w:tr>
      <w:tr>
        <w:trPr>
          <w:trHeight w:val="263"/>
        </w:trPr>
        <w:tc>
          <w:tcPr>
            <w:tcW w:w="60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20"/>
                <w:szCs w:val="20"/>
                <w:b w:val="1"/>
                <w:bCs w:val="1"/>
                <w:color w:val="auto"/>
              </w:rPr>
              <w:t>2021</w:t>
            </w:r>
          </w:p>
        </w:tc>
        <w:tc>
          <w:tcPr>
            <w:tcW w:w="13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20"/>
                <w:szCs w:val="20"/>
                <w:b w:val="1"/>
                <w:bCs w:val="1"/>
                <w:color w:val="auto"/>
              </w:rPr>
              <w:t>2020</w:t>
            </w:r>
          </w:p>
        </w:tc>
      </w:tr>
      <w:tr>
        <w:trPr>
          <w:trHeight w:val="243"/>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57"/>
        </w:trPr>
        <w:tc>
          <w:tcPr>
            <w:tcW w:w="600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Investments, at fair value</w:t>
            </w:r>
          </w:p>
        </w:tc>
        <w:tc>
          <w:tcPr>
            <w:tcW w:w="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56"/>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Registered investment companies:</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57"/>
        </w:trPr>
        <w:tc>
          <w:tcPr>
            <w:tcW w:w="6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Baird Core Plus Bond Fund</w:t>
            </w:r>
          </w:p>
        </w:tc>
        <w:tc>
          <w:tcPr>
            <w:tcW w:w="30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14,198,339</w:t>
            </w:r>
          </w:p>
        </w:tc>
        <w:tc>
          <w:tcPr>
            <w:tcW w:w="1300" w:type="dxa"/>
            <w:vAlign w:val="bottom"/>
          </w:tcPr>
          <w:p>
            <w:pPr>
              <w:spacing w:after="0"/>
              <w:rPr>
                <w:sz w:val="22"/>
                <w:szCs w:val="22"/>
                <w:color w:val="auto"/>
              </w:rPr>
            </w:pPr>
          </w:p>
        </w:tc>
        <w:tc>
          <w:tcPr>
            <w:tcW w:w="32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14,109,759</w:t>
            </w:r>
          </w:p>
        </w:tc>
      </w:tr>
      <w:tr>
        <w:trPr>
          <w:trHeight w:val="257"/>
        </w:trPr>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DFA Emerging Markets Core Equity Portfolio</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916,978</w:t>
            </w:r>
          </w:p>
        </w:tc>
        <w:tc>
          <w:tcPr>
            <w:tcW w:w="13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581,467</w:t>
            </w:r>
          </w:p>
        </w:tc>
      </w:tr>
      <w:tr>
        <w:trPr>
          <w:trHeight w:val="257"/>
        </w:trPr>
        <w:tc>
          <w:tcPr>
            <w:tcW w:w="6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DFA US Targeted Value Portfolio</w:t>
            </w:r>
          </w:p>
        </w:tc>
        <w:tc>
          <w:tcPr>
            <w:tcW w:w="300" w:type="dxa"/>
            <w:vAlign w:val="bottom"/>
          </w:tcPr>
          <w:p>
            <w:pPr>
              <w:spacing w:after="0"/>
              <w:rPr>
                <w:sz w:val="22"/>
                <w:szCs w:val="22"/>
                <w:color w:val="auto"/>
              </w:rPr>
            </w:pP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918,768</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413,121</w:t>
            </w:r>
          </w:p>
        </w:tc>
      </w:tr>
      <w:tr>
        <w:trPr>
          <w:trHeight w:val="256"/>
        </w:trPr>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Fidelity Small Cap Growth Fund</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14,291,951</w:t>
            </w:r>
          </w:p>
        </w:tc>
        <w:tc>
          <w:tcPr>
            <w:tcW w:w="13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57"/>
        </w:trPr>
        <w:tc>
          <w:tcPr>
            <w:tcW w:w="6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HSBC Opportunity Fund</w:t>
            </w:r>
          </w:p>
        </w:tc>
        <w:tc>
          <w:tcPr>
            <w:tcW w:w="300" w:type="dxa"/>
            <w:vAlign w:val="bottom"/>
          </w:tcPr>
          <w:p>
            <w:pPr>
              <w:spacing w:after="0"/>
              <w:rPr>
                <w:sz w:val="22"/>
                <w:szCs w:val="22"/>
                <w:color w:val="auto"/>
              </w:rPr>
            </w:pPr>
          </w:p>
        </w:tc>
        <w:tc>
          <w:tcPr>
            <w:tcW w:w="2560" w:type="dxa"/>
            <w:vAlign w:val="bottom"/>
            <w:gridSpan w:val="2"/>
          </w:tcPr>
          <w:p>
            <w:pPr>
              <w:jc w:val="right"/>
              <w:ind w:right="138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13,779,853</w:t>
            </w:r>
          </w:p>
        </w:tc>
      </w:tr>
      <w:tr>
        <w:trPr>
          <w:trHeight w:val="257"/>
        </w:trPr>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JPMorgan Intrepid Value Fund</w:t>
            </w:r>
          </w:p>
        </w:tc>
        <w:tc>
          <w:tcPr>
            <w:tcW w:w="300" w:type="dxa"/>
            <w:vAlign w:val="bottom"/>
            <w:shd w:val="clear" w:color="auto" w:fill="CCEEFF"/>
          </w:tcPr>
          <w:p>
            <w:pPr>
              <w:spacing w:after="0"/>
              <w:rPr>
                <w:sz w:val="22"/>
                <w:szCs w:val="22"/>
                <w:color w:val="auto"/>
              </w:rPr>
            </w:pPr>
          </w:p>
        </w:tc>
        <w:tc>
          <w:tcPr>
            <w:tcW w:w="2560" w:type="dxa"/>
            <w:vAlign w:val="bottom"/>
            <w:gridSpan w:val="2"/>
            <w:shd w:val="clear" w:color="auto" w:fill="CCEEFF"/>
          </w:tcPr>
          <w:p>
            <w:pPr>
              <w:jc w:val="right"/>
              <w:ind w:right="138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4,604,234</w:t>
            </w:r>
          </w:p>
        </w:tc>
      </w:tr>
      <w:tr>
        <w:trPr>
          <w:trHeight w:val="257"/>
        </w:trPr>
        <w:tc>
          <w:tcPr>
            <w:tcW w:w="6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T. Rowe Price International Discovery Fund</w:t>
            </w:r>
          </w:p>
        </w:tc>
        <w:tc>
          <w:tcPr>
            <w:tcW w:w="300" w:type="dxa"/>
            <w:vAlign w:val="bottom"/>
          </w:tcPr>
          <w:p>
            <w:pPr>
              <w:spacing w:after="0"/>
              <w:rPr>
                <w:sz w:val="22"/>
                <w:szCs w:val="22"/>
                <w:color w:val="auto"/>
              </w:rPr>
            </w:pP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624,762</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607,616</w:t>
            </w:r>
          </w:p>
        </w:tc>
      </w:tr>
      <w:tr>
        <w:trPr>
          <w:trHeight w:val="257"/>
        </w:trPr>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Vanguard Developed Markets Index Fund</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4,732,043</w:t>
            </w:r>
          </w:p>
        </w:tc>
        <w:tc>
          <w:tcPr>
            <w:tcW w:w="13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3,177,359</w:t>
            </w:r>
          </w:p>
        </w:tc>
      </w:tr>
      <w:tr>
        <w:trPr>
          <w:trHeight w:val="256"/>
        </w:trPr>
        <w:tc>
          <w:tcPr>
            <w:tcW w:w="6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Vanguard International Growth Fund</w:t>
            </w:r>
          </w:p>
        </w:tc>
        <w:tc>
          <w:tcPr>
            <w:tcW w:w="3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14,134,020</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16,213,850</w:t>
            </w:r>
          </w:p>
        </w:tc>
      </w:tr>
      <w:tr>
        <w:trPr>
          <w:trHeight w:val="257"/>
        </w:trPr>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Vanguard Cash Reserve Federal Money Market Fund</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143,375</w:t>
            </w:r>
          </w:p>
        </w:tc>
        <w:tc>
          <w:tcPr>
            <w:tcW w:w="13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130,351</w:t>
            </w:r>
          </w:p>
        </w:tc>
      </w:tr>
      <w:tr>
        <w:trPr>
          <w:trHeight w:val="257"/>
        </w:trPr>
        <w:tc>
          <w:tcPr>
            <w:tcW w:w="6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Vanguard Target Retirement 2015 Fund</w:t>
            </w:r>
          </w:p>
        </w:tc>
        <w:tc>
          <w:tcPr>
            <w:tcW w:w="3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3,673,140</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3,845,776</w:t>
            </w:r>
          </w:p>
        </w:tc>
      </w:tr>
      <w:tr>
        <w:trPr>
          <w:trHeight w:val="257"/>
        </w:trPr>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Vanguard Target Retirement 2020 Fund</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4,046,840</w:t>
            </w:r>
          </w:p>
        </w:tc>
        <w:tc>
          <w:tcPr>
            <w:tcW w:w="13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5,244,490</w:t>
            </w:r>
          </w:p>
        </w:tc>
      </w:tr>
      <w:tr>
        <w:trPr>
          <w:trHeight w:val="256"/>
        </w:trPr>
        <w:tc>
          <w:tcPr>
            <w:tcW w:w="6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Vanguard Target Retirement 2025 Fund</w:t>
            </w:r>
          </w:p>
        </w:tc>
        <w:tc>
          <w:tcPr>
            <w:tcW w:w="3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14,666,506</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12,039,250</w:t>
            </w:r>
          </w:p>
        </w:tc>
      </w:tr>
      <w:tr>
        <w:trPr>
          <w:trHeight w:val="257"/>
        </w:trPr>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Vanguard Target Retirement 2030 Fund</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10,232,542</w:t>
            </w:r>
          </w:p>
        </w:tc>
        <w:tc>
          <w:tcPr>
            <w:tcW w:w="13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8,910,751</w:t>
            </w:r>
          </w:p>
        </w:tc>
      </w:tr>
      <w:tr>
        <w:trPr>
          <w:trHeight w:val="257"/>
        </w:trPr>
        <w:tc>
          <w:tcPr>
            <w:tcW w:w="6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Vanguard Target Retirement 2035 Fund</w:t>
            </w:r>
          </w:p>
        </w:tc>
        <w:tc>
          <w:tcPr>
            <w:tcW w:w="3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11,382,149</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9,174,318</w:t>
            </w:r>
          </w:p>
        </w:tc>
      </w:tr>
      <w:tr>
        <w:trPr>
          <w:trHeight w:val="256"/>
        </w:trPr>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Vanguard Target Retirement 2040 Fund</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7,238,364</w:t>
            </w:r>
          </w:p>
        </w:tc>
        <w:tc>
          <w:tcPr>
            <w:tcW w:w="13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5,803,625</w:t>
            </w:r>
          </w:p>
        </w:tc>
      </w:tr>
      <w:tr>
        <w:trPr>
          <w:trHeight w:val="257"/>
        </w:trPr>
        <w:tc>
          <w:tcPr>
            <w:tcW w:w="6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Vanguard Target Retirement 2045 Fund</w:t>
            </w:r>
          </w:p>
        </w:tc>
        <w:tc>
          <w:tcPr>
            <w:tcW w:w="3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9,118,389</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7,418,332</w:t>
            </w:r>
          </w:p>
        </w:tc>
      </w:tr>
      <w:tr>
        <w:trPr>
          <w:trHeight w:val="257"/>
        </w:trPr>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Vanguard Target Retirement 2050 Fund</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6,235,538</w:t>
            </w:r>
          </w:p>
        </w:tc>
        <w:tc>
          <w:tcPr>
            <w:tcW w:w="13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4,608,115</w:t>
            </w:r>
          </w:p>
        </w:tc>
      </w:tr>
      <w:tr>
        <w:trPr>
          <w:trHeight w:val="256"/>
        </w:trPr>
        <w:tc>
          <w:tcPr>
            <w:tcW w:w="6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Vanguard Target Retirement 2055 Fund</w:t>
            </w:r>
          </w:p>
        </w:tc>
        <w:tc>
          <w:tcPr>
            <w:tcW w:w="3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4,540,511</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3,296,220</w:t>
            </w:r>
          </w:p>
        </w:tc>
      </w:tr>
      <w:tr>
        <w:trPr>
          <w:trHeight w:val="257"/>
        </w:trPr>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Vanguard Target Retirement 2060 Fund</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1,261,056</w:t>
            </w:r>
          </w:p>
        </w:tc>
        <w:tc>
          <w:tcPr>
            <w:tcW w:w="13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703,615</w:t>
            </w:r>
          </w:p>
        </w:tc>
      </w:tr>
      <w:tr>
        <w:trPr>
          <w:trHeight w:val="256"/>
        </w:trPr>
        <w:tc>
          <w:tcPr>
            <w:tcW w:w="6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Vanguard Target Retirement 2065 Fund</w:t>
            </w:r>
          </w:p>
        </w:tc>
        <w:tc>
          <w:tcPr>
            <w:tcW w:w="300" w:type="dxa"/>
            <w:vAlign w:val="bottom"/>
          </w:tcPr>
          <w:p>
            <w:pPr>
              <w:spacing w:after="0"/>
              <w:rPr>
                <w:sz w:val="22"/>
                <w:szCs w:val="22"/>
                <w:color w:val="auto"/>
              </w:rPr>
            </w:pP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708,352</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919,094</w:t>
            </w:r>
          </w:p>
        </w:tc>
      </w:tr>
      <w:tr>
        <w:trPr>
          <w:trHeight w:val="257"/>
        </w:trPr>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Vanguard Target Retirement Income Fund</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2,861,635</w:t>
            </w:r>
          </w:p>
        </w:tc>
        <w:tc>
          <w:tcPr>
            <w:tcW w:w="13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1,979,447</w:t>
            </w:r>
          </w:p>
        </w:tc>
      </w:tr>
      <w:tr>
        <w:trPr>
          <w:trHeight w:val="256"/>
        </w:trPr>
        <w:tc>
          <w:tcPr>
            <w:tcW w:w="6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Vanguard Total Stock Market Index Fund</w:t>
            </w:r>
          </w:p>
        </w:tc>
        <w:tc>
          <w:tcPr>
            <w:tcW w:w="3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68,140,896</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57,880,953</w:t>
            </w:r>
          </w:p>
        </w:tc>
      </w:tr>
      <w:tr>
        <w:trPr>
          <w:trHeight w:val="257"/>
        </w:trPr>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Vanguard U.S. Growth Fund</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7,816,871</w:t>
            </w:r>
          </w:p>
        </w:tc>
        <w:tc>
          <w:tcPr>
            <w:tcW w:w="13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7,430,235</w:t>
            </w:r>
          </w:p>
        </w:tc>
      </w:tr>
      <w:tr>
        <w:trPr>
          <w:trHeight w:val="256"/>
        </w:trPr>
        <w:tc>
          <w:tcPr>
            <w:tcW w:w="6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Vanguard Wellington Fund</w:t>
            </w:r>
          </w:p>
        </w:tc>
        <w:tc>
          <w:tcPr>
            <w:tcW w:w="3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21,128,804</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18,210,792</w:t>
            </w:r>
          </w:p>
        </w:tc>
      </w:tr>
      <w:tr>
        <w:trPr>
          <w:trHeight w:val="257"/>
        </w:trPr>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Vanguard Windsor II Fund</w:t>
            </w:r>
          </w:p>
        </w:tc>
        <w:tc>
          <w:tcPr>
            <w:tcW w:w="30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6,282,179</w:t>
            </w:r>
          </w:p>
        </w:tc>
        <w:tc>
          <w:tcPr>
            <w:tcW w:w="13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50"/>
        </w:trPr>
        <w:tc>
          <w:tcPr>
            <w:tcW w:w="6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229,294,008</w:t>
            </w:r>
          </w:p>
        </w:tc>
        <w:tc>
          <w:tcPr>
            <w:tcW w:w="1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201,082,623</w:t>
            </w:r>
          </w:p>
        </w:tc>
      </w:tr>
      <w:tr>
        <w:trPr>
          <w:trHeight w:val="216"/>
        </w:trPr>
        <w:tc>
          <w:tcPr>
            <w:tcW w:w="6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57"/>
        </w:trPr>
        <w:tc>
          <w:tcPr>
            <w:tcW w:w="60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Vanguard Retirement Savings Trust</w:t>
            </w:r>
          </w:p>
        </w:tc>
        <w:tc>
          <w:tcPr>
            <w:tcW w:w="3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38,872,377</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43,848,352</w:t>
            </w:r>
          </w:p>
        </w:tc>
      </w:tr>
      <w:tr>
        <w:trPr>
          <w:trHeight w:val="256"/>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Crown Holdings, Inc. Stock Fund</w:t>
            </w:r>
          </w:p>
        </w:tc>
        <w:tc>
          <w:tcPr>
            <w:tcW w:w="30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21,663,919</w:t>
            </w:r>
          </w:p>
        </w:tc>
        <w:tc>
          <w:tcPr>
            <w:tcW w:w="13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22,070,892</w:t>
            </w:r>
          </w:p>
        </w:tc>
      </w:tr>
      <w:tr>
        <w:trPr>
          <w:trHeight w:val="250"/>
        </w:trPr>
        <w:tc>
          <w:tcPr>
            <w:tcW w:w="6000" w:type="dxa"/>
            <w:vAlign w:val="bottom"/>
            <w:tcBorders>
              <w:bottom w:val="single" w:sz="8" w:color="CCEEFF"/>
            </w:tcBorders>
          </w:tcPr>
          <w:p>
            <w:pPr>
              <w:ind w:left="820"/>
              <w:spacing w:after="0"/>
              <w:rPr>
                <w:sz w:val="20"/>
                <w:szCs w:val="20"/>
                <w:color w:val="auto"/>
              </w:rPr>
            </w:pPr>
            <w:r>
              <w:rPr>
                <w:rFonts w:ascii="Times New Roman" w:cs="Times New Roman" w:eastAsia="Times New Roman" w:hAnsi="Times New Roman"/>
                <w:sz w:val="20"/>
                <w:szCs w:val="20"/>
                <w:b w:val="1"/>
                <w:bCs w:val="1"/>
                <w:color w:val="auto"/>
              </w:rPr>
              <w:t>Total investments, at fair value</w:t>
            </w: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289,830,304</w:t>
            </w:r>
          </w:p>
        </w:tc>
        <w:tc>
          <w:tcPr>
            <w:tcW w:w="13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267,001,867</w:t>
            </w:r>
          </w:p>
        </w:tc>
      </w:tr>
      <w:tr>
        <w:trPr>
          <w:trHeight w:val="196"/>
        </w:trPr>
        <w:tc>
          <w:tcPr>
            <w:tcW w:w="6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56"/>
        </w:trPr>
        <w:tc>
          <w:tcPr>
            <w:tcW w:w="600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Receivables</w:t>
            </w:r>
          </w:p>
        </w:tc>
        <w:tc>
          <w:tcPr>
            <w:tcW w:w="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57"/>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Notes receivable from participants</w:t>
            </w:r>
          </w:p>
        </w:tc>
        <w:tc>
          <w:tcPr>
            <w:tcW w:w="30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3,422,113</w:t>
            </w:r>
          </w:p>
        </w:tc>
        <w:tc>
          <w:tcPr>
            <w:tcW w:w="13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3,327,100</w:t>
            </w:r>
          </w:p>
        </w:tc>
      </w:tr>
      <w:tr>
        <w:trPr>
          <w:trHeight w:val="250"/>
        </w:trPr>
        <w:tc>
          <w:tcPr>
            <w:tcW w:w="6000" w:type="dxa"/>
            <w:vAlign w:val="bottom"/>
            <w:tcBorders>
              <w:bottom w:val="single" w:sz="8" w:color="CCEEFF"/>
            </w:tcBorders>
          </w:tcPr>
          <w:p>
            <w:pPr>
              <w:ind w:left="860"/>
              <w:spacing w:after="0"/>
              <w:rPr>
                <w:sz w:val="20"/>
                <w:szCs w:val="20"/>
                <w:color w:val="auto"/>
              </w:rPr>
            </w:pPr>
            <w:r>
              <w:rPr>
                <w:rFonts w:ascii="Times New Roman" w:cs="Times New Roman" w:eastAsia="Times New Roman" w:hAnsi="Times New Roman"/>
                <w:sz w:val="20"/>
                <w:szCs w:val="20"/>
                <w:b w:val="1"/>
                <w:bCs w:val="1"/>
                <w:color w:val="auto"/>
              </w:rPr>
              <w:t>Total receivables</w:t>
            </w: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3,422,113</w:t>
            </w:r>
          </w:p>
        </w:tc>
        <w:tc>
          <w:tcPr>
            <w:tcW w:w="13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3,327,100</w:t>
            </w:r>
          </w:p>
        </w:tc>
      </w:tr>
      <w:tr>
        <w:trPr>
          <w:trHeight w:val="196"/>
        </w:trPr>
        <w:tc>
          <w:tcPr>
            <w:tcW w:w="6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56"/>
        </w:trPr>
        <w:tc>
          <w:tcPr>
            <w:tcW w:w="6000" w:type="dxa"/>
            <w:vAlign w:val="bottom"/>
          </w:tcPr>
          <w:p>
            <w:pPr>
              <w:ind w:left="820"/>
              <w:spacing w:after="0"/>
              <w:rPr>
                <w:sz w:val="20"/>
                <w:szCs w:val="20"/>
                <w:color w:val="auto"/>
              </w:rPr>
            </w:pPr>
            <w:r>
              <w:rPr>
                <w:rFonts w:ascii="Times New Roman" w:cs="Times New Roman" w:eastAsia="Times New Roman" w:hAnsi="Times New Roman"/>
                <w:sz w:val="20"/>
                <w:szCs w:val="20"/>
                <w:b w:val="1"/>
                <w:bCs w:val="1"/>
                <w:color w:val="auto"/>
              </w:rPr>
              <w:t>Total assets</w:t>
            </w:r>
          </w:p>
        </w:tc>
        <w:tc>
          <w:tcPr>
            <w:tcW w:w="3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293,252,417</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270,328,967</w:t>
            </w:r>
          </w:p>
        </w:tc>
      </w:tr>
      <w:tr>
        <w:trPr>
          <w:trHeight w:val="216"/>
        </w:trPr>
        <w:tc>
          <w:tcPr>
            <w:tcW w:w="6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56"/>
        </w:trPr>
        <w:tc>
          <w:tcPr>
            <w:tcW w:w="600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LIABILITIES</w:t>
            </w:r>
          </w:p>
        </w:tc>
        <w:tc>
          <w:tcPr>
            <w:tcW w:w="300" w:type="dxa"/>
            <w:vAlign w:val="bottom"/>
          </w:tcPr>
          <w:p>
            <w:pPr>
              <w:spacing w:after="0"/>
              <w:rPr>
                <w:sz w:val="22"/>
                <w:szCs w:val="22"/>
                <w:color w:val="auto"/>
              </w:rPr>
            </w:pPr>
          </w:p>
        </w:tc>
        <w:tc>
          <w:tcPr>
            <w:tcW w:w="2560" w:type="dxa"/>
            <w:vAlign w:val="bottom"/>
            <w:gridSpan w:val="2"/>
          </w:tcPr>
          <w:p>
            <w:pPr>
              <w:jc w:val="center"/>
              <w:ind w:right="1620"/>
              <w:spacing w:after="0"/>
              <w:rPr>
                <w:sz w:val="20"/>
                <w:szCs w:val="20"/>
                <w:color w:val="auto"/>
              </w:rPr>
            </w:pPr>
            <w:r>
              <w:rPr>
                <w:rFonts w:ascii="Times New Roman" w:cs="Times New Roman" w:eastAsia="Times New Roman" w:hAnsi="Times New Roman"/>
                <w:sz w:val="20"/>
                <w:szCs w:val="20"/>
                <w:color w:val="auto"/>
                <w:w w:val="89"/>
              </w:rPr>
              <w:t>—</w:t>
            </w:r>
          </w:p>
        </w:tc>
        <w:tc>
          <w:tcPr>
            <w:tcW w:w="320" w:type="dxa"/>
            <w:vAlign w:val="bottom"/>
          </w:tcPr>
          <w:p>
            <w:pPr>
              <w:spacing w:after="0"/>
              <w:rPr>
                <w:sz w:val="22"/>
                <w:szCs w:val="22"/>
                <w:color w:val="auto"/>
              </w:rPr>
            </w:pPr>
          </w:p>
        </w:tc>
        <w:tc>
          <w:tcPr>
            <w:tcW w:w="1240" w:type="dxa"/>
            <w:vAlign w:val="bottom"/>
          </w:tcPr>
          <w:p>
            <w:pPr>
              <w:jc w:val="center"/>
              <w:ind w:right="221"/>
              <w:spacing w:after="0"/>
              <w:rPr>
                <w:sz w:val="20"/>
                <w:szCs w:val="20"/>
                <w:color w:val="auto"/>
              </w:rPr>
            </w:pPr>
            <w:r>
              <w:rPr>
                <w:rFonts w:ascii="Times New Roman" w:cs="Times New Roman" w:eastAsia="Times New Roman" w:hAnsi="Times New Roman"/>
                <w:sz w:val="20"/>
                <w:szCs w:val="20"/>
                <w:color w:val="auto"/>
                <w:w w:val="99"/>
              </w:rPr>
              <w:t>—</w:t>
            </w:r>
          </w:p>
        </w:tc>
      </w:tr>
      <w:tr>
        <w:trPr>
          <w:trHeight w:val="216"/>
        </w:trPr>
        <w:tc>
          <w:tcPr>
            <w:tcW w:w="60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r>
      <w:tr>
        <w:trPr>
          <w:trHeight w:val="250"/>
        </w:trPr>
        <w:tc>
          <w:tcPr>
            <w:tcW w:w="600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Net assets available for benefits</w:t>
            </w:r>
          </w:p>
        </w:tc>
        <w:tc>
          <w:tcPr>
            <w:tcW w:w="30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293,252,417</w:t>
            </w:r>
          </w:p>
        </w:tc>
        <w:tc>
          <w:tcPr>
            <w:tcW w:w="1300" w:type="dxa"/>
            <w:vAlign w:val="bottom"/>
          </w:tcPr>
          <w:p>
            <w:pPr>
              <w:spacing w:after="0"/>
              <w:rPr>
                <w:sz w:val="21"/>
                <w:szCs w:val="21"/>
                <w:color w:val="auto"/>
              </w:rPr>
            </w:pPr>
          </w:p>
        </w:tc>
        <w:tc>
          <w:tcPr>
            <w:tcW w:w="32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270,328,967</w:t>
            </w:r>
          </w:p>
        </w:tc>
      </w:tr>
      <w:tr>
        <w:trPr>
          <w:trHeight w:val="20"/>
        </w:trPr>
        <w:tc>
          <w:tcPr>
            <w:tcW w:w="6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ectPr>
          <w:pgSz w:w="11900" w:h="16838" w:orient="portrait"/>
          <w:cols w:equalWidth="0" w:num="1">
            <w:col w:w="10840"/>
          </w:cols>
          <w:pgMar w:left="320" w:top="1013" w:right="739" w:bottom="67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0840"/>
          </w:cols>
          <w:pgMar w:left="320" w:top="1013" w:right="739" w:bottom="673" w:gutter="0" w:footer="0" w:header="0"/>
          <w:type w:val="continuous"/>
        </w:sectPr>
      </w:pPr>
    </w:p>
    <w:bookmarkStart w:id="4" w:name="page5"/>
    <w:bookmarkEnd w:id="4"/>
    <w:p>
      <w:pPr>
        <w:ind w:left="320"/>
        <w:spacing w:after="0"/>
        <w:rPr>
          <w:sz w:val="20"/>
          <w:szCs w:val="20"/>
          <w:color w:val="auto"/>
        </w:rPr>
      </w:pPr>
      <w:r>
        <w:rPr>
          <w:rFonts w:ascii="Times New Roman" w:cs="Times New Roman" w:eastAsia="Times New Roman" w:hAnsi="Times New Roman"/>
          <w:sz w:val="22"/>
          <w:szCs w:val="22"/>
          <w:b w:val="1"/>
          <w:bCs w:val="1"/>
          <w:color w:val="auto"/>
        </w:rPr>
        <w:t>CROWN CORK &amp; SEAL COMPANY, INC.</w:t>
      </w:r>
    </w:p>
    <w:p>
      <w:pPr>
        <w:spacing w:after="0" w:line="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b w:val="1"/>
          <w:bCs w:val="1"/>
          <w:color w:val="auto"/>
        </w:rPr>
        <w:t>401(k) RETIREMENT SAVINGS PLAN</w:t>
      </w:r>
    </w:p>
    <w:p>
      <w:pPr>
        <w:spacing w:after="0" w:line="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b w:val="1"/>
          <w:bCs w:val="1"/>
          <w:color w:val="auto"/>
        </w:rPr>
        <w:t>Statement of Changes in Net Assets Available for Benefits</w:t>
      </w:r>
    </w:p>
    <w:p>
      <w:pPr>
        <w:spacing w:after="0" w:line="17" w:lineRule="exact"/>
        <w:rPr>
          <w:sz w:val="20"/>
          <w:szCs w:val="20"/>
          <w:color w:val="auto"/>
        </w:rPr>
      </w:pPr>
    </w:p>
    <w:tbl>
      <w:tblPr>
        <w:tblLayout w:type="fixed"/>
        <w:tblInd w:w="300" w:type="dxa"/>
        <w:tblCellMar>
          <w:top w:w="0" w:type="dxa"/>
          <w:left w:w="0" w:type="dxa"/>
          <w:bottom w:w="0" w:type="dxa"/>
          <w:right w:w="0" w:type="dxa"/>
        </w:tblCellMar>
      </w:tblPr>
      <w:tr>
        <w:trPr>
          <w:trHeight w:val="272"/>
        </w:trPr>
        <w:tc>
          <w:tcPr>
            <w:tcW w:w="6020" w:type="dxa"/>
            <w:vAlign w:val="bottom"/>
            <w:tcBorders>
              <w:top w:val="single" w:sz="8" w:color="auto"/>
            </w:tcBorders>
          </w:tcPr>
          <w:p>
            <w:pPr>
              <w:spacing w:after="0"/>
              <w:rPr>
                <w:sz w:val="23"/>
                <w:szCs w:val="23"/>
                <w:color w:val="auto"/>
              </w:rPr>
            </w:pPr>
          </w:p>
        </w:tc>
        <w:tc>
          <w:tcPr>
            <w:tcW w:w="360" w:type="dxa"/>
            <w:vAlign w:val="bottom"/>
            <w:tcBorders>
              <w:top w:val="single" w:sz="8" w:color="auto"/>
              <w:bottom w:val="single" w:sz="8" w:color="auto"/>
            </w:tcBorders>
          </w:tcPr>
          <w:p>
            <w:pPr>
              <w:spacing w:after="0"/>
              <w:rPr>
                <w:sz w:val="23"/>
                <w:szCs w:val="23"/>
                <w:color w:val="auto"/>
              </w:rPr>
            </w:pPr>
          </w:p>
        </w:tc>
        <w:tc>
          <w:tcPr>
            <w:tcW w:w="4280" w:type="dxa"/>
            <w:vAlign w:val="bottom"/>
            <w:tcBorders>
              <w:top w:val="single" w:sz="8" w:color="auto"/>
              <w:bottom w:val="single" w:sz="8" w:color="auto"/>
            </w:tcBorders>
            <w:gridSpan w:val="4"/>
          </w:tcPr>
          <w:p>
            <w:pPr>
              <w:jc w:val="right"/>
              <w:ind w:right="801"/>
              <w:spacing w:after="0"/>
              <w:rPr>
                <w:sz w:val="20"/>
                <w:szCs w:val="20"/>
                <w:color w:val="auto"/>
              </w:rPr>
            </w:pPr>
            <w:r>
              <w:rPr>
                <w:rFonts w:ascii="Times New Roman" w:cs="Times New Roman" w:eastAsia="Times New Roman" w:hAnsi="Times New Roman"/>
                <w:sz w:val="20"/>
                <w:szCs w:val="20"/>
                <w:b w:val="1"/>
                <w:bCs w:val="1"/>
                <w:color w:val="auto"/>
              </w:rPr>
              <w:t>For the Year Ended December 31,</w:t>
            </w:r>
          </w:p>
        </w:tc>
      </w:tr>
      <w:tr>
        <w:trPr>
          <w:trHeight w:val="263"/>
        </w:trPr>
        <w:tc>
          <w:tcPr>
            <w:tcW w:w="60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20"/>
                <w:szCs w:val="20"/>
                <w:b w:val="1"/>
                <w:bCs w:val="1"/>
                <w:color w:val="auto"/>
              </w:rPr>
              <w:t>2021</w:t>
            </w:r>
          </w:p>
        </w:tc>
        <w:tc>
          <w:tcPr>
            <w:tcW w:w="13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20"/>
                <w:szCs w:val="20"/>
                <w:b w:val="1"/>
                <w:bCs w:val="1"/>
                <w:color w:val="auto"/>
              </w:rPr>
              <w:t>2020</w:t>
            </w:r>
          </w:p>
        </w:tc>
      </w:tr>
      <w:tr>
        <w:trPr>
          <w:trHeight w:val="24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Additions:</w:t>
            </w:r>
          </w:p>
        </w:tc>
        <w:tc>
          <w:tcPr>
            <w:tcW w:w="3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57"/>
        </w:trPr>
        <w:tc>
          <w:tcPr>
            <w:tcW w:w="60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Investment income:</w:t>
            </w:r>
          </w:p>
        </w:tc>
        <w:tc>
          <w:tcPr>
            <w:tcW w:w="3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56"/>
        </w:trPr>
        <w:tc>
          <w:tcPr>
            <w:tcW w:w="6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20"/>
                <w:szCs w:val="20"/>
                <w:color w:val="auto"/>
              </w:rPr>
              <w:t>Interest and dividend income</w:t>
            </w:r>
          </w:p>
        </w:tc>
        <w:tc>
          <w:tcPr>
            <w:tcW w:w="36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11,443,696</w:t>
            </w:r>
          </w:p>
        </w:tc>
        <w:tc>
          <w:tcPr>
            <w:tcW w:w="13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w w:val="7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7,032,409</w:t>
            </w:r>
          </w:p>
        </w:tc>
      </w:tr>
      <w:tr>
        <w:trPr>
          <w:trHeight w:val="257"/>
        </w:trPr>
        <w:tc>
          <w:tcPr>
            <w:tcW w:w="60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20"/>
                <w:szCs w:val="20"/>
                <w:color w:val="auto"/>
              </w:rPr>
              <w:t>Net appreciation in fair value of investments</w:t>
            </w:r>
          </w:p>
        </w:tc>
        <w:tc>
          <w:tcPr>
            <w:tcW w:w="3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21,656,226</w:t>
            </w:r>
          </w:p>
        </w:tc>
        <w:tc>
          <w:tcPr>
            <w:tcW w:w="13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33,972,595</w:t>
            </w:r>
          </w:p>
        </w:tc>
      </w:tr>
      <w:tr>
        <w:trPr>
          <w:trHeight w:val="250"/>
        </w:trPr>
        <w:tc>
          <w:tcPr>
            <w:tcW w:w="602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20"/>
                <w:szCs w:val="20"/>
                <w:b w:val="1"/>
                <w:bCs w:val="1"/>
                <w:color w:val="auto"/>
              </w:rPr>
              <w:t>Total investment income</w:t>
            </w:r>
          </w:p>
        </w:tc>
        <w:tc>
          <w:tcPr>
            <w:tcW w:w="3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33,099,922</w:t>
            </w:r>
          </w:p>
        </w:tc>
        <w:tc>
          <w:tcPr>
            <w:tcW w:w="13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41,005,004</w:t>
            </w:r>
          </w:p>
        </w:tc>
      </w:tr>
      <w:tr>
        <w:trPr>
          <w:trHeight w:val="250"/>
        </w:trPr>
        <w:tc>
          <w:tcPr>
            <w:tcW w:w="6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57"/>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Interest income, notes receivable from participants</w:t>
            </w:r>
          </w:p>
        </w:tc>
        <w:tc>
          <w:tcPr>
            <w:tcW w:w="3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164,562</w:t>
            </w:r>
          </w:p>
        </w:tc>
        <w:tc>
          <w:tcPr>
            <w:tcW w:w="13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185,558</w:t>
            </w:r>
          </w:p>
        </w:tc>
      </w:tr>
      <w:tr>
        <w:trPr>
          <w:trHeight w:val="270"/>
        </w:trPr>
        <w:tc>
          <w:tcPr>
            <w:tcW w:w="60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57"/>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Contributions:</w:t>
            </w:r>
          </w:p>
        </w:tc>
        <w:tc>
          <w:tcPr>
            <w:tcW w:w="3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256"/>
        </w:trPr>
        <w:tc>
          <w:tcPr>
            <w:tcW w:w="602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Employer</w:t>
            </w:r>
          </w:p>
        </w:tc>
        <w:tc>
          <w:tcPr>
            <w:tcW w:w="3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2,651,874</w:t>
            </w:r>
          </w:p>
        </w:tc>
        <w:tc>
          <w:tcPr>
            <w:tcW w:w="1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2,356,334</w:t>
            </w:r>
          </w:p>
        </w:tc>
      </w:tr>
      <w:tr>
        <w:trPr>
          <w:trHeight w:val="257"/>
        </w:trPr>
        <w:tc>
          <w:tcPr>
            <w:tcW w:w="60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20"/>
                <w:szCs w:val="20"/>
                <w:color w:val="auto"/>
              </w:rPr>
              <w:t>Participant</w:t>
            </w:r>
          </w:p>
        </w:tc>
        <w:tc>
          <w:tcPr>
            <w:tcW w:w="36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13,874,306</w:t>
            </w:r>
          </w:p>
        </w:tc>
        <w:tc>
          <w:tcPr>
            <w:tcW w:w="13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12,019,885</w:t>
            </w:r>
          </w:p>
        </w:tc>
      </w:tr>
      <w:tr>
        <w:trPr>
          <w:trHeight w:val="250"/>
        </w:trPr>
        <w:tc>
          <w:tcPr>
            <w:tcW w:w="6020" w:type="dxa"/>
            <w:vAlign w:val="bottom"/>
            <w:tcBorders>
              <w:bottom w:val="single" w:sz="8" w:color="CCEEFF"/>
            </w:tcBorders>
          </w:tcPr>
          <w:p>
            <w:pPr>
              <w:ind w:left="1000"/>
              <w:spacing w:after="0"/>
              <w:rPr>
                <w:sz w:val="20"/>
                <w:szCs w:val="20"/>
                <w:color w:val="auto"/>
              </w:rPr>
            </w:pPr>
            <w:r>
              <w:rPr>
                <w:rFonts w:ascii="Times New Roman" w:cs="Times New Roman" w:eastAsia="Times New Roman" w:hAnsi="Times New Roman"/>
                <w:sz w:val="20"/>
                <w:szCs w:val="20"/>
                <w:b w:val="1"/>
                <w:bCs w:val="1"/>
                <w:color w:val="auto"/>
              </w:rPr>
              <w:t>Total contributions</w:t>
            </w:r>
          </w:p>
        </w:tc>
        <w:tc>
          <w:tcPr>
            <w:tcW w:w="3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16,526,180</w:t>
            </w:r>
          </w:p>
        </w:tc>
        <w:tc>
          <w:tcPr>
            <w:tcW w:w="13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14,376,219</w:t>
            </w:r>
          </w:p>
        </w:tc>
      </w:tr>
      <w:tr>
        <w:trPr>
          <w:trHeight w:val="250"/>
        </w:trPr>
        <w:tc>
          <w:tcPr>
            <w:tcW w:w="60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57"/>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20"/>
                <w:szCs w:val="20"/>
                <w:color w:val="auto"/>
              </w:rPr>
              <w:t>Other additions</w:t>
            </w:r>
          </w:p>
        </w:tc>
        <w:tc>
          <w:tcPr>
            <w:tcW w:w="3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10,476</w:t>
            </w:r>
          </w:p>
        </w:tc>
        <w:tc>
          <w:tcPr>
            <w:tcW w:w="13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8,618</w:t>
            </w:r>
          </w:p>
        </w:tc>
      </w:tr>
      <w:tr>
        <w:trPr>
          <w:trHeight w:val="250"/>
        </w:trPr>
        <w:tc>
          <w:tcPr>
            <w:tcW w:w="602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20"/>
                <w:szCs w:val="20"/>
                <w:b w:val="1"/>
                <w:bCs w:val="1"/>
                <w:color w:val="auto"/>
              </w:rPr>
              <w:t>Total additions</w:t>
            </w:r>
          </w:p>
        </w:tc>
        <w:tc>
          <w:tcPr>
            <w:tcW w:w="3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49,801,140</w:t>
            </w:r>
          </w:p>
        </w:tc>
        <w:tc>
          <w:tcPr>
            <w:tcW w:w="13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55,575,399</w:t>
            </w:r>
          </w:p>
        </w:tc>
      </w:tr>
      <w:tr>
        <w:trPr>
          <w:trHeight w:val="250"/>
        </w:trPr>
        <w:tc>
          <w:tcPr>
            <w:tcW w:w="6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56"/>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Deductions:</w:t>
            </w:r>
          </w:p>
        </w:tc>
        <w:tc>
          <w:tcPr>
            <w:tcW w:w="3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257"/>
        </w:trPr>
        <w:tc>
          <w:tcPr>
            <w:tcW w:w="60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Benefits paid to participants</w:t>
            </w:r>
          </w:p>
        </w:tc>
        <w:tc>
          <w:tcPr>
            <w:tcW w:w="3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26,641,764</w:t>
            </w:r>
          </w:p>
        </w:tc>
        <w:tc>
          <w:tcPr>
            <w:tcW w:w="1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18,655,956</w:t>
            </w:r>
          </w:p>
        </w:tc>
      </w:tr>
      <w:tr>
        <w:trPr>
          <w:trHeight w:val="256"/>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Administrative expenses</w:t>
            </w:r>
          </w:p>
        </w:tc>
        <w:tc>
          <w:tcPr>
            <w:tcW w:w="36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235,926</w:t>
            </w:r>
          </w:p>
        </w:tc>
        <w:tc>
          <w:tcPr>
            <w:tcW w:w="13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191,307</w:t>
            </w:r>
          </w:p>
        </w:tc>
      </w:tr>
      <w:tr>
        <w:trPr>
          <w:trHeight w:val="250"/>
        </w:trPr>
        <w:tc>
          <w:tcPr>
            <w:tcW w:w="6020" w:type="dxa"/>
            <w:vAlign w:val="bottom"/>
            <w:tcBorders>
              <w:bottom w:val="single" w:sz="8" w:color="CCEEFF"/>
            </w:tcBorders>
          </w:tcPr>
          <w:p>
            <w:pPr>
              <w:ind w:left="1000"/>
              <w:spacing w:after="0"/>
              <w:rPr>
                <w:sz w:val="20"/>
                <w:szCs w:val="20"/>
                <w:color w:val="auto"/>
              </w:rPr>
            </w:pPr>
            <w:r>
              <w:rPr>
                <w:rFonts w:ascii="Times New Roman" w:cs="Times New Roman" w:eastAsia="Times New Roman" w:hAnsi="Times New Roman"/>
                <w:sz w:val="20"/>
                <w:szCs w:val="20"/>
                <w:b w:val="1"/>
                <w:bCs w:val="1"/>
                <w:color w:val="auto"/>
              </w:rPr>
              <w:t>Total deductions</w:t>
            </w:r>
          </w:p>
        </w:tc>
        <w:tc>
          <w:tcPr>
            <w:tcW w:w="3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26,877,690</w:t>
            </w:r>
          </w:p>
        </w:tc>
        <w:tc>
          <w:tcPr>
            <w:tcW w:w="13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18,847,263</w:t>
            </w:r>
          </w:p>
        </w:tc>
      </w:tr>
      <w:tr>
        <w:trPr>
          <w:trHeight w:val="250"/>
        </w:trPr>
        <w:tc>
          <w:tcPr>
            <w:tcW w:w="60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57"/>
        </w:trPr>
        <w:tc>
          <w:tcPr>
            <w:tcW w:w="602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Net increase</w:t>
            </w:r>
          </w:p>
        </w:tc>
        <w:tc>
          <w:tcPr>
            <w:tcW w:w="3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22,923,450</w:t>
            </w:r>
          </w:p>
        </w:tc>
        <w:tc>
          <w:tcPr>
            <w:tcW w:w="1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36,728,136</w:t>
            </w:r>
          </w:p>
        </w:tc>
      </w:tr>
      <w:tr>
        <w:trPr>
          <w:trHeight w:val="270"/>
        </w:trPr>
        <w:tc>
          <w:tcPr>
            <w:tcW w:w="60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56"/>
        </w:trPr>
        <w:tc>
          <w:tcPr>
            <w:tcW w:w="602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Net Assets Available for Benefits:</w:t>
            </w:r>
          </w:p>
        </w:tc>
        <w:tc>
          <w:tcPr>
            <w:tcW w:w="3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57"/>
        </w:trPr>
        <w:tc>
          <w:tcPr>
            <w:tcW w:w="6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20"/>
                <w:szCs w:val="20"/>
                <w:color w:val="auto"/>
              </w:rPr>
              <w:t>Beginning of year</w:t>
            </w:r>
          </w:p>
        </w:tc>
        <w:tc>
          <w:tcPr>
            <w:tcW w:w="36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270,328,967</w:t>
            </w:r>
          </w:p>
        </w:tc>
        <w:tc>
          <w:tcPr>
            <w:tcW w:w="13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233,600,831</w:t>
            </w:r>
          </w:p>
        </w:tc>
      </w:tr>
      <w:tr>
        <w:trPr>
          <w:trHeight w:val="250"/>
        </w:trPr>
        <w:tc>
          <w:tcPr>
            <w:tcW w:w="60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End of year</w:t>
            </w:r>
          </w:p>
        </w:tc>
        <w:tc>
          <w:tcPr>
            <w:tcW w:w="36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20"/>
                <w:szCs w:val="20"/>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293,252,417</w:t>
            </w:r>
          </w:p>
        </w:tc>
        <w:tc>
          <w:tcPr>
            <w:tcW w:w="1320" w:type="dxa"/>
            <w:vAlign w:val="bottom"/>
          </w:tcPr>
          <w:p>
            <w:pPr>
              <w:spacing w:after="0"/>
              <w:rPr>
                <w:sz w:val="21"/>
                <w:szCs w:val="21"/>
                <w:color w:val="auto"/>
              </w:rPr>
            </w:pPr>
          </w:p>
        </w:tc>
        <w:tc>
          <w:tcPr>
            <w:tcW w:w="34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20"/>
                <w:szCs w:val="20"/>
                <w:color w:val="auto"/>
                <w:w w:val="7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270,328,967</w:t>
            </w:r>
          </w:p>
        </w:tc>
      </w:tr>
      <w:tr>
        <w:trPr>
          <w:trHeight w:val="20"/>
        </w:trPr>
        <w:tc>
          <w:tcPr>
            <w:tcW w:w="6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ectPr>
          <w:pgSz w:w="11900" w:h="16838" w:orient="portrait"/>
          <w:cols w:equalWidth="0" w:num="1">
            <w:col w:w="10960"/>
          </w:cols>
          <w:pgMar w:left="320" w:top="1013" w:right="6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0960"/>
          </w:cols>
          <w:pgMar w:left="320" w:top="1013" w:right="61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25"/>
          <w:szCs w:val="25"/>
          <w:b w:val="1"/>
          <w:bCs w:val="1"/>
          <w:color w:val="auto"/>
        </w:rPr>
        <w:t>CROWN CORK &amp; SEAL COMPANY,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401(k) RETIREMENT SAVINGS PLAN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1 - DESCRIPTION OF PLAN</w:t>
      </w:r>
    </w:p>
    <w:p>
      <w:pPr>
        <w:spacing w:after="0" w:line="260"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The following description of the Crown Cork &amp; Seal Company, Inc. 401(k) Retirement Savings Plan (the “Plan") provides only general information. Participants should refer to the Plan document for a more complete description of the Plan's provisions.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General</w:t>
      </w:r>
    </w:p>
    <w:p>
      <w:pPr>
        <w:spacing w:after="0" w:line="3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The Plan is a voluntary defined contribution plan. The purpose of the Plan is to provide a convenient method by which eligible employees of Crown Holdings, Inc. and subsidiaries (the “Company”) may save regularly through salary deferrals and through Company matching contributions. Generally, employees are eligible to participate in the Plan upon date of hire. The Plan is subject to the provisions of the Employee Retirement Income Security Act of 1974 (“ERISA”).</w:t>
      </w:r>
    </w:p>
    <w:p>
      <w:pPr>
        <w:spacing w:after="0" w:line="222"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The Plan is administered by the Crown Cork &amp; Seal Company, Inc. Benefit Plans Committee (the “Committee”). The Committee has appointed Vanguard Fiduciary Trust Company (“VFTC”) as the trustee and recordkeeper of the Plan.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Contributions</w:t>
      </w:r>
    </w:p>
    <w:p>
      <w:pPr>
        <w:spacing w:after="0" w:line="3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The Plan has two contribution components: a participant salary deferral 401(k) component and a Company matching contribution component. The Plan allows before-tax participant contributions of 2% to 75% of eligible compensation. The Plan also allows after-tax participant contributions of 1% to 10% of eligible compensation. Contributions may be matched by the Company at various rates as determined by the employer company, as defined in the Plan document. Participants direct the investment of their contributions into various investment options offered by the Plan. Company contributions are invested in accordance with participant investment directions. Contribution amounts are subject to certain Internal Revenue Service ("IRS") limitations.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Participant Accounts</w:t>
      </w:r>
    </w:p>
    <w:p>
      <w:pPr>
        <w:spacing w:after="0" w:line="3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Each participant's account is credited with the participant's contributions and allocation of (a) the Company's contribution and (b) Plan earnings, and charged with an allocation of any administrative fees. Allocations are based on participant earnings or account balances, as defined. The benefit to which a participant is entitled is the benefit that can be provided from the participant's vested account.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Vesting</w:t>
      </w:r>
    </w:p>
    <w:p>
      <w:pPr>
        <w:spacing w:after="0" w:line="2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Participants are immediately vested in their contributions plus actual earnings thereon. Vesting in the Company's contribution plus earnings thereon is based on years of continuous service. A participant is considered 25% vested in the Company's contributions after one year of credited service. The participant's vested interest increases at a rate of 25% for each year of service thereafter, with the participant being 100% vested after four years.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Notes Receivable from Participants</w:t>
      </w:r>
    </w:p>
    <w:p>
      <w:pPr>
        <w:spacing w:after="0" w:line="2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Participants may borrow from their account a minimum of $1,000 up to a maximum equal to the lesser of $50,000 or 50% of the participant's vested account balance. Notes receivable terms range from 1 to 5 years or up to 10 years for the purchase of a primary residence. The notes receivable are secured by the balance in the participant's account and bear interest at a rate commensurate with a prevailing commercial rate for a secured personal loan. Interest rates on notes receivable outstanding as of December 31, 2021 and 2020 range from 4.25% to 6.50%. Principal and interest are paid ratably through monthly payroll deductions. A participant may not have more than two outstanding notes receivable at any one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88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5"/>
          <w:szCs w:val="25"/>
          <w:b w:val="1"/>
          <w:bCs w:val="1"/>
          <w:color w:val="auto"/>
        </w:rPr>
        <w:t>CROWN CORK &amp; SEAL COMPANY,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401(k) RETIREMENT SAVINGS PLAN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Payment of Benefits</w:t>
      </w:r>
    </w:p>
    <w:p>
      <w:pPr>
        <w:spacing w:after="0" w:line="3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On termination of service due to retirement, attainment of age 65, permanent plant shutdown, permanent disability, or death, the participant, or his or her beneficiary, automatically becomes fully vested in the Company contributions. For termination of service due to these or any other reasons, a participant may receive the value of the vested interest in his or her account as a lump-sum distribution. All distributions are paid in either cash or Company stock at the participant's election.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Forfeited Accounts</w:t>
      </w:r>
    </w:p>
    <w:p>
      <w:pPr>
        <w:spacing w:after="0" w:line="3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When certain terminations of participation in the Plan occur, the non-vested portion of the participant's account, as defined, represents a forfeiture. Total unallocated forfeitures, which will be used to reduce future Company contributions, were $0 at December 31, 2021 and 2020. Forfeitures used to offset Company contributions in 2021 and 2020 totaled $164,686 and $60,201, respectively.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Plan Termination</w:t>
      </w:r>
    </w:p>
    <w:p>
      <w:pPr>
        <w:spacing w:after="0" w:line="3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The Company reserves the right to retroactively amend or modify any of the provisions of the Plan in any respect in order to qualify or maintain the Plan as a plan meeting the requirements of ERISA or any other applicable legislation. Although it has not expressed any intent to do so, the Company has the right under the Plan to discontinue its contributions at any time and to terminate the Plan subject to the provisions of ERISA. In the event of Plan termination, participants will become 100% vested in their Company contributions.</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2 - SUMMARY OF SIGNIFICANT ACCOUNTING POLICIES</w:t>
      </w:r>
    </w:p>
    <w:p>
      <w:pPr>
        <w:spacing w:after="0" w:line="26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significant accounting policies, which conform with accounting principles generally accepted in the United States of America, have been used consistently in the preparation of the Plan's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Basis of Accounting</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accompanying financial statements of the Plan are prepared under the accrual basis of accounting.</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Use of Estimates</w:t>
      </w:r>
    </w:p>
    <w:p>
      <w:pPr>
        <w:spacing w:after="0" w:line="3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disclosures of contingent assets and liabilities at the date of the financial statements, as well as reported amounts of additions and deductions during the reporting period. Actual results could differ from those estimates.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Investment Valuation and Income Recognition</w:t>
      </w:r>
    </w:p>
    <w:p>
      <w:pPr>
        <w:spacing w:after="0" w:line="32"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The Plan’s investments are reported at fair value. Fair value is the price that would be received to sell an asset or paid to transfer a liability in an orderly transaction between market participants at the measurement date. See Note 3 for a discussion of fair value measurements.</w:t>
      </w:r>
    </w:p>
    <w:p>
      <w:pPr>
        <w:spacing w:after="0" w:line="215"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9"/>
          <w:szCs w:val="19"/>
          <w:color w:val="auto"/>
        </w:rPr>
        <w:t>Purchases and sales of securities are recorded on the trade-date basis. Interest income is recorded on the accrual basis. Dividends are recorded on the ex-dividend date. Net appreciation includes the Plan’s gains and losses on investments bought and sold as well as held during the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88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5"/>
          <w:szCs w:val="25"/>
          <w:b w:val="1"/>
          <w:bCs w:val="1"/>
          <w:color w:val="auto"/>
        </w:rPr>
        <w:t>CROWN CORK &amp; SEAL COMPANY,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401(k) RETIREMENT SAVINGS PLAN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Notes Receivable From Participants</w:t>
      </w:r>
    </w:p>
    <w:p>
      <w:pPr>
        <w:spacing w:after="0" w:line="3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Notes receivable from participants are measured at their unpaid principal balance plus any accrued but unpaid interest. Related fees are recorded as administrative expenses and are expensed when they are incurred. Interest income is recorded on the accrual basis. No allowance for credit losses has been recorded as of December 31, 2021 and 2020.</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Payment of Benefits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Benefits are recorded when paid.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Expenses</w:t>
      </w:r>
    </w:p>
    <w:p>
      <w:pPr>
        <w:spacing w:after="0" w:line="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Recordkeeping expenses and fees related to the administration of notes receivable from participants are charged directly to the participant’s account and are included in administrative expenses. Investment related expenses are included in net appreciation in fair value of investments. Expenses paid by the Company are excluded from these financial statements.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3 - FAIR VALUE MEASUREMENTS</w:t>
      </w:r>
    </w:p>
    <w:p>
      <w:pPr>
        <w:spacing w:after="0" w:line="2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framework for measuring fair value provides a fair value hierarchy that prioritizes the inputs to valuation techniques used to measure fair value. The hierarchy gives the highest priority to unadjusted quoted prices in active markets for identical assets or liabilities (Level 1) and the lowest priority to unobservable inputs (Level 3). The three levels of the fair value hierarchy under authoritative guidance are described as follows:</w:t>
      </w:r>
    </w:p>
    <w:p>
      <w:pPr>
        <w:spacing w:after="0" w:line="199" w:lineRule="exact"/>
        <w:rPr>
          <w:sz w:val="20"/>
          <w:szCs w:val="20"/>
          <w:color w:val="auto"/>
        </w:rPr>
      </w:pPr>
    </w:p>
    <w:p>
      <w:pPr>
        <w:ind w:left="660"/>
        <w:spacing w:after="0" w:line="283" w:lineRule="auto"/>
        <w:rPr>
          <w:sz w:val="20"/>
          <w:szCs w:val="20"/>
          <w:color w:val="auto"/>
        </w:rPr>
      </w:pPr>
      <w:r>
        <w:rPr>
          <w:rFonts w:ascii="Times New Roman" w:cs="Times New Roman" w:eastAsia="Times New Roman" w:hAnsi="Times New Roman"/>
          <w:sz w:val="20"/>
          <w:szCs w:val="20"/>
          <w:color w:val="auto"/>
        </w:rPr>
        <w:t>Level 1 - Inputs to the valuation methodology are unadjusted quoted prices for identical assets or liabilities in active markets that the Plan has the ability to access.</w:t>
      </w:r>
    </w:p>
    <w:p>
      <w:pPr>
        <w:spacing w:after="0" w:line="173" w:lineRule="exact"/>
        <w:rPr>
          <w:sz w:val="20"/>
          <w:szCs w:val="20"/>
          <w:color w:val="auto"/>
        </w:rPr>
      </w:pPr>
    </w:p>
    <w:p>
      <w:pPr>
        <w:ind w:left="660" w:hanging="419"/>
        <w:spacing w:after="0" w:line="283" w:lineRule="auto"/>
        <w:rPr>
          <w:sz w:val="20"/>
          <w:szCs w:val="20"/>
          <w:color w:val="auto"/>
        </w:rPr>
      </w:pPr>
      <w:r>
        <w:rPr>
          <w:rFonts w:ascii="Times New Roman" w:cs="Times New Roman" w:eastAsia="Times New Roman" w:hAnsi="Times New Roman"/>
          <w:sz w:val="20"/>
          <w:szCs w:val="20"/>
          <w:color w:val="auto"/>
        </w:rPr>
        <w:t>Level 2 - Inputs other than quoted prices included within Level 1 that are observable for the asset or liability, either directly or indirectly, such as:</w:t>
      </w:r>
    </w:p>
    <w:p>
      <w:pPr>
        <w:spacing w:after="0" w:line="187" w:lineRule="exact"/>
        <w:rPr>
          <w:sz w:val="20"/>
          <w:szCs w:val="20"/>
          <w:color w:val="auto"/>
        </w:rPr>
      </w:pPr>
    </w:p>
    <w:p>
      <w:pPr>
        <w:ind w:left="1300" w:hanging="320"/>
        <w:spacing w:after="0"/>
        <w:tabs>
          <w:tab w:leader="none" w:pos="13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quoted prices for similar assets or liabilities in active markets;</w:t>
      </w:r>
    </w:p>
    <w:p>
      <w:pPr>
        <w:spacing w:after="0" w:line="21"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quoted prices for identical or similar assets or liabilities in inactive markets;</w:t>
      </w:r>
    </w:p>
    <w:p>
      <w:pPr>
        <w:spacing w:after="0" w:line="6"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inputs other than quoted prices that are observable for the asset or liability;</w:t>
      </w:r>
    </w:p>
    <w:p>
      <w:pPr>
        <w:spacing w:after="0" w:line="6"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inputs that are derived principally from or corroborated by observable market data by correlation or other means.</w:t>
      </w:r>
    </w:p>
    <w:p>
      <w:pPr>
        <w:spacing w:after="0" w:line="234" w:lineRule="exact"/>
        <w:rPr>
          <w:sz w:val="20"/>
          <w:szCs w:val="20"/>
          <w:color w:val="auto"/>
        </w:rPr>
      </w:pPr>
    </w:p>
    <w:p>
      <w:pPr>
        <w:ind w:left="660"/>
        <w:spacing w:after="0" w:line="269" w:lineRule="auto"/>
        <w:rPr>
          <w:sz w:val="20"/>
          <w:szCs w:val="20"/>
          <w:color w:val="auto"/>
        </w:rPr>
      </w:pPr>
      <w:r>
        <w:rPr>
          <w:rFonts w:ascii="Times New Roman" w:cs="Times New Roman" w:eastAsia="Times New Roman" w:hAnsi="Times New Roman"/>
          <w:sz w:val="20"/>
          <w:szCs w:val="20"/>
          <w:color w:val="auto"/>
        </w:rPr>
        <w:t>If the asset or liability has a specified (contractual) term, the Level 2 input must be observable for substantially the full term of the asset or liability.</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Level 3 - Inputs to the valuation methodology are unobservable and significant to the fair value measurement.</w:t>
      </w:r>
    </w:p>
    <w:p>
      <w:pPr>
        <w:spacing w:after="0" w:line="24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The asset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w:t>
      </w:r>
    </w:p>
    <w:p>
      <w:pPr>
        <w:sectPr>
          <w:pgSz w:w="11900" w:h="16838" w:orient="portrait"/>
          <w:cols w:equalWidth="0" w:num="1">
            <w:col w:w="11240"/>
          </w:cols>
          <w:pgMar w:left="320" w:top="88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1240"/>
          </w:cols>
          <w:pgMar w:left="320" w:top="880"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25"/>
          <w:szCs w:val="25"/>
          <w:b w:val="1"/>
          <w:bCs w:val="1"/>
          <w:color w:val="auto"/>
        </w:rPr>
        <w:t>CROWN CORK &amp; SEAL COMPANY,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401(k) RETIREMENT SAVINGS PLAN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tables summarize instruments measured at fair value on a recurring basis for the Plan:</w:t>
      </w:r>
    </w:p>
    <w:p>
      <w:pPr>
        <w:spacing w:after="0" w:line="131" w:lineRule="exact"/>
        <w:rPr>
          <w:sz w:val="20"/>
          <w:szCs w:val="20"/>
          <w:color w:val="auto"/>
        </w:rPr>
      </w:pPr>
    </w:p>
    <w:tbl>
      <w:tblPr>
        <w:tblLayout w:type="fixed"/>
        <w:tblInd w:w="700" w:type="dxa"/>
        <w:tblCellMar>
          <w:top w:w="0" w:type="dxa"/>
          <w:left w:w="0" w:type="dxa"/>
          <w:bottom w:w="0" w:type="dxa"/>
          <w:right w:w="0" w:type="dxa"/>
        </w:tblCellMar>
      </w:tblPr>
      <w:tr>
        <w:trPr>
          <w:trHeight w:val="266"/>
        </w:trPr>
        <w:tc>
          <w:tcPr>
            <w:tcW w:w="49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458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20"/>
                <w:szCs w:val="20"/>
                <w:b w:val="1"/>
                <w:bCs w:val="1"/>
                <w:color w:val="auto"/>
              </w:rPr>
              <w:t>Assets at Fair Value as of December 31, 2021</w:t>
            </w:r>
          </w:p>
        </w:tc>
      </w:tr>
      <w:tr>
        <w:trPr>
          <w:trHeight w:val="254"/>
        </w:trPr>
        <w:tc>
          <w:tcPr>
            <w:tcW w:w="49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780" w:type="dxa"/>
            <w:vAlign w:val="bottom"/>
            <w:gridSpan w:val="2"/>
          </w:tcPr>
          <w:p>
            <w:pPr>
              <w:ind w:left="260"/>
              <w:spacing w:after="0"/>
              <w:rPr>
                <w:sz w:val="20"/>
                <w:szCs w:val="20"/>
                <w:color w:val="auto"/>
              </w:rPr>
            </w:pPr>
            <w:r>
              <w:rPr>
                <w:rFonts w:ascii="Times New Roman" w:cs="Times New Roman" w:eastAsia="Times New Roman" w:hAnsi="Times New Roman"/>
                <w:sz w:val="20"/>
                <w:szCs w:val="20"/>
                <w:b w:val="1"/>
                <w:bCs w:val="1"/>
                <w:color w:val="auto"/>
              </w:rPr>
              <w:t>Level 1</w:t>
            </w:r>
          </w:p>
        </w:tc>
        <w:tc>
          <w:tcPr>
            <w:tcW w:w="400" w:type="dxa"/>
            <w:vAlign w:val="bottom"/>
          </w:tcPr>
          <w:p>
            <w:pPr>
              <w:spacing w:after="0"/>
              <w:rPr>
                <w:sz w:val="22"/>
                <w:szCs w:val="22"/>
                <w:color w:val="auto"/>
              </w:rPr>
            </w:pPr>
          </w:p>
        </w:tc>
        <w:tc>
          <w:tcPr>
            <w:tcW w:w="1400" w:type="dxa"/>
            <w:vAlign w:val="bottom"/>
          </w:tcPr>
          <w:p>
            <w:pPr>
              <w:jc w:val="right"/>
              <w:ind w:right="581"/>
              <w:spacing w:after="0"/>
              <w:rPr>
                <w:sz w:val="20"/>
                <w:szCs w:val="20"/>
                <w:color w:val="auto"/>
              </w:rPr>
            </w:pPr>
            <w:r>
              <w:rPr>
                <w:rFonts w:ascii="Times New Roman" w:cs="Times New Roman" w:eastAsia="Times New Roman" w:hAnsi="Times New Roman"/>
                <w:sz w:val="20"/>
                <w:szCs w:val="20"/>
                <w:b w:val="1"/>
                <w:bCs w:val="1"/>
                <w:color w:val="auto"/>
              </w:rPr>
              <w:t>Total</w:t>
            </w:r>
          </w:p>
        </w:tc>
      </w:tr>
      <w:tr>
        <w:trPr>
          <w:trHeight w:val="237"/>
        </w:trPr>
        <w:tc>
          <w:tcPr>
            <w:tcW w:w="496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spacing w:after="0"/>
              <w:rPr>
                <w:sz w:val="20"/>
                <w:szCs w:val="20"/>
                <w:color w:val="auto"/>
              </w:rPr>
            </w:pPr>
          </w:p>
        </w:tc>
        <w:tc>
          <w:tcPr>
            <w:tcW w:w="1460" w:type="dxa"/>
            <w:vAlign w:val="bottom"/>
            <w:tcBorders>
              <w:top w:val="single" w:sz="8" w:color="auto"/>
            </w:tcBorders>
            <w:shd w:val="clear" w:color="auto" w:fill="CCEEFF"/>
          </w:tcPr>
          <w:p>
            <w:pPr>
              <w:spacing w:after="0"/>
              <w:rPr>
                <w:sz w:val="20"/>
                <w:szCs w:val="20"/>
                <w:color w:val="auto"/>
              </w:rPr>
            </w:pPr>
          </w:p>
        </w:tc>
        <w:tc>
          <w:tcPr>
            <w:tcW w:w="132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auto"/>
            </w:tcBorders>
            <w:shd w:val="clear" w:color="auto" w:fill="CCEEFF"/>
          </w:tcPr>
          <w:p>
            <w:pPr>
              <w:spacing w:after="0"/>
              <w:rPr>
                <w:sz w:val="20"/>
                <w:szCs w:val="20"/>
                <w:color w:val="auto"/>
              </w:rPr>
            </w:pPr>
          </w:p>
        </w:tc>
        <w:tc>
          <w:tcPr>
            <w:tcW w:w="1400" w:type="dxa"/>
            <w:vAlign w:val="bottom"/>
            <w:tcBorders>
              <w:top w:val="single" w:sz="8" w:color="auto"/>
            </w:tcBorders>
            <w:shd w:val="clear" w:color="auto" w:fill="CCEEFF"/>
          </w:tcPr>
          <w:p>
            <w:pPr>
              <w:spacing w:after="0"/>
              <w:rPr>
                <w:sz w:val="20"/>
                <w:szCs w:val="20"/>
                <w:color w:val="auto"/>
              </w:rPr>
            </w:pPr>
          </w:p>
        </w:tc>
      </w:tr>
      <w:tr>
        <w:trPr>
          <w:trHeight w:val="257"/>
        </w:trPr>
        <w:tc>
          <w:tcPr>
            <w:tcW w:w="4960" w:type="dxa"/>
            <w:vAlign w:val="bottom"/>
          </w:tcPr>
          <w:p>
            <w:pPr>
              <w:spacing w:after="0"/>
              <w:rPr>
                <w:sz w:val="20"/>
                <w:szCs w:val="20"/>
                <w:color w:val="auto"/>
              </w:rPr>
            </w:pPr>
            <w:r>
              <w:rPr>
                <w:rFonts w:ascii="Times New Roman" w:cs="Times New Roman" w:eastAsia="Times New Roman" w:hAnsi="Times New Roman"/>
                <w:sz w:val="20"/>
                <w:szCs w:val="20"/>
                <w:color w:val="auto"/>
              </w:rPr>
              <w:t>Registered investment companies</w:t>
            </w:r>
          </w:p>
        </w:tc>
        <w:tc>
          <w:tcPr>
            <w:tcW w:w="32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w w:val="7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229,294,008</w:t>
            </w:r>
          </w:p>
        </w:tc>
        <w:tc>
          <w:tcPr>
            <w:tcW w:w="1320" w:type="dxa"/>
            <w:vAlign w:val="bottom"/>
          </w:tcPr>
          <w:p>
            <w:pPr>
              <w:spacing w:after="0"/>
              <w:rPr>
                <w:sz w:val="22"/>
                <w:szCs w:val="22"/>
                <w:color w:val="auto"/>
              </w:rPr>
            </w:pPr>
          </w:p>
        </w:tc>
        <w:tc>
          <w:tcPr>
            <w:tcW w:w="40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229,294,008</w:t>
            </w:r>
          </w:p>
        </w:tc>
      </w:tr>
      <w:tr>
        <w:trPr>
          <w:trHeight w:val="257"/>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Company common stock fund</w:t>
            </w:r>
          </w:p>
        </w:tc>
        <w:tc>
          <w:tcPr>
            <w:tcW w:w="32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21,663,919</w:t>
            </w:r>
          </w:p>
        </w:tc>
        <w:tc>
          <w:tcPr>
            <w:tcW w:w="132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21,663,919</w:t>
            </w:r>
          </w:p>
        </w:tc>
      </w:tr>
      <w:tr>
        <w:trPr>
          <w:trHeight w:val="196"/>
        </w:trPr>
        <w:tc>
          <w:tcPr>
            <w:tcW w:w="4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82"/>
        </w:trPr>
        <w:tc>
          <w:tcPr>
            <w:tcW w:w="49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20"/>
                <w:szCs w:val="20"/>
                <w:color w:val="auto"/>
              </w:rPr>
              <w:t>Total assets in fair value hierarchy</w:t>
            </w:r>
          </w:p>
        </w:tc>
        <w:tc>
          <w:tcPr>
            <w:tcW w:w="32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250,957,927</w:t>
            </w:r>
          </w:p>
        </w:tc>
        <w:tc>
          <w:tcPr>
            <w:tcW w:w="13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250,957,927</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r>
      <w:tr>
        <w:trPr>
          <w:trHeight w:val="163"/>
        </w:trPr>
        <w:tc>
          <w:tcPr>
            <w:tcW w:w="4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257"/>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Investments measured at net asset value (a)</w:t>
            </w:r>
          </w:p>
        </w:tc>
        <w:tc>
          <w:tcPr>
            <w:tcW w:w="32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38,872,377</w:t>
            </w:r>
          </w:p>
        </w:tc>
      </w:tr>
      <w:tr>
        <w:trPr>
          <w:trHeight w:val="196"/>
        </w:trPr>
        <w:tc>
          <w:tcPr>
            <w:tcW w:w="4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82"/>
        </w:trPr>
        <w:tc>
          <w:tcPr>
            <w:tcW w:w="4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20"/>
                <w:szCs w:val="20"/>
                <w:color w:val="auto"/>
              </w:rPr>
              <w:t>Investments at fair value</w:t>
            </w:r>
          </w:p>
        </w:tc>
        <w:tc>
          <w:tcPr>
            <w:tcW w:w="32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20"/>
                <w:szCs w:val="20"/>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289,830,304</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tbl>
      <w:tblPr>
        <w:tblLayout w:type="fixed"/>
        <w:tblInd w:w="700" w:type="dxa"/>
        <w:tblCellMar>
          <w:top w:w="0" w:type="dxa"/>
          <w:left w:w="0" w:type="dxa"/>
          <w:bottom w:w="0" w:type="dxa"/>
          <w:right w:w="0" w:type="dxa"/>
        </w:tblCellMar>
      </w:tblPr>
      <w:tr>
        <w:trPr>
          <w:trHeight w:val="266"/>
        </w:trPr>
        <w:tc>
          <w:tcPr>
            <w:tcW w:w="49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458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20"/>
                <w:szCs w:val="20"/>
                <w:b w:val="1"/>
                <w:bCs w:val="1"/>
                <w:color w:val="auto"/>
              </w:rPr>
              <w:t>Assets at Fair Value as of December 31, 2020</w:t>
            </w:r>
          </w:p>
        </w:tc>
      </w:tr>
      <w:tr>
        <w:trPr>
          <w:trHeight w:val="254"/>
        </w:trPr>
        <w:tc>
          <w:tcPr>
            <w:tcW w:w="49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780" w:type="dxa"/>
            <w:vAlign w:val="bottom"/>
            <w:gridSpan w:val="2"/>
          </w:tcPr>
          <w:p>
            <w:pPr>
              <w:ind w:left="260"/>
              <w:spacing w:after="0"/>
              <w:rPr>
                <w:sz w:val="20"/>
                <w:szCs w:val="20"/>
                <w:color w:val="auto"/>
              </w:rPr>
            </w:pPr>
            <w:r>
              <w:rPr>
                <w:rFonts w:ascii="Times New Roman" w:cs="Times New Roman" w:eastAsia="Times New Roman" w:hAnsi="Times New Roman"/>
                <w:sz w:val="20"/>
                <w:szCs w:val="20"/>
                <w:b w:val="1"/>
                <w:bCs w:val="1"/>
                <w:color w:val="auto"/>
              </w:rPr>
              <w:t>Level 1</w:t>
            </w:r>
          </w:p>
        </w:tc>
        <w:tc>
          <w:tcPr>
            <w:tcW w:w="400" w:type="dxa"/>
            <w:vAlign w:val="bottom"/>
          </w:tcPr>
          <w:p>
            <w:pPr>
              <w:spacing w:after="0"/>
              <w:rPr>
                <w:sz w:val="22"/>
                <w:szCs w:val="22"/>
                <w:color w:val="auto"/>
              </w:rPr>
            </w:pPr>
          </w:p>
        </w:tc>
        <w:tc>
          <w:tcPr>
            <w:tcW w:w="1400" w:type="dxa"/>
            <w:vAlign w:val="bottom"/>
          </w:tcPr>
          <w:p>
            <w:pPr>
              <w:jc w:val="right"/>
              <w:ind w:right="581"/>
              <w:spacing w:after="0"/>
              <w:rPr>
                <w:sz w:val="20"/>
                <w:szCs w:val="20"/>
                <w:color w:val="auto"/>
              </w:rPr>
            </w:pPr>
            <w:r>
              <w:rPr>
                <w:rFonts w:ascii="Times New Roman" w:cs="Times New Roman" w:eastAsia="Times New Roman" w:hAnsi="Times New Roman"/>
                <w:sz w:val="20"/>
                <w:szCs w:val="20"/>
                <w:b w:val="1"/>
                <w:bCs w:val="1"/>
                <w:color w:val="auto"/>
              </w:rPr>
              <w:t>Total</w:t>
            </w:r>
          </w:p>
        </w:tc>
      </w:tr>
      <w:tr>
        <w:trPr>
          <w:trHeight w:val="237"/>
        </w:trPr>
        <w:tc>
          <w:tcPr>
            <w:tcW w:w="496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spacing w:after="0"/>
              <w:rPr>
                <w:sz w:val="20"/>
                <w:szCs w:val="20"/>
                <w:color w:val="auto"/>
              </w:rPr>
            </w:pPr>
          </w:p>
        </w:tc>
        <w:tc>
          <w:tcPr>
            <w:tcW w:w="1460" w:type="dxa"/>
            <w:vAlign w:val="bottom"/>
            <w:tcBorders>
              <w:top w:val="single" w:sz="8" w:color="auto"/>
            </w:tcBorders>
            <w:shd w:val="clear" w:color="auto" w:fill="CCEEFF"/>
          </w:tcPr>
          <w:p>
            <w:pPr>
              <w:spacing w:after="0"/>
              <w:rPr>
                <w:sz w:val="20"/>
                <w:szCs w:val="20"/>
                <w:color w:val="auto"/>
              </w:rPr>
            </w:pPr>
          </w:p>
        </w:tc>
        <w:tc>
          <w:tcPr>
            <w:tcW w:w="132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auto"/>
            </w:tcBorders>
            <w:shd w:val="clear" w:color="auto" w:fill="CCEEFF"/>
          </w:tcPr>
          <w:p>
            <w:pPr>
              <w:spacing w:after="0"/>
              <w:rPr>
                <w:sz w:val="20"/>
                <w:szCs w:val="20"/>
                <w:color w:val="auto"/>
              </w:rPr>
            </w:pPr>
          </w:p>
        </w:tc>
        <w:tc>
          <w:tcPr>
            <w:tcW w:w="1400" w:type="dxa"/>
            <w:vAlign w:val="bottom"/>
            <w:tcBorders>
              <w:top w:val="single" w:sz="8" w:color="auto"/>
            </w:tcBorders>
            <w:shd w:val="clear" w:color="auto" w:fill="CCEEFF"/>
          </w:tcPr>
          <w:p>
            <w:pPr>
              <w:spacing w:after="0"/>
              <w:rPr>
                <w:sz w:val="20"/>
                <w:szCs w:val="20"/>
                <w:color w:val="auto"/>
              </w:rPr>
            </w:pPr>
          </w:p>
        </w:tc>
      </w:tr>
      <w:tr>
        <w:trPr>
          <w:trHeight w:val="256"/>
        </w:trPr>
        <w:tc>
          <w:tcPr>
            <w:tcW w:w="4960" w:type="dxa"/>
            <w:vAlign w:val="bottom"/>
          </w:tcPr>
          <w:p>
            <w:pPr>
              <w:spacing w:after="0"/>
              <w:rPr>
                <w:sz w:val="20"/>
                <w:szCs w:val="20"/>
                <w:color w:val="auto"/>
              </w:rPr>
            </w:pPr>
            <w:r>
              <w:rPr>
                <w:rFonts w:ascii="Times New Roman" w:cs="Times New Roman" w:eastAsia="Times New Roman" w:hAnsi="Times New Roman"/>
                <w:sz w:val="20"/>
                <w:szCs w:val="20"/>
                <w:color w:val="auto"/>
              </w:rPr>
              <w:t>Registered investment companies</w:t>
            </w:r>
          </w:p>
        </w:tc>
        <w:tc>
          <w:tcPr>
            <w:tcW w:w="32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w w:val="7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201,082,623</w:t>
            </w:r>
          </w:p>
        </w:tc>
        <w:tc>
          <w:tcPr>
            <w:tcW w:w="1320" w:type="dxa"/>
            <w:vAlign w:val="bottom"/>
          </w:tcPr>
          <w:p>
            <w:pPr>
              <w:spacing w:after="0"/>
              <w:rPr>
                <w:sz w:val="22"/>
                <w:szCs w:val="22"/>
                <w:color w:val="auto"/>
              </w:rPr>
            </w:pPr>
          </w:p>
        </w:tc>
        <w:tc>
          <w:tcPr>
            <w:tcW w:w="40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201,082,623</w:t>
            </w:r>
          </w:p>
        </w:tc>
      </w:tr>
      <w:tr>
        <w:trPr>
          <w:trHeight w:val="257"/>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Company common stock fund</w:t>
            </w:r>
          </w:p>
        </w:tc>
        <w:tc>
          <w:tcPr>
            <w:tcW w:w="32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22,070,892</w:t>
            </w:r>
          </w:p>
        </w:tc>
        <w:tc>
          <w:tcPr>
            <w:tcW w:w="132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22,070,892</w:t>
            </w:r>
          </w:p>
        </w:tc>
      </w:tr>
      <w:tr>
        <w:trPr>
          <w:trHeight w:val="196"/>
        </w:trPr>
        <w:tc>
          <w:tcPr>
            <w:tcW w:w="4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82"/>
        </w:trPr>
        <w:tc>
          <w:tcPr>
            <w:tcW w:w="49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20"/>
                <w:szCs w:val="20"/>
                <w:color w:val="auto"/>
              </w:rPr>
              <w:t>Total assets in fair value hierarchy</w:t>
            </w:r>
          </w:p>
        </w:tc>
        <w:tc>
          <w:tcPr>
            <w:tcW w:w="32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223,153,515</w:t>
            </w:r>
          </w:p>
        </w:tc>
        <w:tc>
          <w:tcPr>
            <w:tcW w:w="13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223,153,515</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r>
      <w:tr>
        <w:trPr>
          <w:trHeight w:val="163"/>
        </w:trPr>
        <w:tc>
          <w:tcPr>
            <w:tcW w:w="4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257"/>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Investments measured at net asset value (a)</w:t>
            </w:r>
          </w:p>
        </w:tc>
        <w:tc>
          <w:tcPr>
            <w:tcW w:w="32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43,848,352</w:t>
            </w:r>
          </w:p>
        </w:tc>
      </w:tr>
      <w:tr>
        <w:trPr>
          <w:trHeight w:val="196"/>
        </w:trPr>
        <w:tc>
          <w:tcPr>
            <w:tcW w:w="4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82"/>
        </w:trPr>
        <w:tc>
          <w:tcPr>
            <w:tcW w:w="4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20"/>
                <w:szCs w:val="20"/>
                <w:color w:val="auto"/>
              </w:rPr>
              <w:t>Investments at fair value</w:t>
            </w:r>
          </w:p>
        </w:tc>
        <w:tc>
          <w:tcPr>
            <w:tcW w:w="32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20"/>
                <w:szCs w:val="20"/>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267,001,867</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jc w:val="both"/>
        <w:ind w:left="980" w:hanging="324"/>
        <w:spacing w:after="0" w:line="261" w:lineRule="auto"/>
        <w:tabs>
          <w:tab w:leader="none" w:pos="97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Certain investments that were measured at net asset value ("NAV") per share (or its equivalent) have not been classified in the fair value hierarchy. The fair value amounts presented in this table are intended to permit reconciliation of the fair value hierarchy to the line items presented in the Statement of Net Assets Available for Benefits.</w:t>
      </w:r>
    </w:p>
    <w:p>
      <w:pPr>
        <w:spacing w:after="0" w:line="208"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The following is a description of the valuation methodologies used for assets measured at fair value. There have been no changes in the methodologies used at December 31, 2021 and 2020.</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Registered investment companies are valued at the daily closing price as reported by the fund, which represent the NAV of shares held by the Plan at year end. Mutual funds held by the Plan are open-end mutual funds that are registered with the U.S. Securities and Exchange Commission. These funds are required to publish their daily NAV and to transact at that price. The mutual funds held by the Plan are deemed to be actively traded.</w:t>
      </w:r>
    </w:p>
    <w:p>
      <w:pPr>
        <w:spacing w:after="0" w:line="199"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The fair value of the Company common stock fund is measured at the closing price reported on the active market on which the security held by the fund is traded.</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Vanguard Retirement Savings Trust is a collective trust fund that is valued at the NAV of the units of the collective trust fund held by the Plan at year end times the respective unit value. The NAV, as provided by the trustee, is used as practical expedient to estimate fair value. The NAV of the collective trust fund is based upon significant observable inputs, although it is not based upon quoted market prices in an active market. The collective</w:t>
      </w:r>
    </w:p>
    <w:p>
      <w:pPr>
        <w:sectPr>
          <w:pgSz w:w="11900" w:h="16838" w:orient="portrait"/>
          <w:cols w:equalWidth="0" w:num="1">
            <w:col w:w="11240"/>
          </w:cols>
          <w:pgMar w:left="320" w:top="975" w:right="339" w:bottom="1440" w:gutter="0" w:footer="0" w:header="0"/>
        </w:sect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1240"/>
          </w:cols>
          <w:pgMar w:left="320" w:top="975"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25"/>
          <w:szCs w:val="25"/>
          <w:b w:val="1"/>
          <w:bCs w:val="1"/>
          <w:color w:val="auto"/>
        </w:rPr>
        <w:t>CROWN CORK &amp; SEAL COMPANY,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401(k) RETIREMENT SAVINGS PLAN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trust fund’s investment objective is to seek the preservation of capital and to provide a competitive level of income over time that is consistent with the preservation of capital. To achieve its investment objective, the collective trust fund invests in assets (typically contracts issued by insurance companies and banks, synthetic investment contracts, and short term investments) and enters into “wrapper” contracts issued by third-parties and invests in cash equivalents represented by shares in a money market fund.</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Investments Measured Using NAV per Share Practical Expedient</w:t>
      </w:r>
    </w:p>
    <w:p>
      <w:pPr>
        <w:spacing w:after="0" w:line="2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following table summarizes investments for which fair value is measured using NAV per share practical expedient as of December 31, 2021 and 2020, respectively. There are no participant redemption restrictions for these investments; the redemption notice period is applicable only to the Plan.</w:t>
      </w:r>
    </w:p>
    <w:p>
      <w:pPr>
        <w:spacing w:after="0" w:line="339" w:lineRule="exact"/>
        <w:rPr>
          <w:sz w:val="20"/>
          <w:szCs w:val="20"/>
          <w:color w:val="auto"/>
        </w:rPr>
      </w:pPr>
    </w:p>
    <w:tbl>
      <w:tblPr>
        <w:tblLayout w:type="fixed"/>
        <w:tblInd w:w="280" w:type="dxa"/>
        <w:tblCellMar>
          <w:top w:w="0" w:type="dxa"/>
          <w:left w:w="0" w:type="dxa"/>
          <w:bottom w:w="0" w:type="dxa"/>
          <w:right w:w="0" w:type="dxa"/>
        </w:tblCellMar>
      </w:tblPr>
      <w:tr>
        <w:trPr>
          <w:trHeight w:val="266"/>
        </w:trPr>
        <w:tc>
          <w:tcPr>
            <w:tcW w:w="42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spacing w:after="0"/>
              <w:rPr>
                <w:sz w:val="23"/>
                <w:szCs w:val="23"/>
                <w:color w:val="auto"/>
              </w:rPr>
            </w:pPr>
          </w:p>
        </w:tc>
        <w:tc>
          <w:tcPr>
            <w:tcW w:w="3340" w:type="dxa"/>
            <w:vAlign w:val="bottom"/>
            <w:tcBorders>
              <w:bottom w:val="single" w:sz="8" w:color="auto"/>
            </w:tcBorders>
            <w:gridSpan w:val="4"/>
          </w:tcPr>
          <w:p>
            <w:pPr>
              <w:ind w:left="760"/>
              <w:spacing w:after="0"/>
              <w:rPr>
                <w:sz w:val="20"/>
                <w:szCs w:val="20"/>
                <w:color w:val="auto"/>
              </w:rPr>
            </w:pPr>
            <w:r>
              <w:rPr>
                <w:rFonts w:ascii="Times New Roman" w:cs="Times New Roman" w:eastAsia="Times New Roman" w:hAnsi="Times New Roman"/>
                <w:sz w:val="20"/>
                <w:szCs w:val="20"/>
                <w:b w:val="1"/>
                <w:bCs w:val="1"/>
                <w:color w:val="auto"/>
              </w:rPr>
              <w:t>December 31, 2021</w:t>
            </w:r>
          </w:p>
        </w:tc>
        <w:tc>
          <w:tcPr>
            <w:tcW w:w="14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86"/>
        </w:trPr>
        <w:tc>
          <w:tcPr>
            <w:tcW w:w="4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vMerge w:val="restart"/>
          </w:tcPr>
          <w:p>
            <w:pPr>
              <w:jc w:val="right"/>
              <w:ind w:right="381"/>
              <w:spacing w:after="0"/>
              <w:rPr>
                <w:sz w:val="20"/>
                <w:szCs w:val="20"/>
                <w:color w:val="auto"/>
              </w:rPr>
            </w:pPr>
            <w:r>
              <w:rPr>
                <w:rFonts w:ascii="Times New Roman" w:cs="Times New Roman" w:eastAsia="Times New Roman" w:hAnsi="Times New Roman"/>
                <w:sz w:val="20"/>
                <w:szCs w:val="20"/>
                <w:b w:val="1"/>
                <w:bCs w:val="1"/>
                <w:color w:val="auto"/>
              </w:rPr>
              <w:t>Fair Value</w:t>
            </w:r>
          </w:p>
        </w:tc>
        <w:tc>
          <w:tcPr>
            <w:tcW w:w="1720" w:type="dxa"/>
            <w:vAlign w:val="bottom"/>
            <w:gridSpan w:val="2"/>
          </w:tcPr>
          <w:p>
            <w:pPr>
              <w:jc w:val="center"/>
              <w:ind w:right="140"/>
              <w:spacing w:after="0" w:line="186" w:lineRule="exact"/>
              <w:rPr>
                <w:sz w:val="20"/>
                <w:szCs w:val="20"/>
                <w:color w:val="auto"/>
              </w:rPr>
            </w:pPr>
            <w:r>
              <w:rPr>
                <w:rFonts w:ascii="Times New Roman" w:cs="Times New Roman" w:eastAsia="Times New Roman" w:hAnsi="Times New Roman"/>
                <w:sz w:val="20"/>
                <w:szCs w:val="20"/>
                <w:b w:val="1"/>
                <w:bCs w:val="1"/>
                <w:color w:val="auto"/>
              </w:rPr>
              <w:t>Unfunded</w:t>
            </w:r>
          </w:p>
        </w:tc>
        <w:tc>
          <w:tcPr>
            <w:tcW w:w="1620" w:type="dxa"/>
            <w:vAlign w:val="bottom"/>
            <w:gridSpan w:val="2"/>
          </w:tcPr>
          <w:p>
            <w:pPr>
              <w:jc w:val="center"/>
              <w:ind w:right="140"/>
              <w:spacing w:after="0" w:line="186" w:lineRule="exact"/>
              <w:rPr>
                <w:sz w:val="20"/>
                <w:szCs w:val="20"/>
                <w:color w:val="auto"/>
              </w:rPr>
            </w:pPr>
            <w:r>
              <w:rPr>
                <w:rFonts w:ascii="Times New Roman" w:cs="Times New Roman" w:eastAsia="Times New Roman" w:hAnsi="Times New Roman"/>
                <w:sz w:val="20"/>
                <w:szCs w:val="20"/>
                <w:b w:val="1"/>
                <w:bCs w:val="1"/>
                <w:color w:val="auto"/>
                <w:w w:val="99"/>
              </w:rPr>
              <w:t>Redemption</w:t>
            </w:r>
          </w:p>
        </w:tc>
        <w:tc>
          <w:tcPr>
            <w:tcW w:w="1460" w:type="dxa"/>
            <w:vAlign w:val="bottom"/>
          </w:tcPr>
          <w:p>
            <w:pPr>
              <w:jc w:val="center"/>
              <w:spacing w:after="0" w:line="186" w:lineRule="exact"/>
              <w:rPr>
                <w:sz w:val="20"/>
                <w:szCs w:val="20"/>
                <w:color w:val="auto"/>
              </w:rPr>
            </w:pPr>
            <w:r>
              <w:rPr>
                <w:rFonts w:ascii="Times New Roman" w:cs="Times New Roman" w:eastAsia="Times New Roman" w:hAnsi="Times New Roman"/>
                <w:sz w:val="20"/>
                <w:szCs w:val="20"/>
                <w:b w:val="1"/>
                <w:bCs w:val="1"/>
                <w:color w:val="auto"/>
                <w:w w:val="97"/>
              </w:rPr>
              <w:t>Redemption</w:t>
            </w:r>
          </w:p>
        </w:tc>
        <w:tc>
          <w:tcPr>
            <w:tcW w:w="0" w:type="dxa"/>
            <w:vAlign w:val="bottom"/>
          </w:tcPr>
          <w:p>
            <w:pPr>
              <w:spacing w:after="0"/>
              <w:rPr>
                <w:sz w:val="1"/>
                <w:szCs w:val="1"/>
                <w:color w:val="auto"/>
              </w:rPr>
            </w:pPr>
          </w:p>
        </w:tc>
      </w:tr>
      <w:tr>
        <w:trPr>
          <w:trHeight w:val="257"/>
        </w:trPr>
        <w:tc>
          <w:tcPr>
            <w:tcW w:w="4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vMerge w:val="continue"/>
          </w:tcPr>
          <w:p>
            <w:pPr>
              <w:spacing w:after="0"/>
              <w:rPr>
                <w:sz w:val="22"/>
                <w:szCs w:val="22"/>
                <w:color w:val="auto"/>
              </w:rPr>
            </w:pPr>
          </w:p>
        </w:tc>
        <w:tc>
          <w:tcPr>
            <w:tcW w:w="1720" w:type="dxa"/>
            <w:vAlign w:val="bottom"/>
            <w:gridSpan w:val="2"/>
          </w:tcPr>
          <w:p>
            <w:pPr>
              <w:jc w:val="center"/>
              <w:ind w:right="160"/>
              <w:spacing w:after="0"/>
              <w:rPr>
                <w:sz w:val="20"/>
                <w:szCs w:val="20"/>
                <w:color w:val="auto"/>
              </w:rPr>
            </w:pPr>
            <w:r>
              <w:rPr>
                <w:rFonts w:ascii="Times New Roman" w:cs="Times New Roman" w:eastAsia="Times New Roman" w:hAnsi="Times New Roman"/>
                <w:sz w:val="20"/>
                <w:szCs w:val="20"/>
                <w:b w:val="1"/>
                <w:bCs w:val="1"/>
                <w:color w:val="auto"/>
                <w:w w:val="99"/>
              </w:rPr>
              <w:t>Commitments</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w w:val="98"/>
              </w:rPr>
              <w:t>Frequency</w:t>
            </w: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Notice Period</w:t>
            </w:r>
          </w:p>
        </w:tc>
        <w:tc>
          <w:tcPr>
            <w:tcW w:w="0" w:type="dxa"/>
            <w:vAlign w:val="bottom"/>
          </w:tcPr>
          <w:p>
            <w:pPr>
              <w:spacing w:after="0"/>
              <w:rPr>
                <w:sz w:val="1"/>
                <w:szCs w:val="1"/>
                <w:color w:val="auto"/>
              </w:rPr>
            </w:pPr>
          </w:p>
        </w:tc>
      </w:tr>
      <w:tr>
        <w:trPr>
          <w:trHeight w:val="257"/>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Vanguard Retirement Savings Trust</w:t>
            </w:r>
          </w:p>
        </w:tc>
        <w:tc>
          <w:tcPr>
            <w:tcW w:w="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w w:val="99"/>
              </w:rPr>
              <w:t>$</w:t>
            </w:r>
          </w:p>
        </w:tc>
        <w:tc>
          <w:tcPr>
            <w:tcW w:w="14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rPr>
              <w:t>38,872,377</w:t>
            </w:r>
          </w:p>
        </w:tc>
        <w:tc>
          <w:tcPr>
            <w:tcW w:w="17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20"/>
                <w:szCs w:val="20"/>
                <w:color w:val="auto"/>
                <w:w w:val="98"/>
              </w:rPr>
              <w:t>N/A</w:t>
            </w:r>
          </w:p>
        </w:tc>
        <w:tc>
          <w:tcPr>
            <w:tcW w:w="16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20"/>
                <w:szCs w:val="20"/>
                <w:color w:val="auto"/>
                <w:w w:val="98"/>
              </w:rPr>
              <w:t>Daily</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N/A</w:t>
            </w:r>
          </w:p>
        </w:tc>
        <w:tc>
          <w:tcPr>
            <w:tcW w:w="0" w:type="dxa"/>
            <w:vAlign w:val="bottom"/>
          </w:tcPr>
          <w:p>
            <w:pPr>
              <w:spacing w:after="0"/>
              <w:rPr>
                <w:sz w:val="1"/>
                <w:szCs w:val="1"/>
                <w:color w:val="auto"/>
              </w:rPr>
            </w:pPr>
          </w:p>
        </w:tc>
      </w:tr>
      <w:tr>
        <w:trPr>
          <w:trHeight w:val="523"/>
        </w:trPr>
        <w:tc>
          <w:tcPr>
            <w:tcW w:w="42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4"/>
          </w:tcPr>
          <w:p>
            <w:pPr>
              <w:ind w:left="760"/>
              <w:spacing w:after="0"/>
              <w:rPr>
                <w:sz w:val="20"/>
                <w:szCs w:val="20"/>
                <w:color w:val="auto"/>
              </w:rPr>
            </w:pPr>
            <w:r>
              <w:rPr>
                <w:rFonts w:ascii="Times New Roman" w:cs="Times New Roman" w:eastAsia="Times New Roman" w:hAnsi="Times New Roman"/>
                <w:sz w:val="20"/>
                <w:szCs w:val="20"/>
                <w:b w:val="1"/>
                <w:bCs w:val="1"/>
                <w:color w:val="auto"/>
              </w:rPr>
              <w:t>December 31, 2020</w:t>
            </w:r>
          </w:p>
        </w:tc>
        <w:tc>
          <w:tcPr>
            <w:tcW w:w="1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4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vMerge w:val="restart"/>
          </w:tcPr>
          <w:p>
            <w:pPr>
              <w:jc w:val="right"/>
              <w:ind w:right="381"/>
              <w:spacing w:after="0"/>
              <w:rPr>
                <w:sz w:val="20"/>
                <w:szCs w:val="20"/>
                <w:color w:val="auto"/>
              </w:rPr>
            </w:pPr>
            <w:r>
              <w:rPr>
                <w:rFonts w:ascii="Times New Roman" w:cs="Times New Roman" w:eastAsia="Times New Roman" w:hAnsi="Times New Roman"/>
                <w:sz w:val="20"/>
                <w:szCs w:val="20"/>
                <w:b w:val="1"/>
                <w:bCs w:val="1"/>
                <w:color w:val="auto"/>
              </w:rPr>
              <w:t>Fair Value</w:t>
            </w:r>
          </w:p>
        </w:tc>
        <w:tc>
          <w:tcPr>
            <w:tcW w:w="1720" w:type="dxa"/>
            <w:vAlign w:val="bottom"/>
            <w:gridSpan w:val="2"/>
          </w:tcPr>
          <w:p>
            <w:pPr>
              <w:jc w:val="center"/>
              <w:ind w:right="140"/>
              <w:spacing w:after="0" w:line="186" w:lineRule="exact"/>
              <w:rPr>
                <w:sz w:val="20"/>
                <w:szCs w:val="20"/>
                <w:color w:val="auto"/>
              </w:rPr>
            </w:pPr>
            <w:r>
              <w:rPr>
                <w:rFonts w:ascii="Times New Roman" w:cs="Times New Roman" w:eastAsia="Times New Roman" w:hAnsi="Times New Roman"/>
                <w:sz w:val="20"/>
                <w:szCs w:val="20"/>
                <w:b w:val="1"/>
                <w:bCs w:val="1"/>
                <w:color w:val="auto"/>
              </w:rPr>
              <w:t>Unfunded</w:t>
            </w:r>
          </w:p>
        </w:tc>
        <w:tc>
          <w:tcPr>
            <w:tcW w:w="1620" w:type="dxa"/>
            <w:vAlign w:val="bottom"/>
            <w:gridSpan w:val="2"/>
          </w:tcPr>
          <w:p>
            <w:pPr>
              <w:jc w:val="center"/>
              <w:ind w:right="140"/>
              <w:spacing w:after="0" w:line="186" w:lineRule="exact"/>
              <w:rPr>
                <w:sz w:val="20"/>
                <w:szCs w:val="20"/>
                <w:color w:val="auto"/>
              </w:rPr>
            </w:pPr>
            <w:r>
              <w:rPr>
                <w:rFonts w:ascii="Times New Roman" w:cs="Times New Roman" w:eastAsia="Times New Roman" w:hAnsi="Times New Roman"/>
                <w:sz w:val="20"/>
                <w:szCs w:val="20"/>
                <w:b w:val="1"/>
                <w:bCs w:val="1"/>
                <w:color w:val="auto"/>
                <w:w w:val="99"/>
              </w:rPr>
              <w:t>Redemption</w:t>
            </w:r>
          </w:p>
        </w:tc>
        <w:tc>
          <w:tcPr>
            <w:tcW w:w="1460" w:type="dxa"/>
            <w:vAlign w:val="bottom"/>
          </w:tcPr>
          <w:p>
            <w:pPr>
              <w:jc w:val="center"/>
              <w:spacing w:after="0" w:line="186" w:lineRule="exact"/>
              <w:rPr>
                <w:sz w:val="20"/>
                <w:szCs w:val="20"/>
                <w:color w:val="auto"/>
              </w:rPr>
            </w:pPr>
            <w:r>
              <w:rPr>
                <w:rFonts w:ascii="Times New Roman" w:cs="Times New Roman" w:eastAsia="Times New Roman" w:hAnsi="Times New Roman"/>
                <w:sz w:val="20"/>
                <w:szCs w:val="20"/>
                <w:b w:val="1"/>
                <w:bCs w:val="1"/>
                <w:color w:val="auto"/>
                <w:w w:val="97"/>
              </w:rPr>
              <w:t>Redemption</w:t>
            </w:r>
          </w:p>
        </w:tc>
        <w:tc>
          <w:tcPr>
            <w:tcW w:w="0" w:type="dxa"/>
            <w:vAlign w:val="bottom"/>
          </w:tcPr>
          <w:p>
            <w:pPr>
              <w:spacing w:after="0"/>
              <w:rPr>
                <w:sz w:val="1"/>
                <w:szCs w:val="1"/>
                <w:color w:val="auto"/>
              </w:rPr>
            </w:pPr>
          </w:p>
        </w:tc>
      </w:tr>
      <w:tr>
        <w:trPr>
          <w:trHeight w:val="256"/>
        </w:trPr>
        <w:tc>
          <w:tcPr>
            <w:tcW w:w="4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vMerge w:val="continue"/>
          </w:tcPr>
          <w:p>
            <w:pPr>
              <w:spacing w:after="0"/>
              <w:rPr>
                <w:sz w:val="22"/>
                <w:szCs w:val="22"/>
                <w:color w:val="auto"/>
              </w:rPr>
            </w:pPr>
          </w:p>
        </w:tc>
        <w:tc>
          <w:tcPr>
            <w:tcW w:w="1720" w:type="dxa"/>
            <w:vAlign w:val="bottom"/>
            <w:gridSpan w:val="2"/>
          </w:tcPr>
          <w:p>
            <w:pPr>
              <w:jc w:val="center"/>
              <w:ind w:right="160"/>
              <w:spacing w:after="0"/>
              <w:rPr>
                <w:sz w:val="20"/>
                <w:szCs w:val="20"/>
                <w:color w:val="auto"/>
              </w:rPr>
            </w:pPr>
            <w:r>
              <w:rPr>
                <w:rFonts w:ascii="Times New Roman" w:cs="Times New Roman" w:eastAsia="Times New Roman" w:hAnsi="Times New Roman"/>
                <w:sz w:val="20"/>
                <w:szCs w:val="20"/>
                <w:b w:val="1"/>
                <w:bCs w:val="1"/>
                <w:color w:val="auto"/>
                <w:w w:val="99"/>
              </w:rPr>
              <w:t>Commitments</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w w:val="98"/>
              </w:rPr>
              <w:t>Frequency</w:t>
            </w: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Notice Period</w:t>
            </w:r>
          </w:p>
        </w:tc>
        <w:tc>
          <w:tcPr>
            <w:tcW w:w="0" w:type="dxa"/>
            <w:vAlign w:val="bottom"/>
          </w:tcPr>
          <w:p>
            <w:pPr>
              <w:spacing w:after="0"/>
              <w:rPr>
                <w:sz w:val="1"/>
                <w:szCs w:val="1"/>
                <w:color w:val="auto"/>
              </w:rPr>
            </w:pPr>
          </w:p>
        </w:tc>
      </w:tr>
      <w:tr>
        <w:trPr>
          <w:trHeight w:val="250"/>
        </w:trPr>
        <w:tc>
          <w:tcPr>
            <w:tcW w:w="4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20"/>
                <w:szCs w:val="20"/>
                <w:color w:val="auto"/>
              </w:rPr>
              <w:t>Vanguard Retirement Savings Trust</w:t>
            </w:r>
          </w:p>
        </w:tc>
        <w:tc>
          <w:tcPr>
            <w:tcW w:w="220" w:type="dxa"/>
            <w:vAlign w:val="bottom"/>
            <w:tcBorders>
              <w:top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w w:val="99"/>
              </w:rPr>
              <w:t>$</w:t>
            </w:r>
          </w:p>
        </w:tc>
        <w:tc>
          <w:tcPr>
            <w:tcW w:w="1480" w:type="dxa"/>
            <w:vAlign w:val="bottom"/>
            <w:tcBorders>
              <w:top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rPr>
              <w:t>43,848,352</w:t>
            </w:r>
          </w:p>
        </w:tc>
        <w:tc>
          <w:tcPr>
            <w:tcW w:w="1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N/A</w:t>
            </w:r>
          </w:p>
        </w:tc>
        <w:tc>
          <w:tcPr>
            <w:tcW w:w="120" w:type="dxa"/>
            <w:vAlign w:val="bottom"/>
            <w:tcBorders>
              <w:top w:val="single" w:sz="8" w:color="CCEEFF"/>
            </w:tcBorders>
            <w:shd w:val="clear" w:color="auto" w:fill="CCEEFF"/>
          </w:tcPr>
          <w:p>
            <w:pPr>
              <w:spacing w:after="0"/>
              <w:rPr>
                <w:sz w:val="21"/>
                <w:szCs w:val="21"/>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Daily</w:t>
            </w:r>
          </w:p>
        </w:tc>
        <w:tc>
          <w:tcPr>
            <w:tcW w:w="120" w:type="dxa"/>
            <w:vAlign w:val="bottom"/>
            <w:tcBorders>
              <w:top w:val="single" w:sz="8" w:color="CCEEFF"/>
            </w:tcBorders>
            <w:shd w:val="clear" w:color="auto" w:fill="CCEEFF"/>
          </w:tcPr>
          <w:p>
            <w:pPr>
              <w:spacing w:after="0"/>
              <w:rPr>
                <w:sz w:val="21"/>
                <w:szCs w:val="21"/>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N/A</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4 - RELATED PARTY TRANSACTIONS</w:t>
      </w:r>
    </w:p>
    <w:p>
      <w:pPr>
        <w:spacing w:after="0" w:line="26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The Plan participants invest in shares of registered investment companies and a collective trust fund managed by affiliates of VFTC. VFTC acts as trustee for investments of the Plan. The Plan participants also invest in shares of the Company’s common stock through the Crown Holdings, Inc. Stock Fund. The Company’s common stock fund held approximately 195,840 and 220,300 shares of Crown Holdings, Inc. common stock representing 7.4% and 8.2% of Plan assets as of December 31, 2021 and 2020, respectively. For the years 2021 and 2020, the Company common stock fund had purchases of $3,655,525 and $2,557,900, respectively, and sales of $6,443,913 and $6,025,800, respectively. Dividend income from the Company’s common stock fund totaled $164,868 and $0 in 2021 and 2020, respectively. The Plan also issues loans to participants, which are secured by the balances in the respective participant accounts. Transactions in such investments qualify as party-in-interest transactions and are exempt from the prohibited transaction rules.</w:t>
      </w:r>
    </w:p>
    <w:p>
      <w:pPr>
        <w:spacing w:after="0" w:line="303" w:lineRule="exact"/>
        <w:rPr>
          <w:sz w:val="20"/>
          <w:szCs w:val="20"/>
          <w:color w:val="auto"/>
        </w:rPr>
      </w:pPr>
    </w:p>
    <w:p>
      <w:pPr>
        <w:ind w:right="240"/>
        <w:spacing w:after="0" w:line="283" w:lineRule="auto"/>
        <w:rPr>
          <w:sz w:val="20"/>
          <w:szCs w:val="20"/>
          <w:color w:val="auto"/>
        </w:rPr>
      </w:pPr>
      <w:r>
        <w:rPr>
          <w:rFonts w:ascii="Times New Roman" w:cs="Times New Roman" w:eastAsia="Times New Roman" w:hAnsi="Times New Roman"/>
          <w:sz w:val="20"/>
          <w:szCs w:val="20"/>
          <w:color w:val="auto"/>
        </w:rPr>
        <w:t>Certain administrative functions of the Plan are performed by officers or employees of the Company. No such officer or employee receives compensation from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88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5"/>
          <w:szCs w:val="25"/>
          <w:b w:val="1"/>
          <w:bCs w:val="1"/>
          <w:color w:val="auto"/>
        </w:rPr>
        <w:t>CROWN CORK &amp; SEAL COMPANY,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401(k) RETIREMENT SAVINGS PLAN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5 - TAX STATUS</w:t>
      </w:r>
    </w:p>
    <w:p>
      <w:pPr>
        <w:spacing w:after="0" w:line="2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IRS determined and informed the Company by letter dated August 19, 2015 that the Plan was qualified under Internal Revenue Code (“IRC”) Section 401(k). The Company believes the Plan is designed and is currently being operated in compliance with the applicable requirements of the IRC and therefore, believes that the Plan is qualified, and the related trust is tax exempt.</w:t>
      </w:r>
    </w:p>
    <w:p>
      <w:pPr>
        <w:spacing w:after="0" w:line="2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Accounting principles generally accepted in the United States of America require Plan management to evaluate tax positions taken by the Plan and recognize a tax liability if the organization has taken an uncertain position that more likely than not would not be sustained upon examination by the IRS. The Plan is subject to routine audits by taxing jurisdictions; however, there are currently no audits for any tax periods in progress.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6 - RISKS AND UNCERTAINTIES</w:t>
      </w:r>
    </w:p>
    <w:p>
      <w:pPr>
        <w:spacing w:after="0" w:line="2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Investment securities, in general, are exposed to various risks, such as interest rate, credit, and overall market volatility risks. Due to the level of risk associated with certain investment securities, it is reasonably possible that changes in the values of investment securities will occur in the near term and such changes could materially affect participants’ account balances and the amounts reported in the Statement of Net Assets Available for Benefits.</w:t>
      </w:r>
    </w:p>
    <w:p>
      <w:pPr>
        <w:spacing w:after="0" w:line="214"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As of December 31, 2021 and 2020, the Plan had investments of $107,013,273 and $101,729,305, respectively that were concentrated in two funds.</w:t>
      </w:r>
    </w:p>
    <w:p>
      <w:pPr>
        <w:sectPr>
          <w:pgSz w:w="11900" w:h="16838" w:orient="portrait"/>
          <w:cols w:equalWidth="0" w:num="1">
            <w:col w:w="11240"/>
          </w:cols>
          <w:pgMar w:left="320" w:top="88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1240"/>
          </w:cols>
          <w:pgMar w:left="320" w:top="880" w:right="339" w:bottom="1440" w:gutter="0" w:footer="0" w:header="0"/>
          <w:type w:val="continuous"/>
        </w:sectPr>
      </w:pPr>
    </w:p>
    <w:bookmarkStart w:id="11" w:name="page12"/>
    <w:bookmarkEnd w:id="1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Supplemental Information</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Required for Form 5500</w:t>
      </w:r>
    </w:p>
    <w:p>
      <w:pPr>
        <w:sectPr>
          <w:pgSz w:w="11900" w:h="16838" w:orient="portrait"/>
          <w:cols w:equalWidth="0" w:num="1">
            <w:col w:w="9019"/>
          </w:cols>
          <w:pgMar w:left="1440" w:top="1440"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2"/>
          <w:szCs w:val="22"/>
          <w:b w:val="1"/>
          <w:bCs w:val="1"/>
          <w:color w:val="auto"/>
        </w:rPr>
        <w:t>CROWN CORK &amp; SEAL COMPANY, INC. 401(k) RETIREMENT SAVINGS PLAN</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Schedule H, Line 4i - Schedule of Assets (Held at End of Year)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21590</wp:posOffset>
            </wp:positionV>
            <wp:extent cx="687514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75145" cy="17145"/>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Crown Cork &amp; Seal Company, Inc. 401(k) Retirement Savings Plan</w:t>
      </w:r>
    </w:p>
    <w:p>
      <w:pPr>
        <w:spacing w:after="0"/>
        <w:rPr>
          <w:sz w:val="20"/>
          <w:szCs w:val="20"/>
          <w:color w:val="auto"/>
        </w:rPr>
      </w:pPr>
      <w:r>
        <w:rPr>
          <w:rFonts w:ascii="Times New Roman" w:cs="Times New Roman" w:eastAsia="Times New Roman" w:hAnsi="Times New Roman"/>
          <w:sz w:val="18"/>
          <w:szCs w:val="18"/>
          <w:color w:val="auto"/>
        </w:rPr>
        <w:t>EIN 23-1526444 Plan No. 100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50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20"/>
                <w:szCs w:val="20"/>
                <w:b w:val="1"/>
                <w:bCs w:val="1"/>
                <w:color w:val="auto"/>
              </w:rPr>
              <w:t>Identity of Participant-Directed Issues</w:t>
            </w:r>
          </w:p>
        </w:tc>
        <w:tc>
          <w:tcPr>
            <w:tcW w:w="450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20"/>
                <w:szCs w:val="20"/>
                <w:b w:val="1"/>
                <w:bCs w:val="1"/>
                <w:color w:val="auto"/>
              </w:rPr>
              <w:t>Investment Type</w:t>
            </w: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Current Value</w:t>
            </w:r>
          </w:p>
        </w:tc>
      </w:tr>
      <w:tr>
        <w:trPr>
          <w:trHeight w:val="257"/>
        </w:trPr>
        <w:tc>
          <w:tcPr>
            <w:tcW w:w="5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20"/>
                <w:szCs w:val="20"/>
                <w:color w:val="auto"/>
              </w:rPr>
              <w:t>Baird Core Plus Bond Fund</w:t>
            </w:r>
          </w:p>
        </w:tc>
        <w:tc>
          <w:tcPr>
            <w:tcW w:w="45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20"/>
                <w:szCs w:val="20"/>
                <w:color w:val="auto"/>
              </w:rPr>
              <w:t>Registered Investment Company</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14,198,339</w:t>
            </w:r>
          </w:p>
        </w:tc>
      </w:tr>
      <w:tr>
        <w:trPr>
          <w:trHeight w:val="257"/>
        </w:trPr>
        <w:tc>
          <w:tcPr>
            <w:tcW w:w="50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DFA Emerging Markets Core Equity Portfolio</w:t>
            </w:r>
          </w:p>
        </w:tc>
        <w:tc>
          <w:tcPr>
            <w:tcW w:w="4500" w:type="dxa"/>
            <w:vAlign w:val="bottom"/>
          </w:tcPr>
          <w:p>
            <w:pPr>
              <w:ind w:left="620"/>
              <w:spacing w:after="0"/>
              <w:rPr>
                <w:sz w:val="20"/>
                <w:szCs w:val="20"/>
                <w:color w:val="auto"/>
              </w:rPr>
            </w:pPr>
            <w:r>
              <w:rPr>
                <w:rFonts w:ascii="Times New Roman" w:cs="Times New Roman" w:eastAsia="Times New Roman" w:hAnsi="Times New Roman"/>
                <w:sz w:val="20"/>
                <w:szCs w:val="20"/>
                <w:color w:val="auto"/>
              </w:rPr>
              <w:t>Registered Investment Company</w:t>
            </w: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916,978</w:t>
            </w:r>
          </w:p>
        </w:tc>
      </w:tr>
      <w:tr>
        <w:trPr>
          <w:trHeight w:val="257"/>
        </w:trPr>
        <w:tc>
          <w:tcPr>
            <w:tcW w:w="5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20"/>
                <w:szCs w:val="20"/>
                <w:color w:val="auto"/>
              </w:rPr>
              <w:t>DFA US Targeted Value Portfolio</w:t>
            </w:r>
          </w:p>
        </w:tc>
        <w:tc>
          <w:tcPr>
            <w:tcW w:w="45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20"/>
                <w:szCs w:val="20"/>
                <w:color w:val="auto"/>
              </w:rPr>
              <w:t>Registered Investment Company</w:t>
            </w: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918,768</w:t>
            </w:r>
          </w:p>
        </w:tc>
      </w:tr>
      <w:tr>
        <w:trPr>
          <w:trHeight w:val="256"/>
        </w:trPr>
        <w:tc>
          <w:tcPr>
            <w:tcW w:w="50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Fidelity Small Cap Growth Fund</w:t>
            </w:r>
          </w:p>
        </w:tc>
        <w:tc>
          <w:tcPr>
            <w:tcW w:w="4500" w:type="dxa"/>
            <w:vAlign w:val="bottom"/>
          </w:tcPr>
          <w:p>
            <w:pPr>
              <w:ind w:left="620"/>
              <w:spacing w:after="0"/>
              <w:rPr>
                <w:sz w:val="20"/>
                <w:szCs w:val="20"/>
                <w:color w:val="auto"/>
              </w:rPr>
            </w:pPr>
            <w:r>
              <w:rPr>
                <w:rFonts w:ascii="Times New Roman" w:cs="Times New Roman" w:eastAsia="Times New Roman" w:hAnsi="Times New Roman"/>
                <w:sz w:val="20"/>
                <w:szCs w:val="20"/>
                <w:color w:val="auto"/>
              </w:rPr>
              <w:t>Registered Investment Company</w:t>
            </w: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14,291,951</w:t>
            </w:r>
          </w:p>
        </w:tc>
      </w:tr>
      <w:tr>
        <w:trPr>
          <w:trHeight w:val="257"/>
        </w:trPr>
        <w:tc>
          <w:tcPr>
            <w:tcW w:w="5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20"/>
                <w:szCs w:val="20"/>
                <w:color w:val="auto"/>
              </w:rPr>
              <w:t>T. Rowe Price International Discovery Fund</w:t>
            </w:r>
          </w:p>
        </w:tc>
        <w:tc>
          <w:tcPr>
            <w:tcW w:w="45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20"/>
                <w:szCs w:val="20"/>
                <w:color w:val="auto"/>
              </w:rPr>
              <w:t>Registered Investment Company</w:t>
            </w: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624,762</w:t>
            </w:r>
          </w:p>
        </w:tc>
      </w:tr>
      <w:tr>
        <w:trPr>
          <w:trHeight w:val="257"/>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Vanguard Developed Markets Growth Fund</w:t>
            </w:r>
          </w:p>
        </w:tc>
        <w:tc>
          <w:tcPr>
            <w:tcW w:w="4500" w:type="dxa"/>
            <w:vAlign w:val="bottom"/>
          </w:tcPr>
          <w:p>
            <w:pPr>
              <w:ind w:left="620"/>
              <w:spacing w:after="0"/>
              <w:rPr>
                <w:sz w:val="20"/>
                <w:szCs w:val="20"/>
                <w:color w:val="auto"/>
              </w:rPr>
            </w:pPr>
            <w:r>
              <w:rPr>
                <w:rFonts w:ascii="Times New Roman" w:cs="Times New Roman" w:eastAsia="Times New Roman" w:hAnsi="Times New Roman"/>
                <w:sz w:val="20"/>
                <w:szCs w:val="20"/>
                <w:color w:val="auto"/>
              </w:rPr>
              <w:t>Registered Investment Company</w:t>
            </w: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4,732,043</w:t>
            </w:r>
          </w:p>
        </w:tc>
      </w:tr>
      <w:tr>
        <w:trPr>
          <w:trHeight w:val="257"/>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Vanguard International Growth Fund</w:t>
            </w:r>
          </w:p>
        </w:tc>
        <w:tc>
          <w:tcPr>
            <w:tcW w:w="45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20"/>
                <w:szCs w:val="20"/>
                <w:color w:val="auto"/>
              </w:rPr>
              <w:t>Registered Investment Company</w:t>
            </w: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14,134,020</w:t>
            </w:r>
          </w:p>
        </w:tc>
      </w:tr>
      <w:tr>
        <w:trPr>
          <w:trHeight w:val="25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Vanguard Cash Reserve Federal Money Market Fund</w:t>
            </w:r>
          </w:p>
        </w:tc>
        <w:tc>
          <w:tcPr>
            <w:tcW w:w="4500" w:type="dxa"/>
            <w:vAlign w:val="bottom"/>
          </w:tcPr>
          <w:p>
            <w:pPr>
              <w:ind w:left="620"/>
              <w:spacing w:after="0"/>
              <w:rPr>
                <w:sz w:val="20"/>
                <w:szCs w:val="20"/>
                <w:color w:val="auto"/>
              </w:rPr>
            </w:pPr>
            <w:r>
              <w:rPr>
                <w:rFonts w:ascii="Times New Roman" w:cs="Times New Roman" w:eastAsia="Times New Roman" w:hAnsi="Times New Roman"/>
                <w:sz w:val="20"/>
                <w:szCs w:val="20"/>
                <w:color w:val="auto"/>
              </w:rPr>
              <w:t>Registered Investment Company</w:t>
            </w: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143,375</w:t>
            </w:r>
          </w:p>
        </w:tc>
      </w:tr>
      <w:tr>
        <w:trPr>
          <w:trHeight w:val="257"/>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Vanguard Target Retirement 2015 Fund</w:t>
            </w:r>
          </w:p>
        </w:tc>
        <w:tc>
          <w:tcPr>
            <w:tcW w:w="45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20"/>
                <w:szCs w:val="20"/>
                <w:color w:val="auto"/>
              </w:rPr>
              <w:t>Registered Investment Company</w:t>
            </w: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3,673,140</w:t>
            </w:r>
          </w:p>
        </w:tc>
      </w:tr>
      <w:tr>
        <w:trPr>
          <w:trHeight w:val="257"/>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Vanguard Target Retirement 2020 Fund</w:t>
            </w:r>
          </w:p>
        </w:tc>
        <w:tc>
          <w:tcPr>
            <w:tcW w:w="4500" w:type="dxa"/>
            <w:vAlign w:val="bottom"/>
          </w:tcPr>
          <w:p>
            <w:pPr>
              <w:ind w:left="620"/>
              <w:spacing w:after="0"/>
              <w:rPr>
                <w:sz w:val="20"/>
                <w:szCs w:val="20"/>
                <w:color w:val="auto"/>
              </w:rPr>
            </w:pPr>
            <w:r>
              <w:rPr>
                <w:rFonts w:ascii="Times New Roman" w:cs="Times New Roman" w:eastAsia="Times New Roman" w:hAnsi="Times New Roman"/>
                <w:sz w:val="20"/>
                <w:szCs w:val="20"/>
                <w:color w:val="auto"/>
              </w:rPr>
              <w:t>Registered Investment Company</w:t>
            </w: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4,046,840</w:t>
            </w:r>
          </w:p>
        </w:tc>
      </w:tr>
      <w:tr>
        <w:trPr>
          <w:trHeight w:val="257"/>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Vanguard Target Retirement 2025 Fund</w:t>
            </w:r>
          </w:p>
        </w:tc>
        <w:tc>
          <w:tcPr>
            <w:tcW w:w="45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20"/>
                <w:szCs w:val="20"/>
                <w:color w:val="auto"/>
              </w:rPr>
              <w:t>Registered Investment Company</w:t>
            </w: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14,666,506</w:t>
            </w:r>
          </w:p>
        </w:tc>
      </w:tr>
      <w:tr>
        <w:trPr>
          <w:trHeight w:val="257"/>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Vanguard Target Retirement 2030 Fund</w:t>
            </w:r>
          </w:p>
        </w:tc>
        <w:tc>
          <w:tcPr>
            <w:tcW w:w="4500" w:type="dxa"/>
            <w:vAlign w:val="bottom"/>
          </w:tcPr>
          <w:p>
            <w:pPr>
              <w:ind w:left="620"/>
              <w:spacing w:after="0"/>
              <w:rPr>
                <w:sz w:val="20"/>
                <w:szCs w:val="20"/>
                <w:color w:val="auto"/>
              </w:rPr>
            </w:pPr>
            <w:r>
              <w:rPr>
                <w:rFonts w:ascii="Times New Roman" w:cs="Times New Roman" w:eastAsia="Times New Roman" w:hAnsi="Times New Roman"/>
                <w:sz w:val="20"/>
                <w:szCs w:val="20"/>
                <w:color w:val="auto"/>
              </w:rPr>
              <w:t>Registered Investment Company</w:t>
            </w: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10,232,542</w:t>
            </w:r>
          </w:p>
        </w:tc>
      </w:tr>
      <w:tr>
        <w:trPr>
          <w:trHeight w:val="25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Vanguard Target Retirement 2035 Fund</w:t>
            </w:r>
          </w:p>
        </w:tc>
        <w:tc>
          <w:tcPr>
            <w:tcW w:w="45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20"/>
                <w:szCs w:val="20"/>
                <w:color w:val="auto"/>
              </w:rPr>
              <w:t>Registered Investment Company</w:t>
            </w: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11,382,149</w:t>
            </w:r>
          </w:p>
        </w:tc>
      </w:tr>
      <w:tr>
        <w:trPr>
          <w:trHeight w:val="257"/>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Vanguard Target Retirement 2040 Fund</w:t>
            </w:r>
          </w:p>
        </w:tc>
        <w:tc>
          <w:tcPr>
            <w:tcW w:w="4500" w:type="dxa"/>
            <w:vAlign w:val="bottom"/>
          </w:tcPr>
          <w:p>
            <w:pPr>
              <w:ind w:left="620"/>
              <w:spacing w:after="0"/>
              <w:rPr>
                <w:sz w:val="20"/>
                <w:szCs w:val="20"/>
                <w:color w:val="auto"/>
              </w:rPr>
            </w:pPr>
            <w:r>
              <w:rPr>
                <w:rFonts w:ascii="Times New Roman" w:cs="Times New Roman" w:eastAsia="Times New Roman" w:hAnsi="Times New Roman"/>
                <w:sz w:val="20"/>
                <w:szCs w:val="20"/>
                <w:color w:val="auto"/>
              </w:rPr>
              <w:t>Registered Investment Company</w:t>
            </w: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7,238,364</w:t>
            </w:r>
          </w:p>
        </w:tc>
      </w:tr>
      <w:tr>
        <w:trPr>
          <w:trHeight w:val="257"/>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Vanguard Target Retirement 2045 Fund</w:t>
            </w:r>
          </w:p>
        </w:tc>
        <w:tc>
          <w:tcPr>
            <w:tcW w:w="45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20"/>
                <w:szCs w:val="20"/>
                <w:color w:val="auto"/>
              </w:rPr>
              <w:t>Registered Investment Company</w:t>
            </w: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9,118,389</w:t>
            </w:r>
          </w:p>
        </w:tc>
      </w:tr>
      <w:tr>
        <w:trPr>
          <w:trHeight w:val="257"/>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Vanguard Target Retirement 2050 Fund</w:t>
            </w:r>
          </w:p>
        </w:tc>
        <w:tc>
          <w:tcPr>
            <w:tcW w:w="4500" w:type="dxa"/>
            <w:vAlign w:val="bottom"/>
          </w:tcPr>
          <w:p>
            <w:pPr>
              <w:ind w:left="620"/>
              <w:spacing w:after="0"/>
              <w:rPr>
                <w:sz w:val="20"/>
                <w:szCs w:val="20"/>
                <w:color w:val="auto"/>
              </w:rPr>
            </w:pPr>
            <w:r>
              <w:rPr>
                <w:rFonts w:ascii="Times New Roman" w:cs="Times New Roman" w:eastAsia="Times New Roman" w:hAnsi="Times New Roman"/>
                <w:sz w:val="20"/>
                <w:szCs w:val="20"/>
                <w:color w:val="auto"/>
              </w:rPr>
              <w:t>Registered Investment Company</w:t>
            </w: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6,235,538</w:t>
            </w:r>
          </w:p>
        </w:tc>
      </w:tr>
      <w:tr>
        <w:trPr>
          <w:trHeight w:val="25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Vanguard Target Retirement 2055 Fund</w:t>
            </w:r>
          </w:p>
        </w:tc>
        <w:tc>
          <w:tcPr>
            <w:tcW w:w="45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20"/>
                <w:szCs w:val="20"/>
                <w:color w:val="auto"/>
              </w:rPr>
              <w:t>Registered Investment Company</w:t>
            </w: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4,540,511</w:t>
            </w:r>
          </w:p>
        </w:tc>
      </w:tr>
      <w:tr>
        <w:trPr>
          <w:trHeight w:val="257"/>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Vanguard Target Retirement 2060 Fund</w:t>
            </w:r>
          </w:p>
        </w:tc>
        <w:tc>
          <w:tcPr>
            <w:tcW w:w="4500" w:type="dxa"/>
            <w:vAlign w:val="bottom"/>
          </w:tcPr>
          <w:p>
            <w:pPr>
              <w:ind w:left="620"/>
              <w:spacing w:after="0"/>
              <w:rPr>
                <w:sz w:val="20"/>
                <w:szCs w:val="20"/>
                <w:color w:val="auto"/>
              </w:rPr>
            </w:pPr>
            <w:r>
              <w:rPr>
                <w:rFonts w:ascii="Times New Roman" w:cs="Times New Roman" w:eastAsia="Times New Roman" w:hAnsi="Times New Roman"/>
                <w:sz w:val="20"/>
                <w:szCs w:val="20"/>
                <w:color w:val="auto"/>
              </w:rPr>
              <w:t>Registered Investment Company</w:t>
            </w: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1,261,056</w:t>
            </w:r>
          </w:p>
        </w:tc>
      </w:tr>
      <w:tr>
        <w:trPr>
          <w:trHeight w:val="257"/>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Vanguard Target Retirement 2065 Fund</w:t>
            </w:r>
          </w:p>
        </w:tc>
        <w:tc>
          <w:tcPr>
            <w:tcW w:w="45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20"/>
                <w:szCs w:val="20"/>
                <w:color w:val="auto"/>
              </w:rPr>
              <w:t>Registered Investment Company</w:t>
            </w: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708,352</w:t>
            </w:r>
          </w:p>
        </w:tc>
      </w:tr>
      <w:tr>
        <w:trPr>
          <w:trHeight w:val="257"/>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Vanguard Target Retirement Income Fund</w:t>
            </w:r>
          </w:p>
        </w:tc>
        <w:tc>
          <w:tcPr>
            <w:tcW w:w="4500" w:type="dxa"/>
            <w:vAlign w:val="bottom"/>
          </w:tcPr>
          <w:p>
            <w:pPr>
              <w:ind w:left="620"/>
              <w:spacing w:after="0"/>
              <w:rPr>
                <w:sz w:val="20"/>
                <w:szCs w:val="20"/>
                <w:color w:val="auto"/>
              </w:rPr>
            </w:pPr>
            <w:r>
              <w:rPr>
                <w:rFonts w:ascii="Times New Roman" w:cs="Times New Roman" w:eastAsia="Times New Roman" w:hAnsi="Times New Roman"/>
                <w:sz w:val="20"/>
                <w:szCs w:val="20"/>
                <w:color w:val="auto"/>
              </w:rPr>
              <w:t>Registered Investment Company</w:t>
            </w: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2,861,635</w:t>
            </w:r>
          </w:p>
        </w:tc>
      </w:tr>
      <w:tr>
        <w:trPr>
          <w:trHeight w:val="25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Vanguard Total Stock Market Index Fund</w:t>
            </w:r>
          </w:p>
        </w:tc>
        <w:tc>
          <w:tcPr>
            <w:tcW w:w="45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20"/>
                <w:szCs w:val="20"/>
                <w:color w:val="auto"/>
              </w:rPr>
              <w:t>Registered Investment Company</w:t>
            </w: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68,140,896</w:t>
            </w:r>
          </w:p>
        </w:tc>
      </w:tr>
      <w:tr>
        <w:trPr>
          <w:trHeight w:val="257"/>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Vanguard U.S. Growth Fund</w:t>
            </w:r>
          </w:p>
        </w:tc>
        <w:tc>
          <w:tcPr>
            <w:tcW w:w="4500" w:type="dxa"/>
            <w:vAlign w:val="bottom"/>
          </w:tcPr>
          <w:p>
            <w:pPr>
              <w:ind w:left="620"/>
              <w:spacing w:after="0"/>
              <w:rPr>
                <w:sz w:val="20"/>
                <w:szCs w:val="20"/>
                <w:color w:val="auto"/>
              </w:rPr>
            </w:pPr>
            <w:r>
              <w:rPr>
                <w:rFonts w:ascii="Times New Roman" w:cs="Times New Roman" w:eastAsia="Times New Roman" w:hAnsi="Times New Roman"/>
                <w:sz w:val="20"/>
                <w:szCs w:val="20"/>
                <w:color w:val="auto"/>
              </w:rPr>
              <w:t>Registered Investment Company</w:t>
            </w: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7,816,871</w:t>
            </w:r>
          </w:p>
        </w:tc>
      </w:tr>
      <w:tr>
        <w:trPr>
          <w:trHeight w:val="25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Vanguard Wellington Fund</w:t>
            </w:r>
          </w:p>
        </w:tc>
        <w:tc>
          <w:tcPr>
            <w:tcW w:w="45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20"/>
                <w:szCs w:val="20"/>
                <w:color w:val="auto"/>
              </w:rPr>
              <w:t>Registered Investment Company</w:t>
            </w: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21,128,804</w:t>
            </w:r>
          </w:p>
        </w:tc>
      </w:tr>
      <w:tr>
        <w:trPr>
          <w:trHeight w:val="257"/>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Vanguard Windsor II Fund</w:t>
            </w:r>
          </w:p>
        </w:tc>
        <w:tc>
          <w:tcPr>
            <w:tcW w:w="4500" w:type="dxa"/>
            <w:vAlign w:val="bottom"/>
          </w:tcPr>
          <w:p>
            <w:pPr>
              <w:ind w:left="620"/>
              <w:spacing w:after="0"/>
              <w:rPr>
                <w:sz w:val="20"/>
                <w:szCs w:val="20"/>
                <w:color w:val="auto"/>
              </w:rPr>
            </w:pPr>
            <w:r>
              <w:rPr>
                <w:rFonts w:ascii="Times New Roman" w:cs="Times New Roman" w:eastAsia="Times New Roman" w:hAnsi="Times New Roman"/>
                <w:sz w:val="20"/>
                <w:szCs w:val="20"/>
                <w:color w:val="auto"/>
              </w:rPr>
              <w:t>Registered Investment Company</w:t>
            </w: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6,282,179</w:t>
            </w:r>
          </w:p>
        </w:tc>
      </w:tr>
      <w:tr>
        <w:trPr>
          <w:trHeight w:val="25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Vanguard Retirement Savings Trust</w:t>
            </w:r>
          </w:p>
        </w:tc>
        <w:tc>
          <w:tcPr>
            <w:tcW w:w="45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20"/>
                <w:szCs w:val="20"/>
                <w:color w:val="auto"/>
              </w:rPr>
              <w:t>Collective Trust Fund</w:t>
            </w: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38,872,377</w:t>
            </w:r>
          </w:p>
        </w:tc>
      </w:tr>
      <w:tr>
        <w:trPr>
          <w:trHeight w:val="257"/>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Crown Holdings, Inc. Stock Fund</w:t>
            </w:r>
          </w:p>
        </w:tc>
        <w:tc>
          <w:tcPr>
            <w:tcW w:w="4500" w:type="dxa"/>
            <w:vAlign w:val="bottom"/>
          </w:tcPr>
          <w:p>
            <w:pPr>
              <w:ind w:left="620"/>
              <w:spacing w:after="0"/>
              <w:rPr>
                <w:sz w:val="20"/>
                <w:szCs w:val="20"/>
                <w:color w:val="auto"/>
              </w:rPr>
            </w:pPr>
            <w:r>
              <w:rPr>
                <w:rFonts w:ascii="Times New Roman" w:cs="Times New Roman" w:eastAsia="Times New Roman" w:hAnsi="Times New Roman"/>
                <w:sz w:val="20"/>
                <w:szCs w:val="20"/>
                <w:color w:val="auto"/>
              </w:rPr>
              <w:t>Common Stock Fund</w:t>
            </w: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21,663,919</w:t>
            </w:r>
          </w:p>
        </w:tc>
      </w:tr>
      <w:tr>
        <w:trPr>
          <w:trHeight w:val="25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Notes receivable from participants</w:t>
            </w:r>
          </w:p>
        </w:tc>
        <w:tc>
          <w:tcPr>
            <w:tcW w:w="45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20"/>
                <w:szCs w:val="20"/>
                <w:color w:val="auto"/>
              </w:rPr>
              <w:t>Interest rates: 4.25% - 6.50%</w:t>
            </w:r>
          </w:p>
        </w:tc>
        <w:tc>
          <w:tcPr>
            <w:tcW w:w="18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3,422,113</w:t>
            </w:r>
          </w:p>
        </w:tc>
      </w:tr>
      <w:tr>
        <w:trPr>
          <w:trHeight w:val="250"/>
        </w:trPr>
        <w:tc>
          <w:tcPr>
            <w:tcW w:w="500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Total Assets (Held at End of Year)</w:t>
            </w:r>
          </w:p>
        </w:tc>
        <w:tc>
          <w:tcPr>
            <w:tcW w:w="45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293,252,417</w:t>
            </w:r>
          </w:p>
        </w:tc>
      </w:tr>
      <w:tr>
        <w:trPr>
          <w:trHeight w:val="21"/>
        </w:trPr>
        <w:tc>
          <w:tcPr>
            <w:tcW w:w="500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Party-in-Interest as defined by ERISA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Cost column not required to be reported as all investments are participant directed.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820"/>
          </w:cols>
          <w:pgMar w:left="540" w:top="567" w:right="5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86"/>
        </w:trPr>
        <w:tc>
          <w:tcPr>
            <w:tcW w:w="222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EXHIBITS</w:t>
            </w:r>
          </w:p>
        </w:tc>
        <w:tc>
          <w:tcPr>
            <w:tcW w:w="194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568"/>
        </w:trPr>
        <w:tc>
          <w:tcPr>
            <w:tcW w:w="40" w:type="dxa"/>
            <w:vAlign w:val="bottom"/>
          </w:tcPr>
          <w:p>
            <w:pPr>
              <w:spacing w:after="0"/>
              <w:rPr>
                <w:sz w:val="24"/>
                <w:szCs w:val="24"/>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Exhibit Number</w:t>
            </w:r>
          </w:p>
        </w:tc>
        <w:tc>
          <w:tcPr>
            <w:tcW w:w="5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Description of Exhibit</w:t>
            </w:r>
          </w:p>
        </w:tc>
      </w:tr>
      <w:tr>
        <w:trPr>
          <w:trHeight w:val="20"/>
        </w:trPr>
        <w:tc>
          <w:tcPr>
            <w:tcW w:w="4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00" w:type="dxa"/>
            <w:vAlign w:val="bottom"/>
          </w:tcPr>
          <w:p>
            <w:pPr>
              <w:spacing w:after="0" w:line="250" w:lineRule="exact"/>
              <w:rPr>
                <w:sz w:val="20"/>
                <w:szCs w:val="20"/>
                <w:color w:val="auto"/>
              </w:rPr>
            </w:pPr>
            <w:r>
              <w:rPr>
                <w:rFonts w:ascii="Times New Roman" w:cs="Times New Roman" w:eastAsia="Times New Roman" w:hAnsi="Times New Roman"/>
                <w:sz w:val="22"/>
                <w:szCs w:val="22"/>
                <w:color w:val="auto"/>
              </w:rPr>
              <w:t>23</w:t>
            </w:r>
          </w:p>
        </w:tc>
        <w:tc>
          <w:tcPr>
            <w:tcW w:w="780" w:type="dxa"/>
            <w:vAlign w:val="bottom"/>
          </w:tcPr>
          <w:p>
            <w:pPr>
              <w:spacing w:after="0"/>
              <w:rPr>
                <w:sz w:val="21"/>
                <w:szCs w:val="21"/>
                <w:color w:val="auto"/>
              </w:rPr>
            </w:pPr>
          </w:p>
        </w:tc>
        <w:tc>
          <w:tcPr>
            <w:tcW w:w="5180" w:type="dxa"/>
            <w:vAlign w:val="bottom"/>
            <w:tcBorders>
              <w:bottom w:val="single" w:sz="8" w:color="0000FF"/>
            </w:tcBorders>
            <w:gridSpan w:val="2"/>
          </w:tcPr>
          <w:p>
            <w:pPr>
              <w:spacing w:after="0" w:line="250" w:lineRule="exact"/>
              <w:rPr>
                <w:sz w:val="20"/>
                <w:szCs w:val="20"/>
                <w:color w:val="auto"/>
              </w:rPr>
            </w:pPr>
            <w:r>
              <w:rPr>
                <w:rFonts w:ascii="Times New Roman" w:cs="Times New Roman" w:eastAsia="Times New Roman" w:hAnsi="Times New Roman"/>
                <w:sz w:val="22"/>
                <w:szCs w:val="22"/>
                <w:color w:val="0000FF"/>
                <w:w w:val="97"/>
              </w:rPr>
              <w:t>Consent of Independent Registered Public Accounting Firm</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2"/>
          <w:szCs w:val="22"/>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Benefit Plans Investment Committee has duly caused this annual report to be signed on its behalf by the undersigned hereto duly authorized.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22"/>
          <w:szCs w:val="22"/>
          <w:color w:val="auto"/>
        </w:rPr>
        <w:t>Crown Cork &amp; Seal Company, Inc.</w:t>
      </w:r>
    </w:p>
    <w:p>
      <w:pPr>
        <w:spacing w:after="0" w:line="29"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22"/>
          <w:szCs w:val="22"/>
          <w:color w:val="auto"/>
        </w:rPr>
        <w:t>401(k) Retirement Savings Plan</w:t>
      </w:r>
    </w:p>
    <w:p>
      <w:pPr>
        <w:spacing w:after="0" w:line="200" w:lineRule="exact"/>
        <w:rPr>
          <w:sz w:val="20"/>
          <w:szCs w:val="20"/>
          <w:color w:val="auto"/>
        </w:rPr>
      </w:pPr>
    </w:p>
    <w:p>
      <w:pPr>
        <w:spacing w:after="0" w:line="345" w:lineRule="exact"/>
        <w:rPr>
          <w:sz w:val="20"/>
          <w:szCs w:val="20"/>
          <w:color w:val="auto"/>
        </w:rPr>
      </w:pPr>
    </w:p>
    <w:p>
      <w:pPr>
        <w:ind w:left="5460"/>
        <w:spacing w:after="0"/>
        <w:tabs>
          <w:tab w:leader="none" w:pos="60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u w:val="single" w:color="auto"/>
          <w:color w:val="auto"/>
        </w:rPr>
        <w:t>/s/ Christy L. Kalaus</w:t>
      </w:r>
    </w:p>
    <w:p>
      <w:pPr>
        <w:spacing w:after="0" w:line="29"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22"/>
          <w:szCs w:val="22"/>
          <w:color w:val="auto"/>
        </w:rPr>
        <w:t>Christy L. Kalaus</w:t>
      </w:r>
    </w:p>
    <w:p>
      <w:pPr>
        <w:spacing w:after="0" w:line="1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22"/>
          <w:szCs w:val="22"/>
          <w:color w:val="auto"/>
        </w:rPr>
        <w:t>Vice President and Corporate Controller</w:t>
      </w: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 xml:space="preserve">Date: </w:t>
      </w:r>
      <w:r>
        <w:rPr>
          <w:rFonts w:ascii="Times New Roman" w:cs="Times New Roman" w:eastAsia="Times New Roman" w:hAnsi="Times New Roman"/>
          <w:sz w:val="22"/>
          <w:szCs w:val="22"/>
          <w:u w:val="single" w:color="auto"/>
          <w:color w:val="auto"/>
        </w:rPr>
        <w:t>June 17, 2022</w:t>
      </w:r>
    </w:p>
    <w:p>
      <w:pPr>
        <w:sectPr>
          <w:pgSz w:w="11900" w:h="16838" w:orient="portrait"/>
          <w:cols w:equalWidth="0" w:num="1">
            <w:col w:w="10960"/>
          </w:cols>
          <w:pgMar w:left="320" w:top="891" w:right="6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60"/>
          </w:cols>
          <w:pgMar w:left="320" w:top="891" w:right="619" w:bottom="1440" w:gutter="0" w:footer="0" w:header="0"/>
          <w:type w:val="continuous"/>
        </w:sectPr>
      </w:pPr>
    </w:p>
    <w:bookmarkStart w:id="14" w:name="page15"/>
    <w:bookmarkEnd w:id="14"/>
    <w:p>
      <w:pPr>
        <w:jc w:val="right"/>
        <w:spacing w:after="0"/>
        <w:rPr>
          <w:sz w:val="20"/>
          <w:szCs w:val="20"/>
          <w:color w:val="auto"/>
        </w:rPr>
      </w:pPr>
      <w:r>
        <w:rPr>
          <w:rFonts w:ascii="Times New Roman" w:cs="Times New Roman" w:eastAsia="Times New Roman" w:hAnsi="Times New Roman"/>
          <w:sz w:val="25"/>
          <w:szCs w:val="25"/>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Consent of Independent Registered Public Accounting Firm</w:t>
      </w:r>
    </w:p>
    <w:p>
      <w:pPr>
        <w:spacing w:after="0" w:line="200" w:lineRule="exact"/>
        <w:rPr>
          <w:sz w:val="20"/>
          <w:szCs w:val="20"/>
          <w:color w:val="auto"/>
        </w:rPr>
      </w:pPr>
    </w:p>
    <w:p>
      <w:pPr>
        <w:spacing w:after="0" w:line="30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We consent to the incorporation by reference in the Registration Statement (No. 333-140991) on Form S-8 of our report dated June 17, 2022, which appears in this annual report on Form 11-K of the Crown Cork &amp; Seal Company, Inc. 401(k) Retirement Savings Plan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Baker Tilly US, LLP</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Philadelphia, Pennsylvania</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June 17, 2022</w:t>
      </w:r>
    </w:p>
    <w:sectPr>
      <w:pgSz w:w="11900" w:h="16838" w:orient="portrait"/>
      <w:cols w:equalWidth="0" w:num="1">
        <w:col w:w="11240"/>
      </w:cols>
      <w:pgMar w:left="320" w:top="112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2022-06-17T09:51:40Z</dcterms:created>
  <dcterms:modified xsi:type="dcterms:W3CDTF">2022-06-17T09:51:40Z</dcterms:modified>
</cp:coreProperties>
</file>