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CROWN HOLDINGS, INC.</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 Common Stock</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228368106</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 12/31/2020</w:t>
      </w:r>
    </w:p>
    <w:p>
      <w:pPr>
        <w:spacing w:after="0" w:line="200" w:lineRule="exact"/>
        <w:rPr>
          <w:sz w:val="24"/>
          <w:szCs w:val="24"/>
          <w:color w:val="auto"/>
        </w:rPr>
      </w:pPr>
    </w:p>
    <w:p>
      <w:pPr>
        <w:spacing w:after="0" w:line="209" w:lineRule="exact"/>
        <w:rPr>
          <w:sz w:val="24"/>
          <w:szCs w:val="24"/>
          <w:color w:val="auto"/>
        </w:rPr>
      </w:pPr>
    </w:p>
    <w:p>
      <w:pPr>
        <w:ind w:right="32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sz w:val="24"/>
          <w:szCs w:val="24"/>
          <w:color w:val="auto"/>
        </w:rPr>
      </w:pPr>
    </w:p>
    <w:p>
      <w:pPr>
        <w:ind w:right="2979" w:firstLine="8"/>
        <w:spacing w:after="0" w:line="237"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8" w:lineRule="exact"/>
        <w:rPr>
          <w:sz w:val="24"/>
          <w:szCs w:val="24"/>
          <w:color w:val="auto"/>
        </w:rPr>
      </w:pPr>
    </w:p>
    <w:p>
      <w:pPr>
        <w:ind w:right="307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3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228368106</w:t>
      </w:r>
    </w:p>
    <w:p>
      <w:pPr>
        <w:spacing w:after="0" w:line="201"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420" w:right="45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Janus Henderson Group plc</w:t>
      </w:r>
    </w:p>
    <w:p>
      <w:pPr>
        <w:spacing w:after="0" w:line="1"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EIN #00-0000000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960" w:hanging="531"/>
        <w:spacing w:after="0" w:line="238" w:lineRule="auto"/>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ind w:left="960" w:hanging="531"/>
        <w:spacing w:after="0" w:line="238" w:lineRule="auto"/>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960" w:right="5919" w:hanging="952"/>
        <w:spacing w:after="0" w:line="290" w:lineRule="auto"/>
        <w:tabs>
          <w:tab w:leader="none" w:pos="43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Jersey, Channel Islands</w:t>
      </w:r>
    </w:p>
    <w:p>
      <w:pPr>
        <w:spacing w:after="0" w:line="16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sz w:val="24"/>
          <w:szCs w:val="24"/>
          <w:color w:val="auto"/>
        </w:rPr>
      </w:pPr>
    </w:p>
    <w:p>
      <w:pPr>
        <w:ind w:left="540" w:right="7819" w:hanging="532"/>
        <w:spacing w:after="0" w:line="235"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208" w:lineRule="exact"/>
        <w:rPr>
          <w:rFonts w:ascii="Courier New" w:cs="Courier New" w:eastAsia="Courier New" w:hAnsi="Courier New"/>
          <w:sz w:val="18"/>
          <w:szCs w:val="18"/>
          <w:color w:val="auto"/>
        </w:rPr>
      </w:pPr>
    </w:p>
    <w:p>
      <w:pPr>
        <w:ind w:left="540" w:right="7599" w:hanging="532"/>
        <w:spacing w:after="0" w:line="235"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7,323,332**</w:t>
      </w:r>
    </w:p>
    <w:p>
      <w:pPr>
        <w:spacing w:after="0" w:line="208" w:lineRule="exact"/>
        <w:rPr>
          <w:rFonts w:ascii="Courier New" w:cs="Courier New" w:eastAsia="Courier New" w:hAnsi="Courier New"/>
          <w:sz w:val="18"/>
          <w:szCs w:val="18"/>
          <w:color w:val="auto"/>
        </w:rPr>
      </w:pPr>
    </w:p>
    <w:p>
      <w:pPr>
        <w:ind w:left="540" w:right="7279" w:hanging="532"/>
        <w:spacing w:after="0" w:line="235"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208" w:lineRule="exact"/>
        <w:rPr>
          <w:rFonts w:ascii="Courier New" w:cs="Courier New" w:eastAsia="Courier New" w:hAnsi="Courier New"/>
          <w:sz w:val="18"/>
          <w:szCs w:val="18"/>
          <w:color w:val="auto"/>
        </w:rPr>
      </w:pPr>
    </w:p>
    <w:p>
      <w:pPr>
        <w:ind w:left="540" w:right="7079" w:hanging="532"/>
        <w:spacing w:after="0" w:line="235"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7,323,332**</w:t>
      </w:r>
    </w:p>
    <w:p>
      <w:pPr>
        <w:spacing w:after="0" w:line="208" w:lineRule="exact"/>
        <w:rPr>
          <w:rFonts w:ascii="Courier New" w:cs="Courier New" w:eastAsia="Courier New" w:hAnsi="Courier New"/>
          <w:sz w:val="18"/>
          <w:szCs w:val="18"/>
          <w:color w:val="auto"/>
        </w:rPr>
      </w:pPr>
    </w:p>
    <w:p>
      <w:pPr>
        <w:ind w:left="540" w:right="3279" w:hanging="532"/>
        <w:spacing w:after="0" w:line="235"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7,323,332**</w:t>
      </w:r>
    </w:p>
    <w:p>
      <w:pPr>
        <w:spacing w:after="0" w:line="208" w:lineRule="exact"/>
        <w:rPr>
          <w:rFonts w:ascii="Courier New" w:cs="Courier New" w:eastAsia="Courier New" w:hAnsi="Courier New"/>
          <w:sz w:val="18"/>
          <w:szCs w:val="18"/>
          <w:color w:val="auto"/>
        </w:rPr>
      </w:pPr>
    </w:p>
    <w:p>
      <w:pPr>
        <w:ind w:right="3179" w:firstLine="8"/>
        <w:spacing w:after="0" w:line="235" w:lineRule="auto"/>
        <w:tabs>
          <w:tab w:leader="none" w:pos="52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ectPr>
          <w:pgSz w:w="11900" w:h="16847" w:orient="portrait"/>
          <w:cols w:equalWidth="0" w:num="1">
            <w:col w:w="10139"/>
          </w:cols>
          <w:pgMar w:left="320" w:top="244" w:right="1440" w:bottom="0" w:gutter="0" w:footer="0" w:header="0"/>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420" w:right="4559" w:hanging="412"/>
        <w:spacing w:after="0" w:line="235"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5.4%**</w:t>
      </w:r>
    </w:p>
    <w:p>
      <w:pPr>
        <w:spacing w:after="0" w:line="208" w:lineRule="exact"/>
        <w:rPr>
          <w:rFonts w:ascii="Courier New" w:cs="Courier New" w:eastAsia="Courier New" w:hAnsi="Courier New"/>
          <w:sz w:val="18"/>
          <w:szCs w:val="18"/>
          <w:color w:val="auto"/>
        </w:rPr>
      </w:pPr>
    </w:p>
    <w:p>
      <w:pPr>
        <w:ind w:left="420" w:right="7179" w:hanging="412"/>
        <w:spacing w:after="0" w:line="235"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HC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See Item 4 of this filing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ind w:left="420"/>
        <w:spacing w:after="0" w:line="238" w:lineRule="auto"/>
        <w:rPr>
          <w:sz w:val="20"/>
          <w:szCs w:val="20"/>
          <w:color w:val="auto"/>
        </w:rPr>
      </w:pPr>
      <w:r>
        <w:rPr>
          <w:rFonts w:ascii="Courier New" w:cs="Courier New" w:eastAsia="Courier New" w:hAnsi="Courier New"/>
          <w:sz w:val="18"/>
          <w:szCs w:val="18"/>
          <w:color w:val="auto"/>
        </w:rPr>
        <w:t>(a). Name of Issuer: CROWN HOLDINGS, INC. ("Crown")</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770 Township Line Road</w:t>
      </w:r>
    </w:p>
    <w:p>
      <w:pPr>
        <w:ind w:left="960"/>
        <w:spacing w:after="0" w:line="238" w:lineRule="auto"/>
        <w:rPr>
          <w:sz w:val="20"/>
          <w:szCs w:val="20"/>
          <w:color w:val="auto"/>
        </w:rPr>
      </w:pPr>
      <w:r>
        <w:rPr>
          <w:rFonts w:ascii="Courier New" w:cs="Courier New" w:eastAsia="Courier New" w:hAnsi="Courier New"/>
          <w:sz w:val="18"/>
          <w:szCs w:val="18"/>
          <w:color w:val="auto"/>
        </w:rPr>
        <w:t>Yardley, PA 19067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ind w:left="420"/>
        <w:spacing w:after="0" w:line="238" w:lineRule="auto"/>
        <w:rPr>
          <w:sz w:val="20"/>
          <w:szCs w:val="20"/>
          <w:color w:val="auto"/>
        </w:rPr>
      </w:pPr>
      <w:r>
        <w:rPr>
          <w:rFonts w:ascii="Courier New" w:cs="Courier New" w:eastAsia="Courier New" w:hAnsi="Courier New"/>
          <w:sz w:val="18"/>
          <w:szCs w:val="18"/>
          <w:color w:val="auto"/>
        </w:rPr>
        <w:t>(a).-(c). Name, Principal Business Address, and Citizenship of</w:t>
      </w:r>
    </w:p>
    <w:p>
      <w:pPr>
        <w:ind w:left="220"/>
        <w:spacing w:after="0" w:line="238" w:lineRule="auto"/>
        <w:rPr>
          <w:sz w:val="20"/>
          <w:szCs w:val="20"/>
          <w:color w:val="auto"/>
        </w:rPr>
      </w:pPr>
      <w:r>
        <w:rPr>
          <w:rFonts w:ascii="Courier New" w:cs="Courier New" w:eastAsia="Courier New" w:hAnsi="Courier New"/>
          <w:sz w:val="18"/>
          <w:szCs w:val="18"/>
          <w:color w:val="auto"/>
        </w:rPr>
        <w:t>Persons Filing:</w:t>
      </w:r>
    </w:p>
    <w:p>
      <w:pPr>
        <w:spacing w:after="0" w:line="207" w:lineRule="exact"/>
        <w:rPr>
          <w:sz w:val="20"/>
          <w:szCs w:val="20"/>
          <w:color w:val="auto"/>
        </w:rPr>
      </w:pPr>
    </w:p>
    <w:p>
      <w:pPr>
        <w:ind w:left="1480" w:right="6019" w:hanging="524"/>
        <w:spacing w:after="0" w:line="235" w:lineRule="auto"/>
        <w:tabs>
          <w:tab w:leader="none" w:pos="14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Janus Henderson Group plc 201 Bishopsgate</w:t>
      </w:r>
    </w:p>
    <w:p>
      <w:pPr>
        <w:spacing w:after="0" w:line="5" w:lineRule="exact"/>
        <w:rPr>
          <w:rFonts w:ascii="Courier New" w:cs="Courier New" w:eastAsia="Courier New" w:hAnsi="Courier New"/>
          <w:sz w:val="18"/>
          <w:szCs w:val="18"/>
          <w:color w:val="auto"/>
        </w:rPr>
      </w:pPr>
    </w:p>
    <w:p>
      <w:pPr>
        <w:ind w:left="1480" w:right="485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EC2M 3AE, United Kingdom Citizenship: Jersey, Channel Islands</w:t>
      </w:r>
    </w:p>
    <w:p>
      <w:pPr>
        <w:spacing w:after="0" w:line="164" w:lineRule="exact"/>
        <w:rPr>
          <w:sz w:val="20"/>
          <w:szCs w:val="20"/>
          <w:color w:val="auto"/>
        </w:rPr>
      </w:pPr>
    </w:p>
    <w:p>
      <w:pPr>
        <w:ind w:left="420"/>
        <w:spacing w:after="0"/>
        <w:tabs>
          <w:tab w:leader="none" w:pos="4200" w:val="left"/>
        </w:tabs>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ind w:left="420"/>
        <w:spacing w:after="0"/>
        <w:tabs>
          <w:tab w:leader="none" w:pos="25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228368106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This statement is filed pursuant to Rule 13d-1 (b) or 13d-2(b) and the person filing, Janus Henderson Group plc ("Janus Henderson") is a parent holding company/control person in accordance with Section 240.13d-1(b)(ii)(G). See Item 4 for additional information.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3079"/>
        <w:spacing w:after="0" w:line="235" w:lineRule="auto"/>
        <w:rPr>
          <w:sz w:val="20"/>
          <w:szCs w:val="20"/>
          <w:color w:val="auto"/>
        </w:rPr>
      </w:pPr>
      <w:r>
        <w:rPr>
          <w:rFonts w:ascii="Courier New" w:cs="Courier New" w:eastAsia="Courier New" w:hAnsi="Courier New"/>
          <w:sz w:val="18"/>
          <w:szCs w:val="18"/>
          <w:color w:val="auto"/>
        </w:rPr>
        <w:t>The information in items 1 and 5 through 11 on the cover page(s) on Schedule 13G is hereby incorporated by reference.</w:t>
      </w:r>
    </w:p>
    <w:p>
      <w:pPr>
        <w:spacing w:after="0" w:line="208"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Janus Henderson has an indirect 97% ownership stake in Intech Investment Management LLC ("Intech") and a 100% ownership stake in Janus Capital Management LLC ("JCM"), Perkins Investment Management LLC ("Perkins"), Henderson Global Investors Limited ("HGIL") and Janus Henderson Investors Australia Institutional Funds Management Limited ("JHIAIFML"), (each an "Asset Manager" and collectively as the "Asset Managers"). Due to the above ownership structure, holdings for the Asset Managers are aggregated for purposes of this filing. Each Asset Manager is an investment adviser registered or authorized in its relevant jurisdiction and each furnishing investment advice to various fund, individual and/or institutional clients (collectively referred to herein as "Managed Portfolios").</w:t>
      </w:r>
    </w:p>
    <w:p>
      <w:pPr>
        <w:spacing w:after="0" w:line="216" w:lineRule="exact"/>
        <w:rPr>
          <w:sz w:val="20"/>
          <w:szCs w:val="20"/>
          <w:color w:val="auto"/>
        </w:rPr>
      </w:pPr>
    </w:p>
    <w:p>
      <w:pPr>
        <w:ind w:right="2979"/>
        <w:spacing w:after="0" w:line="237" w:lineRule="auto"/>
        <w:rPr>
          <w:sz w:val="20"/>
          <w:szCs w:val="20"/>
          <w:color w:val="auto"/>
        </w:rPr>
      </w:pPr>
      <w:r>
        <w:rPr>
          <w:rFonts w:ascii="Courier New" w:cs="Courier New" w:eastAsia="Courier New" w:hAnsi="Courier New"/>
          <w:sz w:val="18"/>
          <w:szCs w:val="18"/>
          <w:color w:val="auto"/>
        </w:rPr>
        <w:t>As a result of its role as investment adviser or sub-adviser to the Managed Portfolios, HGIL may be deemed to be the beneficial owner of 6,402 shares or 0.0% of the shares outstanding of Crown Common Stock held by such Managed Portfolios. However, HGIL does not have the right to receive any dividends from, or the proceeds from the sale of, the securities held in the Managed Portfolios and disclaims any ownership associated with such rights.</w:t>
      </w:r>
    </w:p>
    <w:p>
      <w:pPr>
        <w:spacing w:after="0" w:line="210" w:lineRule="exact"/>
        <w:rPr>
          <w:sz w:val="20"/>
          <w:szCs w:val="20"/>
          <w:color w:val="auto"/>
        </w:rPr>
      </w:pPr>
    </w:p>
    <w:p>
      <w:pPr>
        <w:ind w:right="2979"/>
        <w:spacing w:after="0" w:line="237" w:lineRule="auto"/>
        <w:rPr>
          <w:sz w:val="20"/>
          <w:szCs w:val="20"/>
          <w:color w:val="auto"/>
        </w:rPr>
      </w:pPr>
      <w:r>
        <w:rPr>
          <w:rFonts w:ascii="Courier New" w:cs="Courier New" w:eastAsia="Courier New" w:hAnsi="Courier New"/>
          <w:sz w:val="18"/>
          <w:szCs w:val="18"/>
          <w:color w:val="auto"/>
        </w:rPr>
        <w:t>As a result of its role as investment adviser or sub-adviser to the Managed Portfolios, Intech may be deemed to be the beneficial owner of 59,867 shares or 0.0% of the shares outstanding of Crown Common Stock held by such Managed Portfolios. However, Intech does not have the right to receive any dividends from, or the proceeds from the sale of, the securities held in the Managed Portfolios and disclaims any ownership associated with such rights.</w:t>
      </w:r>
    </w:p>
    <w:p>
      <w:pPr>
        <w:spacing w:after="0" w:line="210"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As a result of its role as investment adviser or sub-adviser to the Managed Portfolios, JCM may be deemed to be the beneficial owner of 7,257,063 shares or 5.4% of the shares outstanding of Crown Common Stock held by such Managed Portfolios. However, JCM does not have the right to receive any dividends from, or the proceeds from the sale of, the securities held in the Managed Portfolios and disclaims any ownership associated with such rights.</w:t>
      </w:r>
    </w:p>
    <w:p>
      <w:pPr>
        <w:sectPr>
          <w:pgSz w:w="11900" w:h="16838" w:orient="portrait"/>
          <w:cols w:equalWidth="0" w:num="1">
            <w:col w:w="10139"/>
          </w:cols>
          <w:pgMar w:left="320" w:top="136" w:right="1440" w:bottom="0" w:gutter="0" w:footer="0" w:header="0"/>
        </w:sectPr>
      </w:pPr>
    </w:p>
    <w:bookmarkStart w:id="2" w:name="page3"/>
    <w:bookmarkEnd w:id="2"/>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2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2979"/>
        <w:spacing w:after="0" w:line="236" w:lineRule="auto"/>
        <w:rPr>
          <w:sz w:val="20"/>
          <w:szCs w:val="20"/>
          <w:color w:val="auto"/>
        </w:rPr>
      </w:pPr>
      <w:r>
        <w:rPr>
          <w:rFonts w:ascii="Courier New" w:cs="Courier New" w:eastAsia="Courier New" w:hAnsi="Courier New"/>
          <w:sz w:val="18"/>
          <w:szCs w:val="18"/>
          <w:color w:val="auto"/>
        </w:rPr>
        <w:t>The Managed Portfolios, set forth in Item 4 above, have the right to receive all dividends from, and the proceeds from the sale of, the securities held in their respective accounts.</w:t>
      </w:r>
    </w:p>
    <w:p>
      <w:pPr>
        <w:spacing w:after="0" w:line="208" w:lineRule="exact"/>
        <w:rPr>
          <w:sz w:val="20"/>
          <w:szCs w:val="20"/>
          <w:color w:val="auto"/>
        </w:rPr>
      </w:pPr>
    </w:p>
    <w:p>
      <w:pPr>
        <w:ind w:right="3079"/>
        <w:spacing w:after="0" w:line="235" w:lineRule="auto"/>
        <w:rPr>
          <w:sz w:val="20"/>
          <w:szCs w:val="20"/>
          <w:color w:val="auto"/>
        </w:rPr>
      </w:pPr>
      <w:r>
        <w:rPr>
          <w:rFonts w:ascii="Courier New" w:cs="Courier New" w:eastAsia="Courier New" w:hAnsi="Courier New"/>
          <w:sz w:val="18"/>
          <w:szCs w:val="18"/>
          <w:color w:val="auto"/>
        </w:rPr>
        <w:t>The interest of any one such person does not exceed 5% of the class of securities.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These shares were acquired in the ordinary course of business,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with the purpose of changing or influencing control of the Issuer.</w:t>
      </w:r>
    </w:p>
    <w:p>
      <w:pPr>
        <w:spacing w:after="0" w:line="224" w:lineRule="exact"/>
        <w:rPr>
          <w:sz w:val="20"/>
          <w:szCs w:val="20"/>
          <w:color w:val="auto"/>
        </w:rPr>
      </w:pPr>
    </w:p>
    <w:p>
      <w:pPr>
        <w:ind w:right="2859"/>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69" w:lineRule="exact"/>
        <w:rPr>
          <w:sz w:val="20"/>
          <w:szCs w:val="20"/>
          <w:color w:val="auto"/>
        </w:rPr>
      </w:pPr>
    </w:p>
    <w:p>
      <w:pPr>
        <w:ind w:right="2979"/>
        <w:spacing w:after="0" w:line="236" w:lineRule="auto"/>
        <w:rPr>
          <w:sz w:val="20"/>
          <w:szCs w:val="20"/>
          <w:color w:val="auto"/>
        </w:rPr>
      </w:pPr>
      <w:r>
        <w:rPr>
          <w:rFonts w:ascii="Courier New" w:cs="Courier New" w:eastAsia="Courier New" w:hAnsi="Courier New"/>
          <w:sz w:val="18"/>
          <w:szCs w:val="18"/>
          <w:color w:val="auto"/>
        </w:rPr>
        <w:t>Intech, JCM, Perkins, HGIL and JHIAIFML are indirect subsidiaries of Janus Henderson and are registered investment advisers furnishing investment advice to Managed Portfolios.</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9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9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GROUP PLC</w:t>
      </w:r>
    </w:p>
    <w:p>
      <w:pPr>
        <w:spacing w:after="0" w:line="201" w:lineRule="exact"/>
        <w:rPr>
          <w:sz w:val="20"/>
          <w:szCs w:val="20"/>
          <w:color w:val="auto"/>
        </w:rPr>
      </w:pPr>
    </w:p>
    <w:p>
      <w:pPr>
        <w:spacing w:after="0"/>
        <w:tabs>
          <w:tab w:leader="none" w:pos="400" w:val="left"/>
          <w:tab w:leader="none" w:pos="94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Kristin Mariani</w:t>
      </w:r>
    </w:p>
    <w:p>
      <w:pPr>
        <w:spacing w:after="0" w:line="4" w:lineRule="exact"/>
        <w:rPr>
          <w:sz w:val="20"/>
          <w:szCs w:val="20"/>
          <w:color w:val="auto"/>
        </w:rPr>
      </w:pPr>
    </w:p>
    <w:p>
      <w:pPr>
        <w:ind w:right="4439"/>
        <w:spacing w:after="0" w:line="235" w:lineRule="auto"/>
        <w:rPr>
          <w:sz w:val="20"/>
          <w:szCs w:val="20"/>
          <w:color w:val="auto"/>
        </w:rPr>
      </w:pPr>
      <w:r>
        <w:rPr>
          <w:rFonts w:ascii="Courier New" w:cs="Courier New" w:eastAsia="Courier New" w:hAnsi="Courier New"/>
          <w:sz w:val="18"/>
          <w:szCs w:val="18"/>
          <w:color w:val="auto"/>
        </w:rPr>
        <w:t>Kristin Mariani, Head of North America Compliance, CCO Date 2/11/2021</w:t>
      </w:r>
    </w:p>
    <w:sectPr>
      <w:pgSz w:w="11900" w:h="16838" w:orient="portrait"/>
      <w:cols w:equalWidth="0" w:num="1">
        <w:col w:w="10139"/>
      </w:cols>
      <w:pgMar w:left="32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lvl w:ilvl="1">
      <w:lvlJc w:val="left"/>
      <w:lvlText w:val="%2."/>
      <w:numFmt w:val="lowerLetter"/>
      <w:start w:val="1"/>
    </w:lvl>
  </w:abstractNum>
  <w:abstractNum w:abstractNumId="4">
    <w:nsid w:val="2EB141F2"/>
    <w:multiLevelType w:val="hybridMultilevel"/>
    <w:lvl w:ilvl="0">
      <w:lvlJc w:val="left"/>
      <w:lvlText w:val="%1."/>
      <w:numFmt w:val="decimal"/>
      <w:start w:val="3"/>
    </w:lvl>
    <w:lvl w:ilvl="1">
      <w:lvlJc w:val="left"/>
      <w:lvlText w:val="%2"/>
      <w:numFmt w:val="lowerLetter"/>
      <w:start w:val="1"/>
    </w:lvl>
  </w:abstractNum>
  <w:abstractNum w:abstractNumId="5">
    <w:nsid w:val="41B71EFB"/>
    <w:multiLevelType w:val="hybridMultilevel"/>
    <w:lvl w:ilvl="0">
      <w:lvlJc w:val="left"/>
      <w:lvlText w:val="%1."/>
      <w:numFmt w:val="decimal"/>
      <w:start w:val="5"/>
    </w:lvl>
  </w:abstractNum>
  <w:abstractNum w:abstractNumId="6">
    <w:nsid w:val="79E2A9E3"/>
    <w:multiLevelType w:val="hybridMultilevel"/>
    <w:lvl w:ilvl="0">
      <w:lvlJc w:val="left"/>
      <w:lvlText w:val="%1."/>
      <w:numFmt w:val="decimal"/>
      <w:start w:val="1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2021-02-11T15:24:37Z</dcterms:created>
  <dcterms:modified xsi:type="dcterms:W3CDTF">2021-02-11T15:24:37Z</dcterms:modified>
</cp:coreProperties>
</file>