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$5.00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228368106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Jesse A. Lynn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Chief Operating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Icahn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16690 Collins Avenue, PH-1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Sunny Isles Beach, FL 33160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(305) 422-4100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30, 2023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38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7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Partners Master Fund LP</w:t>
      </w: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vMerge w:val="restart"/>
          </w:tcPr>
          <w:p>
            <w:pPr>
              <w:ind w:left="180"/>
              <w:spacing w:after="0"/>
              <w:rPr>
                <w:sz w:val="20"/>
                <w:szCs w:val="20"/>
                <w:color w:val="auto"/>
              </w:rPr>
            </w:pPr>
            <w:r>
              <w:rPr>
                <w:rFonts w:ascii="Arial" w:cs="Arial" w:eastAsia="Arial" w:hAnsi="Arial"/>
                <w:sz w:val="18"/>
                <w:szCs w:val="18"/>
                <w:color w:val="auto"/>
              </w:rPr>
              <w:t>3,387,084 (includes shares of Common Stock underlying forward contracts. See Item 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360" w:type="dxa"/>
            <w:vAlign w:val="bottom"/>
            <w:vMerge w:val="restart"/>
          </w:tcPr>
          <w:p>
            <w:pPr>
              <w:spacing w:after="0"/>
              <w:rPr>
                <w:sz w:val="20"/>
                <w:szCs w:val="20"/>
                <w:color w:val="auto"/>
              </w:rPr>
            </w:pPr>
            <w:r>
              <w:rPr>
                <w:rFonts w:ascii="Arial" w:cs="Arial" w:eastAsia="Arial" w:hAnsi="Arial"/>
                <w:sz w:val="18"/>
                <w:szCs w:val="18"/>
                <w:color w:val="auto"/>
              </w:rPr>
              <w:t>Owned</w:t>
            </w:r>
          </w:p>
        </w:tc>
        <w:tc>
          <w:tcPr>
            <w:tcW w:w="38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60" w:type="dxa"/>
            <w:vAlign w:val="bottom"/>
            <w:vMerge w:val="continue"/>
          </w:tcPr>
          <w:p>
            <w:pPr>
              <w:spacing w:after="0"/>
              <w:rPr>
                <w:sz w:val="4"/>
                <w:szCs w:val="4"/>
                <w:color w:val="auto"/>
              </w:rPr>
            </w:pPr>
          </w:p>
        </w:tc>
        <w:tc>
          <w:tcPr>
            <w:tcW w:w="38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w w:val="81"/>
              </w:rPr>
              <w:t>(8)</w:t>
            </w:r>
          </w:p>
        </w:tc>
        <w:tc>
          <w:tcPr>
            <w:tcW w:w="950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8"/>
                <w:szCs w:val="18"/>
                <w:color w:val="auto"/>
              </w:rPr>
              <w:t>by Each</w:t>
            </w:r>
          </w:p>
        </w:tc>
        <w:tc>
          <w:tcPr>
            <w:tcW w:w="38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00" w:type="dxa"/>
            <w:vAlign w:val="bottom"/>
            <w:vMerge w:val="restart"/>
          </w:tcPr>
          <w:p>
            <w:pPr>
              <w:ind w:left="240"/>
              <w:spacing w:after="0"/>
              <w:rPr>
                <w:sz w:val="20"/>
                <w:szCs w:val="20"/>
                <w:color w:val="auto"/>
              </w:rPr>
            </w:pPr>
            <w:r>
              <w:rPr>
                <w:rFonts w:ascii="Arial" w:cs="Arial" w:eastAsia="Arial" w:hAnsi="Arial"/>
                <w:sz w:val="18"/>
                <w:szCs w:val="18"/>
                <w:color w:val="auto"/>
              </w:rPr>
              <w:t>3,387,084 (includes shares of Common Stock underlying forward contracts. See Item 5)</w:t>
            </w:r>
          </w:p>
        </w:tc>
        <w:tc>
          <w:tcPr>
            <w:tcW w:w="0" w:type="dxa"/>
            <w:vAlign w:val="bottom"/>
          </w:tcPr>
          <w:p>
            <w:pPr>
              <w:spacing w:after="0"/>
              <w:rPr>
                <w:sz w:val="1"/>
                <w:szCs w:val="1"/>
                <w:color w:val="auto"/>
              </w:rPr>
            </w:pPr>
          </w:p>
        </w:tc>
      </w:tr>
      <w:tr>
        <w:trPr>
          <w:trHeight w:val="170"/>
        </w:trPr>
        <w:tc>
          <w:tcPr>
            <w:tcW w:w="1360" w:type="dxa"/>
            <w:vAlign w:val="bottom"/>
          </w:tcPr>
          <w:p>
            <w:pPr>
              <w:spacing w:after="0" w:line="170" w:lineRule="exact"/>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14"/>
                <w:szCs w:val="14"/>
                <w:color w:val="auto"/>
              </w:rPr>
            </w:pPr>
          </w:p>
        </w:tc>
        <w:tc>
          <w:tcPr>
            <w:tcW w:w="9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3,387,084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6275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6" w:lineRule="exact"/>
        <w:rPr>
          <w:sz w:val="20"/>
          <w:szCs w:val="20"/>
          <w:color w:val="auto"/>
        </w:rPr>
      </w:pPr>
    </w:p>
    <w:p>
      <w:pPr>
        <w:ind w:left="1920" w:hanging="562"/>
        <w:spacing w:after="0"/>
        <w:tabs>
          <w:tab w:leader="none" w:pos="1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3,387,084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1360" w:right="3320" w:hanging="1352"/>
        <w:spacing w:after="0" w:line="291" w:lineRule="auto"/>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3,387,084 (includes shares of Common Stock underlying forward contracts. See Item 5)</w:t>
      </w:r>
    </w:p>
    <w:p>
      <w:pPr>
        <w:ind w:left="1360" w:hanging="1352"/>
        <w:spacing w:after="0" w:line="207" w:lineRule="exact"/>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2.8%</w:t>
      </w:r>
    </w:p>
    <w:p>
      <w:pPr>
        <w:ind w:left="1360" w:right="7380" w:hanging="1352"/>
        <w:spacing w:after="0" w:line="277"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Offshore LP</w:t>
      </w: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3,387,084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3,387,084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3,387,084 (includes shares of Common Stock underlying forward contracts. See Item 5)</w:t>
      </w:r>
    </w:p>
    <w:p>
      <w:pPr>
        <w:ind w:left="1360" w:hanging="1352"/>
        <w:spacing w:after="0" w:line="207" w:lineRule="exact"/>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2.8%</w:t>
      </w:r>
    </w:p>
    <w:p>
      <w:pPr>
        <w:ind w:left="1360" w:right="7380" w:hanging="1352"/>
        <w:spacing w:after="0" w:line="277"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Partners LP</w:t>
      </w: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vMerge w:val="restart"/>
          </w:tcPr>
          <w:p>
            <w:pPr>
              <w:ind w:left="180"/>
              <w:spacing w:after="0"/>
              <w:rPr>
                <w:sz w:val="20"/>
                <w:szCs w:val="20"/>
                <w:color w:val="auto"/>
              </w:rPr>
            </w:pPr>
            <w:r>
              <w:rPr>
                <w:rFonts w:ascii="Arial" w:cs="Arial" w:eastAsia="Arial" w:hAnsi="Arial"/>
                <w:sz w:val="18"/>
                <w:szCs w:val="18"/>
                <w:color w:val="auto"/>
              </w:rPr>
              <w:t>4,730,527 (includes shares of Common Stock underlying forward contracts. See Item 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360" w:type="dxa"/>
            <w:vAlign w:val="bottom"/>
            <w:vMerge w:val="restart"/>
          </w:tcPr>
          <w:p>
            <w:pPr>
              <w:spacing w:after="0"/>
              <w:rPr>
                <w:sz w:val="20"/>
                <w:szCs w:val="20"/>
                <w:color w:val="auto"/>
              </w:rPr>
            </w:pPr>
            <w:r>
              <w:rPr>
                <w:rFonts w:ascii="Arial" w:cs="Arial" w:eastAsia="Arial" w:hAnsi="Arial"/>
                <w:sz w:val="18"/>
                <w:szCs w:val="18"/>
                <w:color w:val="auto"/>
              </w:rPr>
              <w:t>Owned</w:t>
            </w:r>
          </w:p>
        </w:tc>
        <w:tc>
          <w:tcPr>
            <w:tcW w:w="38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60" w:type="dxa"/>
            <w:vAlign w:val="bottom"/>
            <w:vMerge w:val="continue"/>
          </w:tcPr>
          <w:p>
            <w:pPr>
              <w:spacing w:after="0"/>
              <w:rPr>
                <w:sz w:val="4"/>
                <w:szCs w:val="4"/>
                <w:color w:val="auto"/>
              </w:rPr>
            </w:pPr>
          </w:p>
        </w:tc>
        <w:tc>
          <w:tcPr>
            <w:tcW w:w="380" w:type="dxa"/>
            <w:vAlign w:val="bottom"/>
            <w:vMerge w:val="restart"/>
          </w:tcPr>
          <w:p>
            <w:pPr>
              <w:jc w:val="right"/>
              <w:ind w:right="90"/>
              <w:spacing w:after="0" w:line="201" w:lineRule="exact"/>
              <w:rPr>
                <w:sz w:val="20"/>
                <w:szCs w:val="20"/>
                <w:color w:val="auto"/>
              </w:rPr>
            </w:pPr>
            <w:r>
              <w:rPr>
                <w:rFonts w:ascii="Arial" w:cs="Arial" w:eastAsia="Arial" w:hAnsi="Arial"/>
                <w:sz w:val="18"/>
                <w:szCs w:val="18"/>
                <w:color w:val="auto"/>
                <w:w w:val="81"/>
              </w:rPr>
              <w:t>(8)</w:t>
            </w:r>
          </w:p>
        </w:tc>
        <w:tc>
          <w:tcPr>
            <w:tcW w:w="950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8"/>
                <w:szCs w:val="18"/>
                <w:color w:val="auto"/>
              </w:rPr>
              <w:t>by Each</w:t>
            </w:r>
          </w:p>
        </w:tc>
        <w:tc>
          <w:tcPr>
            <w:tcW w:w="38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00" w:type="dxa"/>
            <w:vAlign w:val="bottom"/>
            <w:vMerge w:val="restart"/>
          </w:tcPr>
          <w:p>
            <w:pPr>
              <w:ind w:left="180"/>
              <w:spacing w:after="0"/>
              <w:rPr>
                <w:sz w:val="20"/>
                <w:szCs w:val="20"/>
                <w:color w:val="auto"/>
              </w:rPr>
            </w:pPr>
            <w:r>
              <w:rPr>
                <w:rFonts w:ascii="Arial" w:cs="Arial" w:eastAsia="Arial" w:hAnsi="Arial"/>
                <w:sz w:val="18"/>
                <w:szCs w:val="18"/>
                <w:color w:val="auto"/>
              </w:rPr>
              <w:t>4,730,527 (includes shares of Common Stock underlying forward contracts. See Item 5)</w:t>
            </w:r>
          </w:p>
        </w:tc>
        <w:tc>
          <w:tcPr>
            <w:tcW w:w="0" w:type="dxa"/>
            <w:vAlign w:val="bottom"/>
          </w:tcPr>
          <w:p>
            <w:pPr>
              <w:spacing w:after="0"/>
              <w:rPr>
                <w:sz w:val="1"/>
                <w:szCs w:val="1"/>
                <w:color w:val="auto"/>
              </w:rPr>
            </w:pPr>
          </w:p>
        </w:tc>
      </w:tr>
      <w:tr>
        <w:trPr>
          <w:trHeight w:val="170"/>
        </w:trPr>
        <w:tc>
          <w:tcPr>
            <w:tcW w:w="1360" w:type="dxa"/>
            <w:vAlign w:val="bottom"/>
          </w:tcPr>
          <w:p>
            <w:pPr>
              <w:spacing w:after="0" w:line="170" w:lineRule="exact"/>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14"/>
                <w:szCs w:val="14"/>
                <w:color w:val="auto"/>
              </w:rPr>
            </w:pPr>
          </w:p>
        </w:tc>
        <w:tc>
          <w:tcPr>
            <w:tcW w:w="9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4,730,527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wp:posOffset>
            </wp:positionV>
            <wp:extent cx="6275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6" w:lineRule="exact"/>
        <w:rPr>
          <w:sz w:val="20"/>
          <w:szCs w:val="20"/>
          <w:color w:val="auto"/>
        </w:rPr>
      </w:pPr>
    </w:p>
    <w:p>
      <w:pPr>
        <w:ind w:left="1920" w:hanging="562"/>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4,730,527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4,730,527 (includes shares of Common Stock underlying forward contracts. See Item 5)</w:t>
      </w:r>
    </w:p>
    <w:p>
      <w:pPr>
        <w:ind w:left="1360" w:hanging="1352"/>
        <w:spacing w:after="0" w:line="207" w:lineRule="exact"/>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w:t>
      </w:r>
    </w:p>
    <w:p>
      <w:pPr>
        <w:ind w:left="1360" w:right="7380" w:hanging="1352"/>
        <w:spacing w:after="0" w:line="277"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Onshore LP</w:t>
      </w: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4,730,527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4,730,527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4,730,527 (includes shares of Common Stock underlying forward contracts. See Item 5)</w:t>
      </w:r>
    </w:p>
    <w:p>
      <w:pPr>
        <w:ind w:left="1360" w:hanging="1352"/>
        <w:spacing w:after="0" w:line="207" w:lineRule="exact"/>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w:t>
      </w:r>
    </w:p>
    <w:p>
      <w:pPr>
        <w:ind w:left="1360" w:right="7380" w:hanging="1352"/>
        <w:spacing w:after="0" w:line="277"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Capital LP</w:t>
      </w: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8,117,711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8,117,711 (includes shares of Common Stock underlying forward contracts. See Item 5)</w:t>
      </w:r>
    </w:p>
    <w:p>
      <w:pPr>
        <w:ind w:left="1360" w:hanging="1352"/>
        <w:spacing w:after="0" w:line="207" w:lineRule="exact"/>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w:t>
      </w:r>
    </w:p>
    <w:p>
      <w:pPr>
        <w:ind w:left="1360" w:right="7380" w:hanging="1352"/>
        <w:spacing w:after="0" w:line="277"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IPH GP LLC</w:t>
      </w:r>
    </w:p>
    <w:p>
      <w:pPr>
        <w:spacing w:after="0" w:line="36" w:lineRule="exact"/>
        <w:rPr>
          <w:rFonts w:ascii="Arial" w:cs="Arial" w:eastAsia="Arial" w:hAnsi="Arial"/>
          <w:sz w:val="18"/>
          <w:szCs w:val="18"/>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8,117,711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8,117,711 (includes shares of Common Stock underlying forward contracts. See Item 5)</w:t>
      </w:r>
    </w:p>
    <w:p>
      <w:pPr>
        <w:ind w:left="1360" w:hanging="1352"/>
        <w:spacing w:after="0" w:line="207" w:lineRule="exact"/>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w:t>
      </w:r>
    </w:p>
    <w:p>
      <w:pPr>
        <w:ind w:left="1360" w:right="7380" w:hanging="1352"/>
        <w:spacing w:after="0" w:line="277"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Enterprises Holdings L.P.</w:t>
      </w: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8,117,711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8,117,711 (includes shares of Common Stock underlying forward contracts. See Item 5)</w:t>
      </w:r>
    </w:p>
    <w:p>
      <w:pPr>
        <w:ind w:left="1360" w:hanging="1352"/>
        <w:spacing w:after="0" w:line="207" w:lineRule="exact"/>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w:t>
      </w:r>
    </w:p>
    <w:p>
      <w:pPr>
        <w:ind w:left="1360" w:right="7380" w:hanging="1352"/>
        <w:spacing w:after="0" w:line="27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Icahn Enterprises G.P. Inc.</w:t>
      </w: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8,117,711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8,117,711 (includes shares of Common Stock underlying forward contracts. See Item 5)</w:t>
      </w:r>
    </w:p>
    <w:p>
      <w:pPr>
        <w:ind w:left="1360" w:hanging="1352"/>
        <w:spacing w:after="0" w:line="207" w:lineRule="exact"/>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w:t>
      </w:r>
    </w:p>
    <w:p>
      <w:pPr>
        <w:ind w:left="1360" w:right="7380" w:hanging="1352"/>
        <w:spacing w:after="0" w:line="277" w:lineRule="auto"/>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Beckton Corp.</w:t>
      </w: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8,117,711 (includes shares of Common Stock underlying forward contracts. See Item 5)</w:t>
      </w:r>
    </w:p>
    <w:p>
      <w:pPr>
        <w:spacing w:after="0" w:line="21" w:lineRule="exact"/>
        <w:rPr>
          <w:rFonts w:ascii="Arial" w:cs="Arial" w:eastAsia="Arial" w:hAnsi="Arial"/>
          <w:sz w:val="18"/>
          <w:szCs w:val="18"/>
          <w:color w:val="auto"/>
        </w:rPr>
      </w:pPr>
    </w:p>
    <w:p>
      <w:pPr>
        <w:ind w:left="1360" w:right="3320" w:hanging="1352"/>
        <w:spacing w:after="0" w:line="291" w:lineRule="auto"/>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8,117,711 (includes shares of Common Stock underlying forward contracts. See Item 5)</w:t>
      </w:r>
    </w:p>
    <w:p>
      <w:pPr>
        <w:ind w:left="1360" w:hanging="1352"/>
        <w:spacing w:after="0" w:line="207" w:lineRule="exact"/>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w:t>
      </w:r>
    </w:p>
    <w:p>
      <w:pPr>
        <w:ind w:left="1360" w:right="7380" w:hanging="1352"/>
        <w:spacing w:after="0" w:line="277" w:lineRule="auto"/>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Matsumura Fishworks LLC</w:t>
      </w: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1"/>
              </w:rPr>
              <w:t>(7)</w:t>
            </w:r>
          </w:p>
        </w:tc>
        <w:tc>
          <w:tcPr>
            <w:tcW w:w="9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380" w:type="dxa"/>
            <w:vAlign w:val="bottom"/>
          </w:tcPr>
          <w:p>
            <w:pPr>
              <w:jc w:val="right"/>
              <w:ind w:right="90"/>
              <w:spacing w:after="0" w:line="175" w:lineRule="exact"/>
              <w:rPr>
                <w:sz w:val="20"/>
                <w:szCs w:val="20"/>
                <w:color w:val="auto"/>
              </w:rPr>
            </w:pPr>
            <w:r>
              <w:rPr>
                <w:rFonts w:ascii="Arial" w:cs="Arial" w:eastAsia="Arial" w:hAnsi="Arial"/>
                <w:sz w:val="18"/>
                <w:szCs w:val="18"/>
                <w:color w:val="auto"/>
                <w:w w:val="81"/>
              </w:rPr>
              <w:t>(8)</w:t>
            </w:r>
          </w:p>
        </w:tc>
        <w:tc>
          <w:tcPr>
            <w:tcW w:w="9500" w:type="dxa"/>
            <w:vAlign w:val="bottom"/>
          </w:tcPr>
          <w:p>
            <w:pPr>
              <w:ind w:left="18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Arial" w:cs="Arial" w:eastAsia="Arial" w:hAnsi="Arial"/>
                <w:sz w:val="18"/>
                <w:szCs w:val="18"/>
                <w:color w:val="auto"/>
                <w:w w:val="81"/>
              </w:rPr>
              <w:t>(9)</w:t>
            </w:r>
          </w:p>
        </w:tc>
        <w:tc>
          <w:tcPr>
            <w:tcW w:w="9500" w:type="dxa"/>
            <w:vAlign w:val="bottom"/>
          </w:tcPr>
          <w:p>
            <w:pPr>
              <w:ind w:left="18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500" w:type="dxa"/>
            <w:vAlign w:val="bottom"/>
          </w:tcPr>
          <w:p>
            <w:pPr>
              <w:ind w:lef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right="6780" w:hanging="562"/>
        <w:spacing w:after="0" w:line="266"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 100</w:t>
      </w:r>
    </w:p>
    <w:p>
      <w:pPr>
        <w:ind w:left="1400" w:right="3320" w:hanging="1392"/>
        <w:spacing w:after="0" w:line="258" w:lineRule="auto"/>
        <w:tabs>
          <w:tab w:leader="none" w:pos="13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w:t>
      </w:r>
    </w:p>
    <w:p>
      <w:pPr>
        <w:spacing w:after="0" w:line="1" w:lineRule="exact"/>
        <w:rPr>
          <w:rFonts w:ascii="Arial" w:cs="Arial" w:eastAsia="Arial" w:hAnsi="Arial"/>
          <w:sz w:val="18"/>
          <w:szCs w:val="18"/>
          <w:color w:val="auto"/>
        </w:rPr>
      </w:pPr>
    </w:p>
    <w:p>
      <w:pPr>
        <w:ind w:left="1360" w:hanging="1352"/>
        <w:spacing w:after="0" w:line="207" w:lineRule="exact"/>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Less than 1%</w:t>
      </w:r>
    </w:p>
    <w:p>
      <w:pPr>
        <w:ind w:left="1360" w:right="7380" w:hanging="1352"/>
        <w:spacing w:after="0" w:line="277"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-1459230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60" w:right="472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Carl C. Icahn</w:t>
      </w: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1600" w:hanging="242"/>
        <w:spacing w:after="0" w:line="207" w:lineRule="exact"/>
        <w:tabs>
          <w:tab w:leader="none" w:pos="160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620" w:hanging="262"/>
        <w:spacing w:after="0" w:line="207" w:lineRule="exact"/>
        <w:tabs>
          <w:tab w:leader="none" w:pos="16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6" w:lineRule="exact"/>
        <w:rPr>
          <w:rFonts w:ascii="Arial" w:cs="Arial" w:eastAsia="Arial" w:hAnsi="Arial"/>
          <w:sz w:val="18"/>
          <w:szCs w:val="18"/>
          <w:color w:val="auto"/>
        </w:rPr>
      </w:pPr>
    </w:p>
    <w:p>
      <w:pPr>
        <w:ind w:left="1360" w:right="8260" w:hanging="1352"/>
        <w:spacing w:after="0" w:line="431" w:lineRule="auto"/>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SOURCE OF FUNDS Not applicable</w:t>
      </w:r>
    </w:p>
    <w:p>
      <w:pPr>
        <w:spacing w:after="0" w:line="1" w:lineRule="exact"/>
        <w:rPr>
          <w:rFonts w:ascii="Arial" w:cs="Arial" w:eastAsia="Arial" w:hAnsi="Arial"/>
          <w:sz w:val="16"/>
          <w:szCs w:val="16"/>
          <w:color w:val="auto"/>
        </w:rPr>
      </w:pPr>
    </w:p>
    <w:p>
      <w:pPr>
        <w:ind w:left="1360" w:hanging="1352"/>
        <w:spacing w:after="0" w:line="207" w:lineRule="exact"/>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hanging="1352"/>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-1716405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w:t>
            </w:r>
          </w:p>
        </w:tc>
        <w:tc>
          <w:tcPr>
            <w:tcW w:w="9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4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Beneficially</w:t>
            </w:r>
          </w:p>
        </w:tc>
        <w:tc>
          <w:tcPr>
            <w:tcW w:w="4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1360" w:type="dxa"/>
            <w:vAlign w:val="bottom"/>
          </w:tcPr>
          <w:p>
            <w:pPr>
              <w:spacing w:after="0" w:line="175" w:lineRule="exact"/>
              <w:rPr>
                <w:sz w:val="20"/>
                <w:szCs w:val="20"/>
                <w:color w:val="auto"/>
              </w:rPr>
            </w:pPr>
            <w:r>
              <w:rPr>
                <w:rFonts w:ascii="Arial" w:cs="Arial" w:eastAsia="Arial" w:hAnsi="Arial"/>
                <w:sz w:val="18"/>
                <w:szCs w:val="18"/>
                <w:color w:val="auto"/>
              </w:rPr>
              <w:t>Owned</w:t>
            </w:r>
          </w:p>
        </w:tc>
        <w:tc>
          <w:tcPr>
            <w:tcW w:w="440" w:type="dxa"/>
            <w:vAlign w:val="bottom"/>
          </w:tcPr>
          <w:p>
            <w:pPr>
              <w:spacing w:after="0" w:line="175" w:lineRule="exact"/>
              <w:rPr>
                <w:sz w:val="20"/>
                <w:szCs w:val="20"/>
                <w:color w:val="auto"/>
              </w:rPr>
            </w:pPr>
            <w:r>
              <w:rPr>
                <w:rFonts w:ascii="Arial" w:cs="Arial" w:eastAsia="Arial" w:hAnsi="Arial"/>
                <w:sz w:val="18"/>
                <w:szCs w:val="18"/>
                <w:color w:val="auto"/>
              </w:rPr>
              <w:t>(8)</w:t>
            </w:r>
          </w:p>
        </w:tc>
        <w:tc>
          <w:tcPr>
            <w:tcW w:w="9440" w:type="dxa"/>
            <w:vAlign w:val="bottom"/>
          </w:tcPr>
          <w:p>
            <w:pPr>
              <w:ind w:left="120"/>
              <w:spacing w:after="0" w:line="17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by Each</w:t>
            </w:r>
          </w:p>
        </w:tc>
        <w:tc>
          <w:tcPr>
            <w:tcW w:w="44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r>
        <w:trPr>
          <w:trHeight w:val="48"/>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4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440" w:type="dxa"/>
            <w:vAlign w:val="bottom"/>
          </w:tcPr>
          <w:p>
            <w:pPr>
              <w:spacing w:after="0" w:line="162" w:lineRule="exact"/>
              <w:rPr>
                <w:sz w:val="20"/>
                <w:szCs w:val="20"/>
                <w:color w:val="auto"/>
              </w:rPr>
            </w:pPr>
            <w:r>
              <w:rPr>
                <w:rFonts w:ascii="Arial" w:cs="Arial" w:eastAsia="Arial" w:hAnsi="Arial"/>
                <w:sz w:val="18"/>
                <w:szCs w:val="18"/>
                <w:color w:val="auto"/>
              </w:rPr>
              <w:t>(9)</w:t>
            </w:r>
          </w:p>
        </w:tc>
        <w:tc>
          <w:tcPr>
            <w:tcW w:w="9440" w:type="dxa"/>
            <w:vAlign w:val="bottom"/>
          </w:tcPr>
          <w:p>
            <w:pPr>
              <w:ind w:left="120"/>
              <w:spacing w:after="0" w:line="16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4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4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944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8,117,711 (includes shares of Common Stock underlying forward contracts.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3320" w:hanging="1352"/>
        <w:spacing w:after="0" w:line="291" w:lineRule="auto"/>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8,117,711 (includes shares of Common Stock underlying forward contracts. See Item 5)</w:t>
      </w:r>
    </w:p>
    <w:p>
      <w:pPr>
        <w:ind w:left="1360" w:hanging="1352"/>
        <w:spacing w:after="0" w:line="207" w:lineRule="exact"/>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4" w:lineRule="exact"/>
        <w:rPr>
          <w:rFonts w:ascii="Arial" w:cs="Arial" w:eastAsia="Arial" w:hAnsi="Arial"/>
          <w:sz w:val="18"/>
          <w:szCs w:val="18"/>
          <w:color w:val="auto"/>
        </w:rPr>
      </w:pPr>
    </w:p>
    <w:p>
      <w:pPr>
        <w:ind w:left="1360" w:right="4740" w:hanging="1352"/>
        <w:spacing w:after="0" w:line="516" w:lineRule="auto"/>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w:t>
      </w:r>
    </w:p>
    <w:p>
      <w:pPr>
        <w:ind w:left="1360" w:right="7380" w:hanging="1352"/>
        <w:spacing w:after="0" w:line="277" w:lineRule="auto"/>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-1167765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1120140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Security and Issuer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statement constitutes Amendment No. 2 to the Schedule 13D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relating to shares of the common stock, par value $5.00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Crown Holdings, Inc., a Pennsylvania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hereby amends the Schedule 13D initially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3, 2022. All capitalized terms contained herein but not otherwise defined shall have the meanings ascribed to such terms in the Schedule 13D.</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5</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5(a), (b) and (c) of the Schedule 13D is hereby amended by replacing it in its entirety with the following:</w:t>
      </w:r>
    </w:p>
    <w:p>
      <w:pPr>
        <w:spacing w:after="0" w:line="225" w:lineRule="exact"/>
        <w:rPr>
          <w:sz w:val="20"/>
          <w:szCs w:val="20"/>
          <w:color w:val="auto"/>
        </w:rPr>
      </w:pPr>
    </w:p>
    <w:p>
      <w:pPr>
        <w:jc w:val="both"/>
        <w:ind w:firstLine="656"/>
        <w:spacing w:after="0" w:line="259" w:lineRule="auto"/>
        <w:tabs>
          <w:tab w:leader="none" w:pos="9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November 1, 2023, the Reporting Persons may be deemed to beneficially own, in the aggregate, 8,117,711 shares of Common Stock (including 7,077,611 shares of Common Stock underlying Forwards), representing approximately 6.7% of the Issuer’s outstanding shares of Common Stock, based on 120,646,389 shares of Common Stock outstanding as of October 27, 2023, as disclosed by the Issuer in its Form 10-Q for the quarterly period ended September 30, 2023.</w:t>
      </w:r>
    </w:p>
    <w:p>
      <w:pPr>
        <w:spacing w:after="0" w:line="186" w:lineRule="exact"/>
        <w:rPr>
          <w:rFonts w:ascii="Arial" w:cs="Arial" w:eastAsia="Arial" w:hAnsi="Arial"/>
          <w:sz w:val="18"/>
          <w:szCs w:val="18"/>
          <w:color w:val="auto"/>
        </w:rPr>
      </w:pPr>
    </w:p>
    <w:p>
      <w:pPr>
        <w:jc w:val="both"/>
        <w:ind w:firstLine="656"/>
        <w:spacing w:after="0" w:line="270" w:lineRule="auto"/>
        <w:tabs>
          <w:tab w:leader="none" w:pos="92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Icahn Master has sole voting and sole dispositive power with regard to 3,387,084 shares of Common Stock (including 2,954,250 shares of Common Stock underlying Forwards). Each of Icahn Offshore, Icahn Capital, IPH GP, Icahn Enterprises Holdings, Icahn Enterprises GP, Beckton and Mr. Icahn, by virtue of their relationships to Icahn Master, has shared voting power and shared dispositive power with regard to such shares of Common Stock. Icahn Partners has sole voting and sole dispositive power with regard to 4,730,527 shares of Common Stock (including 4,123,361 shares of Common Stock underlying Forwards). Each of Icahn Onshore, Icahn Capital, IPH GP, Icahn Enterprises Holdings, Icahn Enterprises GP, Beckton and Mr. Icahn, by virtue of their relationships to Icahn Partners, has shared voting power and shared dispositive power with regard to such shares of Common Stock. Matsumura has sole voting power and sole dispositive power and shared and shared dispositive power with respect to 100 shares of Common Stock. Each of Icahn Onshore, Icahn Capital, IPH GP, Icahn Enterprises Holdings, Icahn Enterprises GP, Beckton and Mr. Icahn, by virtue of their relationships to Matsumura, has shared voting power and shared dispositive power with regard to such shares of Common Stock</w:t>
      </w:r>
    </w:p>
    <w:p>
      <w:pPr>
        <w:spacing w:after="0" w:line="180" w:lineRule="exact"/>
        <w:rPr>
          <w:rFonts w:ascii="Arial" w:cs="Arial" w:eastAsia="Arial" w:hAnsi="Arial"/>
          <w:sz w:val="17"/>
          <w:szCs w:val="17"/>
          <w:color w:val="auto"/>
        </w:rPr>
      </w:pPr>
    </w:p>
    <w:p>
      <w:pPr>
        <w:ind w:firstLine="656"/>
        <w:spacing w:after="0" w:line="277" w:lineRule="auto"/>
        <w:tabs>
          <w:tab w:leader="none" w:pos="8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table sets forth all transactions with respect to the shares of Common Stock effected during the past sixty (60) days by any of the Reporting Persons. Except as otherwise noted below, all such transactions were sales of Forwards effected in the open market.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0" w:type="dxa"/>
            <w:vAlign w:val="bottom"/>
            <w:tcBorders>
              <w:top w:val="single" w:sz="8" w:color="auto"/>
              <w:left w:val="single" w:sz="8" w:color="auto"/>
            </w:tcBorders>
          </w:tcPr>
          <w:p>
            <w:pPr>
              <w:spacing w:after="0"/>
              <w:rPr>
                <w:sz w:val="16"/>
                <w:szCs w:val="16"/>
                <w:color w:val="auto"/>
              </w:rPr>
            </w:pPr>
          </w:p>
        </w:tc>
        <w:tc>
          <w:tcPr>
            <w:tcW w:w="19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8"/>
                <w:szCs w:val="18"/>
                <w:color w:val="auto"/>
                <w:w w:val="89"/>
              </w:rPr>
              <w:t>Name of Reporting Person</w:t>
            </w:r>
          </w:p>
        </w:tc>
        <w:tc>
          <w:tcPr>
            <w:tcW w:w="960" w:type="dxa"/>
            <w:vAlign w:val="bottom"/>
            <w:tcBorders>
              <w:top w:val="single" w:sz="8" w:color="auto"/>
              <w:bottom w:val="single" w:sz="8" w:color="auto"/>
              <w:right w:val="single" w:sz="8" w:color="auto"/>
            </w:tcBorders>
            <w:vMerge w:val="restart"/>
          </w:tcPr>
          <w:p>
            <w:pPr>
              <w:spacing w:after="0"/>
              <w:rPr>
                <w:sz w:val="16"/>
                <w:szCs w:val="16"/>
                <w:color w:val="auto"/>
              </w:rPr>
            </w:pPr>
          </w:p>
        </w:tc>
        <w:tc>
          <w:tcPr>
            <w:tcW w:w="400" w:type="dxa"/>
            <w:vAlign w:val="bottom"/>
            <w:tcBorders>
              <w:top w:val="single" w:sz="8" w:color="auto"/>
              <w:bottom w:val="single" w:sz="8" w:color="auto"/>
            </w:tcBorders>
            <w:vMerge w:val="restart"/>
          </w:tcPr>
          <w:p>
            <w:pPr>
              <w:spacing w:after="0"/>
              <w:rPr>
                <w:sz w:val="16"/>
                <w:szCs w:val="16"/>
                <w:color w:val="auto"/>
              </w:rPr>
            </w:pPr>
          </w:p>
        </w:tc>
        <w:tc>
          <w:tcPr>
            <w:tcW w:w="14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8"/>
                <w:szCs w:val="18"/>
                <w:color w:val="auto"/>
                <w:w w:val="89"/>
              </w:rPr>
              <w:t>Date of Transaction</w:t>
            </w:r>
          </w:p>
        </w:tc>
        <w:tc>
          <w:tcPr>
            <w:tcW w:w="200" w:type="dxa"/>
            <w:vAlign w:val="bottom"/>
            <w:tcBorders>
              <w:top w:val="single" w:sz="8" w:color="auto"/>
              <w:bottom w:val="single" w:sz="8" w:color="auto"/>
              <w:right w:val="single" w:sz="8" w:color="auto"/>
            </w:tcBorders>
            <w:vMerge w:val="restart"/>
          </w:tcPr>
          <w:p>
            <w:pPr>
              <w:spacing w:after="0"/>
              <w:rPr>
                <w:sz w:val="16"/>
                <w:szCs w:val="16"/>
                <w:color w:val="auto"/>
              </w:rPr>
            </w:pPr>
          </w:p>
        </w:tc>
        <w:tc>
          <w:tcPr>
            <w:tcW w:w="2800" w:type="dxa"/>
            <w:vAlign w:val="bottom"/>
            <w:tcBorders>
              <w:top w:val="single" w:sz="8" w:color="auto"/>
              <w:bottom w:val="single" w:sz="8" w:color="auto"/>
              <w:right w:val="single" w:sz="8" w:color="auto"/>
            </w:tcBorders>
            <w:gridSpan w:val="3"/>
            <w:vMerge w:val="restart"/>
          </w:tcPr>
          <w:p>
            <w:pPr>
              <w:ind w:left="460"/>
              <w:spacing w:after="0" w:line="230" w:lineRule="exact"/>
              <w:rPr>
                <w:sz w:val="20"/>
                <w:szCs w:val="20"/>
                <w:color w:val="auto"/>
              </w:rPr>
            </w:pPr>
            <w:r>
              <w:rPr>
                <w:rFonts w:ascii="Arial" w:cs="Arial" w:eastAsia="Arial" w:hAnsi="Arial"/>
                <w:sz w:val="16"/>
                <w:szCs w:val="16"/>
                <w:color w:val="auto"/>
              </w:rPr>
              <w:t xml:space="preserve">Amount of Securities </w:t>
            </w:r>
            <w:r>
              <w:rPr>
                <w:rFonts w:ascii="Arial" w:cs="Arial" w:eastAsia="Arial" w:hAnsi="Arial"/>
                <w:sz w:val="26"/>
                <w:szCs w:val="26"/>
                <w:color w:val="auto"/>
                <w:vertAlign w:val="superscript"/>
              </w:rPr>
              <w:t>(1)</w:t>
            </w:r>
          </w:p>
        </w:tc>
        <w:tc>
          <w:tcPr>
            <w:tcW w:w="2340" w:type="dxa"/>
            <w:vAlign w:val="bottom"/>
            <w:tcBorders>
              <w:top w:val="single" w:sz="8" w:color="auto"/>
              <w:bottom w:val="single" w:sz="8" w:color="auto"/>
              <w:right w:val="single" w:sz="8" w:color="auto"/>
            </w:tcBorders>
            <w:gridSpan w:val="3"/>
            <w:vMerge w:val="restart"/>
          </w:tcPr>
          <w:p>
            <w:pPr>
              <w:ind w:left="500"/>
              <w:spacing w:after="0" w:line="230" w:lineRule="exact"/>
              <w:rPr>
                <w:sz w:val="20"/>
                <w:szCs w:val="20"/>
                <w:color w:val="auto"/>
              </w:rPr>
            </w:pPr>
            <w:r>
              <w:rPr>
                <w:rFonts w:ascii="Arial" w:cs="Arial" w:eastAsia="Arial" w:hAnsi="Arial"/>
                <w:sz w:val="16"/>
                <w:szCs w:val="16"/>
                <w:color w:val="auto"/>
              </w:rPr>
              <w:t xml:space="preserve">Price Per Share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1"/>
        </w:trPr>
        <w:tc>
          <w:tcPr>
            <w:tcW w:w="1200" w:type="dxa"/>
            <w:vAlign w:val="bottom"/>
            <w:tcBorders>
              <w:left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Borders>
              <w:right w:val="single" w:sz="8" w:color="auto"/>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right w:val="single" w:sz="8" w:color="auto"/>
            </w:tcBorders>
            <w:vMerge w:val="continue"/>
          </w:tcPr>
          <w:p>
            <w:pPr>
              <w:spacing w:after="0" w:line="20" w:lineRule="exact"/>
              <w:rPr>
                <w:sz w:val="1"/>
                <w:szCs w:val="1"/>
                <w:color w:val="auto"/>
              </w:rPr>
            </w:pPr>
          </w:p>
        </w:tc>
        <w:tc>
          <w:tcPr>
            <w:tcW w:w="2800" w:type="dxa"/>
            <w:vAlign w:val="bottom"/>
            <w:tcBorders>
              <w:right w:val="single" w:sz="8" w:color="auto"/>
            </w:tcBorders>
            <w:gridSpan w:val="3"/>
            <w:vMerge w:val="continue"/>
          </w:tcPr>
          <w:p>
            <w:pPr>
              <w:spacing w:after="0" w:line="20" w:lineRule="exact"/>
              <w:rPr>
                <w:sz w:val="1"/>
                <w:szCs w:val="1"/>
                <w:color w:val="auto"/>
              </w:rPr>
            </w:pPr>
          </w:p>
        </w:tc>
        <w:tc>
          <w:tcPr>
            <w:tcW w:w="234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1200" w:type="dxa"/>
            <w:vAlign w:val="bottom"/>
            <w:tcBorders>
              <w:left w:val="single" w:sz="8" w:color="auto"/>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9/13/2023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(21,331)</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$15.34</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9/14/2023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(46,621)</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$16.90</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9/15/2023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91"/>
              </w:rPr>
              <w:t>(4,314)</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$16.71</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10/27/2023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(43,661)</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3"/>
              </w:rPr>
              <w:t>$4.43</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10/30/2023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(92,903)</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3"/>
              </w:rPr>
              <w:t>$5.31</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10/31/2023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93"/>
              </w:rPr>
              <w:t>(133,905)</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3"/>
              </w:rPr>
              <w:t>$5.55</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9"/>
              </w:rPr>
              <w:t>11/1/2023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93"/>
              </w:rPr>
              <w:t>(286,092)</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3"/>
              </w:rPr>
              <w:t>$5.71</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Master Fund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9/13/2023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(13,669)</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$15.34</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Master Fund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9/14/2023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(33,379)</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$16.90</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Master Fund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2"/>
              </w:rPr>
              <w:t>9/15/2023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91"/>
              </w:rPr>
              <w:t>(3,088)</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0"/>
              </w:rPr>
              <w:t>$16.71</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0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Icahn Partners Master Fund LP</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10/27/2023</w:t>
            </w:r>
          </w:p>
        </w:tc>
        <w:tc>
          <w:tcPr>
            <w:tcW w:w="200" w:type="dxa"/>
            <w:vAlign w:val="bottom"/>
            <w:tcBorders>
              <w:right w:val="single" w:sz="8" w:color="auto"/>
            </w:tcBorders>
          </w:tcPr>
          <w:p>
            <w:pPr>
              <w:spacing w:after="0"/>
              <w:rPr>
                <w:sz w:val="19"/>
                <w:szCs w:val="19"/>
                <w:color w:val="auto"/>
              </w:rPr>
            </w:pPr>
          </w:p>
        </w:tc>
        <w:tc>
          <w:tcPr>
            <w:tcW w:w="2000" w:type="dxa"/>
            <w:vAlign w:val="bottom"/>
            <w:gridSpan w:val="2"/>
          </w:tcPr>
          <w:p>
            <w:pPr>
              <w:jc w:val="center"/>
              <w:ind w:left="631"/>
              <w:spacing w:after="0"/>
              <w:rPr>
                <w:sz w:val="20"/>
                <w:szCs w:val="20"/>
                <w:color w:val="auto"/>
              </w:rPr>
            </w:pPr>
            <w:r>
              <w:rPr>
                <w:rFonts w:ascii="Arial" w:cs="Arial" w:eastAsia="Arial" w:hAnsi="Arial"/>
                <w:sz w:val="18"/>
                <w:szCs w:val="18"/>
                <w:color w:val="auto"/>
                <w:w w:val="89"/>
              </w:rPr>
              <w:t>(31,339)</w:t>
            </w:r>
          </w:p>
        </w:tc>
        <w:tc>
          <w:tcPr>
            <w:tcW w:w="800" w:type="dxa"/>
            <w:vAlign w:val="bottom"/>
            <w:tcBorders>
              <w:right w:val="single" w:sz="8" w:color="auto"/>
            </w:tcBorders>
          </w:tcPr>
          <w:p>
            <w:pPr>
              <w:spacing w:after="0"/>
              <w:rPr>
                <w:sz w:val="19"/>
                <w:szCs w:val="19"/>
                <w:color w:val="auto"/>
              </w:rPr>
            </w:pPr>
          </w:p>
        </w:tc>
        <w:tc>
          <w:tcPr>
            <w:tcW w:w="1640" w:type="dxa"/>
            <w:vAlign w:val="bottom"/>
            <w:gridSpan w:val="2"/>
          </w:tcPr>
          <w:p>
            <w:pPr>
              <w:jc w:val="center"/>
              <w:ind w:left="491"/>
              <w:spacing w:after="0"/>
              <w:rPr>
                <w:sz w:val="20"/>
                <w:szCs w:val="20"/>
                <w:color w:val="auto"/>
              </w:rPr>
            </w:pPr>
            <w:r>
              <w:rPr>
                <w:rFonts w:ascii="Arial" w:cs="Arial" w:eastAsia="Arial" w:hAnsi="Arial"/>
                <w:sz w:val="18"/>
                <w:szCs w:val="18"/>
                <w:color w:val="auto"/>
                <w:w w:val="93"/>
              </w:rPr>
              <w:t>$4.43</w:t>
            </w: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0" w:type="dxa"/>
            <w:vAlign w:val="bottom"/>
            <w:tcBorders>
              <w:left w:val="single" w:sz="8" w:color="auto"/>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202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10/30/2023</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(66,515)</w:t>
            </w:r>
          </w:p>
        </w:tc>
        <w:tc>
          <w:tcPr>
            <w:tcW w:w="234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$5.31</w:t>
            </w:r>
          </w:p>
        </w:tc>
      </w:tr>
      <w:tr>
        <w:trPr>
          <w:trHeight w:val="94"/>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r>
      <w:tr>
        <w:trPr>
          <w:trHeight w:val="224"/>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20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10/31/2023</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(95,868)</w:t>
            </w:r>
          </w:p>
        </w:tc>
        <w:tc>
          <w:tcPr>
            <w:tcW w:w="234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color w:val="auto"/>
              </w:rPr>
              <w:t>$5.55</w:t>
            </w:r>
          </w:p>
        </w:tc>
      </w:tr>
      <w:tr>
        <w:trPr>
          <w:trHeight w:val="94"/>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r>
      <w:tr>
        <w:trPr>
          <w:trHeight w:val="224"/>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Icahn Partners Master Fund LP</w:t>
            </w:r>
          </w:p>
        </w:tc>
        <w:tc>
          <w:tcPr>
            <w:tcW w:w="20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11/1/2023</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(204,604)</w:t>
            </w:r>
          </w:p>
        </w:tc>
        <w:tc>
          <w:tcPr>
            <w:tcW w:w="234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color w:val="auto"/>
              </w:rPr>
              <w:t>$5.71</w:t>
            </w:r>
          </w:p>
        </w:tc>
      </w:tr>
      <w:tr>
        <w:trPr>
          <w:trHeight w:val="94"/>
        </w:trPr>
        <w:tc>
          <w:tcPr>
            <w:tcW w:w="4080" w:type="dxa"/>
            <w:vAlign w:val="bottom"/>
            <w:tcBorders>
              <w:left w:val="single" w:sz="8" w:color="auto"/>
              <w:bottom w:val="single" w:sz="8" w:color="auto"/>
              <w:right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ind w:left="660" w:hanging="490"/>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shares of Common Stock underlying Forwards, which Forwards expire on September 8, 2025.</w:t>
      </w:r>
    </w:p>
    <w:p>
      <w:pPr>
        <w:spacing w:after="0" w:line="333"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amount per share of Common Stock that the Reporting Person received from the counterparty upon the sale of such Forward. The forward price was $75.00 per share, which was subject to adjustment to account for any dividends or other distributions declared by the Issuer.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w:t>
      </w:r>
    </w:p>
    <w:p>
      <w:pPr>
        <w:spacing w:after="0" w:line="3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each of the undersigned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ICAHN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ICAHN ONSHORE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PARTNERS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OFFSHORE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CAPITAL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IPH GP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8915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Jesse Lynn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BECKTON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8915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Jesse Lynn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HOLDINGS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Icahn Enterprises G.P. Inc.,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ICAHN ENTERPRISES G.P.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1785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7856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Ted Papapostolou</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Chief Accounting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MATSUMURA FISHWORKS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Jesse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8915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Jesse Lyn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201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CARL C. ICAHN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Schedule 13D – Crown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lvl w:ilvl="1">
      <w:lvlJc w:val="left"/>
      <w:lvlText w:val="(%2)"/>
      <w:numFmt w:val="lowerLetter"/>
      <w:start w:val="1"/>
    </w:lvl>
  </w:abstractNum>
  <w:abstractNum w:abstractNumId="2">
    <w:nsid w:val="7C83E458"/>
    <w:multiLevelType w:val="hybridMultilevel"/>
    <w:lvl w:ilvl="0">
      <w:lvlJc w:val="left"/>
      <w:lvlText w:val="(%1)"/>
      <w:numFmt w:val="decimal"/>
      <w:start w:val="10"/>
    </w:lvl>
  </w:abstractNum>
  <w:abstractNum w:abstractNumId="3">
    <w:nsid w:val="257130A3"/>
    <w:multiLevelType w:val="hybridMultilevel"/>
    <w:lvl w:ilvl="0">
      <w:lvlJc w:val="left"/>
      <w:lvlText w:val="(%1)"/>
      <w:numFmt w:val="decimal"/>
      <w:start w:val="11"/>
    </w:lvl>
  </w:abstractNum>
  <w:abstractNum w:abstractNumId="4">
    <w:nsid w:val="62BBD95A"/>
    <w:multiLevelType w:val="hybridMultilevel"/>
    <w:lvl w:ilvl="0">
      <w:lvlJc w:val="left"/>
      <w:lvlText w:val="(%1)"/>
      <w:numFmt w:val="decimal"/>
      <w:start w:val="1"/>
    </w:lvl>
    <w:lvl w:ilvl="1">
      <w:lvlJc w:val="left"/>
      <w:lvlText w:val="(%2)"/>
      <w:numFmt w:val="lowerLetter"/>
      <w:start w:val="1"/>
    </w:lvl>
  </w:abstractNum>
  <w:abstractNum w:abstractNumId="5">
    <w:nsid w:val="436C6125"/>
    <w:multiLevelType w:val="hybridMultilevel"/>
    <w:lvl w:ilvl="0">
      <w:lvlJc w:val="left"/>
      <w:lvlText w:val="%1"/>
      <w:numFmt w:val="decimal"/>
      <w:start w:val="1"/>
    </w:lvl>
    <w:lvl w:ilvl="1">
      <w:lvlJc w:val="left"/>
      <w:lvlText w:val="(%2)"/>
      <w:numFmt w:val="decimal"/>
      <w:start w:val="10"/>
    </w:lvl>
  </w:abstractNum>
  <w:abstractNum w:abstractNumId="6">
    <w:nsid w:val="628C895D"/>
    <w:multiLevelType w:val="hybridMultilevel"/>
    <w:lvl w:ilvl="0">
      <w:lvlJc w:val="left"/>
      <w:lvlText w:val="(%1)"/>
      <w:numFmt w:val="decimal"/>
      <w:start w:val="11"/>
    </w:lvl>
    <w:lvl w:ilvl="1">
      <w:lvlJc w:val="left"/>
      <w:lvlText w:val="%2"/>
      <w:numFmt w:val="decimal"/>
      <w:start w:val="1"/>
    </w:lvl>
  </w:abstractNum>
  <w:abstractNum w:abstractNumId="7">
    <w:nsid w:val="333AB105"/>
    <w:multiLevelType w:val="hybridMultilevel"/>
    <w:lvl w:ilvl="0">
      <w:lvlJc w:val="left"/>
      <w:lvlText w:val="(%1)"/>
      <w:numFmt w:val="decimal"/>
      <w:start w:val="1"/>
    </w:lvl>
    <w:lvl w:ilvl="1">
      <w:lvlJc w:val="left"/>
      <w:lvlText w:val="(%2)"/>
      <w:numFmt w:val="lowerLetter"/>
      <w:start w:val="1"/>
    </w:lvl>
  </w:abstractNum>
  <w:abstractNum w:abstractNumId="8">
    <w:nsid w:val="721DA317"/>
    <w:multiLevelType w:val="hybridMultilevel"/>
    <w:lvl w:ilvl="0">
      <w:lvlJc w:val="left"/>
      <w:lvlText w:val="%1"/>
      <w:numFmt w:val="decimal"/>
      <w:start w:val="1"/>
    </w:lvl>
    <w:lvl w:ilvl="1">
      <w:lvlJc w:val="left"/>
      <w:lvlText w:val="(%2)"/>
      <w:numFmt w:val="decimal"/>
      <w:start w:val="10"/>
    </w:lvl>
  </w:abstractNum>
  <w:abstractNum w:abstractNumId="9">
    <w:nsid w:val="2443A858"/>
    <w:multiLevelType w:val="hybridMultilevel"/>
    <w:lvl w:ilvl="0">
      <w:lvlJc w:val="left"/>
      <w:lvlText w:val="(%1)"/>
      <w:numFmt w:val="decimal"/>
      <w:start w:val="11"/>
    </w:lvl>
    <w:lvl w:ilvl="1">
      <w:lvlJc w:val="left"/>
      <w:lvlText w:val="%2"/>
      <w:numFmt w:val="decimal"/>
      <w:start w:val="1"/>
    </w:lvl>
  </w:abstractNum>
  <w:abstractNum w:abstractNumId="10">
    <w:nsid w:val="2D1D5AE9"/>
    <w:multiLevelType w:val="hybridMultilevel"/>
    <w:lvl w:ilvl="0">
      <w:lvlJc w:val="left"/>
      <w:lvlText w:val="(%1)"/>
      <w:numFmt w:val="decimal"/>
      <w:start w:val="1"/>
    </w:lvl>
    <w:lvl w:ilvl="1">
      <w:lvlJc w:val="left"/>
      <w:lvlText w:val="(%2)"/>
      <w:numFmt w:val="lowerLetter"/>
      <w:start w:val="1"/>
    </w:lvl>
  </w:abstractNum>
  <w:abstractNum w:abstractNumId="11">
    <w:nsid w:val="6763845E"/>
    <w:multiLevelType w:val="hybridMultilevel"/>
    <w:lvl w:ilvl="0">
      <w:lvlJc w:val="left"/>
      <w:lvlText w:val="%1"/>
      <w:numFmt w:val="decimal"/>
      <w:start w:val="1"/>
    </w:lvl>
    <w:lvl w:ilvl="1">
      <w:lvlJc w:val="left"/>
      <w:lvlText w:val="(%2)"/>
      <w:numFmt w:val="decimal"/>
      <w:start w:val="10"/>
    </w:lvl>
  </w:abstractNum>
  <w:abstractNum w:abstractNumId="12">
    <w:nsid w:val="75A2A8D4"/>
    <w:multiLevelType w:val="hybridMultilevel"/>
    <w:lvl w:ilvl="0">
      <w:lvlJc w:val="left"/>
      <w:lvlText w:val="(%1)"/>
      <w:numFmt w:val="decimal"/>
      <w:start w:val="11"/>
    </w:lvl>
    <w:lvl w:ilvl="1">
      <w:lvlJc w:val="left"/>
      <w:lvlText w:val="%2"/>
      <w:numFmt w:val="decimal"/>
      <w:start w:val="1"/>
    </w:lvl>
  </w:abstractNum>
  <w:abstractNum w:abstractNumId="13">
    <w:nsid w:val="8EDBDAB"/>
    <w:multiLevelType w:val="hybridMultilevel"/>
    <w:lvl w:ilvl="0">
      <w:lvlJc w:val="left"/>
      <w:lvlText w:val="(%1)"/>
      <w:numFmt w:val="decimal"/>
      <w:start w:val="1"/>
    </w:lvl>
    <w:lvl w:ilvl="1">
      <w:lvlJc w:val="left"/>
      <w:lvlText w:val="(%2)"/>
      <w:numFmt w:val="lowerLetter"/>
      <w:start w:val="1"/>
    </w:lvl>
  </w:abstractNum>
  <w:abstractNum w:abstractNumId="14">
    <w:nsid w:val="79838CB2"/>
    <w:multiLevelType w:val="hybridMultilevel"/>
    <w:lvl w:ilvl="0">
      <w:lvlJc w:val="left"/>
      <w:lvlText w:val="%1"/>
      <w:numFmt w:val="decimal"/>
      <w:start w:val="1"/>
    </w:lvl>
    <w:lvl w:ilvl="1">
      <w:lvlJc w:val="left"/>
      <w:lvlText w:val="(%2)"/>
      <w:numFmt w:val="decimal"/>
      <w:start w:val="10"/>
    </w:lvl>
  </w:abstractNum>
  <w:abstractNum w:abstractNumId="15">
    <w:nsid w:val="4353D0CD"/>
    <w:multiLevelType w:val="hybridMultilevel"/>
    <w:lvl w:ilvl="0">
      <w:lvlJc w:val="left"/>
      <w:lvlText w:val="(%1)"/>
      <w:numFmt w:val="decimal"/>
      <w:start w:val="11"/>
    </w:lvl>
    <w:lvl w:ilvl="1">
      <w:lvlJc w:val="left"/>
      <w:lvlText w:val="%2"/>
      <w:numFmt w:val="decimal"/>
      <w:start w:val="1"/>
    </w:lvl>
  </w:abstractNum>
  <w:abstractNum w:abstractNumId="16">
    <w:nsid w:val="B03E0C6"/>
    <w:multiLevelType w:val="hybridMultilevel"/>
    <w:lvl w:ilvl="0">
      <w:lvlJc w:val="left"/>
      <w:lvlText w:val="(%1)"/>
      <w:numFmt w:val="decimal"/>
      <w:start w:val="1"/>
    </w:lvl>
    <w:lvl w:ilvl="1">
      <w:lvlJc w:val="left"/>
      <w:lvlText w:val="(%2)"/>
      <w:numFmt w:val="lowerLetter"/>
      <w:start w:val="1"/>
    </w:lvl>
  </w:abstractNum>
  <w:abstractNum w:abstractNumId="17">
    <w:nsid w:val="189A769B"/>
    <w:multiLevelType w:val="hybridMultilevel"/>
    <w:lvl w:ilvl="0">
      <w:lvlJc w:val="left"/>
      <w:lvlText w:val="%1"/>
      <w:numFmt w:val="decimal"/>
      <w:start w:val="1"/>
    </w:lvl>
    <w:lvl w:ilvl="1">
      <w:lvlJc w:val="left"/>
      <w:lvlText w:val="(%2)"/>
      <w:numFmt w:val="decimal"/>
      <w:start w:val="10"/>
    </w:lvl>
  </w:abstractNum>
  <w:abstractNum w:abstractNumId="18">
    <w:nsid w:val="54E49EB4"/>
    <w:multiLevelType w:val="hybridMultilevel"/>
    <w:lvl w:ilvl="0">
      <w:lvlJc w:val="left"/>
      <w:lvlText w:val="(%1)"/>
      <w:numFmt w:val="decimal"/>
      <w:start w:val="11"/>
    </w:lvl>
    <w:lvl w:ilvl="1">
      <w:lvlJc w:val="left"/>
      <w:lvlText w:val="%2"/>
      <w:numFmt w:val="decimal"/>
      <w:start w:val="1"/>
    </w:lvl>
  </w:abstractNum>
  <w:abstractNum w:abstractNumId="19">
    <w:nsid w:val="71F32454"/>
    <w:multiLevelType w:val="hybridMultilevel"/>
    <w:lvl w:ilvl="0">
      <w:lvlJc w:val="left"/>
      <w:lvlText w:val="(%1)"/>
      <w:numFmt w:val="decimal"/>
      <w:start w:val="1"/>
    </w:lvl>
    <w:lvl w:ilvl="1">
      <w:lvlJc w:val="left"/>
      <w:lvlText w:val="(%2)"/>
      <w:numFmt w:val="lowerLetter"/>
      <w:start w:val="1"/>
    </w:lvl>
  </w:abstractNum>
  <w:abstractNum w:abstractNumId="20">
    <w:nsid w:val="2CA88611"/>
    <w:multiLevelType w:val="hybridMultilevel"/>
    <w:lvl w:ilvl="0">
      <w:lvlJc w:val="left"/>
      <w:lvlText w:val="%1"/>
      <w:numFmt w:val="decimal"/>
      <w:start w:val="1"/>
    </w:lvl>
    <w:lvl w:ilvl="1">
      <w:lvlJc w:val="left"/>
      <w:lvlText w:val="(%2)"/>
      <w:numFmt w:val="decimal"/>
      <w:start w:val="10"/>
    </w:lvl>
  </w:abstractNum>
  <w:abstractNum w:abstractNumId="21">
    <w:nsid w:val="836C40E"/>
    <w:multiLevelType w:val="hybridMultilevel"/>
    <w:lvl w:ilvl="0">
      <w:lvlJc w:val="left"/>
      <w:lvlText w:val="(%1)"/>
      <w:numFmt w:val="decimal"/>
      <w:start w:val="11"/>
    </w:lvl>
    <w:lvl w:ilvl="1">
      <w:lvlJc w:val="left"/>
      <w:lvlText w:val="%2"/>
      <w:numFmt w:val="decimal"/>
      <w:start w:val="1"/>
    </w:lvl>
  </w:abstractNum>
  <w:abstractNum w:abstractNumId="22">
    <w:nsid w:val="2901D82"/>
    <w:multiLevelType w:val="hybridMultilevel"/>
    <w:lvl w:ilvl="0">
      <w:lvlJc w:val="left"/>
      <w:lvlText w:val="(%1)"/>
      <w:numFmt w:val="decimal"/>
      <w:start w:val="1"/>
    </w:lvl>
    <w:lvl w:ilvl="1">
      <w:lvlJc w:val="left"/>
      <w:lvlText w:val="(%2)"/>
      <w:numFmt w:val="lowerLetter"/>
      <w:start w:val="1"/>
    </w:lvl>
  </w:abstractNum>
  <w:abstractNum w:abstractNumId="23">
    <w:nsid w:val="3A95F874"/>
    <w:multiLevelType w:val="hybridMultilevel"/>
    <w:lvl w:ilvl="0">
      <w:lvlJc w:val="left"/>
      <w:lvlText w:val="%1"/>
      <w:numFmt w:val="decimal"/>
      <w:start w:val="1"/>
    </w:lvl>
    <w:lvl w:ilvl="1">
      <w:lvlJc w:val="left"/>
      <w:lvlText w:val="(%2)"/>
      <w:numFmt w:val="decimal"/>
      <w:start w:val="10"/>
    </w:lvl>
  </w:abstractNum>
  <w:abstractNum w:abstractNumId="24">
    <w:nsid w:val="8138641"/>
    <w:multiLevelType w:val="hybridMultilevel"/>
    <w:lvl w:ilvl="0">
      <w:lvlJc w:val="left"/>
      <w:lvlText w:val="(%1)"/>
      <w:numFmt w:val="decimal"/>
      <w:start w:val="11"/>
    </w:lvl>
    <w:lvl w:ilvl="1">
      <w:lvlJc w:val="left"/>
      <w:lvlText w:val="%2"/>
      <w:numFmt w:val="decimal"/>
      <w:start w:val="1"/>
    </w:lvl>
  </w:abstractNum>
  <w:abstractNum w:abstractNumId="25">
    <w:nsid w:val="1E7FF521"/>
    <w:multiLevelType w:val="hybridMultilevel"/>
    <w:lvl w:ilvl="0">
      <w:lvlJc w:val="left"/>
      <w:lvlText w:val="(%1)"/>
      <w:numFmt w:val="decimal"/>
      <w:start w:val="1"/>
    </w:lvl>
    <w:lvl w:ilvl="1">
      <w:lvlJc w:val="left"/>
      <w:lvlText w:val="(%2)"/>
      <w:numFmt w:val="lowerLetter"/>
      <w:start w:val="1"/>
    </w:lvl>
  </w:abstractNum>
  <w:abstractNum w:abstractNumId="26">
    <w:nsid w:val="7C3DBD3D"/>
    <w:multiLevelType w:val="hybridMultilevel"/>
    <w:lvl w:ilvl="0">
      <w:lvlJc w:val="left"/>
      <w:lvlText w:val="%1"/>
      <w:numFmt w:val="decimal"/>
      <w:start w:val="1"/>
    </w:lvl>
    <w:lvl w:ilvl="1">
      <w:lvlJc w:val="left"/>
      <w:lvlText w:val="(%2)"/>
      <w:numFmt w:val="decimal"/>
      <w:start w:val="10"/>
    </w:lvl>
  </w:abstractNum>
  <w:abstractNum w:abstractNumId="27">
    <w:nsid w:val="737B8DDC"/>
    <w:multiLevelType w:val="hybridMultilevel"/>
    <w:lvl w:ilvl="0">
      <w:lvlJc w:val="left"/>
      <w:lvlText w:val="(%1)"/>
      <w:numFmt w:val="decimal"/>
      <w:start w:val="11"/>
    </w:lvl>
    <w:lvl w:ilvl="1">
      <w:lvlJc w:val="left"/>
      <w:lvlText w:val="%2"/>
      <w:numFmt w:val="decimal"/>
      <w:start w:val="1"/>
    </w:lvl>
  </w:abstractNum>
  <w:abstractNum w:abstractNumId="28">
    <w:nsid w:val="6CEAF087"/>
    <w:multiLevelType w:val="hybridMultilevel"/>
    <w:lvl w:ilvl="0">
      <w:lvlJc w:val="left"/>
      <w:lvlText w:val="(%1)"/>
      <w:numFmt w:val="decimal"/>
      <w:start w:val="1"/>
    </w:lvl>
    <w:lvl w:ilvl="1">
      <w:lvlJc w:val="left"/>
      <w:lvlText w:val="(%2)"/>
      <w:numFmt w:val="lowerLetter"/>
      <w:start w:val="1"/>
    </w:lvl>
  </w:abstractNum>
  <w:abstractNum w:abstractNumId="29">
    <w:nsid w:val="22221A70"/>
    <w:multiLevelType w:val="hybridMultilevel"/>
    <w:lvl w:ilvl="0">
      <w:lvlJc w:val="left"/>
      <w:lvlText w:val="%1"/>
      <w:numFmt w:val="decimal"/>
      <w:start w:val="1"/>
    </w:lvl>
    <w:lvl w:ilvl="1">
      <w:lvlJc w:val="left"/>
      <w:lvlText w:val="(%2)"/>
      <w:numFmt w:val="decimal"/>
      <w:start w:val="10"/>
    </w:lvl>
  </w:abstractNum>
  <w:abstractNum w:abstractNumId="30">
    <w:nsid w:val="4516DDE9"/>
    <w:multiLevelType w:val="hybridMultilevel"/>
    <w:lvl w:ilvl="0">
      <w:lvlJc w:val="left"/>
      <w:lvlText w:val="(%1)"/>
      <w:numFmt w:val="decimal"/>
      <w:start w:val="1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2023-11-01T16:36:49Z</dcterms:created>
  <dcterms:modified xsi:type="dcterms:W3CDTF">2023-11-01T16:36:49Z</dcterms:modified>
</cp:coreProperties>
</file>