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KELLY THOMAS A</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jc w:val="center"/>
        <w:ind w:right="217"/>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CROWN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CCK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3"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01/09/2020</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03"/>
        <w:spacing w:after="0"/>
        <w:rPr>
          <w:sz w:val="20"/>
          <w:szCs w:val="20"/>
          <w:color w:val="auto"/>
        </w:rPr>
      </w:pPr>
      <w:r>
        <w:rPr>
          <w:rFonts w:ascii="Times New Roman" w:cs="Times New Roman" w:eastAsia="Times New Roman" w:hAnsi="Times New Roman"/>
          <w:sz w:val="18"/>
          <w:szCs w:val="18"/>
          <w:color w:val="0000FF"/>
        </w:rPr>
        <w:t>Senior Vice President &amp; CFO</w:t>
      </w:r>
    </w:p>
    <w:p>
      <w:pPr>
        <w:spacing w:after="0" w:line="317"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YARDLEY</w:t>
            </w: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PA</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19067</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0000FF"/>
                <w:w w:val="98"/>
              </w:rPr>
              <w:t>1,048</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401(k)</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Plan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w:t>
            </w: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8"/>
                <w:szCs w:val="18"/>
                <w:color w:val="0000FF"/>
              </w:rPr>
              <w:t>01/09/2020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8"/>
                <w:szCs w:val="18"/>
                <w:color w:val="0000FF"/>
              </w:rPr>
              <w:t>17,747</w:t>
            </w:r>
            <w:r>
              <w:rPr>
                <w:rFonts w:ascii="Times New Roman" w:cs="Times New Roman" w:eastAsia="Times New Roman" w:hAnsi="Times New Roman"/>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1260" w:type="dxa"/>
            <w:vAlign w:val="bottom"/>
            <w:tcBorders>
              <w:bottom w:val="single" w:sz="8" w:color="2C2C2C"/>
            </w:tcBorders>
            <w:gridSpan w:val="2"/>
          </w:tcPr>
          <w:p>
            <w:pPr>
              <w:jc w:val="right"/>
              <w:ind w:right="317"/>
              <w:spacing w:after="0"/>
              <w:rPr>
                <w:sz w:val="20"/>
                <w:szCs w:val="20"/>
                <w:color w:val="auto"/>
              </w:rPr>
            </w:pPr>
            <w:r>
              <w:rPr>
                <w:rFonts w:ascii="Times New Roman" w:cs="Times New Roman" w:eastAsia="Times New Roman" w:hAnsi="Times New Roman"/>
                <w:sz w:val="18"/>
                <w:szCs w:val="18"/>
                <w:color w:val="0000FF"/>
              </w:rPr>
              <w:t>130,519</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29"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 was granted 17,747 shares of Restricted Common Stock under the 2013 Stock-Based Compensation Plan. 6,059 time-vested restricted shares vest over a three year period as follows: 2,020 time-vested restricted shares on January 11, 2021 and January 10, 2022, respectively and 2,019 time-vested restricted shares on January 9, 2023. 5,629 performance-based restricted shares are targeted to vest on January 9, 2023 based on the Company's Total Shareholder Return versus a defined peer group of companies, with the final number of performance-based vested shares varying from 0 to 200% of 5,629. 6,059 performance-based restricted shares are targeted to vest on January 9, 2023 based on the Return on Invested Capital achieved by the Company compared to the ROIC target, with the final number of performance-based vested shares varying from 0 to 200% of 6,059.</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Rosemary M. Haselroth, by</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5"/>
              </w:rPr>
              <w:t>01/13/2020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8690"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2020-01-13T08:57:59Z</dcterms:created>
  <dcterms:modified xsi:type="dcterms:W3CDTF">2020-01-13T08:57:59Z</dcterms:modified>
</cp:coreProperties>
</file>