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FORM 11-K</w:t>
      </w:r>
    </w:p>
    <w:p>
      <w:pPr>
        <w:sectPr>
          <w:pgSz w:w="11900" w:h="16838" w:orient="portrait"/>
          <w:cols w:equalWidth="0" w:num="1">
            <w:col w:w="9399"/>
          </w:cols>
          <w:pgMar w:left="1060" w:top="1440" w:right="1440" w:bottom="1440" w:gutter="0" w:footer="0" w:header="0"/>
        </w:sect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880" w:space="720"/>
            <w:col w:w="7799"/>
          </w:cols>
          <w:pgMar w:left="1060" w:top="1440" w:right="1440" w:bottom="1440" w:gutter="0" w:footer="0" w:header="0"/>
          <w:type w:val="continuous"/>
        </w:sectPr>
      </w:pPr>
    </w:p>
    <w:p>
      <w:pPr>
        <w:spacing w:after="0" w:line="34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2023</w:t>
      </w:r>
    </w:p>
    <w:p>
      <w:pPr>
        <w:spacing w:after="0" w:line="29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2"/>
          <w:szCs w:val="22"/>
          <w:b w:val="1"/>
          <w:bCs w:val="1"/>
          <w:color w:val="auto"/>
        </w:rPr>
        <w:t>Commission File Number 001-41550</w:t>
      </w:r>
    </w:p>
    <w:p>
      <w:pPr>
        <w:sectPr>
          <w:pgSz w:w="11900" w:h="16838" w:orient="portrait"/>
          <w:cols w:equalWidth="0" w:num="1">
            <w:col w:w="9399"/>
          </w:cols>
          <w:pgMar w:left="106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140" w:hanging="454"/>
        <w:spacing w:after="0"/>
        <w:tabs>
          <w:tab w:leader="none" w:pos="214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title of the plan:</w:t>
      </w:r>
    </w:p>
    <w:p>
      <w:pPr>
        <w:spacing w:after="0" w:line="287" w:lineRule="exact"/>
        <w:rPr>
          <w:rFonts w:ascii="Times New Roman" w:cs="Times New Roman" w:eastAsia="Times New Roman" w:hAnsi="Times New Roman"/>
          <w:sz w:val="22"/>
          <w:szCs w:val="22"/>
          <w:b w:val="1"/>
          <w:bCs w:val="1"/>
          <w:color w:val="auto"/>
        </w:rPr>
      </w:pPr>
    </w:p>
    <w:p>
      <w:pPr>
        <w:ind w:left="2140" w:right="3999"/>
        <w:spacing w:after="0" w:line="31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Crown Cork &amp; Seal Company, Inc. 401(k) Retirement Savings Plan</w:t>
      </w:r>
    </w:p>
    <w:p>
      <w:pPr>
        <w:spacing w:after="0" w:line="180" w:lineRule="exact"/>
        <w:rPr>
          <w:rFonts w:ascii="Times New Roman" w:cs="Times New Roman" w:eastAsia="Times New Roman" w:hAnsi="Times New Roman"/>
          <w:sz w:val="22"/>
          <w:szCs w:val="22"/>
          <w:b w:val="1"/>
          <w:bCs w:val="1"/>
          <w:color w:val="auto"/>
        </w:rPr>
      </w:pPr>
    </w:p>
    <w:p>
      <w:pPr>
        <w:ind w:left="2140" w:right="1979" w:hanging="442"/>
        <w:spacing w:after="0" w:line="287" w:lineRule="auto"/>
        <w:tabs>
          <w:tab w:leader="none" w:pos="214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14025 Riveredge Drive, Suite 300</w:t>
      </w:r>
    </w:p>
    <w:p>
      <w:pPr>
        <w:spacing w:after="0" w:line="1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Tampa, FL 33637-2015</w:t>
      </w:r>
    </w:p>
    <w:p>
      <w:pPr>
        <w:sectPr>
          <w:pgSz w:w="11900" w:h="16838" w:orient="portrait"/>
          <w:cols w:equalWidth="0" w:num="1">
            <w:col w:w="9399"/>
          </w:cols>
          <w:pgMar w:left="106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68834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258"/>
        </w:trPr>
        <w:tc>
          <w:tcPr>
            <w:tcW w:w="8280" w:type="dxa"/>
            <w:vAlign w:val="bottom"/>
          </w:tcPr>
          <w:p>
            <w:pPr>
              <w:spacing w:after="0"/>
              <w:rPr>
                <w:sz w:val="22"/>
                <w:szCs w:val="22"/>
                <w:color w:val="auto"/>
              </w:rPr>
            </w:pPr>
          </w:p>
        </w:tc>
        <w:tc>
          <w:tcPr>
            <w:tcW w:w="2140" w:type="dxa"/>
            <w:vAlign w:val="bottom"/>
          </w:tcPr>
          <w:p>
            <w:pPr>
              <w:ind w:left="1540"/>
              <w:spacing w:after="0"/>
              <w:rPr>
                <w:sz w:val="20"/>
                <w:szCs w:val="20"/>
                <w:color w:val="auto"/>
              </w:rPr>
            </w:pPr>
            <w:r>
              <w:rPr>
                <w:rFonts w:ascii="Times New Roman" w:cs="Times New Roman" w:eastAsia="Times New Roman" w:hAnsi="Times New Roman"/>
                <w:sz w:val="20"/>
                <w:szCs w:val="20"/>
                <w:color w:val="auto"/>
                <w:w w:val="96"/>
              </w:rPr>
              <w:t>Page(s)</w:t>
            </w:r>
          </w:p>
        </w:tc>
        <w:tc>
          <w:tcPr>
            <w:tcW w:w="0" w:type="dxa"/>
            <w:vAlign w:val="bottom"/>
          </w:tcPr>
          <w:p>
            <w:pPr>
              <w:spacing w:after="0"/>
              <w:rPr>
                <w:sz w:val="1"/>
                <w:szCs w:val="1"/>
                <w:color w:val="auto"/>
              </w:rPr>
            </w:pPr>
          </w:p>
        </w:tc>
      </w:tr>
      <w:tr>
        <w:trPr>
          <w:trHeight w:val="526"/>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Reports of Independent Registered Public Accounting Firms</w:t>
            </w:r>
          </w:p>
        </w:tc>
        <w:tc>
          <w:tcPr>
            <w:tcW w:w="214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7"/>
              </w:rPr>
              <w:t>1-2</w:t>
            </w:r>
          </w:p>
        </w:tc>
        <w:tc>
          <w:tcPr>
            <w:tcW w:w="0" w:type="dxa"/>
            <w:vAlign w:val="bottom"/>
          </w:tcPr>
          <w:p>
            <w:pPr>
              <w:spacing w:after="0"/>
              <w:rPr>
                <w:sz w:val="1"/>
                <w:szCs w:val="1"/>
                <w:color w:val="auto"/>
              </w:rPr>
            </w:pPr>
          </w:p>
        </w:tc>
      </w:tr>
      <w:tr>
        <w:trPr>
          <w:trHeight w:val="527"/>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2023 and 2022</w:t>
            </w:r>
          </w:p>
        </w:tc>
        <w:tc>
          <w:tcPr>
            <w:tcW w:w="2140" w:type="dxa"/>
            <w:vAlign w:val="bottom"/>
          </w:tcPr>
          <w:p>
            <w:pPr>
              <w:jc w:val="center"/>
              <w:ind w:left="1421"/>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471"/>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w:t>
            </w:r>
          </w:p>
        </w:tc>
        <w:tc>
          <w:tcPr>
            <w:tcW w:w="2140" w:type="dxa"/>
            <w:vAlign w:val="bottom"/>
            <w:vMerge w:val="restart"/>
          </w:tcPr>
          <w:p>
            <w:pPr>
              <w:jc w:val="center"/>
              <w:ind w:left="1421"/>
              <w:spacing w:after="0"/>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rPr>
                <w:sz w:val="1"/>
                <w:szCs w:val="1"/>
                <w:color w:val="auto"/>
              </w:rPr>
            </w:pPr>
          </w:p>
        </w:tc>
      </w:tr>
      <w:tr>
        <w:trPr>
          <w:trHeight w:val="258"/>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31, 2023 and 2022</w:t>
            </w:r>
          </w:p>
        </w:tc>
        <w:tc>
          <w:tcPr>
            <w:tcW w:w="2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8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2140" w:type="dxa"/>
            <w:vAlign w:val="bottom"/>
          </w:tcPr>
          <w:p>
            <w:pPr>
              <w:jc w:val="center"/>
              <w:ind w:left="1441"/>
              <w:spacing w:after="0"/>
              <w:rPr>
                <w:sz w:val="20"/>
                <w:szCs w:val="20"/>
                <w:color w:val="auto"/>
              </w:rPr>
            </w:pPr>
            <w:r>
              <w:rPr>
                <w:rFonts w:ascii="Times New Roman" w:cs="Times New Roman" w:eastAsia="Times New Roman" w:hAnsi="Times New Roman"/>
                <w:sz w:val="20"/>
                <w:szCs w:val="20"/>
                <w:color w:val="auto"/>
                <w:w w:val="98"/>
              </w:rPr>
              <w:t>5-10</w:t>
            </w:r>
          </w:p>
        </w:tc>
        <w:tc>
          <w:tcPr>
            <w:tcW w:w="0" w:type="dxa"/>
            <w:vAlign w:val="bottom"/>
          </w:tcPr>
          <w:p>
            <w:pPr>
              <w:spacing w:after="0"/>
              <w:rPr>
                <w:sz w:val="1"/>
                <w:szCs w:val="1"/>
                <w:color w:val="auto"/>
              </w:rPr>
            </w:pPr>
          </w:p>
        </w:tc>
      </w:tr>
      <w:tr>
        <w:trPr>
          <w:trHeight w:val="527"/>
        </w:trPr>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Information *</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2140" w:type="dxa"/>
            <w:vAlign w:val="bottom"/>
          </w:tcPr>
          <w:p>
            <w:pPr>
              <w:jc w:val="center"/>
              <w:ind w:left="1441"/>
              <w:spacing w:after="0"/>
              <w:rPr>
                <w:sz w:val="20"/>
                <w:szCs w:val="20"/>
                <w:color w:val="auto"/>
              </w:rPr>
            </w:pPr>
            <w:r>
              <w:rPr>
                <w:rFonts w:ascii="Times New Roman" w:cs="Times New Roman" w:eastAsia="Times New Roman" w:hAnsi="Times New Roman"/>
                <w:sz w:val="20"/>
                <w:szCs w:val="20"/>
                <w:color w:val="auto"/>
                <w:w w:val="99"/>
              </w:rPr>
              <w:t>11</w:t>
            </w:r>
          </w:p>
        </w:tc>
        <w:tc>
          <w:tcPr>
            <w:tcW w:w="0" w:type="dxa"/>
            <w:vAlign w:val="bottom"/>
          </w:tcPr>
          <w:p>
            <w:pPr>
              <w:spacing w:after="0"/>
              <w:rPr>
                <w:sz w:val="1"/>
                <w:szCs w:val="1"/>
                <w:color w:val="auto"/>
              </w:rPr>
            </w:pPr>
          </w:p>
        </w:tc>
      </w:tr>
      <w:tr>
        <w:trPr>
          <w:trHeight w:val="526"/>
        </w:trPr>
        <w:tc>
          <w:tcPr>
            <w:tcW w:w="8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Index</w:t>
            </w:r>
          </w:p>
        </w:tc>
        <w:tc>
          <w:tcPr>
            <w:tcW w:w="2140" w:type="dxa"/>
            <w:vAlign w:val="bottom"/>
          </w:tcPr>
          <w:p>
            <w:pPr>
              <w:jc w:val="center"/>
              <w:ind w:left="1441"/>
              <w:spacing w:after="0"/>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r>
        <w:trPr>
          <w:trHeight w:val="527"/>
        </w:trPr>
        <w:tc>
          <w:tcPr>
            <w:tcW w:w="82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Signature</w:t>
            </w:r>
          </w:p>
        </w:tc>
        <w:tc>
          <w:tcPr>
            <w:tcW w:w="2140" w:type="dxa"/>
            <w:vAlign w:val="bottom"/>
          </w:tcPr>
          <w:p>
            <w:pPr>
              <w:jc w:val="center"/>
              <w:ind w:left="1441"/>
              <w:spacing w:after="0"/>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80" w:hanging="172"/>
        <w:spacing w:after="0" w:line="282" w:lineRule="auto"/>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of Crown Cork &amp; Seal Company, Inc. 401(k) Retirement Savings Plan and Members of the Benefit Plans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statement of net assets available for benefits of Crown Cork &amp; Seal Company, Inc. 401(k) Retirement Savings Plan (the “Plan”) as of December 31, 2023, and the related statement of changes in net assets available for benefits for the year ended December 31, 2023, and the related notes and schedule (collectively referred to as the “financial statements”). In our opinion, the financial statements present fairly, in all material respects, the net assets available for benefits of the Plan as of December 31, 2023, and the</w:t>
      </w:r>
    </w:p>
    <w:p>
      <w:pPr>
        <w:jc w:val="both"/>
        <w:spacing w:after="0" w:line="237" w:lineRule="auto"/>
        <w:rPr>
          <w:sz w:val="20"/>
          <w:szCs w:val="20"/>
          <w:color w:val="auto"/>
        </w:rPr>
      </w:pPr>
      <w:r>
        <w:rPr>
          <w:rFonts w:ascii="Arial" w:cs="Arial" w:eastAsia="Arial" w:hAnsi="Arial"/>
          <w:sz w:val="18"/>
          <w:szCs w:val="18"/>
          <w:color w:val="auto"/>
        </w:rPr>
        <w:t>changes in net assets available for benefits for the year ended December 31, 2023,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purposes of expressing an opinion on the effectiveness of the Plan’s internal control over financial reporting. Accordingly, we express no such opinion.</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jc w:val="both"/>
        <w:spacing w:after="0" w:line="226" w:lineRule="auto"/>
        <w:rPr>
          <w:sz w:val="20"/>
          <w:szCs w:val="20"/>
          <w:color w:val="auto"/>
        </w:rPr>
      </w:pPr>
      <w:r>
        <w:rPr>
          <w:rFonts w:ascii="Arial" w:cs="Arial" w:eastAsia="Arial" w:hAnsi="Arial"/>
          <w:sz w:val="18"/>
          <w:szCs w:val="18"/>
          <w:color w:val="auto"/>
        </w:rPr>
        <w:t>amounts and disclosures in the financial statements. Our audit also included evaluating the accounting principles used and significant estimates made by management as well as evaluating the overall presentation of the financial statements. We believe that our audit provides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reasonable basis for our opinion.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supplemental information in the accompanying Schedule of Assets (Held at End of Year) as of December 31, 2023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Crown Cork &amp; Seal Company, Inc. 401(k) Retirement Savings Plan since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2024</w:t>
      </w:r>
    </w:p>
    <w:p>
      <w:pPr>
        <w:spacing w:after="0"/>
        <w:rPr>
          <w:sz w:val="20"/>
          <w:szCs w:val="20"/>
          <w:color w:val="auto"/>
        </w:rPr>
      </w:pPr>
      <w:r>
        <w:rPr>
          <w:rFonts w:ascii="Arial" w:cs="Arial" w:eastAsia="Arial" w:hAnsi="Arial"/>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 and Plan Participants of Crown Cork &amp; Seal Company, Inc. 401(k) Retirement Savings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statement of net assets available for benefits of the Crown Cork &amp; Seal Company, Inc. 401(k) Retirement Savings Plan (the Plan) as of December 31, 2022 and the related statement of changes in net assets available for benefits for the</w:t>
      </w:r>
    </w:p>
    <w:p>
      <w:pPr>
        <w:spacing w:after="0" w:line="1"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year then ended, and the related notes (collectively referred to as the financial statements). In our opinion, the financial statements present fairly, in all material respects, the net assets available for benefits of the Plan as of December 31, 2022, and the changes in net assets available for benefits for the year then ended,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fraud, and performing procedures that respond to those risks. Such procedures included examining, on a test basis, evidence regarding the amounts and disclosures in the financial statements. Our audit also included evaluating the accounting principles used and significant</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Plan's auditor from 2005 to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23, 2023</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81" w:right="3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3"/>
                <w:szCs w:val="23"/>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2023</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60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Investments, at fair value</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13,758,880</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12,561,771</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1,660,445</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1,080,537</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1,314,296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1,208,809</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11,427,537</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10,164,113</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486,217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417,622</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Developed Markets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6,275,067</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4,718,959</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International Growth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10,364,965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9,347,133</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Russell 1000 Growth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7,882,710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Cash Reserve Federal Money Market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163,102</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203,662</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3,055,526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3,245,362</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2025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13,439,400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12,287,357</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13,151,210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9,153,798</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2035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14,589,403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11,300,941</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8,143,896</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6,673,545</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2045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10,885,420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8,456,288</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8,412,670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6,029,093</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2055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7,657,970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4,961,380</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2,476,733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1,471,332</w:t>
            </w:r>
          </w:p>
        </w:tc>
      </w:tr>
      <w:tr>
        <w:trPr>
          <w:trHeight w:val="256"/>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2065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1,085,311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589,145</w:t>
            </w:r>
          </w:p>
        </w:tc>
      </w:tr>
      <w:tr>
        <w:trPr>
          <w:trHeight w:val="2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Target Retirement 2070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33,687</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2,632</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Target Retirement Income Fund</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6,004,228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5,695,104</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Total Stock Market Index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66,031,123</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55,090,574</w:t>
            </w:r>
          </w:p>
        </w:tc>
      </w:tr>
      <w:tr>
        <w:trPr>
          <w:trHeight w:val="257"/>
        </w:trPr>
        <w:tc>
          <w:tcPr>
            <w:tcW w:w="6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Vanguard U.S. Growth Fund</w:t>
            </w:r>
          </w:p>
        </w:tc>
        <w:tc>
          <w:tcPr>
            <w:tcW w:w="300" w:type="dxa"/>
            <w:vAlign w:val="bottom"/>
          </w:tcPr>
          <w:p>
            <w:pPr>
              <w:spacing w:after="0"/>
              <w:rPr>
                <w:sz w:val="22"/>
                <w:szCs w:val="22"/>
                <w:color w:val="auto"/>
              </w:rPr>
            </w:pPr>
          </w:p>
        </w:tc>
        <w:tc>
          <w:tcPr>
            <w:tcW w:w="2560" w:type="dxa"/>
            <w:vAlign w:val="bottom"/>
            <w:gridSpan w:val="2"/>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4,653,848</w:t>
            </w:r>
          </w:p>
        </w:tc>
      </w:tr>
      <w:tr>
        <w:trPr>
          <w:trHeight w:val="25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Vanguard Wellington Fund</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19,892,218</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18,142,389</w:t>
            </w:r>
          </w:p>
        </w:tc>
      </w:tr>
      <w:tr>
        <w:trPr>
          <w:trHeight w:val="257"/>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Vanguard Windsor II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7,044,161</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5,712,460</w:t>
            </w:r>
          </w:p>
        </w:tc>
      </w:tr>
      <w:tr>
        <w:trPr>
          <w:trHeight w:val="250"/>
        </w:trPr>
        <w:tc>
          <w:tcPr>
            <w:tcW w:w="6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235,236,175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193,167,854</w:t>
            </w: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35,877,254</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39,234,940</w:t>
            </w:r>
          </w:p>
        </w:tc>
      </w:tr>
      <w:tr>
        <w:trPr>
          <w:trHeight w:val="25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Crown Holdings, Inc. Stock Fund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16,136,083</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15,374,446</w:t>
            </w:r>
          </w:p>
        </w:tc>
      </w:tr>
      <w:tr>
        <w:trPr>
          <w:trHeight w:val="250"/>
        </w:trPr>
        <w:tc>
          <w:tcPr>
            <w:tcW w:w="6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20"/>
                <w:szCs w:val="20"/>
                <w:b w:val="1"/>
                <w:bCs w:val="1"/>
                <w:color w:val="auto"/>
              </w:rPr>
              <w:t>Total investments, at fair value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287,249,512</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247,777,240</w:t>
            </w:r>
          </w:p>
        </w:tc>
      </w:tr>
      <w:tr>
        <w:trPr>
          <w:trHeight w:val="196"/>
        </w:trPr>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Receivables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4,495,598</w:t>
            </w:r>
          </w:p>
        </w:tc>
        <w:tc>
          <w:tcPr>
            <w:tcW w:w="13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3,757,912</w:t>
            </w:r>
          </w:p>
        </w:tc>
      </w:tr>
      <w:tr>
        <w:trPr>
          <w:trHeight w:val="250"/>
        </w:trPr>
        <w:tc>
          <w:tcPr>
            <w:tcW w:w="60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20"/>
                <w:szCs w:val="20"/>
                <w:b w:val="1"/>
                <w:bCs w:val="1"/>
                <w:color w:val="auto"/>
              </w:rPr>
              <w:t>Total receivables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4,495,598</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3,757,912</w:t>
            </w:r>
          </w:p>
        </w:tc>
      </w:tr>
      <w:tr>
        <w:trPr>
          <w:trHeight w:val="196"/>
        </w:trPr>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6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291,745,110</w:t>
            </w: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251,535,152</w:t>
            </w: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00" w:type="dxa"/>
            <w:vAlign w:val="bottom"/>
            <w:shd w:val="clear" w:color="auto" w:fill="CCEEFF"/>
          </w:tcPr>
          <w:p>
            <w:pPr>
              <w:spacing w:after="0"/>
              <w:rPr>
                <w:sz w:val="22"/>
                <w:szCs w:val="22"/>
                <w:color w:val="auto"/>
              </w:rPr>
            </w:pPr>
          </w:p>
        </w:tc>
        <w:tc>
          <w:tcPr>
            <w:tcW w:w="2560" w:type="dxa"/>
            <w:vAlign w:val="bottom"/>
            <w:gridSpan w:val="2"/>
            <w:shd w:val="clear" w:color="auto" w:fill="CCEEFF"/>
          </w:tcPr>
          <w:p>
            <w:pPr>
              <w:jc w:val="right"/>
              <w:ind w:right="13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6"/>
        </w:trPr>
        <w:tc>
          <w:tcPr>
            <w:tcW w:w="6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75"/>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291,745,110</w:t>
            </w: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251,535,152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0420"/>
          </w:cols>
          <w:pgMar w:left="320" w:top="918" w:right="1159" w:bottom="7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420"/>
          </w:cols>
          <w:pgMar w:left="320" w:top="918" w:right="1159" w:bottom="767"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401(k) RETIREMENT SAVINGS PLAN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2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4260" w:type="dxa"/>
            <w:vAlign w:val="bottom"/>
            <w:tcBorders>
              <w:top w:val="single" w:sz="8" w:color="auto"/>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r>
      <w:tr>
        <w:trPr>
          <w:trHeight w:val="263"/>
        </w:trPr>
        <w:tc>
          <w:tcPr>
            <w:tcW w:w="6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4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Additions/Changes: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6"/>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income (loss):</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7,034,090</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7,563,956</w:t>
            </w:r>
          </w:p>
        </w:tc>
      </w:tr>
      <w:tr>
        <w:trPr>
          <w:trHeight w:val="257"/>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20"/>
                <w:szCs w:val="20"/>
                <w:color w:val="auto"/>
              </w:rPr>
              <w:t>Net appreciation (depreciation) in fair value of investments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33,709,888</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(55,976,318)</w:t>
            </w:r>
          </w:p>
        </w:tc>
      </w:tr>
      <w:tr>
        <w:trPr>
          <w:trHeight w:val="250"/>
        </w:trPr>
        <w:tc>
          <w:tcPr>
            <w:tcW w:w="6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investment income (loss)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40,743,978</w:t>
            </w:r>
          </w:p>
        </w:tc>
        <w:tc>
          <w:tcPr>
            <w:tcW w:w="13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(48,412,362)</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income, notes receivable from participants</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271,329</w:t>
            </w:r>
          </w:p>
        </w:tc>
        <w:tc>
          <w:tcPr>
            <w:tcW w:w="13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167,706</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Contributions: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7"/>
        </w:trPr>
        <w:tc>
          <w:tcPr>
            <w:tcW w:w="60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Employer</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4,342,472</w:t>
            </w: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3,071,751</w:t>
            </w:r>
          </w:p>
        </w:tc>
      </w:tr>
      <w:tr>
        <w:trPr>
          <w:trHeight w:val="257"/>
        </w:trPr>
        <w:tc>
          <w:tcPr>
            <w:tcW w:w="6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0"/>
                <w:szCs w:val="20"/>
                <w:color w:val="auto"/>
              </w:rPr>
              <w:t>Participant</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15,949,173</w:t>
            </w:r>
          </w:p>
        </w:tc>
        <w:tc>
          <w:tcPr>
            <w:tcW w:w="13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14,694,059</w:t>
            </w:r>
          </w:p>
        </w:tc>
      </w:tr>
      <w:tr>
        <w:trPr>
          <w:trHeight w:val="250"/>
        </w:trPr>
        <w:tc>
          <w:tcPr>
            <w:tcW w:w="60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20"/>
                <w:szCs w:val="20"/>
                <w:b w:val="1"/>
                <w:bCs w:val="1"/>
                <w:color w:val="auto"/>
              </w:rPr>
              <w:t>Total contributions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20,291,645</w:t>
            </w:r>
          </w:p>
        </w:tc>
        <w:tc>
          <w:tcPr>
            <w:tcW w:w="13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17,765,810</w:t>
            </w:r>
          </w:p>
        </w:tc>
      </w:tr>
      <w:tr>
        <w:trPr>
          <w:trHeight w:val="250"/>
        </w:trPr>
        <w:tc>
          <w:tcPr>
            <w:tcW w:w="6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additions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31,493</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71,121</w:t>
            </w:r>
          </w:p>
        </w:tc>
      </w:tr>
      <w:tr>
        <w:trPr>
          <w:trHeight w:val="250"/>
        </w:trPr>
        <w:tc>
          <w:tcPr>
            <w:tcW w:w="6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additions/changes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61,338,445</w:t>
            </w:r>
          </w:p>
        </w:tc>
        <w:tc>
          <w:tcPr>
            <w:tcW w:w="13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(30,407,725)</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6"/>
        </w:trPr>
        <w:tc>
          <w:tcPr>
            <w:tcW w:w="6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21,206,880</w:t>
            </w: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16,890,017</w:t>
            </w: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Administrative expenses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241,269</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257,607</w:t>
            </w:r>
          </w:p>
        </w:tc>
      </w:tr>
      <w:tr>
        <w:trPr>
          <w:trHeight w:val="25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Other deductions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91,909</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6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20"/>
                <w:szCs w:val="20"/>
                <w:b w:val="1"/>
                <w:bCs w:val="1"/>
                <w:color w:val="auto"/>
              </w:rPr>
              <w:t>Total deductions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21,540,058</w:t>
            </w:r>
          </w:p>
        </w:tc>
        <w:tc>
          <w:tcPr>
            <w:tcW w:w="13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17,147,624</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 (decrease)</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39,798,387</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(47,555,349)</w:t>
            </w: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from Crown Cork &amp; Seal Company Inc. Retirement Thrift Plan</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522,521</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5,892,369</w:t>
            </w: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Crown Cork &amp; Seal Company Inc. Retirement Thrift Plan</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(110,950)</w:t>
            </w: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(54,285)</w:t>
            </w: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7"/>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20"/>
                <w:szCs w:val="20"/>
                <w:color w:val="auto"/>
              </w:rPr>
              <w:t>Beginning of year</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251,535,152</w:t>
            </w:r>
          </w:p>
        </w:tc>
        <w:tc>
          <w:tcPr>
            <w:tcW w:w="1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293,252,417</w:t>
            </w:r>
          </w:p>
        </w:tc>
      </w:tr>
      <w:tr>
        <w:trPr>
          <w:trHeight w:val="275"/>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End of year</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291,745,110</w:t>
            </w:r>
          </w:p>
        </w:tc>
        <w:tc>
          <w:tcPr>
            <w:tcW w:w="1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251,535,152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40"/>
          </w:cols>
          <w:pgMar w:left="320" w:top="1404" w:right="9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PLAN</w:t>
      </w:r>
    </w:p>
    <w:p>
      <w:pPr>
        <w:spacing w:after="0" w:line="24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Employees are automatically enrolled on the first of the month following 30 days of service with a before-tax contribution rate of 6% unless they affirmatively elect not to participate in the Plan or elect to contribute at a different rate. The Plan is subject to the provisions of the Employee Retirement Income Security Act of 1974 (“ERISA”).</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20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Secure 2.0 Act of 2022 was signed into law on December 29, 2022. This legislation includes a vast array of provisional changes to retirement plans. Plan management is adopting any mandatory provisions as they become applicable and evaluating those provisions deemed discretionary.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Contributions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Plan has two contribution components: a participant salary deferral 401(k) component and a Company matching contribution component. The Plan allows before-tax and Roth participant contributions of 2% to 75% of eligible compensation. The Plan also allows after-tax participant contributions of 1% to 15% of eligible compensation. Catch-up contributions are permitted by the Plan. Contributions may be matched by the Company at various rates as determined by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Participant Accounts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participant's account is credited with (a) the participant's contributions, (b) the Company's contribution and (c) Plan earnings, and charged with administrative fees. The benefit to which a participant is entitled is the benefit that can be provided from the participant's vested account.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Participants are immediately vested in their contributions plus actual earnings thereon. Vesting in the Company's contribution plus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2023 and 2022 range from 4.25% to 9.50% and 4.25% to 8.50%, respectively.</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8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Principal and interest are paid ratably through monthly payroll deductions. A participant may not have more than two outstanding notes receivable at any one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An active employee may take an in-service withdrawal if he or she has attained age 59.5 or if other criteria are met as defined in the Plan document. All distributions are paid in either cash or Company stock at the participant's election.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Forfeited Accounts</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When certain terminations of participation in the Plan occur, the non-vested portion of the participant's account, as defined, represents a forfeiture. Total unallocated forfeitures, which will be used to reduce future Company contributions, were $0 at December 31, 2023 and 2022, respectively. Forfeitures used to offset Company contributions in 2023 and 2022 totaled $230,691 and $194,617,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Transfers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participant's balance may be transferred to or from the Crown Cork &amp; Seal Company, Inc. Retirement Thrift Plan due to an employee's eligibility changing as a result of a promotion or relocation.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Plan Termination</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Accounting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financial statements of the Plan are prepared under the accrual basis of accounting.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Investment Valuation and Income Recognition</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Purchases and sales of securities are recorded on the trade-date basis. Interest income is recorded on the accrual basis. Dividends are recorded on the ex-dividend date. Net appreciation (depreciation) includes the Plan’s gains and losses on investments bought and sold as well as held during the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Notes Receivable From Participants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2023 and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Recordkeeping expenses, investment advisory fees, and miscellaneous administrative fees are charged directly to the participant’s account and are included in administrative expenses. Investment related expenses are included in net appreciation (depreciation) in fair value of investments. Expenses paid by the Company are excluded from these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99"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87" w:lineRule="exact"/>
        <w:rPr>
          <w:sz w:val="20"/>
          <w:szCs w:val="20"/>
          <w:color w:val="auto"/>
        </w:rPr>
      </w:pPr>
    </w:p>
    <w:p>
      <w:pPr>
        <w:ind w:left="660" w:hanging="419"/>
        <w:spacing w:after="0" w:line="269"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such as:</w:t>
      </w:r>
    </w:p>
    <w:p>
      <w:pPr>
        <w:spacing w:after="0" w:line="200"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inactive markets;</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 or liability;</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34"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88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instruments measured at fair value on a recurring basis for the Plan:</w:t>
      </w:r>
    </w:p>
    <w:p>
      <w:pPr>
        <w:spacing w:after="0" w:line="144" w:lineRule="exact"/>
        <w:rPr>
          <w:sz w:val="20"/>
          <w:szCs w:val="20"/>
          <w:color w:val="auto"/>
        </w:rPr>
      </w:pPr>
    </w:p>
    <w:tbl>
      <w:tblPr>
        <w:tblLayout w:type="fixed"/>
        <w:tblInd w:w="940" w:type="dxa"/>
        <w:tblCellMar>
          <w:top w:w="0" w:type="dxa"/>
          <w:left w:w="0" w:type="dxa"/>
          <w:bottom w:w="0" w:type="dxa"/>
          <w:right w:w="0" w:type="dxa"/>
        </w:tblCellMar>
      </w:tblPr>
      <w:tr>
        <w:trPr>
          <w:trHeight w:val="266"/>
        </w:trPr>
        <w:tc>
          <w:tcPr>
            <w:tcW w:w="47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2023</w:t>
            </w:r>
          </w:p>
        </w:tc>
      </w:tr>
      <w:tr>
        <w:trPr>
          <w:trHeight w:val="254"/>
        </w:trPr>
        <w:tc>
          <w:tcPr>
            <w:tcW w:w="4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80" w:type="dxa"/>
            <w:vAlign w:val="bottom"/>
          </w:tcPr>
          <w:p>
            <w:pPr>
              <w:spacing w:after="0"/>
              <w:rPr>
                <w:sz w:val="22"/>
                <w:szCs w:val="22"/>
                <w:color w:val="auto"/>
              </w:rPr>
            </w:pPr>
          </w:p>
        </w:tc>
        <w:tc>
          <w:tcPr>
            <w:tcW w:w="1320" w:type="dxa"/>
            <w:vAlign w:val="bottom"/>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47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r>
      <w:tr>
        <w:trPr>
          <w:trHeight w:val="256"/>
        </w:trPr>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235,236,175</w:t>
            </w:r>
          </w:p>
        </w:tc>
        <w:tc>
          <w:tcPr>
            <w:tcW w:w="124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235,236,175</w:t>
            </w:r>
          </w:p>
        </w:tc>
      </w:tr>
      <w:tr>
        <w:trPr>
          <w:trHeight w:val="25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16,136,083</w:t>
            </w:r>
          </w:p>
        </w:tc>
        <w:tc>
          <w:tcPr>
            <w:tcW w:w="12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16,136,083</w:t>
            </w:r>
          </w:p>
        </w:tc>
      </w:tr>
      <w:tr>
        <w:trPr>
          <w:trHeight w:val="196"/>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2"/>
        </w:trPr>
        <w:tc>
          <w:tcPr>
            <w:tcW w:w="4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251,372,258</w:t>
            </w:r>
          </w:p>
        </w:tc>
        <w:tc>
          <w:tcPr>
            <w:tcW w:w="1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251,372,258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63"/>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35,877,254</w:t>
            </w:r>
          </w:p>
        </w:tc>
      </w:tr>
      <w:tr>
        <w:trPr>
          <w:trHeight w:val="196"/>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287,249,512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29"/>
        </w:trPr>
        <w:tc>
          <w:tcPr>
            <w:tcW w:w="4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Assets at Fair Value as of December 31, 2022</w:t>
            </w:r>
          </w:p>
        </w:tc>
      </w:tr>
      <w:tr>
        <w:trPr>
          <w:trHeight w:val="254"/>
        </w:trPr>
        <w:tc>
          <w:tcPr>
            <w:tcW w:w="4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6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80" w:type="dxa"/>
            <w:vAlign w:val="bottom"/>
          </w:tcPr>
          <w:p>
            <w:pPr>
              <w:spacing w:after="0"/>
              <w:rPr>
                <w:sz w:val="22"/>
                <w:szCs w:val="22"/>
                <w:color w:val="auto"/>
              </w:rPr>
            </w:pPr>
          </w:p>
        </w:tc>
        <w:tc>
          <w:tcPr>
            <w:tcW w:w="1320" w:type="dxa"/>
            <w:vAlign w:val="bottom"/>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7"/>
        </w:trPr>
        <w:tc>
          <w:tcPr>
            <w:tcW w:w="47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r>
      <w:tr>
        <w:trPr>
          <w:trHeight w:val="256"/>
        </w:trPr>
        <w:tc>
          <w:tcPr>
            <w:tcW w:w="4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companies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193,167,854</w:t>
            </w:r>
          </w:p>
        </w:tc>
        <w:tc>
          <w:tcPr>
            <w:tcW w:w="124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193,167,854</w:t>
            </w:r>
          </w:p>
        </w:tc>
      </w:tr>
      <w:tr>
        <w:trPr>
          <w:trHeight w:val="25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Company common stock fund</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15,374,446</w:t>
            </w:r>
          </w:p>
        </w:tc>
        <w:tc>
          <w:tcPr>
            <w:tcW w:w="12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15,374,446</w:t>
            </w:r>
          </w:p>
        </w:tc>
      </w:tr>
      <w:tr>
        <w:trPr>
          <w:trHeight w:val="196"/>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2"/>
        </w:trPr>
        <w:tc>
          <w:tcPr>
            <w:tcW w:w="4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Total assets in fair value hierarchy</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208,542,300</w:t>
            </w:r>
          </w:p>
        </w:tc>
        <w:tc>
          <w:tcPr>
            <w:tcW w:w="1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208,542,300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63"/>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measured at net asset value (a)</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39,234,940</w:t>
            </w:r>
          </w:p>
        </w:tc>
      </w:tr>
      <w:tr>
        <w:trPr>
          <w:trHeight w:val="196"/>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81"/>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247,777,240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980" w:hanging="324"/>
        <w:spacing w:after="0" w:line="261" w:lineRule="auto"/>
        <w:tabs>
          <w:tab w:leader="none" w:pos="9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investments that were measured at net asset value ("NAV") per share (or its equivalent) have not been classified in the fair value hierarchy. The amounts presented in this table are intended to permit reconciliation of the fair value hierarchy to the line items presented in the Statements of Net Assets Available for Benefits.</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methodologies used at December 31, 2023 and 2022.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fair value of the Company common stock fund is measured at the closing price reported on the active market on which the security held by the fund is traded.</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w:t>
      </w:r>
    </w:p>
    <w:p>
      <w:pPr>
        <w:sectPr>
          <w:pgSz w:w="11900" w:h="16838" w:orient="portrait"/>
          <w:cols w:equalWidth="0" w:num="1">
            <w:col w:w="11240"/>
          </w:cols>
          <w:pgMar w:left="320" w:top="975"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97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into “wrapper” contracts issued by third-parties and invests in cash equivalents represented by shares in a money market fund.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Measured Using NAV per Share Practical Expedient</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table summarizes investments for which fair value is measured using NAV per share practical expedient as of December 31, 2023 and 2022. There are no participant redemption restrictions for these investments; the redemption notice period is applicable only to the Plan.</w:t>
      </w:r>
    </w:p>
    <w:p>
      <w:pPr>
        <w:spacing w:after="0" w:line="326" w:lineRule="exact"/>
        <w:rPr>
          <w:sz w:val="20"/>
          <w:szCs w:val="20"/>
          <w:color w:val="auto"/>
        </w:rPr>
      </w:pPr>
    </w:p>
    <w:tbl>
      <w:tblPr>
        <w:tblLayout w:type="fixed"/>
        <w:tblInd w:w="460" w:type="dxa"/>
        <w:tblCellMar>
          <w:top w:w="0" w:type="dxa"/>
          <w:left w:w="0" w:type="dxa"/>
          <w:bottom w:w="0" w:type="dxa"/>
          <w:right w:w="0" w:type="dxa"/>
        </w:tblCellMar>
      </w:tblPr>
      <w:tr>
        <w:trPr>
          <w:trHeight w:val="266"/>
        </w:trPr>
        <w:tc>
          <w:tcPr>
            <w:tcW w:w="40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3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5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60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Notice Period</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35,877,254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523"/>
        </w:trPr>
        <w:tc>
          <w:tcPr>
            <w:tcW w:w="4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6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8"/>
              </w:rPr>
              <w:t>Unfunded</w:t>
            </w:r>
          </w:p>
        </w:tc>
        <w:tc>
          <w:tcPr>
            <w:tcW w:w="152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160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b w:val="1"/>
                <w:bCs w:val="1"/>
                <w:color w:val="auto"/>
                <w:w w:val="99"/>
              </w:rPr>
              <w:t>Redemption</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Frequency</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Notice Period</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Vanguard Retirement Savings Trust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39,234,940</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Daily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RELATED PARTY TRANSACTIONS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Plan participants invest in shares of registered investment companies and a collective trust fund managed by affiliates of VFTC. VFTC acts as trustee for investments of the Plan. Plan assets managed by affiliates of VFTC were $242,466,054 and $206,969,942 as of December 31, 2023 and 2022, respectively. Transactions in these investments qualify as party-in-interest transactions and are exempt from the prohibited transaction rules.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participants also invest in shares of the Company’s common stock through the Crown Holdings, Inc. Stock Fund. The Company’s common stock fund held approximately 175,220 and 187,014 shares of Crown Holdings, Inc. common stock representing 5.5% and 6.1% of Plan assets as of December 31, 2023 and 2022, respectively. For the years 2023 and 2022, the Company common stock fund had purchases of $3,007,149 and $4,305,469, respectively, and sales of $4,278,463 and $5,416,875, respectively. Dividend income from the Company’s common stock fund totaled $173,919 and $169,463 in 2023 and 2022, respectively.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314"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Certain administrative functions of the Plan are performed by officers or employees of the Company. No such officer or employee receives compensation from the Plan.</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88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CROWN CORK &amp; SEAL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22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IRS determined and informed the Company by letter dated August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RISKS AND UNCERTAINTIES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Statements of Net Assets Available for Benefits.</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December 31, 2023 and 2022, the Plan had investments of $101,908,377 and $94,325,514 ,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Supplemental Information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CROWN CORK &amp; SEAL COMPANY, INC. 401(k) RETIREMENT SAVINGS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6875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Cork &amp; Seal Company, Inc. 401(k) Retirement Savings Plan</w:t>
      </w:r>
    </w:p>
    <w:p>
      <w:pPr>
        <w:spacing w:after="0"/>
        <w:rPr>
          <w:sz w:val="20"/>
          <w:szCs w:val="20"/>
          <w:color w:val="auto"/>
        </w:rPr>
      </w:pPr>
      <w:r>
        <w:rPr>
          <w:rFonts w:ascii="Times New Roman" w:cs="Times New Roman" w:eastAsia="Times New Roman" w:hAnsi="Times New Roman"/>
          <w:sz w:val="18"/>
          <w:szCs w:val="18"/>
          <w:color w:val="auto"/>
        </w:rPr>
        <w:t>EIN 23-1526444 Plan No. 100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Identity of Participant-Directed Issues</w:t>
            </w:r>
          </w:p>
        </w:tc>
        <w:tc>
          <w:tcPr>
            <w:tcW w:w="29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0"/>
                <w:szCs w:val="20"/>
                <w:b w:val="1"/>
                <w:bCs w:val="1"/>
                <w:color w:val="auto"/>
              </w:rPr>
              <w:t>Investment Type</w:t>
            </w:r>
          </w:p>
        </w:tc>
        <w:tc>
          <w:tcPr>
            <w:tcW w:w="1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Current Value</w:t>
            </w:r>
          </w:p>
        </w:tc>
      </w:tr>
      <w:tr>
        <w:trPr>
          <w:trHeight w:val="257"/>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Baird Core Plus Bond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13,758,880</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DFA Emerging Markets Core Equity Portfolio</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1,660,445</w:t>
            </w:r>
          </w:p>
        </w:tc>
      </w:tr>
      <w:tr>
        <w:trPr>
          <w:trHeight w:val="257"/>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DFA US Targeted Value Portfolio</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1,314,296</w:t>
            </w: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Fidelity Small Cap Growth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11,427,537</w:t>
            </w:r>
          </w:p>
        </w:tc>
      </w:tr>
      <w:tr>
        <w:trPr>
          <w:trHeight w:val="257"/>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rPr>
              <w:t>T. Rowe Price International Discovery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486,217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Developed Markets Index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6,275,067</w:t>
            </w:r>
          </w:p>
        </w:tc>
      </w:tr>
      <w:tr>
        <w:trPr>
          <w:trHeight w:val="25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International Growth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10,364,965</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Russell 1000 Growth Index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7,882,710</w:t>
            </w:r>
          </w:p>
        </w:tc>
      </w:tr>
      <w:tr>
        <w:trPr>
          <w:trHeight w:val="25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Cash Reserve Federal Money Market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163,102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2020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3,055,526</w:t>
            </w:r>
          </w:p>
        </w:tc>
      </w:tr>
      <w:tr>
        <w:trPr>
          <w:trHeight w:val="25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2025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13,439,400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2030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13,151,210</w:t>
            </w:r>
          </w:p>
        </w:tc>
      </w:tr>
      <w:tr>
        <w:trPr>
          <w:trHeight w:val="2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2035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14,589,403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2040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8,143,896</w:t>
            </w:r>
          </w:p>
        </w:tc>
      </w:tr>
      <w:tr>
        <w:trPr>
          <w:trHeight w:val="25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2045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10,885,420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2050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8,412,670</w:t>
            </w:r>
          </w:p>
        </w:tc>
      </w:tr>
      <w:tr>
        <w:trPr>
          <w:trHeight w:val="2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2055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7,657,970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2060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2,476,733</w:t>
            </w:r>
          </w:p>
        </w:tc>
      </w:tr>
      <w:tr>
        <w:trPr>
          <w:trHeight w:val="2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2065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1,085,311</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2070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33,687</w:t>
            </w:r>
          </w:p>
        </w:tc>
      </w:tr>
      <w:tr>
        <w:trPr>
          <w:trHeight w:val="2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Target Retirement Income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6,004,228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Total Stock Market Index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66,031,123</w:t>
            </w:r>
          </w:p>
        </w:tc>
      </w:tr>
      <w:tr>
        <w:trPr>
          <w:trHeight w:val="2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Wellington Fund</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19,892,218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Windsor II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Registered Investment Company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7,044,161</w:t>
            </w:r>
          </w:p>
        </w:tc>
      </w:tr>
      <w:tr>
        <w:trPr>
          <w:trHeight w:val="2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Vanguard Retirement Savings Trust</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Collective Trust Fund</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35,877,254</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Crown Holdings, Inc. Stock Fund</w:t>
            </w:r>
          </w:p>
        </w:tc>
        <w:tc>
          <w:tcPr>
            <w:tcW w:w="2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Common Stock Fund</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16,136,083</w:t>
            </w:r>
          </w:p>
        </w:tc>
      </w:tr>
      <w:tr>
        <w:trPr>
          <w:trHeight w:val="25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Notes receivable from participants</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rates: 4.25% - 9.50%</w:t>
            </w:r>
          </w:p>
        </w:tc>
        <w:tc>
          <w:tcPr>
            <w:tcW w:w="10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4,495,598</w:t>
            </w:r>
          </w:p>
        </w:tc>
      </w:tr>
      <w:tr>
        <w:trPr>
          <w:trHeight w:val="250"/>
        </w:trPr>
        <w:tc>
          <w:tcPr>
            <w:tcW w:w="56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Assets (Held at End of Year)</w:t>
            </w:r>
          </w:p>
        </w:tc>
        <w:tc>
          <w:tcPr>
            <w:tcW w:w="2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291,745,110</w:t>
            </w:r>
          </w:p>
        </w:tc>
      </w:tr>
      <w:tr>
        <w:trPr>
          <w:trHeight w:val="21"/>
        </w:trPr>
        <w:tc>
          <w:tcPr>
            <w:tcW w:w="5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Party-in-Interest as defined by ERISA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20"/>
          </w:cols>
          <w:pgMar w:left="540" w:top="567" w:right="5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86"/>
        </w:trPr>
        <w:tc>
          <w:tcPr>
            <w:tcW w:w="2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68"/>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Number</w:t>
            </w:r>
          </w:p>
        </w:tc>
        <w:tc>
          <w:tcPr>
            <w:tcW w:w="5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r>
        <w:trPr>
          <w:trHeight w:val="250"/>
        </w:trPr>
        <w:tc>
          <w:tcPr>
            <w:tcW w:w="144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7"/>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Crown Cork &amp; Seal Company, Inc.</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401(k) Retirement Savings Plan</w:t>
      </w:r>
    </w:p>
    <w:p>
      <w:pPr>
        <w:spacing w:after="0" w:line="200" w:lineRule="exact"/>
        <w:rPr>
          <w:sz w:val="20"/>
          <w:szCs w:val="20"/>
          <w:color w:val="auto"/>
        </w:rPr>
      </w:pPr>
    </w:p>
    <w:p>
      <w:pPr>
        <w:spacing w:after="0" w:line="345"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Christy L. Kalaus</w:t>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June 21, 2024</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91"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 (No. 333-140991) on Form S-8 of our report dated June 23, 2023, which appears in this annual report on Form 11-K of the Crown Cork &amp; Seal Company, Inc. 401(k) Retirement Savings Plan for the year ended December 31, 2023.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21, 2024</w:t>
      </w:r>
    </w:p>
    <w:p>
      <w:pPr>
        <w:sectPr>
          <w:pgSz w:w="11900" w:h="16838" w:orient="portrait"/>
          <w:cols w:equalWidth="0" w:num="1">
            <w:col w:w="11240"/>
          </w:cols>
          <w:pgMar w:left="320" w:top="112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 (No. 333-140991) on Form S-8 of our report dated June 21, 2024, relating to the financial statements and supplemental schedule, appearing in this Annual Report on Form 11-K of the Crown Cork &amp; Seal Company, Inc. 401(k) Retirement Savings Plan for the year ended December 31, 2023.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21, 2024</w:t>
      </w:r>
    </w:p>
    <w:sectPr>
      <w:pgSz w:w="11900" w:h="16838" w:orient="portrait"/>
      <w:cols w:equalWidth="0" w:num="1">
        <w:col w:w="11240"/>
      </w:cols>
      <w:pgMar w:left="320" w:top="1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2024-06-21T12:52:29Z</dcterms:created>
  <dcterms:modified xsi:type="dcterms:W3CDTF">2024-06-21T12:52:29Z</dcterms:modified>
</cp:coreProperties>
</file>