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18, 2018</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Crown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Philadelphia, Pennsylvania 19154-4599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Soliciting material pursuant to Rule 14a-12 under the Exchange Act (17CFR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Arial" w:cs="Arial" w:eastAsia="Arial" w:hAnsi="Arial"/>
          <w:sz w:val="18"/>
          <w:szCs w:val="18"/>
          <w:b w:val="1"/>
          <w:bCs w:val="1"/>
          <w:color w:val="auto"/>
        </w:rPr>
        <w:t>o</w:t>
      </w:r>
    </w:p>
    <w:p>
      <w:pPr>
        <w:spacing w:after="0" w:line="3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68" w:right="25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219"/>
          </w:cols>
          <w:pgMar w:left="240" w:top="1104" w:right="1440"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104" w:right="1440" w:bottom="415"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On July 18, 2018 Crown Holdings, Inc. issued a press release announcing its earnings for the second quarter ended June 30, 2018.</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copy of the press release is attached hereto as Exhibit 99 and incorporated herein by reference.</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99. Crown Holdings, Inc. press release dated July 18, 2018.</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44" w:right="2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July 18, 2018</w:t>
      </w:r>
    </w:p>
    <w:p>
      <w:pPr>
        <w:sectPr>
          <w:pgSz w:w="11900" w:h="16838" w:orient="portrait"/>
          <w:cols w:equalWidth="0" w:num="1">
            <w:col w:w="11240"/>
          </w:cols>
          <w:pgMar w:left="240" w:top="1090" w:right="41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1090" w:right="419" w:bottom="1037" w:gutter="0" w:footer="0" w:header="0"/>
          <w:type w:val="continuous"/>
        </w:sectPr>
      </w:pPr>
    </w:p>
    <w:bookmarkStart w:id="4" w:name="page5"/>
    <w:bookmarkEnd w:id="4"/>
    <w:p>
      <w:pPr>
        <w:ind w:left="416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Arial" w:cs="Arial" w:eastAsia="Arial" w:hAnsi="Arial"/>
                <w:sz w:val="22"/>
                <w:szCs w:val="22"/>
                <w:color w:val="auto"/>
              </w:rPr>
              <w:t>Exhibit Number</w:t>
            </w:r>
          </w:p>
        </w:tc>
        <w:tc>
          <w:tcPr>
            <w:tcW w:w="5760" w:type="dxa"/>
            <w:vAlign w:val="bottom"/>
          </w:tcPr>
          <w:p>
            <w:pPr>
              <w:spacing w:after="0"/>
              <w:rPr>
                <w:sz w:val="20"/>
                <w:szCs w:val="20"/>
                <w:color w:val="auto"/>
              </w:rPr>
            </w:pPr>
            <w:r>
              <w:rPr>
                <w:rFonts w:ascii="Arial" w:cs="Arial" w:eastAsia="Arial" w:hAnsi="Arial"/>
                <w:sz w:val="22"/>
                <w:szCs w:val="22"/>
                <w:color w:val="auto"/>
              </w:rPr>
              <w:t>Description</w:t>
            </w:r>
          </w:p>
        </w:tc>
      </w:tr>
      <w:tr>
        <w:trPr>
          <w:trHeight w:val="544"/>
        </w:trPr>
        <w:tc>
          <w:tcPr>
            <w:tcW w:w="2100" w:type="dxa"/>
            <w:vAlign w:val="bottom"/>
          </w:tcPr>
          <w:p>
            <w:pPr>
              <w:spacing w:after="0"/>
              <w:rPr>
                <w:sz w:val="20"/>
                <w:szCs w:val="20"/>
                <w:color w:val="auto"/>
              </w:rPr>
            </w:pPr>
            <w:r>
              <w:rPr>
                <w:rFonts w:ascii="Arial" w:cs="Arial" w:eastAsia="Arial" w:hAnsi="Arial"/>
                <w:sz w:val="22"/>
                <w:szCs w:val="22"/>
                <w:color w:val="auto"/>
              </w:rPr>
              <w:t>99</w:t>
            </w:r>
          </w:p>
        </w:tc>
        <w:tc>
          <w:tcPr>
            <w:tcW w:w="5760" w:type="dxa"/>
            <w:vAlign w:val="bottom"/>
            <w:tcBorders>
              <w:bottom w:val="single" w:sz="8" w:color="0000FF"/>
            </w:tcBorders>
          </w:tcPr>
          <w:p>
            <w:pPr>
              <w:spacing w:after="0"/>
              <w:rPr>
                <w:rFonts w:ascii="Arial" w:cs="Arial" w:eastAsia="Arial" w:hAnsi="Arial"/>
                <w:sz w:val="22"/>
                <w:szCs w:val="22"/>
                <w:color w:val="0000FF"/>
                <w:w w:val="87"/>
              </w:rPr>
            </w:pPr>
            <w:hyperlink w:anchor="page6">
              <w:r>
                <w:rPr>
                  <w:rFonts w:ascii="Arial" w:cs="Arial" w:eastAsia="Arial" w:hAnsi="Arial"/>
                  <w:sz w:val="22"/>
                  <w:szCs w:val="22"/>
                  <w:color w:val="0000FF"/>
                  <w:w w:val="87"/>
                </w:rPr>
                <w:t>Press release, dated July 18, 2018, issued by Crown Holdings, Inc.</w:t>
              </w:r>
            </w:hyperlink>
          </w:p>
        </w:tc>
      </w:tr>
    </w:tbl>
    <w:p>
      <w:pPr>
        <w:spacing w:after="0" w:line="200" w:lineRule="exact"/>
        <w:rPr>
          <w:sz w:val="20"/>
          <w:szCs w:val="20"/>
          <w:color w:val="auto"/>
        </w:rPr>
      </w:pPr>
    </w:p>
    <w:p>
      <w:pPr>
        <w:sectPr>
          <w:pgSz w:w="11900" w:h="16838" w:orient="portrait"/>
          <w:cols w:equalWidth="0" w:num="1">
            <w:col w:w="9699"/>
          </w:cols>
          <w:pgMar w:left="760" w:top="1050" w:right="1440" w:bottom="7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99"/>
          </w:cols>
          <w:pgMar w:left="760" w:top="1050" w:right="1440" w:bottom="726"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461010</wp:posOffset>
            </wp:positionV>
            <wp:extent cx="600329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32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SECOND QUARTER 2018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165735</wp:posOffset>
            </wp:positionV>
            <wp:extent cx="600329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32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Philadelphia, PA - July 18, 2018. </w:t>
      </w:r>
      <w:r>
        <w:rPr>
          <w:rFonts w:ascii="Arial" w:cs="Arial" w:eastAsia="Arial" w:hAnsi="Arial"/>
          <w:sz w:val="16"/>
          <w:szCs w:val="16"/>
          <w:color w:val="auto"/>
        </w:rPr>
        <w:t>Crown Holdings, Inc. (NYSE: CCK) today announced its financial results for the second quarter ended June 30,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225" w:lineRule="exact"/>
        <w:rPr>
          <w:sz w:val="20"/>
          <w:szCs w:val="20"/>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Earnings per share $0.99 versus $0.94 in 2017</w:t>
      </w:r>
    </w:p>
    <w:p>
      <w:pPr>
        <w:spacing w:after="0" w:line="27"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Adjusted earnings per share $1.55 versus $1.17 in 2017</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Global beverage can volumes grew 4% in the quarter and year-to-date</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Transit Packaging acquisition completed April 3, 2018</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sales in the second quarter were $3,046 million compared to $2,161 million in the second quarter of 2017 reflecting the impact of the Signode acquisition, an increase in beverage can volumes, the pass through of higher material costs to customers and $77 million of favorable currency translation.</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from operations was $292 million in the quarter compared to $259 million in the second quarter of 2017. Segment income increased to $389 million in the second quarter compared to $295 million in the prior year second quarter primarily due to the Signode acquisition.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Commenting on the quarter, Timothy J. Donahue, President and Chief Executive Officer, stated, “We performed well in the second quarter. We saw solid gains in global beverage can shipments and excellent operating results in our European Food and newly-acquired Transit Packaging businesses. Global beverage can volume growth of over 4% was propelled by strong demand in Brazil, North America and Southeast Asia. This strong operational performance was somewhat offset by macroeconomic headwinds from elevated freight costs in North America and foreign currency losses in Brazil due to the strength of the U.S. dollar. We have revised our full year outlook with the expectation that elevated freight costs and the strength of the dollar will continue for the remainder of the year.</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announced, the Company completed the acquisition of the Transit Packaging business on April 3, 2018. Transit Packaging made a significant contribution during the second quarter with continued growth across its leading equipment and tools businesses and is well positioned to continue to grow in the future. On August 1, 2018, Bob Bourque, previously the President of the Asia Pacific division, will become the President of Transit Packaging. I am confident that Bob will be an outstanding leader of this important business. On behalf of the Company, I would also like to thank Mark Burgess for his support throughout the transition.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the continually expanding demand for beverage cans, our global growth projects remain on schedule. We began production at a new one-line beverage can plant in Yangon, Myanmar earlier this month. The two-line beverage can plant in Valencia, Spain will commence operations during the fourth quarter. We are also constructing a third beverage can line at the Company’s existing plant in Phnom Penh, Cambodia to start production during the fourth quarter.”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$103 million in the second quarter of 2018 compared to $61 million in 2017 primarily due to higher outstanding debt from borrowings incurred to finance the Signode acquisition.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Crown Holdings in the second quarter was $132 million compared to $128 million in the second quarter of 2017. Reported diluted earnings per share were $0.99 in the second quarter of 2018 compared to $0.94 in 2017. Adjusted diluted earnings per share increased to $1.55 over the $1.17 in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20"/>
          </w:cols>
          <w:pgMar w:left="240" w:top="852"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Results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the first six months of 2018 increased to $5,243 million compared to $4,062 million in the first six months of 2017 primarily due to the impact of the Signode acquisition, increased beverage can volumes, the pass through of higher material costs to customers and $198 million of favorable currency translation.</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Income from operations was $513 million in the first half of 2018 compared to $484 million in the first half of 2017. Segment income in the first half of 2018 increased to $634 million over the $521 million in the prior year period reflecting the Signode acquisition and increased beverage can volumes.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$177 million for the first six months of 2018 compared to $123 million in 2017 primarily due to higher outstanding debt from borrowings incurred to finance the Signode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Crown Holdings in the first six months of 2018 was $222 million compared to $235 million in the first six months of 2017.</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Reported diluted earnings per share were $1.66 compared to $1.71 in 2017. Adjusted diluted earnings per share increased to $2.49 over the $1.94 in 2017.</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currently expects third quarter and full year 2018 adjusted diluted earnings to be in the ranges of $1.60 to $1.70 and $5.15 to $5.30 per share, respectively.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Compared to its prior guidance, the Company is reducing its full year earnings estimate primarily due, in equal parts, to continued elevated freight costs in North America and the impact of foreign currency translation from the strength of the U.S. dollar.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adjusted effective income tax rate for the full year of 2018 is expected to be between 25% and 26%, although it may vary from quarter to quarter. Adjusted free cash flow, as defined below, is currently expected to be approximately $625 million for 2018 and $775 million for 2019, unchanged from prior guidance.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Segment income, adjusted free cash flow, adjusted net income, the adjusted effective tax rate and adjusted diluted earnings per share are not defined terms under U.S. generally accepted accounting principles (non-GAAP measures). Non-GAAP measures should not be considered in isolation or as a substitute for income from operations, net income, diluted earnings per share or cash flow data prepared in accordance with U.S. GAAP and may not be comparable to calculations of similarly titled measures by other companies.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views segment income as the principal measure of the performance of its operations and adjusted free cash flow as the principal measure of its liquidity. The Company considers both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Reconciliations of estimated adjusted diluted earnings per share for the third quarter and full year of 2018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costs, asset impairment charges, acquisition related costs including fair value adjustments to inventory, asbestos-related charges, losses from early extinguishment of debt, the tax impact of the items above, and the impact of tax law changes or other tax matters. The Company believes that adjusted free cash flow provides a meaningful measure of liquidity and a useful basis for assessing the Company’s ability to fund its activities, including the financing of acquisitions, debt repayments, share repurchases or possible future dividends. Segment income, adjusted free cash flow, the adjusted effective tax rate, adjusted net income and adjusted diluted earnings per share are derived from the Company’s Consolidated Statements of Operations and Cash Flows and Consolidated Balance Sheets, as applicable, and reconciliations to segment income, adjusted free c</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420"/>
          </w:cols>
          <w:pgMar w:left="240" w:top="852"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ash flow, the adjusted effective tax rate, adjusted net income and adjusted diluted earnings per share can be found within this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Company will hold a conference call tomorrow, July 19, 2018 at 9:00 a.m. (EDT) to discuss this news release. Forward-looking and other material information may be discussed on the conference call. The dial-in numbers for the conference call are (630) 395-0194 or toll-free (888) 324-8108 and the access password is “packaging.” A live webcast of the call will be made available to the public on the internet at the Company’s website, </w:t>
      </w:r>
      <w:r>
        <w:rPr>
          <w:rFonts w:ascii="Arial" w:cs="Arial" w:eastAsia="Arial" w:hAnsi="Arial"/>
          <w:sz w:val="18"/>
          <w:szCs w:val="18"/>
          <w:u w:val="single" w:color="auto"/>
          <w:color w:val="0000FF"/>
        </w:rPr>
        <w:t>www.crowncork.com</w:t>
      </w:r>
      <w:r>
        <w:rPr>
          <w:rFonts w:ascii="Arial" w:cs="Arial" w:eastAsia="Arial" w:hAnsi="Arial"/>
          <w:sz w:val="18"/>
          <w:szCs w:val="18"/>
          <w:color w:val="000000"/>
        </w:rPr>
        <w:t>. A replay of the conference call will be available for a one-week period ending at midnight on July 26. The telephone numbers for the</w:t>
      </w:r>
      <w:r>
        <w:rPr>
          <w:rFonts w:ascii="Arial" w:cs="Arial" w:eastAsia="Arial" w:hAnsi="Arial"/>
          <w:sz w:val="18"/>
          <w:szCs w:val="18"/>
          <w:color w:val="0000FF"/>
        </w:rPr>
        <w:t xml:space="preserve"> </w:t>
      </w:r>
      <w:r>
        <w:rPr>
          <w:rFonts w:ascii="Arial" w:cs="Arial" w:eastAsia="Arial" w:hAnsi="Arial"/>
          <w:sz w:val="18"/>
          <w:szCs w:val="18"/>
          <w:color w:val="000000"/>
        </w:rPr>
        <w:t>replay are (203) 369-0126 or toll free (866) 357-4211.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Except for historical information, all other information in this press release consists of forward-looking statements. These forward-looking statements involve a number of risks, uncertainties and other factors, including the future impact of currency translation and freight costs; the continuation of performance and market trends in 2018, including consumer preference for beverage cans and increasing global beverage can demand and demand in Cambodia, Myanmar and Spain; the Company’s ability to successfully complete and begin production at capacity expansion projects within expected timelines and budgets in Cambodia, Myanmar and Spain; the Company’s ability to generate expected earnings and cash flow in 2018 and 2019; and the successful integration of Signode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2017 and in subsequent filings made prior to or after the date hereof. The Company does not intend to review or revise any particular forward-looking statement in light of future events.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Philadelphia, Pennsylvania.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700"/>
        <w:spacing w:after="0" w:line="255" w:lineRule="auto"/>
        <w:rPr>
          <w:sz w:val="20"/>
          <w:szCs w:val="20"/>
          <w:color w:val="auto"/>
        </w:rPr>
      </w:pPr>
      <w:r>
        <w:rPr>
          <w:rFonts w:ascii="Arial" w:cs="Arial" w:eastAsia="Arial" w:hAnsi="Arial"/>
          <w:sz w:val="18"/>
          <w:szCs w:val="18"/>
          <w:color w:val="auto"/>
        </w:rPr>
        <w:t>Thomas A. Kelly, Senior Vice President and Chief Financial Officer, (215) 698-5341 Thomas T. Fischer, Vice President, Investor Relations and Corporate Affairs, (215) 552-3720 Edward Bisno, Bisno Communications, (212) 717-7578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420"/>
          </w:cols>
          <w:pgMar w:left="240" w:top="852" w:right="239" w:bottom="1440" w:gutter="0" w:footer="0" w:header="0"/>
        </w:sectPr>
      </w:pPr>
    </w:p>
    <w:bookmarkStart w:id="8" w:name="page9"/>
    <w:bookmarkEnd w:id="8"/>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6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5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5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3,046</w:t>
            </w:r>
          </w:p>
        </w:tc>
        <w:tc>
          <w:tcPr>
            <w:tcW w:w="5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2,161</w:t>
            </w:r>
          </w:p>
        </w:tc>
        <w:tc>
          <w:tcPr>
            <w:tcW w:w="34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5,243</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4,062</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18"/>
        </w:trPr>
        <w:tc>
          <w:tcPr>
            <w:tcW w:w="5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2,466</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1,732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4,274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3,263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and administrative expense</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64"/>
        </w:trPr>
        <w:tc>
          <w:tcPr>
            <w:tcW w:w="516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(2)</w:t>
            </w: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292</w:t>
            </w:r>
          </w:p>
        </w:tc>
        <w:tc>
          <w:tcPr>
            <w:tcW w:w="5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259</w:t>
            </w: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513</w:t>
            </w:r>
          </w:p>
        </w:tc>
        <w:tc>
          <w:tcPr>
            <w:tcW w:w="34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484</w:t>
            </w:r>
          </w:p>
        </w:tc>
      </w:tr>
      <w:tr>
        <w:trPr>
          <w:trHeight w:val="230"/>
        </w:trPr>
        <w:tc>
          <w:tcPr>
            <w:tcW w:w="5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pension and post retirement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299</w:t>
            </w:r>
          </w:p>
        </w:tc>
        <w:tc>
          <w:tcPr>
            <w:tcW w:w="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early extinguishment of debt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w:t>
            </w:r>
          </w:p>
        </w:tc>
        <w:tc>
          <w:tcPr>
            <w:tcW w:w="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353</w:t>
            </w:r>
          </w:p>
        </w:tc>
        <w:tc>
          <w:tcPr>
            <w:tcW w:w="3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Equity earnings</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147</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260</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132</w:t>
            </w:r>
          </w:p>
        </w:tc>
        <w:tc>
          <w:tcPr>
            <w:tcW w:w="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w:t>
            </w: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attributable to Crown</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304"/>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0.99</w:t>
            </w:r>
          </w:p>
        </w:tc>
        <w:tc>
          <w:tcPr>
            <w:tcW w:w="5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0.95</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r>
      <w:tr>
        <w:trPr>
          <w:trHeight w:val="251"/>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7"/>
        </w:trPr>
        <w:tc>
          <w:tcPr>
            <w:tcW w:w="5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133,612,348</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135,273,342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133,546,223</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136,865,333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133,844,185</w:t>
            </w:r>
          </w:p>
        </w:tc>
        <w:tc>
          <w:tcPr>
            <w:tcW w:w="5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135,717,734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133,814,394</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137,364,459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Actual common shares outstanding at quarter end</w:t>
            </w: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135,174,989</w:t>
            </w: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w w:val="93"/>
              </w:rPr>
              <w:t>135,322,212</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135,174,989</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135,322,212</w:t>
            </w:r>
          </w:p>
        </w:tc>
      </w:tr>
      <w:tr>
        <w:trPr>
          <w:trHeight w:val="27"/>
        </w:trPr>
        <w:tc>
          <w:tcPr>
            <w:tcW w:w="5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300" w:right="340" w:hanging="320"/>
        <w:spacing w:after="0" w:line="277" w:lineRule="auto"/>
        <w:tabs>
          <w:tab w:leader="none" w:pos="1231"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year results have been restated to reflect new accounting guidance on the presentation of pension and postretirement expense in the statement of operations.</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reconciliation from income from operations to segment income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10</w:t>
      </w:r>
    </w:p>
    <w:p>
      <w:pPr>
        <w:sectPr>
          <w:pgSz w:w="11900" w:h="16838" w:orient="portrait"/>
          <w:cols w:equalWidth="0" w:num="1">
            <w:col w:w="11420"/>
          </w:cols>
          <w:pgMar w:left="240" w:top="852" w:right="239" w:bottom="1440" w:gutter="0" w:footer="0" w:header="0"/>
        </w:sectPr>
      </w:pPr>
    </w:p>
    <w:bookmarkStart w:id="9" w:name="page10"/>
    <w:bookmarkEnd w:id="9"/>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provisions for asbestos and restructuring and other, the impact of fair value adjustments to inventory acquired in an acquisition, and the timing impact of hedge ineffectiveness.</w:t>
      </w:r>
    </w:p>
    <w:p>
      <w:pPr>
        <w:spacing w:after="0" w:line="115"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3400" w:type="dxa"/>
            <w:vAlign w:val="bottom"/>
            <w:gridSpan w:val="6"/>
          </w:tcPr>
          <w:p>
            <w:pPr>
              <w:ind w:left="28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246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7"/>
        </w:trPr>
        <w:tc>
          <w:tcPr>
            <w:tcW w:w="3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3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6"/>
              </w:rPr>
              <w:t>292</w:t>
            </w:r>
          </w:p>
        </w:tc>
        <w:tc>
          <w:tcPr>
            <w:tcW w:w="7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259</w:t>
            </w:r>
          </w:p>
        </w:tc>
        <w:tc>
          <w:tcPr>
            <w:tcW w:w="5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513</w:t>
            </w:r>
          </w:p>
        </w:tc>
        <w:tc>
          <w:tcPr>
            <w:tcW w:w="5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3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Intangibles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32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Fair value adjustment to inventory </w:t>
            </w:r>
            <w:r>
              <w:rPr>
                <w:rFonts w:ascii="Arial" w:cs="Arial" w:eastAsia="Arial" w:hAnsi="Arial"/>
                <w:sz w:val="25"/>
                <w:szCs w:val="25"/>
                <w:color w:val="auto"/>
                <w:vertAlign w:val="superscript"/>
              </w:rPr>
              <w:t>(1)</w:t>
            </w:r>
          </w:p>
        </w:tc>
        <w:tc>
          <w:tcPr>
            <w:tcW w:w="7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40</w:t>
            </w: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restructuring and other</w:t>
            </w: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32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Impact of hedge ineffectiveness </w:t>
            </w:r>
            <w:r>
              <w:rPr>
                <w:rFonts w:ascii="Arial" w:cs="Arial" w:eastAsia="Arial" w:hAnsi="Arial"/>
                <w:sz w:val="25"/>
                <w:szCs w:val="25"/>
                <w:color w:val="auto"/>
                <w:vertAlign w:val="superscript"/>
              </w:rPr>
              <w:t>(1)</w:t>
            </w:r>
          </w:p>
        </w:tc>
        <w:tc>
          <w:tcPr>
            <w:tcW w:w="7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Income</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389</w:t>
            </w:r>
          </w:p>
        </w:tc>
        <w:tc>
          <w:tcPr>
            <w:tcW w:w="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634</w:t>
            </w:r>
          </w:p>
        </w:tc>
        <w:tc>
          <w:tcPr>
            <w:tcW w:w="5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w:t>
            </w:r>
          </w:p>
        </w:tc>
      </w:tr>
      <w:tr>
        <w:trPr>
          <w:trHeight w:val="20"/>
        </w:trPr>
        <w:tc>
          <w:tcPr>
            <w:tcW w:w="3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(1) Included in cost of products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59690</wp:posOffset>
            </wp:positionV>
            <wp:extent cx="706628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6280" cy="425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89"/>
              </w:rPr>
              <w:t>Segment Information</w:t>
            </w:r>
          </w:p>
        </w:tc>
        <w:tc>
          <w:tcPr>
            <w:tcW w:w="34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80" w:type="dxa"/>
            <w:vAlign w:val="bottom"/>
          </w:tcPr>
          <w:p>
            <w:pPr>
              <w:spacing w:after="0"/>
              <w:rPr>
                <w:sz w:val="24"/>
                <w:szCs w:val="24"/>
                <w:color w:val="auto"/>
              </w:rPr>
            </w:pPr>
          </w:p>
        </w:tc>
        <w:tc>
          <w:tcPr>
            <w:tcW w:w="24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2"/>
              </w:rPr>
              <w:t>Three Months Ended June 30,</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w w:val="99"/>
              </w:rPr>
              <w:t>848</w:t>
            </w:r>
          </w:p>
        </w:tc>
        <w:tc>
          <w:tcPr>
            <w:tcW w:w="7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European Beverage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w w:val="99"/>
              </w:rPr>
              <w:t>405</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402</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Food</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w w:val="99"/>
              </w:rPr>
              <w:t>514</w:t>
            </w: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gridSpan w:val="3"/>
          </w:tcPr>
          <w:p>
            <w:pPr>
              <w:ind w:left="440"/>
              <w:spacing w:after="0"/>
              <w:rPr>
                <w:sz w:val="20"/>
                <w:szCs w:val="20"/>
                <w:color w:val="auto"/>
              </w:rPr>
            </w:pPr>
            <w:r>
              <w:rPr>
                <w:rFonts w:ascii="Arial" w:cs="Arial" w:eastAsia="Arial" w:hAnsi="Arial"/>
                <w:sz w:val="18"/>
                <w:szCs w:val="18"/>
                <w:color w:val="auto"/>
                <w:w w:val="99"/>
              </w:rPr>
              <w:t>332</w:t>
            </w: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ind w:left="440"/>
              <w:spacing w:after="0"/>
              <w:rPr>
                <w:sz w:val="20"/>
                <w:szCs w:val="20"/>
                <w:color w:val="auto"/>
              </w:rPr>
            </w:pPr>
            <w:r>
              <w:rPr>
                <w:rFonts w:ascii="Arial" w:cs="Arial" w:eastAsia="Arial" w:hAnsi="Arial"/>
                <w:sz w:val="18"/>
                <w:szCs w:val="18"/>
                <w:color w:val="auto"/>
                <w:w w:val="99"/>
              </w:rPr>
              <w:t>620</w:t>
            </w: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color w:val="auto"/>
              </w:rPr>
              <w:t>Total reportable segments</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3"/>
          </w:tcPr>
          <w:p>
            <w:pPr>
              <w:ind w:left="320"/>
              <w:spacing w:after="0"/>
              <w:rPr>
                <w:sz w:val="20"/>
                <w:szCs w:val="20"/>
                <w:color w:val="auto"/>
              </w:rPr>
            </w:pPr>
            <w:r>
              <w:rPr>
                <w:rFonts w:ascii="Arial" w:cs="Arial" w:eastAsia="Arial" w:hAnsi="Arial"/>
                <w:sz w:val="18"/>
                <w:szCs w:val="18"/>
                <w:color w:val="auto"/>
                <w:w w:val="93"/>
              </w:rPr>
              <w:t>2,719</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1,877</w:t>
            </w:r>
          </w:p>
        </w:tc>
        <w:tc>
          <w:tcPr>
            <w:tcW w:w="40" w:type="dxa"/>
            <w:vAlign w:val="bottom"/>
            <w:tcBorders>
              <w:top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4,613</w:t>
            </w:r>
          </w:p>
        </w:tc>
        <w:tc>
          <w:tcPr>
            <w:tcW w:w="20" w:type="dxa"/>
            <w:vAlign w:val="bottom"/>
            <w:tcBorders>
              <w:top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4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3"/>
            <w:shd w:val="clear" w:color="auto" w:fill="CCEEFF"/>
          </w:tcPr>
          <w:p>
            <w:pPr>
              <w:ind w:left="440"/>
              <w:spacing w:after="0"/>
              <w:rPr>
                <w:sz w:val="20"/>
                <w:szCs w:val="20"/>
                <w:color w:val="auto"/>
              </w:rPr>
            </w:pPr>
            <w:r>
              <w:rPr>
                <w:rFonts w:ascii="Arial" w:cs="Arial" w:eastAsia="Arial" w:hAnsi="Arial"/>
                <w:sz w:val="18"/>
                <w:szCs w:val="18"/>
                <w:color w:val="auto"/>
                <w:w w:val="99"/>
              </w:rPr>
              <w:t>327</w:t>
            </w:r>
          </w:p>
        </w:tc>
        <w:tc>
          <w:tcPr>
            <w:tcW w:w="4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w:t>
            </w:r>
          </w:p>
        </w:tc>
        <w:tc>
          <w:tcPr>
            <w:tcW w:w="40" w:type="dxa"/>
            <w:vAlign w:val="bottom"/>
            <w:tcBorders>
              <w:bottom w:val="single" w:sz="8" w:color="auto"/>
            </w:tcBorders>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 w:type="dxa"/>
            <w:vAlign w:val="bottom"/>
            <w:tcBorders>
              <w:bottom w:val="single" w:sz="8" w:color="auto"/>
            </w:tcBorders>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net sales</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3"/>
          </w:tcPr>
          <w:p>
            <w:pPr>
              <w:ind w:left="320"/>
              <w:spacing w:after="0"/>
              <w:rPr>
                <w:sz w:val="20"/>
                <w:szCs w:val="20"/>
                <w:color w:val="auto"/>
              </w:rPr>
            </w:pPr>
            <w:r>
              <w:rPr>
                <w:rFonts w:ascii="Arial" w:cs="Arial" w:eastAsia="Arial" w:hAnsi="Arial"/>
                <w:sz w:val="18"/>
                <w:szCs w:val="18"/>
                <w:b w:val="1"/>
                <w:bCs w:val="1"/>
                <w:color w:val="auto"/>
                <w:w w:val="93"/>
              </w:rPr>
              <w:t>3,046</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2,161</w:t>
            </w:r>
          </w:p>
        </w:tc>
        <w:tc>
          <w:tcPr>
            <w:tcW w:w="40" w:type="dxa"/>
            <w:vAlign w:val="bottom"/>
          </w:tcPr>
          <w:p>
            <w:pPr>
              <w:spacing w:after="0"/>
              <w:rPr>
                <w:sz w:val="22"/>
                <w:szCs w:val="22"/>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5,243</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Segment Income </w:t>
            </w:r>
            <w:r>
              <w:rPr>
                <w:rFonts w:ascii="Arial" w:cs="Arial" w:eastAsia="Arial" w:hAnsi="Arial"/>
                <w:sz w:val="25"/>
                <w:szCs w:val="25"/>
                <w:b w:val="1"/>
                <w:bCs w:val="1"/>
                <w:color w:val="auto"/>
                <w:vertAlign w:val="superscript"/>
              </w:rPr>
              <w:t>(3)</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31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0" w:type="dxa"/>
            <w:vAlign w:val="bottom"/>
          </w:tcPr>
          <w:p>
            <w:pPr>
              <w:spacing w:after="0"/>
              <w:rPr>
                <w:sz w:val="24"/>
                <w:szCs w:val="24"/>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Americas Beverage</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40" w:type="dxa"/>
            <w:vAlign w:val="bottom"/>
          </w:tcPr>
          <w:p>
            <w:pPr>
              <w:spacing w:after="0"/>
              <w:rPr>
                <w:sz w:val="24"/>
                <w:szCs w:val="24"/>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European Beverage</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59</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European Food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Transit Packaging</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94</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reportable segments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40" w:type="dxa"/>
            <w:vAlign w:val="bottom"/>
            <w:gridSpan w:val="3"/>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Corporate and other unallocated items</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4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389</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295</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634</w:t>
            </w: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260" w:hanging="252"/>
        <w:spacing w:after="0" w:line="275"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the Company's food can and closures businesses in North America, aerosol can businesses in North America and Europe, promotional packaging business in Europe, and tooling and equipment operations in the U.S. and United Kingdom.</w:t>
      </w:r>
    </w:p>
    <w:p>
      <w:pPr>
        <w:spacing w:after="0" w:line="145" w:lineRule="exact"/>
        <w:rPr>
          <w:rFonts w:ascii="Arial" w:cs="Arial" w:eastAsia="Arial" w:hAnsi="Arial"/>
          <w:sz w:val="16"/>
          <w:szCs w:val="16"/>
          <w:color w:val="auto"/>
        </w:rPr>
      </w:pPr>
    </w:p>
    <w:p>
      <w:pPr>
        <w:ind w:left="260" w:right="20" w:hanging="252"/>
        <w:spacing w:after="0" w:line="349"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Prior year segment income has been restated to reflect new accounting guidance on the presentation of pension and postretirement expense and the Company’s revised policy to exclude intangibles amortization charges from segment income. A reconciliation from 2017 segment income to amounts previously reported is included below.</w:t>
      </w:r>
    </w:p>
    <w:p>
      <w:pPr>
        <w:sectPr>
          <w:pgSz w:w="11900" w:h="16838" w:orient="portrait"/>
          <w:cols w:equalWidth="0" w:num="1">
            <w:col w:w="11420"/>
          </w:cols>
          <w:pgMar w:left="240" w:top="852" w:right="2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 of 10</w:t>
      </w:r>
    </w:p>
    <w:p>
      <w:pPr>
        <w:sectPr>
          <w:pgSz w:w="11900" w:h="16838" w:orient="portrait"/>
          <w:cols w:equalWidth="0" w:num="1">
            <w:col w:w="11420"/>
          </w:cols>
          <w:pgMar w:left="240" w:top="852" w:right="239"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and Diluted Earnings Per Share to Adjusted Net Income and Adjusted Diluted Earnings Per Share</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table reconciles reported net income and diluted earnings per share attributable to the Company to adjusted net income and adjusted diluted earnings per share, as used elsewhere in this release.</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10"/>
          </w:tcPr>
          <w:p>
            <w:pPr>
              <w:ind w:left="240"/>
              <w:spacing w:after="0"/>
              <w:rPr>
                <w:sz w:val="20"/>
                <w:szCs w:val="20"/>
                <w:color w:val="auto"/>
              </w:rPr>
            </w:pPr>
            <w:r>
              <w:rPr>
                <w:rFonts w:ascii="Arial" w:cs="Arial" w:eastAsia="Arial" w:hAnsi="Arial"/>
                <w:sz w:val="17"/>
                <w:szCs w:val="17"/>
                <w:b w:val="1"/>
                <w:bCs w:val="1"/>
                <w:color w:val="auto"/>
              </w:rPr>
              <w:t>Three Months Ended June 30,</w:t>
            </w:r>
          </w:p>
        </w:tc>
        <w:tc>
          <w:tcPr>
            <w:tcW w:w="120" w:type="dxa"/>
            <w:vAlign w:val="bottom"/>
          </w:tcPr>
          <w:p>
            <w:pPr>
              <w:spacing w:after="0"/>
              <w:rPr>
                <w:sz w:val="19"/>
                <w:szCs w:val="19"/>
                <w:color w:val="auto"/>
              </w:rPr>
            </w:pPr>
          </w:p>
        </w:tc>
        <w:tc>
          <w:tcPr>
            <w:tcW w:w="2800" w:type="dxa"/>
            <w:vAlign w:val="bottom"/>
            <w:gridSpan w:val="9"/>
          </w:tcPr>
          <w:p>
            <w:pPr>
              <w:jc w:val="right"/>
              <w:ind w:right="375"/>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31"/>
        </w:trPr>
        <w:tc>
          <w:tcPr>
            <w:tcW w:w="35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2017</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2018</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3"/>
          </w:tcPr>
          <w:p>
            <w:pPr>
              <w:jc w:val="right"/>
              <w:ind w:right="41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31"/>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Net income/diluted earnings per share</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b w:val="1"/>
                <w:bCs w:val="1"/>
                <w:color w:val="auto"/>
                <w:w w:val="95"/>
              </w:rPr>
              <w:t>attributable to Crown Holdings, as reported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132</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$ 0.99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0.94</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1.66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235</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$ 1.71</w:t>
            </w:r>
          </w:p>
        </w:tc>
        <w:tc>
          <w:tcPr>
            <w:tcW w:w="0" w:type="dxa"/>
            <w:vAlign w:val="bottom"/>
          </w:tcPr>
          <w:p>
            <w:pPr>
              <w:spacing w:after="0"/>
              <w:rPr>
                <w:sz w:val="1"/>
                <w:szCs w:val="1"/>
                <w:color w:val="auto"/>
              </w:rPr>
            </w:pPr>
          </w:p>
        </w:tc>
      </w:tr>
      <w:tr>
        <w:trPr>
          <w:trHeight w:val="270"/>
        </w:trPr>
        <w:tc>
          <w:tcPr>
            <w:tcW w:w="3520" w:type="dxa"/>
            <w:vAlign w:val="bottom"/>
          </w:tcPr>
          <w:p>
            <w:pPr>
              <w:ind w:left="260"/>
              <w:spacing w:after="0" w:line="270" w:lineRule="exact"/>
              <w:rPr>
                <w:sz w:val="20"/>
                <w:szCs w:val="20"/>
                <w:color w:val="auto"/>
              </w:rPr>
            </w:pPr>
            <w:r>
              <w:rPr>
                <w:rFonts w:ascii="Arial" w:cs="Arial" w:eastAsia="Arial" w:hAnsi="Arial"/>
                <w:sz w:val="17"/>
                <w:szCs w:val="17"/>
                <w:color w:val="auto"/>
              </w:rPr>
              <w:t xml:space="preserve">Intangibles amortization </w:t>
            </w:r>
            <w:r>
              <w:rPr>
                <w:rFonts w:ascii="Arial" w:cs="Arial" w:eastAsia="Arial" w:hAnsi="Arial"/>
                <w:sz w:val="28"/>
                <w:szCs w:val="28"/>
                <w:color w:val="auto"/>
                <w:vertAlign w:val="superscript"/>
              </w:rPr>
              <w:t>(1)</w:t>
            </w: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115"/>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0.07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0.39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20</w:t>
            </w:r>
          </w:p>
        </w:tc>
        <w:tc>
          <w:tcPr>
            <w:tcW w:w="14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 xml:space="preserve">Fair value adjustment to inventory </w:t>
            </w:r>
            <w:r>
              <w:rPr>
                <w:rFonts w:ascii="Arial" w:cs="Arial" w:eastAsia="Arial" w:hAnsi="Arial"/>
                <w:sz w:val="28"/>
                <w:szCs w:val="28"/>
                <w:color w:val="auto"/>
                <w:vertAlign w:val="superscript"/>
              </w:rPr>
              <w:t>(2)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0.30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tcPr>
          <w:p>
            <w:pPr>
              <w:ind w:left="240"/>
              <w:spacing w:after="0" w:line="270" w:lineRule="exact"/>
              <w:rPr>
                <w:sz w:val="20"/>
                <w:szCs w:val="20"/>
                <w:color w:val="auto"/>
              </w:rPr>
            </w:pPr>
            <w:r>
              <w:rPr>
                <w:rFonts w:ascii="Arial" w:cs="Arial" w:eastAsia="Arial" w:hAnsi="Arial"/>
                <w:sz w:val="17"/>
                <w:szCs w:val="17"/>
                <w:color w:val="auto"/>
              </w:rPr>
              <w:t xml:space="preserve">Restructuring and other </w:t>
            </w:r>
            <w:r>
              <w:rPr>
                <w:rFonts w:ascii="Arial" w:cs="Arial" w:eastAsia="Arial" w:hAnsi="Arial"/>
                <w:sz w:val="28"/>
                <w:szCs w:val="28"/>
                <w:color w:val="auto"/>
                <w:vertAlign w:val="superscript"/>
              </w:rPr>
              <w:t>(3)</w:t>
            </w: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0.12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115"/>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0.13</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0.22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23"/>
                <w:szCs w:val="23"/>
                <w:color w:val="auto"/>
              </w:rPr>
            </w:pPr>
          </w:p>
        </w:tc>
        <w:tc>
          <w:tcPr>
            <w:tcW w:w="600" w:type="dxa"/>
            <w:vAlign w:val="bottom"/>
          </w:tcPr>
          <w:p>
            <w:pPr>
              <w:jc w:val="right"/>
              <w:ind w:right="55"/>
              <w:spacing w:after="0"/>
              <w:rPr>
                <w:sz w:val="20"/>
                <w:szCs w:val="20"/>
                <w:color w:val="auto"/>
              </w:rPr>
            </w:pPr>
            <w:r>
              <w:rPr>
                <w:rFonts w:ascii="Arial" w:cs="Arial" w:eastAsia="Arial" w:hAnsi="Arial"/>
                <w:sz w:val="17"/>
                <w:szCs w:val="17"/>
                <w:color w:val="auto"/>
              </w:rPr>
              <w:t>0.10</w:t>
            </w: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 xml:space="preserve">Impact of hedge ineffectiveness </w:t>
            </w:r>
            <w:r>
              <w:rPr>
                <w:rFonts w:ascii="Arial" w:cs="Arial" w:eastAsia="Arial" w:hAnsi="Arial"/>
                <w:sz w:val="28"/>
                <w:szCs w:val="28"/>
                <w:color w:val="auto"/>
                <w:vertAlign w:val="superscript"/>
              </w:rPr>
              <w:t>(4)</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0.06</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70"/>
        </w:trPr>
        <w:tc>
          <w:tcPr>
            <w:tcW w:w="3520" w:type="dxa"/>
            <w:vAlign w:val="bottom"/>
          </w:tcPr>
          <w:p>
            <w:pPr>
              <w:ind w:left="260"/>
              <w:spacing w:after="0" w:line="270" w:lineRule="exact"/>
              <w:rPr>
                <w:sz w:val="20"/>
                <w:szCs w:val="20"/>
                <w:color w:val="auto"/>
              </w:rPr>
            </w:pPr>
            <w:r>
              <w:rPr>
                <w:rFonts w:ascii="Arial" w:cs="Arial" w:eastAsia="Arial" w:hAnsi="Arial"/>
                <w:sz w:val="17"/>
                <w:szCs w:val="17"/>
                <w:color w:val="auto"/>
              </w:rPr>
              <w:t xml:space="preserve">Acquisition costs </w:t>
            </w:r>
            <w:r>
              <w:rPr>
                <w:rFonts w:ascii="Arial" w:cs="Arial" w:eastAsia="Arial" w:hAnsi="Arial"/>
                <w:sz w:val="28"/>
                <w:szCs w:val="28"/>
                <w:color w:val="auto"/>
                <w:vertAlign w:val="superscript"/>
              </w:rPr>
              <w:t>(5)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0.18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40"/>
              <w:spacing w:after="0" w:line="270" w:lineRule="exact"/>
              <w:rPr>
                <w:sz w:val="20"/>
                <w:szCs w:val="20"/>
                <w:color w:val="auto"/>
              </w:rPr>
            </w:pPr>
            <w:r>
              <w:rPr>
                <w:rFonts w:ascii="Arial" w:cs="Arial" w:eastAsia="Arial" w:hAnsi="Arial"/>
                <w:sz w:val="17"/>
                <w:szCs w:val="17"/>
                <w:color w:val="auto"/>
              </w:rPr>
              <w:t xml:space="preserve">Loss from early extinguishment of debt </w:t>
            </w:r>
            <w:r>
              <w:rPr>
                <w:rFonts w:ascii="Arial" w:cs="Arial" w:eastAsia="Arial" w:hAnsi="Arial"/>
                <w:sz w:val="28"/>
                <w:szCs w:val="28"/>
                <w:color w:val="auto"/>
                <w:vertAlign w:val="superscript"/>
              </w:rPr>
              <w:t>(6)</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0.05</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0.05</w:t>
            </w:r>
          </w:p>
        </w:tc>
        <w:tc>
          <w:tcPr>
            <w:tcW w:w="0" w:type="dxa"/>
            <w:vAlign w:val="bottom"/>
          </w:tcPr>
          <w:p>
            <w:pPr>
              <w:spacing w:after="0"/>
              <w:rPr>
                <w:sz w:val="1"/>
                <w:szCs w:val="1"/>
                <w:color w:val="auto"/>
              </w:rPr>
            </w:pPr>
          </w:p>
        </w:tc>
      </w:tr>
      <w:tr>
        <w:trPr>
          <w:trHeight w:val="270"/>
        </w:trPr>
        <w:tc>
          <w:tcPr>
            <w:tcW w:w="3520" w:type="dxa"/>
            <w:vAlign w:val="bottom"/>
            <w:tcBorders>
              <w:bottom w:val="single" w:sz="8" w:color="CCEEFF"/>
            </w:tcBorders>
          </w:tcPr>
          <w:p>
            <w:pPr>
              <w:ind w:left="240"/>
              <w:spacing w:after="0" w:line="270" w:lineRule="exact"/>
              <w:rPr>
                <w:sz w:val="20"/>
                <w:szCs w:val="20"/>
                <w:color w:val="auto"/>
              </w:rPr>
            </w:pPr>
            <w:r>
              <w:rPr>
                <w:rFonts w:ascii="Arial" w:cs="Arial" w:eastAsia="Arial" w:hAnsi="Arial"/>
                <w:sz w:val="17"/>
                <w:szCs w:val="17"/>
                <w:color w:val="auto"/>
                <w:w w:val="95"/>
              </w:rPr>
              <w:t xml:space="preserve">Income taxes and noncontrolling interests </w:t>
            </w:r>
            <w:r>
              <w:rPr>
                <w:rFonts w:ascii="Arial" w:cs="Arial" w:eastAsia="Arial" w:hAnsi="Arial"/>
                <w:sz w:val="28"/>
                <w:szCs w:val="28"/>
                <w:color w:val="auto"/>
                <w:w w:val="95"/>
                <w:vertAlign w:val="superscript"/>
              </w:rPr>
              <w:t>(7)</w:t>
            </w: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(0.08)</w:t>
            </w:r>
          </w:p>
        </w:tc>
        <w:tc>
          <w:tcPr>
            <w:tcW w:w="2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(0.26)</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(13)</w:t>
            </w:r>
          </w:p>
        </w:tc>
        <w:tc>
          <w:tcPr>
            <w:tcW w:w="14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0" w:type="dxa"/>
            <w:vAlign w:val="bottom"/>
          </w:tcPr>
          <w:p>
            <w:pPr>
              <w:spacing w:after="0"/>
              <w:rPr>
                <w:sz w:val="1"/>
                <w:szCs w:val="1"/>
                <w:color w:val="auto"/>
              </w:rPr>
            </w:pPr>
          </w:p>
        </w:tc>
      </w:tr>
      <w:tr>
        <w:trPr>
          <w:trHeight w:val="186"/>
        </w:trPr>
        <w:tc>
          <w:tcPr>
            <w:tcW w:w="35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Adjusted net income/diluted earnings per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207</w:t>
            </w: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$ 1.55</w:t>
            </w:r>
          </w:p>
        </w:tc>
        <w:tc>
          <w:tcPr>
            <w:tcW w:w="1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159</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1.17</w:t>
            </w:r>
          </w:p>
        </w:tc>
        <w:tc>
          <w:tcPr>
            <w:tcW w:w="2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2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333</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0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2.49</w:t>
            </w:r>
          </w:p>
        </w:tc>
        <w:tc>
          <w:tcPr>
            <w:tcW w:w="14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266</w:t>
            </w:r>
          </w:p>
        </w:tc>
        <w:tc>
          <w:tcPr>
            <w:tcW w:w="1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92"/>
              </w:rPr>
              <w:t>$ 1.94</w:t>
            </w:r>
          </w:p>
        </w:tc>
        <w:tc>
          <w:tcPr>
            <w:tcW w:w="0" w:type="dxa"/>
            <w:vAlign w:val="bottom"/>
          </w:tcPr>
          <w:p>
            <w:pPr>
              <w:spacing w:after="0"/>
              <w:rPr>
                <w:sz w:val="1"/>
                <w:szCs w:val="1"/>
                <w:color w:val="auto"/>
              </w:rPr>
            </w:pPr>
          </w:p>
        </w:tc>
      </w:tr>
      <w:tr>
        <w:trPr>
          <w:trHeight w:val="233"/>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share</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Effective tax rate as reported</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26.1%</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Adjusted effective tax rate </w:t>
            </w:r>
            <w:r>
              <w:rPr>
                <w:rFonts w:ascii="Arial" w:cs="Arial" w:eastAsia="Arial" w:hAnsi="Arial"/>
                <w:sz w:val="28"/>
                <w:szCs w:val="28"/>
                <w:color w:val="auto"/>
                <w:vertAlign w:val="superscript"/>
              </w:rPr>
              <w:t>(8)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25.5%</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26.6%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25.5%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26.4%</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85" w:lineRule="exact"/>
        <w:rPr>
          <w:sz w:val="20"/>
          <w:szCs w:val="20"/>
          <w:color w:val="auto"/>
        </w:rPr>
      </w:pPr>
    </w:p>
    <w:p>
      <w:pPr>
        <w:jc w:val="both"/>
        <w:ind w:left="340" w:hanging="332"/>
        <w:spacing w:after="0" w:line="25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second quarter and first six months of 2018, the Company recorded charges of $41 million ($30 million net of tax) and $52 million ($38 million net of tax) for intangibles amortization arising from acquisitions, including its acquisition of Signode in the second quarter of 2018. In the second quarter and first six months of 2017, the Company recorded charges of $10 million ($7 million net of tax) and $20 million ($14 million net of tax) for intangibles amortization.</w:t>
      </w:r>
    </w:p>
    <w:p>
      <w:pPr>
        <w:spacing w:after="0" w:line="185" w:lineRule="exact"/>
        <w:rPr>
          <w:rFonts w:ascii="Arial" w:cs="Arial" w:eastAsia="Arial" w:hAnsi="Arial"/>
          <w:sz w:val="14"/>
          <w:szCs w:val="14"/>
          <w:color w:val="auto"/>
        </w:rPr>
      </w:pPr>
    </w:p>
    <w:p>
      <w:pPr>
        <w:ind w:left="340" w:right="10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second quarter of 2018, the Company recorded a charge of $40 million ($29 million net of tax) in cost of products sold for fair value adjustment related to the sale of inventory acquired in its acquisition of Signode.</w:t>
      </w:r>
    </w:p>
    <w:p>
      <w:pPr>
        <w:spacing w:after="0" w:line="173" w:lineRule="exact"/>
        <w:rPr>
          <w:rFonts w:ascii="Arial" w:cs="Arial" w:eastAsia="Arial" w:hAnsi="Arial"/>
          <w:sz w:val="14"/>
          <w:szCs w:val="14"/>
          <w:color w:val="auto"/>
        </w:rPr>
      </w:pPr>
    </w:p>
    <w:p>
      <w:pPr>
        <w:jc w:val="both"/>
        <w:ind w:left="340" w:hanging="332"/>
        <w:spacing w:after="0" w:line="252"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second quarter and first six months of 2018, the Company recorded net restructuring and other charges of $16 million ($13 million net of tax) and $22 million ($18 million net of tax) including $19 million and $22 million of transaction costs in connection with its acquisition of Signode. In the second quarter and first six months of 2017, the Company recorded restructuring and other charges of $18 million ($13 million net of tax) and $20 million ($15 million net of tax) primarily due to the settlement of a litigation matter related to Mivisa that arose prior to its acquisition by Crown in 2014.</w:t>
      </w:r>
    </w:p>
    <w:p>
      <w:pPr>
        <w:spacing w:after="0" w:line="188" w:lineRule="exact"/>
        <w:rPr>
          <w:rFonts w:ascii="Arial" w:cs="Arial" w:eastAsia="Arial" w:hAnsi="Arial"/>
          <w:sz w:val="14"/>
          <w:szCs w:val="14"/>
          <w:color w:val="auto"/>
        </w:rPr>
      </w:pPr>
    </w:p>
    <w:p>
      <w:pPr>
        <w:ind w:left="340"/>
        <w:spacing w:after="0" w:line="273" w:lineRule="auto"/>
        <w:rPr>
          <w:rFonts w:ascii="Arial" w:cs="Arial" w:eastAsia="Arial" w:hAnsi="Arial"/>
          <w:sz w:val="14"/>
          <w:szCs w:val="14"/>
          <w:color w:val="auto"/>
        </w:rPr>
      </w:pPr>
      <w:r>
        <w:rPr>
          <w:rFonts w:ascii="Arial" w:cs="Arial" w:eastAsia="Arial" w:hAnsi="Arial"/>
          <w:sz w:val="14"/>
          <w:szCs w:val="14"/>
          <w:color w:val="auto"/>
        </w:rPr>
        <w:t>In the first quarter of 2018, the Company recorded charges of $7 million ($6 million net of tax) for asset sales and impairments. In the first quarter of 2017, the Company recorded net gains of $6 million ($5 million net of tax) for asset sales and impairments.</w:t>
      </w:r>
    </w:p>
    <w:p>
      <w:pPr>
        <w:spacing w:after="0" w:line="173"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second quarter and first six months of 2017, the Company recorded charges of $8 million ($6 million net of tax) and $3 million ($2 million net of tax) in cost of products sold related to the timing impact of hedge ineffectiveness caused primarily by volatility in the metal premium component of aluminum prices.</w:t>
      </w:r>
    </w:p>
    <w:p>
      <w:pPr>
        <w:spacing w:after="0" w:line="173" w:lineRule="exact"/>
        <w:rPr>
          <w:rFonts w:ascii="Arial" w:cs="Arial" w:eastAsia="Arial" w:hAnsi="Arial"/>
          <w:sz w:val="14"/>
          <w:szCs w:val="14"/>
          <w:color w:val="auto"/>
        </w:rPr>
      </w:pPr>
    </w:p>
    <w:p>
      <w:pPr>
        <w:ind w:left="340" w:hanging="332"/>
        <w:spacing w:after="0" w:line="312"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the first quarter of 2018, the Company recorded a charge of $15 million ($10 million net of tax) for net losses arising from its hedge of the U.S. dollar purchase price of its acquisition of Signode. Also in the first quarter, the Company incurred net charges of $9 million ($7 million net of tax) for pre-acquisition interest carrying costs on borrowings to finance the acquisition.</w:t>
      </w:r>
    </w:p>
    <w:p>
      <w:pPr>
        <w:spacing w:after="0" w:line="151" w:lineRule="exact"/>
        <w:rPr>
          <w:rFonts w:ascii="Arial" w:cs="Arial" w:eastAsia="Arial" w:hAnsi="Arial"/>
          <w:sz w:val="13"/>
          <w:szCs w:val="13"/>
          <w:color w:val="auto"/>
        </w:rPr>
      </w:pPr>
    </w:p>
    <w:p>
      <w:pPr>
        <w:ind w:left="34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the second quarter of 2017, the Company recorded a charge of $7 million ($5 million net of tax) for the write off of deferred financing fees in connection with the refinancing of its term loan and revolving credit facilities.</w:t>
      </w:r>
    </w:p>
    <w:p>
      <w:pPr>
        <w:spacing w:after="0" w:line="173" w:lineRule="exact"/>
        <w:rPr>
          <w:rFonts w:ascii="Arial" w:cs="Arial" w:eastAsia="Arial" w:hAnsi="Arial"/>
          <w:sz w:val="14"/>
          <w:szCs w:val="14"/>
          <w:color w:val="auto"/>
        </w:rPr>
      </w:pPr>
    </w:p>
    <w:p>
      <w:pPr>
        <w:ind w:left="360" w:hanging="352"/>
        <w:spacing w:after="0" w:line="312" w:lineRule="auto"/>
        <w:tabs>
          <w:tab w:leader="none" w:pos="324" w:val="left"/>
        </w:tabs>
        <w:numPr>
          <w:ilvl w:val="0"/>
          <w:numId w:val="4"/>
        </w:numPr>
        <w:rPr>
          <w:rFonts w:ascii="Arial" w:cs="Arial" w:eastAsia="Arial" w:hAnsi="Arial"/>
          <w:sz w:val="13"/>
          <w:szCs w:val="13"/>
          <w:color w:val="auto"/>
        </w:rPr>
      </w:pPr>
      <w:r>
        <w:rPr>
          <w:rFonts w:ascii="Arial" w:cs="Arial" w:eastAsia="Arial" w:hAnsi="Arial"/>
          <w:sz w:val="13"/>
          <w:szCs w:val="13"/>
          <w:color w:val="auto"/>
        </w:rPr>
        <w:t>In the second quarter and first six months of 2018, the Company recorded income tax and noncontrolling interest benefits of $22 million and $34 million related to the items described above. In the second quarter and first six months of 2017, the Company recorded income tax benefits of $12 million and $13 million related to the items described above.</w:t>
      </w:r>
    </w:p>
    <w:p>
      <w:pPr>
        <w:spacing w:after="0" w:line="151" w:lineRule="exact"/>
        <w:rPr>
          <w:rFonts w:ascii="Arial" w:cs="Arial" w:eastAsia="Arial" w:hAnsi="Arial"/>
          <w:sz w:val="13"/>
          <w:szCs w:val="13"/>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tax effects on adjusted net income were calculated using the applicable tax rates of the underlying jurisdictions.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10</w:t>
      </w:r>
    </w:p>
    <w:p>
      <w:pPr>
        <w:sectPr>
          <w:pgSz w:w="11900" w:h="16838" w:orient="portrait"/>
          <w:cols w:equalWidth="0" w:num="1">
            <w:col w:w="11420"/>
          </w:cols>
          <w:pgMar w:left="240" w:top="852" w:right="239"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44"/>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1,790</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1,005</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4,155</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3,020</w:t>
            </w:r>
          </w:p>
        </w:tc>
        <w:tc>
          <w:tcPr>
            <w:tcW w:w="1580" w:type="dxa"/>
            <w:vAlign w:val="bottom"/>
          </w:tcPr>
          <w:p>
            <w:pPr>
              <w:spacing w:after="0"/>
              <w:rPr>
                <w:sz w:val="22"/>
                <w:szCs w:val="22"/>
                <w:color w:val="auto"/>
              </w:rPr>
            </w:pPr>
          </w:p>
        </w:tc>
      </w:tr>
      <w:tr>
        <w:trPr>
          <w:trHeight w:val="264"/>
        </w:trPr>
        <w:tc>
          <w:tcPr>
            <w:tcW w:w="16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3,688</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3,020</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580" w:type="dxa"/>
            <w:vAlign w:val="bottom"/>
          </w:tcPr>
          <w:p>
            <w:pPr>
              <w:spacing w:after="0"/>
              <w:rPr>
                <w:sz w:val="23"/>
                <w:szCs w:val="23"/>
                <w:color w:val="auto"/>
              </w:rPr>
            </w:pPr>
          </w:p>
        </w:tc>
      </w:tr>
      <w:tr>
        <w:trPr>
          <w:trHeight w:val="297"/>
        </w:trPr>
        <w:tc>
          <w:tcPr>
            <w:tcW w:w="1600" w:type="dxa"/>
            <w:vAlign w:val="bottom"/>
          </w:tcPr>
          <w:p>
            <w:pPr>
              <w:spacing w:after="0"/>
              <w:rPr>
                <w:sz w:val="24"/>
                <w:szCs w:val="24"/>
                <w:color w:val="auto"/>
              </w:rPr>
            </w:pPr>
          </w:p>
        </w:tc>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15,493</w:t>
            </w:r>
          </w:p>
        </w:tc>
        <w:tc>
          <w:tcPr>
            <w:tcW w:w="7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10,266</w:t>
            </w:r>
          </w:p>
        </w:tc>
        <w:tc>
          <w:tcPr>
            <w:tcW w:w="1580" w:type="dxa"/>
            <w:vAlign w:val="bottom"/>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580" w:type="dxa"/>
            <w:vAlign w:val="bottom"/>
          </w:tcPr>
          <w:p>
            <w:pPr>
              <w:spacing w:after="0"/>
              <w:rPr>
                <w:sz w:val="23"/>
                <w:szCs w:val="23"/>
                <w:color w:val="auto"/>
              </w:rPr>
            </w:pPr>
          </w:p>
        </w:tc>
      </w:tr>
      <w:tr>
        <w:trPr>
          <w:trHeight w:val="237"/>
        </w:trPr>
        <w:tc>
          <w:tcPr>
            <w:tcW w:w="16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3,529</w:t>
            </w: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2,794</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9,236</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5,262</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58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622</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58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15,493</w:t>
            </w:r>
          </w:p>
        </w:tc>
        <w:tc>
          <w:tcPr>
            <w:tcW w:w="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10,266</w:t>
            </w:r>
          </w:p>
        </w:tc>
        <w:tc>
          <w:tcPr>
            <w:tcW w:w="1580" w:type="dxa"/>
            <w:vAlign w:val="bottom"/>
          </w:tcPr>
          <w:p>
            <w:pPr>
              <w:spacing w:after="0"/>
              <w:rPr>
                <w:sz w:val="22"/>
                <w:szCs w:val="22"/>
                <w:color w:val="auto"/>
              </w:rPr>
            </w:pPr>
          </w:p>
        </w:tc>
      </w:tr>
      <w:tr>
        <w:trPr>
          <w:trHeight w:val="20"/>
        </w:trPr>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34"/>
        </w:trPr>
        <w:tc>
          <w:tcPr>
            <w:tcW w:w="1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7 of 10</w:t>
      </w:r>
    </w:p>
    <w:p>
      <w:pPr>
        <w:sectPr>
          <w:pgSz w:w="11900" w:h="16838" w:orient="portrait"/>
          <w:cols w:equalWidth="0" w:num="1">
            <w:col w:w="11420"/>
          </w:cols>
          <w:pgMar w:left="240" w:top="852" w:right="239" w:bottom="1440" w:gutter="0" w:footer="0" w:header="0"/>
          <w:type w:val="continuous"/>
        </w:sectPr>
      </w:pPr>
    </w:p>
    <w:bookmarkStart w:id="12" w:name="page13"/>
    <w:bookmarkEnd w:id="12"/>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Philadelphia, PA 19154-4599</w:t>
      </w:r>
    </w:p>
    <w:p>
      <w:pPr>
        <w:spacing w:after="0" w:line="35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(in millions)</w:t>
      </w:r>
    </w:p>
    <w:p>
      <w:pPr>
        <w:spacing w:after="0" w:line="157" w:lineRule="exact"/>
        <w:rPr>
          <w:sz w:val="20"/>
          <w:szCs w:val="20"/>
          <w:color w:val="auto"/>
        </w:rPr>
      </w:pPr>
    </w:p>
    <w:tbl>
      <w:tblPr>
        <w:tblLayout w:type="fixed"/>
        <w:tblInd w:w="2012" w:type="dxa"/>
        <w:tblCellMar>
          <w:top w:w="0" w:type="dxa"/>
          <w:left w:w="0" w:type="dxa"/>
          <w:bottom w:w="0" w:type="dxa"/>
          <w:right w:w="0" w:type="dxa"/>
        </w:tblCellMar>
      </w:tblPr>
      <w:tr>
        <w:trPr>
          <w:trHeight w:val="222"/>
        </w:trPr>
        <w:tc>
          <w:tcPr>
            <w:tcW w:w="4760" w:type="dxa"/>
            <w:vAlign w:val="bottom"/>
          </w:tcPr>
          <w:p>
            <w:pPr>
              <w:ind w:left="20"/>
              <w:spacing w:after="0"/>
              <w:rPr>
                <w:sz w:val="20"/>
                <w:szCs w:val="20"/>
                <w:color w:val="auto"/>
              </w:rPr>
            </w:pPr>
            <w:r>
              <w:rPr>
                <w:rFonts w:ascii="Arial" w:cs="Arial" w:eastAsia="Arial" w:hAnsi="Arial"/>
                <w:sz w:val="17"/>
                <w:szCs w:val="17"/>
                <w:b w:val="1"/>
                <w:bCs w:val="1"/>
                <w:color w:val="auto"/>
              </w:rPr>
              <w:t>Six months ended June 30,</w:t>
            </w:r>
          </w:p>
        </w:tc>
        <w:tc>
          <w:tcPr>
            <w:tcW w:w="260" w:type="dxa"/>
            <w:vAlign w:val="bottom"/>
          </w:tcPr>
          <w:p>
            <w:pPr>
              <w:spacing w:after="0"/>
              <w:rPr>
                <w:sz w:val="19"/>
                <w:szCs w:val="19"/>
                <w:color w:val="auto"/>
              </w:rPr>
            </w:pPr>
          </w:p>
        </w:tc>
        <w:tc>
          <w:tcPr>
            <w:tcW w:w="880" w:type="dxa"/>
            <w:vAlign w:val="bottom"/>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2017</w:t>
            </w:r>
          </w:p>
        </w:tc>
      </w:tr>
      <w:tr>
        <w:trPr>
          <w:trHeight w:val="31"/>
        </w:trPr>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260</w:t>
            </w:r>
          </w:p>
        </w:tc>
        <w:tc>
          <w:tcPr>
            <w:tcW w:w="36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281</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Restructuring and other</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Working capital changes and 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(883)</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ind w:left="460"/>
              <w:spacing w:after="0" w:line="250" w:lineRule="exact"/>
              <w:rPr>
                <w:sz w:val="20"/>
                <w:szCs w:val="20"/>
                <w:color w:val="auto"/>
              </w:rPr>
            </w:pPr>
            <w:r>
              <w:rPr>
                <w:rFonts w:ascii="Arial" w:cs="Arial" w:eastAsia="Arial" w:hAnsi="Arial"/>
                <w:sz w:val="17"/>
                <w:szCs w:val="17"/>
                <w:b w:val="1"/>
                <w:bCs w:val="1"/>
                <w:color w:val="auto"/>
              </w:rPr>
              <w:t xml:space="preserve">Net cash used for operating activities </w:t>
            </w:r>
            <w:r>
              <w:rPr>
                <w:rFonts w:ascii="Arial" w:cs="Arial" w:eastAsia="Arial" w:hAnsi="Arial"/>
                <w:sz w:val="28"/>
                <w:szCs w:val="28"/>
                <w:b w:val="1"/>
                <w:bCs w:val="1"/>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(492)</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(475)</w:t>
            </w:r>
          </w:p>
        </w:tc>
      </w:tr>
      <w:tr>
        <w:trPr>
          <w:trHeight w:val="210"/>
        </w:trPr>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(200)</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Beneficial interest in transferred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w:t>
            </w:r>
          </w:p>
        </w:tc>
      </w:tr>
      <w:tr>
        <w:trPr>
          <w:trHeight w:val="239"/>
        </w:trPr>
        <w:tc>
          <w:tcPr>
            <w:tcW w:w="4760" w:type="dxa"/>
            <w:vAlign w:val="bottom"/>
          </w:tcPr>
          <w:p>
            <w:pPr>
              <w:ind w:left="140"/>
              <w:spacing w:after="0"/>
              <w:rPr>
                <w:sz w:val="20"/>
                <w:szCs w:val="20"/>
                <w:color w:val="auto"/>
              </w:rPr>
            </w:pPr>
            <w:r>
              <w:rPr>
                <w:rFonts w:ascii="Arial" w:cs="Arial" w:eastAsia="Arial" w:hAnsi="Arial"/>
                <w:sz w:val="17"/>
                <w:szCs w:val="17"/>
                <w:color w:val="auto"/>
              </w:rPr>
              <w:t>Acquisition of business, net of cash acquired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(3,907)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by/(used for)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(3,792)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312</w:t>
            </w:r>
          </w:p>
        </w:tc>
      </w:tr>
      <w:tr>
        <w:trPr>
          <w:trHeight w:val="210"/>
        </w:trPr>
        <w:tc>
          <w:tcPr>
            <w:tcW w:w="4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Net change in debt</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4,246</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199</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Dividends paid to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239"/>
        </w:trPr>
        <w:tc>
          <w:tcPr>
            <w:tcW w:w="4760" w:type="dxa"/>
            <w:vAlign w:val="bottom"/>
          </w:tcPr>
          <w:p>
            <w:pPr>
              <w:ind w:left="120"/>
              <w:spacing w:after="0"/>
              <w:rPr>
                <w:sz w:val="20"/>
                <w:szCs w:val="20"/>
                <w:color w:val="auto"/>
              </w:rPr>
            </w:pPr>
            <w:r>
              <w:rPr>
                <w:rFonts w:ascii="Arial" w:cs="Arial" w:eastAsia="Arial" w:hAnsi="Arial"/>
                <w:sz w:val="17"/>
                <w:szCs w:val="17"/>
                <w:color w:val="auto"/>
              </w:rPr>
              <w:t>Common stock repurchased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(277)</w:t>
            </w:r>
          </w:p>
        </w:tc>
      </w:tr>
      <w:tr>
        <w:trPr>
          <w:trHeight w:val="31"/>
        </w:trPr>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Debt issue costs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39"/>
        </w:trPr>
        <w:tc>
          <w:tcPr>
            <w:tcW w:w="476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4,162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(111)</w:t>
            </w:r>
          </w:p>
        </w:tc>
      </w:tr>
      <w:tr>
        <w:trPr>
          <w:trHeight w:val="210"/>
        </w:trPr>
        <w:tc>
          <w:tcPr>
            <w:tcW w:w="47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50"/>
        </w:trPr>
        <w:tc>
          <w:tcPr>
            <w:tcW w:w="47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(263)</w:t>
            </w:r>
          </w:p>
        </w:tc>
      </w:tr>
      <w:tr>
        <w:trPr>
          <w:trHeight w:val="239"/>
        </w:trPr>
        <w:tc>
          <w:tcPr>
            <w:tcW w:w="4760" w:type="dxa"/>
            <w:vAlign w:val="bottom"/>
          </w:tcPr>
          <w:p>
            <w:pPr>
              <w:ind w:left="20"/>
              <w:spacing w:after="0"/>
              <w:rPr>
                <w:sz w:val="20"/>
                <w:szCs w:val="20"/>
                <w:color w:val="auto"/>
              </w:rPr>
            </w:pPr>
            <w:r>
              <w:rPr>
                <w:rFonts w:ascii="Arial" w:cs="Arial" w:eastAsia="Arial" w:hAnsi="Arial"/>
                <w:sz w:val="17"/>
                <w:szCs w:val="17"/>
                <w:color w:val="auto"/>
              </w:rPr>
              <w:t>Cash and cash equivalents at January 1</w:t>
            </w:r>
          </w:p>
        </w:tc>
        <w:tc>
          <w:tcPr>
            <w:tcW w:w="26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435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576</w:t>
            </w:r>
          </w:p>
        </w:tc>
      </w:tr>
      <w:tr>
        <w:trPr>
          <w:trHeight w:val="31"/>
        </w:trPr>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57"/>
        </w:trPr>
        <w:tc>
          <w:tcPr>
            <w:tcW w:w="4760" w:type="dxa"/>
            <w:vAlign w:val="bottom"/>
          </w:tcPr>
          <w:p>
            <w:pPr>
              <w:ind w:left="20"/>
              <w:spacing w:after="0" w:line="257" w:lineRule="exact"/>
              <w:rPr>
                <w:sz w:val="20"/>
                <w:szCs w:val="20"/>
                <w:color w:val="auto"/>
              </w:rPr>
            </w:pPr>
            <w:r>
              <w:rPr>
                <w:rFonts w:ascii="Arial" w:cs="Arial" w:eastAsia="Arial" w:hAnsi="Arial"/>
                <w:sz w:val="17"/>
                <w:szCs w:val="17"/>
                <w:b w:val="1"/>
                <w:bCs w:val="1"/>
                <w:color w:val="auto"/>
              </w:rPr>
              <w:t xml:space="preserve">Cash and cash equivalents at June 30 </w:t>
            </w:r>
            <w:r>
              <w:rPr>
                <w:rFonts w:ascii="Arial" w:cs="Arial" w:eastAsia="Arial" w:hAnsi="Arial"/>
                <w:sz w:val="28"/>
                <w:szCs w:val="28"/>
                <w:b w:val="1"/>
                <w:bCs w:val="1"/>
                <w:color w:val="auto"/>
                <w:vertAlign w:val="superscript"/>
              </w:rPr>
              <w:t>(2)</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307</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313</w:t>
            </w:r>
          </w:p>
        </w:tc>
      </w:tr>
      <w:tr>
        <w:trPr>
          <w:trHeight w:val="20"/>
        </w:trPr>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150495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53" w:lineRule="exact"/>
        <w:rPr>
          <w:sz w:val="20"/>
          <w:szCs w:val="20"/>
          <w:color w:val="auto"/>
        </w:rPr>
      </w:pPr>
    </w:p>
    <w:p>
      <w:pPr>
        <w:ind w:left="332" w:hanging="332"/>
        <w:spacing w:after="0" w:line="273" w:lineRule="auto"/>
        <w:tabs>
          <w:tab w:leader="none" w:pos="211"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free cash flow is defined by the Company as net cash used for operating activities plus beneficial interest in transferred receivables less capital expenditures and certain other items. A reconciliation from net cash used for operating activities to adjusted free cash flow for the three and six months ended June 30, 2018 and 2017 follows.</w:t>
      </w:r>
    </w:p>
    <w:p>
      <w:pPr>
        <w:spacing w:after="0" w:line="119" w:lineRule="exact"/>
        <w:rPr>
          <w:rFonts w:ascii="Arial" w:cs="Arial" w:eastAsia="Arial" w:hAnsi="Arial"/>
          <w:sz w:val="14"/>
          <w:szCs w:val="14"/>
          <w:color w:val="auto"/>
        </w:rPr>
      </w:pPr>
    </w:p>
    <w:p>
      <w:pPr>
        <w:ind w:left="332" w:hanging="332"/>
        <w:spacing w:after="0"/>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Cash and cash equivalents includes $9 and $12 of restricted cash at June 30, 2018 and 2017.</w:t>
      </w:r>
    </w:p>
    <w:p>
      <w:pPr>
        <w:spacing w:after="0" w:line="172" w:lineRule="exact"/>
        <w:rPr>
          <w:sz w:val="20"/>
          <w:szCs w:val="20"/>
          <w:color w:val="auto"/>
        </w:rPr>
      </w:pPr>
    </w:p>
    <w:tbl>
      <w:tblPr>
        <w:tblLayout w:type="fixed"/>
        <w:tblInd w:w="1592" w:type="dxa"/>
        <w:tblCellMar>
          <w:top w:w="0" w:type="dxa"/>
          <w:left w:w="0" w:type="dxa"/>
          <w:bottom w:w="0" w:type="dxa"/>
          <w:right w:w="0" w:type="dxa"/>
        </w:tblCellMar>
      </w:tblPr>
      <w:tr>
        <w:trPr>
          <w:trHeight w:val="222"/>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gridSpan w:val="5"/>
          </w:tcPr>
          <w:p>
            <w:pPr>
              <w:spacing w:after="0"/>
              <w:rPr>
                <w:sz w:val="20"/>
                <w:szCs w:val="20"/>
                <w:color w:val="auto"/>
              </w:rPr>
            </w:pPr>
            <w:r>
              <w:rPr>
                <w:rFonts w:ascii="Arial" w:cs="Arial" w:eastAsia="Arial" w:hAnsi="Arial"/>
                <w:sz w:val="17"/>
                <w:szCs w:val="17"/>
                <w:b w:val="1"/>
                <w:bCs w:val="1"/>
                <w:color w:val="auto"/>
              </w:rPr>
              <w:t>Three Months Ended June 30,</w:t>
            </w:r>
          </w:p>
        </w:tc>
        <w:tc>
          <w:tcPr>
            <w:tcW w:w="140" w:type="dxa"/>
            <w:vAlign w:val="bottom"/>
          </w:tcPr>
          <w:p>
            <w:pPr>
              <w:spacing w:after="0"/>
              <w:rPr>
                <w:sz w:val="19"/>
                <w:szCs w:val="19"/>
                <w:color w:val="auto"/>
              </w:rPr>
            </w:pPr>
          </w:p>
        </w:tc>
        <w:tc>
          <w:tcPr>
            <w:tcW w:w="2180" w:type="dxa"/>
            <w:vAlign w:val="bottom"/>
            <w:gridSpan w:val="4"/>
          </w:tcPr>
          <w:p>
            <w:pPr>
              <w:jc w:val="right"/>
              <w:ind w:right="75"/>
              <w:spacing w:after="0"/>
              <w:rPr>
                <w:sz w:val="20"/>
                <w:szCs w:val="20"/>
                <w:color w:val="auto"/>
              </w:rPr>
            </w:pPr>
            <w:r>
              <w:rPr>
                <w:rFonts w:ascii="Arial" w:cs="Arial" w:eastAsia="Arial" w:hAnsi="Arial"/>
                <w:sz w:val="17"/>
                <w:szCs w:val="17"/>
                <w:b w:val="1"/>
                <w:bCs w:val="1"/>
                <w:color w:val="auto"/>
                <w:w w:val="90"/>
              </w:rPr>
              <w:t>Six Months Ended June 30,</w:t>
            </w:r>
          </w:p>
        </w:tc>
        <w:tc>
          <w:tcPr>
            <w:tcW w:w="0" w:type="dxa"/>
            <w:vAlign w:val="bottom"/>
          </w:tcPr>
          <w:p>
            <w:pPr>
              <w:spacing w:after="0"/>
              <w:rPr>
                <w:sz w:val="1"/>
                <w:szCs w:val="1"/>
                <w:color w:val="auto"/>
              </w:rPr>
            </w:pPr>
          </w:p>
        </w:tc>
      </w:tr>
      <w:tr>
        <w:trPr>
          <w:trHeight w:val="270"/>
        </w:trPr>
        <w:tc>
          <w:tcPr>
            <w:tcW w:w="3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ind w:right="255"/>
              <w:spacing w:after="0"/>
              <w:rPr>
                <w:sz w:val="20"/>
                <w:szCs w:val="20"/>
                <w:color w:val="auto"/>
              </w:rPr>
            </w:pPr>
            <w:r>
              <w:rPr>
                <w:rFonts w:ascii="Arial" w:cs="Arial" w:eastAsia="Arial" w:hAnsi="Arial"/>
                <w:sz w:val="17"/>
                <w:szCs w:val="17"/>
                <w:b w:val="1"/>
                <w:bCs w:val="1"/>
                <w:color w:val="auto"/>
              </w:rPr>
              <w:t>2018</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75"/>
              <w:spacing w:after="0"/>
              <w:rPr>
                <w:sz w:val="20"/>
                <w:szCs w:val="20"/>
                <w:color w:val="auto"/>
              </w:rPr>
            </w:pPr>
            <w:r>
              <w:rPr>
                <w:rFonts w:ascii="Arial" w:cs="Arial" w:eastAsia="Arial" w:hAnsi="Arial"/>
                <w:sz w:val="17"/>
                <w:szCs w:val="17"/>
                <w:b w:val="1"/>
                <w:bCs w:val="1"/>
                <w:color w:val="auto"/>
              </w:rPr>
              <w:t>2017</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235"/>
              <w:spacing w:after="0"/>
              <w:rPr>
                <w:sz w:val="20"/>
                <w:szCs w:val="20"/>
                <w:color w:val="auto"/>
              </w:rPr>
            </w:pPr>
            <w:r>
              <w:rPr>
                <w:rFonts w:ascii="Arial" w:cs="Arial" w:eastAsia="Arial" w:hAnsi="Arial"/>
                <w:sz w:val="17"/>
                <w:szCs w:val="17"/>
                <w:b w:val="1"/>
                <w:bCs w:val="1"/>
                <w:color w:val="auto"/>
              </w:rPr>
              <w:t>2018</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235"/>
              <w:spacing w:after="0"/>
              <w:rPr>
                <w:sz w:val="20"/>
                <w:szCs w:val="20"/>
                <w:color w:val="auto"/>
              </w:rPr>
            </w:pPr>
            <w:r>
              <w:rPr>
                <w:rFonts w:ascii="Arial" w:cs="Arial" w:eastAsia="Arial" w:hAnsi="Arial"/>
                <w:sz w:val="17"/>
                <w:szCs w:val="17"/>
                <w:b w:val="1"/>
                <w:bCs w:val="1"/>
                <w:color w:val="auto"/>
              </w:rPr>
              <w:t>2017</w:t>
            </w:r>
          </w:p>
        </w:tc>
        <w:tc>
          <w:tcPr>
            <w:tcW w:w="0" w:type="dxa"/>
            <w:vAlign w:val="bottom"/>
          </w:tcPr>
          <w:p>
            <w:pPr>
              <w:spacing w:after="0"/>
              <w:rPr>
                <w:sz w:val="1"/>
                <w:szCs w:val="1"/>
                <w:color w:val="auto"/>
              </w:rPr>
            </w:pPr>
          </w:p>
        </w:tc>
      </w:tr>
      <w:tr>
        <w:trPr>
          <w:trHeight w:val="31"/>
        </w:trPr>
        <w:tc>
          <w:tcPr>
            <w:tcW w:w="32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cash used for operating activities</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ind w:right="15"/>
              <w:spacing w:after="0"/>
              <w:rPr>
                <w:sz w:val="20"/>
                <w:szCs w:val="20"/>
                <w:color w:val="auto"/>
              </w:rPr>
            </w:pPr>
            <w:r>
              <w:rPr>
                <w:rFonts w:ascii="Arial" w:cs="Arial" w:eastAsia="Arial" w:hAnsi="Arial"/>
                <w:sz w:val="17"/>
                <w:szCs w:val="17"/>
                <w:b w:val="1"/>
                <w:bCs w:val="1"/>
                <w:color w:val="auto"/>
              </w:rPr>
              <w:t>259</w:t>
            </w:r>
          </w:p>
        </w:tc>
        <w:tc>
          <w:tcPr>
            <w:tcW w:w="34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820" w:type="dxa"/>
            <w:vAlign w:val="bottom"/>
          </w:tcPr>
          <w:p>
            <w:pPr>
              <w:jc w:val="right"/>
              <w:ind w:right="15"/>
              <w:spacing w:after="0"/>
              <w:rPr>
                <w:sz w:val="20"/>
                <w:szCs w:val="20"/>
                <w:color w:val="auto"/>
              </w:rPr>
            </w:pPr>
            <w:r>
              <w:rPr>
                <w:rFonts w:ascii="Arial" w:cs="Arial" w:eastAsia="Arial" w:hAnsi="Arial"/>
                <w:sz w:val="17"/>
                <w:szCs w:val="17"/>
                <w:b w:val="1"/>
                <w:bCs w:val="1"/>
                <w:color w:val="auto"/>
              </w:rPr>
              <w:t>102</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(492)</w:t>
            </w:r>
          </w:p>
        </w:tc>
        <w:tc>
          <w:tcPr>
            <w:tcW w:w="36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(475)</w:t>
            </w:r>
          </w:p>
        </w:tc>
        <w:tc>
          <w:tcPr>
            <w:tcW w:w="0" w:type="dxa"/>
            <w:vAlign w:val="bottom"/>
          </w:tcPr>
          <w:p>
            <w:pPr>
              <w:spacing w:after="0"/>
              <w:rPr>
                <w:sz w:val="1"/>
                <w:szCs w:val="1"/>
                <w:color w:val="auto"/>
              </w:rPr>
            </w:pPr>
          </w:p>
        </w:tc>
      </w:tr>
      <w:tr>
        <w:trPr>
          <w:trHeight w:val="31"/>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Beneficial interest in transferred receivables</w:t>
            </w:r>
          </w:p>
        </w:tc>
        <w:tc>
          <w:tcPr>
            <w:tcW w:w="1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160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250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335</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color w:val="auto"/>
              </w:rPr>
              <w:t>507</w:t>
            </w:r>
          </w:p>
        </w:tc>
        <w:tc>
          <w:tcPr>
            <w:tcW w:w="0" w:type="dxa"/>
            <w:vAlign w:val="bottom"/>
          </w:tcPr>
          <w:p>
            <w:pPr>
              <w:spacing w:after="0"/>
              <w:rPr>
                <w:sz w:val="1"/>
                <w:szCs w:val="1"/>
                <w:color w:val="auto"/>
              </w:rPr>
            </w:pPr>
          </w:p>
        </w:tc>
      </w:tr>
      <w:tr>
        <w:trPr>
          <w:trHeight w:val="186"/>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vMerge w:val="continue"/>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Arial" w:cs="Arial" w:eastAsia="Arial" w:hAnsi="Arial"/>
                <w:sz w:val="17"/>
                <w:szCs w:val="17"/>
                <w:color w:val="auto"/>
              </w:rPr>
              <w:t>Acquisition costs</w:t>
            </w:r>
          </w:p>
        </w:tc>
        <w:tc>
          <w:tcPr>
            <w:tcW w:w="10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9"/>
              </w:rPr>
              <w:t>Adjusted cash used for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438</w:t>
            </w:r>
          </w:p>
        </w:tc>
        <w:tc>
          <w:tcPr>
            <w:tcW w:w="3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352</w:t>
            </w:r>
          </w:p>
        </w:tc>
        <w:tc>
          <w:tcPr>
            <w:tcW w:w="4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3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39"/>
        </w:trPr>
        <w:tc>
          <w:tcPr>
            <w:tcW w:w="322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(93)</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(200)</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31"/>
        </w:trPr>
        <w:tc>
          <w:tcPr>
            <w:tcW w:w="3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free cash flow</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330</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259</w:t>
            </w: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w:t>
            </w:r>
          </w:p>
        </w:tc>
        <w:tc>
          <w:tcPr>
            <w:tcW w:w="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(168)</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32" w:right="20" w:hanging="332"/>
        <w:spacing w:after="0" w:line="312" w:lineRule="auto"/>
        <w:tabs>
          <w:tab w:leader="none" w:pos="211" w:val="left"/>
        </w:tabs>
        <w:numPr>
          <w:ilvl w:val="0"/>
          <w:numId w:val="6"/>
        </w:numPr>
        <w:rPr>
          <w:rFonts w:ascii="Arial" w:cs="Arial" w:eastAsia="Arial" w:hAnsi="Arial"/>
          <w:sz w:val="13"/>
          <w:szCs w:val="13"/>
          <w:color w:val="auto"/>
        </w:rPr>
      </w:pPr>
      <w:r>
        <w:rPr>
          <w:rFonts w:ascii="Arial" w:cs="Arial" w:eastAsia="Arial" w:hAnsi="Arial"/>
          <w:sz w:val="13"/>
          <w:szCs w:val="13"/>
          <w:color w:val="auto"/>
        </w:rPr>
        <w:t>Prior year cash flow has been restated to reflect new accounting guidance related to the classification of certain cash receipts associated with the Company’s receivable securitization programs. Certain receipts previously reported in cash from operations are now reported in cash from investing activities as “Beneficial interest in transferred receivables”.</w:t>
      </w:r>
    </w:p>
    <w:p>
      <w:pPr>
        <w:sectPr>
          <w:pgSz w:w="11900" w:h="16838" w:orient="portrait"/>
          <w:cols w:equalWidth="0" w:num="1">
            <w:col w:w="11412"/>
          </w:cols>
          <w:pgMar w:left="248" w:top="852" w:right="239" w:bottom="67" w:gutter="0" w:footer="0" w:header="0"/>
        </w:sectPr>
      </w:pPr>
    </w:p>
    <w:p>
      <w:pPr>
        <w:spacing w:after="0" w:line="183"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Page 8 of 10</w:t>
      </w:r>
    </w:p>
    <w:p>
      <w:pPr>
        <w:sectPr>
          <w:pgSz w:w="11900" w:h="16838" w:orient="portrait"/>
          <w:cols w:equalWidth="0" w:num="1">
            <w:col w:w="11412"/>
          </w:cols>
          <w:pgMar w:left="248" w:top="852" w:right="239" w:bottom="67"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6020" w:type="dxa"/>
            <w:vAlign w:val="bottom"/>
            <w:gridSpan w:val="12"/>
          </w:tcPr>
          <w:p>
            <w:pPr>
              <w:spacing w:after="0"/>
              <w:rPr>
                <w:sz w:val="20"/>
                <w:szCs w:val="20"/>
                <w:color w:val="auto"/>
              </w:rPr>
            </w:pPr>
            <w:r>
              <w:rPr>
                <w:rFonts w:ascii="Arial" w:cs="Arial" w:eastAsia="Arial" w:hAnsi="Arial"/>
                <w:sz w:val="18"/>
                <w:szCs w:val="18"/>
                <w:b w:val="1"/>
                <w:bCs w:val="1"/>
                <w:color w:val="auto"/>
                <w:w w:val="96"/>
              </w:rPr>
              <w:t>Reconciliation of 2017 Segment Income to Amounts Previously Reported</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42"/>
        </w:trPr>
        <w:tc>
          <w:tcPr>
            <w:tcW w:w="350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 xml:space="preserve">Second Quarter 2017 Segment Income </w:t>
            </w:r>
            <w:r>
              <w:rPr>
                <w:rFonts w:ascii="Arial" w:cs="Arial" w:eastAsia="Arial" w:hAnsi="Arial"/>
                <w:sz w:val="25"/>
                <w:szCs w:val="25"/>
                <w:b w:val="1"/>
                <w:bCs w:val="1"/>
                <w:color w:val="auto"/>
                <w:w w:val="97"/>
                <w:vertAlign w:val="superscript"/>
              </w:rPr>
              <w:t>(1)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16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As</w:t>
            </w:r>
          </w:p>
        </w:tc>
      </w:tr>
      <w:tr>
        <w:trPr>
          <w:trHeight w:val="270"/>
        </w:trPr>
        <w:tc>
          <w:tcPr>
            <w:tcW w:w="16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Previously</w:t>
            </w:r>
          </w:p>
        </w:tc>
        <w:tc>
          <w:tcPr>
            <w:tcW w:w="160" w:type="dxa"/>
            <w:vAlign w:val="bottom"/>
          </w:tcPr>
          <w:p>
            <w:pPr>
              <w:spacing w:after="0"/>
              <w:rPr>
                <w:sz w:val="23"/>
                <w:szCs w:val="2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Pension and</w:t>
            </w:r>
          </w:p>
        </w:tc>
        <w:tc>
          <w:tcPr>
            <w:tcW w:w="140" w:type="dxa"/>
            <w:vAlign w:val="bottom"/>
          </w:tcPr>
          <w:p>
            <w:pPr>
              <w:spacing w:after="0"/>
              <w:rPr>
                <w:sz w:val="23"/>
                <w:szCs w:val="23"/>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Intangibles</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Currently</w:t>
            </w:r>
          </w:p>
        </w:tc>
      </w:tr>
      <w:tr>
        <w:trPr>
          <w:trHeight w:val="270"/>
        </w:trPr>
        <w:tc>
          <w:tcPr>
            <w:tcW w:w="3500" w:type="dxa"/>
            <w:vAlign w:val="bottom"/>
            <w:gridSpan w:val="3"/>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Postretirement</w:t>
            </w:r>
          </w:p>
        </w:tc>
        <w:tc>
          <w:tcPr>
            <w:tcW w:w="13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Reported</w:t>
            </w:r>
          </w:p>
        </w:tc>
      </w:tr>
      <w:tr>
        <w:trPr>
          <w:trHeight w:val="27"/>
        </w:trPr>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16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Non-reportable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auto"/>
              </w:rPr>
              <w:t>Corporate and unallocated</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16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297</w:t>
            </w:r>
          </w:p>
        </w:tc>
        <w:tc>
          <w:tcPr>
            <w:tcW w:w="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295</w:t>
            </w:r>
          </w:p>
        </w:tc>
      </w:tr>
      <w:tr>
        <w:trPr>
          <w:trHeight w:val="20"/>
        </w:trPr>
        <w:tc>
          <w:tcPr>
            <w:tcW w:w="1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1300" w:type="dxa"/>
        <w:tblCellMar>
          <w:top w:w="0" w:type="dxa"/>
          <w:left w:w="0" w:type="dxa"/>
          <w:bottom w:w="0" w:type="dxa"/>
          <w:right w:w="0" w:type="dxa"/>
        </w:tblCellMar>
      </w:tblPr>
      <w:tr>
        <w:trPr>
          <w:trHeight w:val="287"/>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YTD 2017 Segment Income </w:t>
            </w:r>
            <w:r>
              <w:rPr>
                <w:rFonts w:ascii="Arial" w:cs="Arial" w:eastAsia="Arial" w:hAnsi="Arial"/>
                <w:sz w:val="25"/>
                <w:szCs w:val="25"/>
                <w:b w:val="1"/>
                <w:bCs w:val="1"/>
                <w:color w:val="auto"/>
                <w:vertAlign w:val="superscript"/>
              </w:rPr>
              <w:t>(1)</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7"/>
        </w:trPr>
        <w:tc>
          <w:tcPr>
            <w:tcW w:w="332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As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As</w:t>
            </w:r>
          </w:p>
        </w:tc>
      </w:tr>
      <w:tr>
        <w:trPr>
          <w:trHeight w:val="270"/>
        </w:trPr>
        <w:tc>
          <w:tcPr>
            <w:tcW w:w="3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Previously</w:t>
            </w:r>
          </w:p>
        </w:tc>
        <w:tc>
          <w:tcPr>
            <w:tcW w:w="160" w:type="dxa"/>
            <w:vAlign w:val="bottom"/>
          </w:tcPr>
          <w:p>
            <w:pPr>
              <w:spacing w:after="0"/>
              <w:rPr>
                <w:sz w:val="23"/>
                <w:szCs w:val="23"/>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Pension and</w:t>
            </w:r>
          </w:p>
        </w:tc>
        <w:tc>
          <w:tcPr>
            <w:tcW w:w="140" w:type="dxa"/>
            <w:vAlign w:val="bottom"/>
          </w:tcPr>
          <w:p>
            <w:pPr>
              <w:spacing w:after="0"/>
              <w:rPr>
                <w:sz w:val="23"/>
                <w:szCs w:val="23"/>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Intangibles</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Currently</w:t>
            </w:r>
          </w:p>
        </w:tc>
      </w:tr>
      <w:tr>
        <w:trPr>
          <w:trHeight w:val="270"/>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Segment</w:t>
            </w:r>
          </w:p>
        </w:tc>
        <w:tc>
          <w:tcPr>
            <w:tcW w:w="160" w:type="dxa"/>
            <w:vAlign w:val="bottom"/>
          </w:tcPr>
          <w:p>
            <w:pPr>
              <w:spacing w:after="0"/>
              <w:rPr>
                <w:sz w:val="23"/>
                <w:szCs w:val="2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Reported</w:t>
            </w: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Postretirement</w:t>
            </w:r>
          </w:p>
        </w:tc>
        <w:tc>
          <w:tcPr>
            <w:tcW w:w="13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3"/>
                <w:szCs w:val="23"/>
                <w:color w:val="auto"/>
              </w:rPr>
            </w:pP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Reported</w:t>
            </w:r>
          </w:p>
        </w:tc>
      </w:tr>
      <w:tr>
        <w:trPr>
          <w:trHeight w:val="27"/>
        </w:trPr>
        <w:tc>
          <w:tcPr>
            <w:tcW w:w="3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Americas Beverage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213</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European Beverage</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European Food</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Non-reportable</w:t>
            </w:r>
          </w:p>
        </w:tc>
        <w:tc>
          <w:tcPr>
            <w:tcW w:w="1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3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57"/>
        </w:trPr>
        <w:tc>
          <w:tcPr>
            <w:tcW w:w="35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segment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r>
      <w:tr>
        <w:trPr>
          <w:trHeight w:val="20"/>
        </w:trPr>
        <w:tc>
          <w:tcPr>
            <w:tcW w:w="3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340" w:hanging="332"/>
        <w:spacing w:after="0" w:line="275" w:lineRule="auto"/>
        <w:tabs>
          <w:tab w:leader="none" w:pos="259"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year segment income has been restated to reflect new accounting guidance on the presentation of pension and postretirement expense and the Company's revised policy to exclude intangibles amortization charges from segment income.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10</w:t>
      </w:r>
    </w:p>
    <w:p>
      <w:pPr>
        <w:sectPr>
          <w:pgSz w:w="11900" w:h="16838" w:orient="portrait"/>
          <w:cols w:equalWidth="0" w:num="1">
            <w:col w:w="11420"/>
          </w:cols>
          <w:pgMar w:left="240" w:top="852" w:right="239" w:bottom="1440" w:gutter="0" w:footer="0" w:header="0"/>
        </w:sectPr>
      </w:pPr>
    </w:p>
    <w:bookmarkStart w:id="14" w:name="page15"/>
    <w:bookmarkEnd w:id="14"/>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One Crown Way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Philadelphia, PA 19154-4599</w:t>
      </w:r>
    </w:p>
    <w:p>
      <w:pPr>
        <w:spacing w:after="0" w:line="200" w:lineRule="exact"/>
        <w:rPr>
          <w:sz w:val="20"/>
          <w:szCs w:val="20"/>
          <w:color w:val="auto"/>
        </w:rPr>
      </w:pPr>
    </w:p>
    <w:p>
      <w:pPr>
        <w:spacing w:after="0" w:line="368"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gridSpan w:val="3"/>
          </w:tcPr>
          <w:p>
            <w:pPr>
              <w:spacing w:after="0"/>
              <w:rPr>
                <w:sz w:val="20"/>
                <w:szCs w:val="20"/>
                <w:color w:val="auto"/>
              </w:rPr>
            </w:pPr>
            <w:r>
              <w:rPr>
                <w:rFonts w:ascii="Arial" w:cs="Arial" w:eastAsia="Arial" w:hAnsi="Arial"/>
                <w:sz w:val="18"/>
                <w:szCs w:val="18"/>
                <w:b w:val="1"/>
                <w:bCs w:val="1"/>
                <w:color w:val="auto"/>
              </w:rPr>
              <w:t>Comparative Results for Signode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858"/>
        </w:trPr>
        <w:tc>
          <w:tcPr>
            <w:tcW w:w="2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8"/>
              </w:rPr>
              <w:t>Segment Income</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 xml:space="preserve">Depreciation </w:t>
            </w:r>
            <w:r>
              <w:rPr>
                <w:rFonts w:ascii="Arial" w:cs="Arial" w:eastAsia="Arial" w:hAnsi="Arial"/>
                <w:sz w:val="25"/>
                <w:szCs w:val="25"/>
                <w:b w:val="1"/>
                <w:bCs w:val="1"/>
                <w:color w:val="auto"/>
                <w:vertAlign w:val="superscript"/>
              </w:rPr>
              <w:t>(1)</w:t>
            </w:r>
          </w:p>
        </w:tc>
      </w:tr>
      <w:tr>
        <w:trPr>
          <w:trHeight w:val="237"/>
        </w:trPr>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70"/>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224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Q1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240" w:type="dxa"/>
            <w:vAlign w:val="bottom"/>
          </w:tcPr>
          <w:p>
            <w:pPr>
              <w:spacing w:after="0"/>
              <w:rPr>
                <w:sz w:val="21"/>
                <w:szCs w:val="21"/>
                <w:color w:val="auto"/>
              </w:rPr>
            </w:pPr>
          </w:p>
        </w:tc>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Q2</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2240" w:type="dxa"/>
            <w:vAlign w:val="bottom"/>
          </w:tcPr>
          <w:p>
            <w:pPr>
              <w:spacing w:after="0"/>
              <w:rPr>
                <w:sz w:val="21"/>
                <w:szCs w:val="21"/>
                <w:color w:val="auto"/>
              </w:rPr>
            </w:pP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Q3</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2240" w:type="dxa"/>
            <w:vAlign w:val="bottom"/>
          </w:tcPr>
          <w:p>
            <w:pPr>
              <w:spacing w:after="0"/>
              <w:rPr>
                <w:sz w:val="23"/>
                <w:szCs w:val="23"/>
                <w:color w:val="auto"/>
              </w:rPr>
            </w:pPr>
          </w:p>
        </w:tc>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Q4</w:t>
            </w: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r>
      <w:tr>
        <w:trPr>
          <w:trHeight w:val="27"/>
        </w:trPr>
        <w:tc>
          <w:tcPr>
            <w:tcW w:w="2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2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 of depreciation expense included in segment income, including acquisition step-up depreciation in 2018.</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ind w:left="5220"/>
        <w:spacing w:after="0"/>
        <w:rPr>
          <w:rFonts w:ascii="Arial" w:cs="Arial" w:eastAsia="Arial" w:hAnsi="Arial"/>
          <w:sz w:val="16"/>
          <w:szCs w:val="16"/>
          <w:color w:val="auto"/>
        </w:rPr>
      </w:pPr>
      <w:r>
        <w:rPr>
          <w:rFonts w:ascii="Arial" w:cs="Arial" w:eastAsia="Arial" w:hAnsi="Arial"/>
          <w:sz w:val="18"/>
          <w:szCs w:val="18"/>
          <w:color w:val="auto"/>
        </w:rPr>
        <w:t>Page 10 of 10</w:t>
      </w:r>
    </w:p>
    <w:sectPr>
      <w:pgSz w:w="11900" w:h="16838" w:orient="portrait"/>
      <w:cols w:equalWidth="0" w:num="1">
        <w:col w:w="10219"/>
      </w:cols>
      <w:pgMar w:left="240" w:top="8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2019-12-28T21:18:58Z</dcterms:created>
  <dcterms:modified xsi:type="dcterms:W3CDTF">2019-12-28T21:18:58Z</dcterms:modified>
</cp:coreProperties>
</file>