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19, 2020</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000-50189</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252"/>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400" w:type="dxa"/>
            <w:vAlign w:val="bottom"/>
          </w:tcPr>
          <w:p>
            <w:pPr>
              <w:spacing w:after="0"/>
              <w:rPr>
                <w:sz w:val="18"/>
                <w:szCs w:val="18"/>
                <w:color w:val="auto"/>
              </w:rPr>
            </w:pPr>
          </w:p>
        </w:tc>
      </w:tr>
      <w:tr>
        <w:trPr>
          <w:trHeight w:val="33"/>
        </w:trPr>
        <w:tc>
          <w:tcPr>
            <w:tcW w:w="2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8"/>
                <w:szCs w:val="18"/>
                <w:color w:val="auto"/>
              </w:rPr>
            </w:pPr>
          </w:p>
        </w:tc>
      </w:tr>
      <w:tr>
        <w:trPr>
          <w:trHeight w:val="25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22"/>
                <w:szCs w:val="22"/>
                <w:color w:val="auto"/>
              </w:rPr>
            </w:pPr>
          </w:p>
        </w:tc>
      </w:tr>
      <w:tr>
        <w:trPr>
          <w:trHeight w:val="25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22"/>
                <w:szCs w:val="22"/>
                <w:color w:val="auto"/>
              </w:rPr>
            </w:pPr>
          </w:p>
        </w:tc>
      </w:tr>
      <w:tr>
        <w:trPr>
          <w:trHeight w:val="242"/>
        </w:trPr>
        <w:tc>
          <w:tcPr>
            <w:tcW w:w="25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54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965"/>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528"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October 19, 2020 Crown Holdings, Inc. issued a press release announcing its earnings for the third quarter ended September 30, 2020. A copy of the press release is attached hereto as Exhibit 99 and incorporated herein by reference.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98"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0000FF"/>
        </w:rPr>
      </w:pPr>
      <w:hyperlink w:anchor="page5">
        <w:r>
          <w:rPr>
            <w:rFonts w:ascii="Times New Roman" w:cs="Times New Roman" w:eastAsia="Times New Roman" w:hAnsi="Times New Roman"/>
            <w:sz w:val="22"/>
            <w:szCs w:val="22"/>
            <w:u w:val="single" w:color="auto"/>
            <w:color w:val="0000FF"/>
          </w:rPr>
          <w:t>Press release, dated October 19</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2020, issued by Crown Holdings, Inc.</w:t>
        </w:r>
      </w:hyperlink>
    </w:p>
    <w:p>
      <w:pPr>
        <w:spacing w:after="0" w:line="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27940</wp:posOffset>
            </wp:positionV>
            <wp:extent cx="325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David A. Beaver</w:t>
      </w:r>
    </w:p>
    <w:p>
      <w:pPr>
        <w:spacing w:after="0" w:line="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-151130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332105</wp:posOffset>
            </wp:positionV>
            <wp:extent cx="675513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REPORTS THIRD QUARTER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99060</wp:posOffset>
            </wp:positionV>
            <wp:extent cx="675513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342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Yardley, PA - October 19, 2020. </w:t>
      </w:r>
      <w:r>
        <w:rPr>
          <w:rFonts w:ascii="Times New Roman" w:cs="Times New Roman" w:eastAsia="Times New Roman" w:hAnsi="Times New Roman"/>
          <w:sz w:val="18"/>
          <w:szCs w:val="18"/>
          <w:color w:val="auto"/>
        </w:rPr>
        <w:t>Crown Holdings, Inc. (NYSE: CCK) today announced its financial results for the third quarter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25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Earnings per share $1.59 versus $1.36 in prior year</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Adjusted earnings per share $1.96 versus $1.56 in prior year</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Increase in full year earnings and cash flow guidance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Beverage can volumes up 8% over prior year</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Food can volumes up 9% over prior year</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Announced intention to initiate dividend beginning Q1 2021</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Additional beverage can capacity announced in Brazil</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Top ESG ranking from Sustainalytics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Launched Twentyby30 ESG initiative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Named top ten globally by WSJ for environmental issues management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third quarter were $3,167 million compared to $3,084 million in the third quarter of 2019, primarily reflecting increased beverage can and food can volumes partially offset by the pass through of lower material costs.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operations was $406 million in the quarter compared to $352 million in the third quarter of 2019. Segment income improved to $461 million in the third quarter compared to $395 million in the prior year third quarter primarily due to higher sales unit volumes.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Commenting on the quarter, Timothy J. Donahue, President and Chief Executive Officer, stated, “The Company performed very well during the quarter, with strong results across our global operations. Despite various challenges posed by the global pandemic, segment income for the quarter increased 17% over the prior year, driven by robust beverage can and food can volumes, strong cost performance in Transit Packaging and exceptional manufacturing performance throughout the organization.</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beverage can shipments expanded 8% during the quarter, propelled by double-digit gains across the Western Hemisphere. We believe this accelerating growth demonstrates the increasing preference of both brand owners and consumers for beverage cans, the world’s most sustainable and recycled beverage container. Global food can volumes advanced 9%, with notable increases in both Europe, where the harvest conditions and resulting crop yields, while below forecast, were considerably improved compared to the prior year, and North America, where demand has benefitted from more at-home meal preparation during the pandemic.</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 would like to express my appreciation to all of our employees and partners, whose dedication and commitment continue to be instrumental as we navigate through the challenges of the coronavirus pandemic. The health and safety of our employees, customers and partners is our highest priority.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Sustainalytics, a global environmental, social and governance (ESG) ratings provider, ranked Crown as the number one low-risk organization of the 48 reviewed companies operating in the metal and glass packaging sector. Within Sustainalytics’ total research universe of more than 12,500 companies, Crown placed in the top 1.4% of scores. On October 13, “The Wall Street Journal” named Crown as one of the world’s 100 most sustainably managed companies and, notably, the highest rated packaging producer on the list. In addition, the WSJ ranked Crown among the world’s top ten companies for environmental issues management - the only U.S.-based company to achieve that distinction.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11</w:t>
      </w:r>
    </w:p>
    <w:p>
      <w:pPr>
        <w:sectPr>
          <w:pgSz w:w="11900" w:h="16838" w:orient="portrait"/>
          <w:cols w:equalWidth="0" w:num="1">
            <w:col w:w="11240"/>
          </w:cols>
          <w:pgMar w:left="320" w:top="483"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-151130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elevate our industry-leading commitment to sustainability, the Company in July debuted Twentyby30, a robust program that outlines twenty measurable ESG goals to be completed by 2030 or sooner. The program identifies five distinct pillars of action - Climate Action, Resource Efficiency, Optimum Circularity, Working Together and Never Compromise - that represent areas of the business in which Crown can create notable impact.</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“To meet accelerating demand, the Company continues to implement a number of beverage can capacity expansion projects. It should be noted that all new beverage can capacity has the ability to produce multiple sizes, often termed specialty cans. Early this year, we commenced production on the third line at the Toronto, Ontario facility to meet the increasing requirements of customers. During the second quarter, we completed the conversion of two lines in Seville, Spain from steel to aluminum and in June, we began commercial production on the third line at our Nichols, New York facility. In July, we commenced operations at a new one-line plant in Nong Khae, Thailand. Construction is also underway at our new greenfield facility in Bowling Green, Kentucky, an attractive location to effectively serve a number of diverse customers in the region. The first production line of the plant is targeted to start up during the second quarter of 2021, with the second line targeted for a late third quarter 2021 start up. To meet the expanding requirements of specialty cans in the Pacific Northwest, we will construct a third line in our Olympia, Washington plant which is scheduled to begin production during the third quarter of 2021. As the package mix for beer in Brazil continues to shift toward cans, we will add a second line to our recently constructed facility in Rio Verde. The line is targeted to commence operations during the third quarter of 2021</w:t>
      </w:r>
      <w:r>
        <w:rPr>
          <w:rFonts w:ascii="Arial" w:cs="Arial" w:eastAsia="Arial" w:hAnsi="Arial"/>
          <w:sz w:val="19"/>
          <w:szCs w:val="19"/>
          <w:color w:val="auto"/>
        </w:rPr>
        <w: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Interest expense was $72 million in the third quarter of 2020 compared to $95 million in 2019 primarily due to a combination of lower outstanding debt and lower interest rates.</w:t>
      </w:r>
    </w:p>
    <w:p>
      <w:pPr>
        <w:spacing w:after="0" w:line="2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income attributable to Crown Holdings in the third quarter was $214 million compared to $183 million in the third quarter of 2019. Reported diluted earnings per share were $1.59 in the third quarter of 2020 compared to $1.36 in 2019. Adjusted diluted earnings per share were $1.96 compared to $1.56 in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from net income and diluted earnings per share to adjusted net income and adjusted diluted earnings per share is provided below.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 Results</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sales for the first nine months of 2020 were $8,613 million compared to $8,874 million in the first nine months of 2019, primarily due to the pass through of lower material costs and $105 million of unfavorable currency translation, partially offset by increased sales unit volumes.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from operations was $927 million in the first nine months of 2020 compared to $997 million in the first nine months of 2019. Segment income in the first nine months of 2020 was $1,081 million versus $1,096 million in the prior year period. In addition to $18 million of unfavorable currency translation and the impact of the coronavirus pandemic on the Company’s operations in 2020, the results for the European Food and the nonreportable segments included unfavorable impacts of $18 million and $16 million, respectively, in the first quarter of 2020 versus 2019 arising from the carryover of tinplate costs from the prior year end inventory.</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$228 million for the first nine months of 2020 compared to $290 million in 2019 primarily due to lower outstanding debt and lower interest rates.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Crown Holdings in the first nine months of 2020 was $428 million compared to $423 million in the first nine months of 2019. Reported diluted earnings per share were $3.18 compared to $3.14 in 2019. Adjusted diluted earnings per share were $4.43 compared to $4.07 in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 and Portfolio Review</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part of its ongoing capital allocation review, the Company announced today that it intends to initiate a regular quarterly dividend of at least $0.20 per share beginning with a payment in the first quarter of 2021. The actual amount and timing of any dividend will be provided in future communications after due authorization by the Company’s Board of Directors. The Company also anticipates opportunistically repurchasing shares of its common stock during 2021 upon authorization of a share repurchase program by its Board.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 of 11</w:t>
      </w:r>
    </w:p>
    <w:p>
      <w:pPr>
        <w:sectPr>
          <w:pgSz w:w="11900" w:h="16838" w:orient="portrait"/>
          <w:cols w:equalWidth="0" w:num="1">
            <w:col w:w="11240"/>
          </w:cols>
          <w:pgMar w:left="320" w:top="591"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-151130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previously announced portfolio review is ongoing and a further update will be provided in due course.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8"/>
          <w:szCs w:val="18"/>
          <w:color w:val="auto"/>
        </w:rPr>
        <w:t>The Company currently expects fourth quarter and full year 2020 adjusted diluted earnings to be in the ranges of $1.22 to $1.27 and $5.65 to $5.70 per share,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adjusted effective income tax rate for the full year of 2020 is expected to be approximately 26%.</w:t>
      </w:r>
    </w:p>
    <w:p>
      <w:pPr>
        <w:spacing w:after="0" w:line="23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Adjusted free cash flow, as defined below, is currently expected to be approximately $550 million for 2020 with approximately $600 million of capital spending.</w:t>
      </w:r>
    </w:p>
    <w:p>
      <w:pPr>
        <w:spacing w:after="0" w:line="2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projections above represent management’s best estimates at this time. The uncertainty of the impact and duration of the coronavirus pandemic makes it inherently difficult for the Company to estimate the projected performance of its business, particularly over the near term. Please see “Cautionary Note Regarding Forward-Looking Statements” below for further information.</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direct response to the pandemic, the Company has taken specific actions to ensure the safety of its employees. Following the implementation of travel and visitor restrictions in February, Crown continues to update its policies as new information becomes available. The Company has taken increased safety measures in its manufacturing facilities to ensure the safety of its employees and the products they produce. In addition, as many Crown employees as possible are working remotely.</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products are a vital part of the support system to its customers and consumers. In addition to manufacturing containers that provide protection for food and beverages, Crown also produces closures for baby food, aerosol containers for cleaning and sanitizing products and numerous products that provide for the safe and secure transportation of goods in transit.</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working to ensure that its manufacturing facilities around the world remain operational and are equipped with the resources required to meet continually evolving customer demand by delivering high quality products in a safe and timely manner. Crown is actively monitoring and managing supply chain challenges, including coordinating with the Company’s suppliers to identify and mitigate potential areas of risk and manage inventories.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Segment income, adjusted free cash flow,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views segment income as the principal measure of the performance of its operations and adjusted free cash flow and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Reconciliations of estimated adjusted diluted earnings per share for the fourth quarter and full year of 2020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net income, the adjusted effective tax rate and adjusted diluted earnings per share are useful in evaluating the Company’s operations as these measures are adjusted for items that affect comparability between periods. The Company believes that adjusted free cash flow and net leverage ratio provide meaningful measures of</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11</w:t>
      </w:r>
    </w:p>
    <w:p>
      <w:pPr>
        <w:sectPr>
          <w:pgSz w:w="11900" w:h="16838" w:orient="portrait"/>
          <w:cols w:equalWidth="0" w:num="1">
            <w:col w:w="11240"/>
          </w:cols>
          <w:pgMar w:left="320" w:top="591"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-151130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liquidity and a useful basis for assessing the Company’s ability to fund its activities, including the financing of acquisitions, debt repayments, share repurchases or possible future dividends. Segment income, adjusted free cash flow,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Company will hold a conference call tomorrow, October 20, 2020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18"/>
          <w:szCs w:val="18"/>
          <w:color w:val="0000FF"/>
        </w:rPr>
        <w:t>www.crowncork.com</w:t>
      </w:r>
      <w:r>
        <w:rPr>
          <w:rFonts w:ascii="Times New Roman" w:cs="Times New Roman" w:eastAsia="Times New Roman" w:hAnsi="Times New Roman"/>
          <w:sz w:val="18"/>
          <w:szCs w:val="18"/>
          <w:color w:val="000000"/>
        </w:rPr>
        <w:t>. A replay of the conference call will be available for a one-week period ending at midnight on October 27, 2020. The telephone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numbers for the replay are 402-220-4720 or toll free 800-879-4284.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2020, including consumer preference for beverage cans and increasing global beverage can demand; future demand for food cans; the Company’s ability to successfully complete its previously announced capacity expansion projects and begin production within expected timelines, including any delays related to the pandemic; the Company’s ability to meet its sustainability targets; the Company’s plans for dividends and share repurchases; and the Company’s ability to generate expected earnings and cash flow in 2020,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2019 and in subsequent filings made prior to or after the date hereof. The Company does not intend to review or revise any particular forward-looking statement in light of future events.</w:t>
      </w:r>
    </w:p>
    <w:p>
      <w:pPr>
        <w:spacing w:after="0" w:line="20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w:t>
      </w:r>
    </w:p>
    <w:p>
      <w:pPr>
        <w:spacing w:after="0" w:line="16" w:lineRule="exact"/>
        <w:rPr>
          <w:sz w:val="20"/>
          <w:szCs w:val="20"/>
          <w:color w:val="auto"/>
        </w:rPr>
      </w:pPr>
    </w:p>
    <w:p>
      <w:pPr>
        <w:ind w:right="4520"/>
        <w:spacing w:after="0" w:line="271" w:lineRule="auto"/>
        <w:rPr>
          <w:sz w:val="20"/>
          <w:szCs w:val="20"/>
          <w:color w:val="auto"/>
        </w:rPr>
      </w:pPr>
      <w:r>
        <w:rPr>
          <w:rFonts w:ascii="Times New Roman" w:cs="Times New Roman" w:eastAsia="Times New Roman" w:hAnsi="Times New Roman"/>
          <w:sz w:val="17"/>
          <w:szCs w:val="17"/>
          <w:color w:val="auto"/>
        </w:rPr>
        <w:t>Thomas A. Kelly, Senior Vice President and Chief Financial Officer, (215) 698-5341 Thomas T. Fischer, Vice President, Investor Relations and Corporate Affairs, (215) 552-3720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11</w:t>
      </w:r>
    </w:p>
    <w:p>
      <w:pPr>
        <w:sectPr>
          <w:pgSz w:w="11900" w:h="16838" w:orient="portrait"/>
          <w:cols w:equalWidth="0" w:num="1">
            <w:col w:w="11240"/>
          </w:cols>
          <w:pgMar w:left="320" w:top="591"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-151130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0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3,167</w:t>
            </w:r>
          </w:p>
        </w:tc>
        <w:tc>
          <w:tcPr>
            <w:tcW w:w="4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3,084</w:t>
            </w:r>
          </w:p>
        </w:tc>
        <w:tc>
          <w:tcPr>
            <w:tcW w:w="5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8,613</w:t>
            </w:r>
          </w:p>
        </w:tc>
        <w:tc>
          <w:tcPr>
            <w:tcW w:w="4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6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4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w:t>
            </w:r>
          </w:p>
        </w:tc>
        <w:tc>
          <w:tcPr>
            <w:tcW w:w="4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w:t>
            </w:r>
          </w:p>
        </w:tc>
        <w:tc>
          <w:tcPr>
            <w:tcW w:w="0" w:type="dxa"/>
            <w:vAlign w:val="bottom"/>
          </w:tcPr>
          <w:p>
            <w:pPr>
              <w:spacing w:after="0"/>
              <w:rPr>
                <w:sz w:val="1"/>
                <w:szCs w:val="1"/>
                <w:color w:val="auto"/>
              </w:rPr>
            </w:pPr>
          </w:p>
        </w:tc>
      </w:tr>
      <w:tr>
        <w:trPr>
          <w:trHeight w:val="162"/>
        </w:trPr>
        <w:tc>
          <w:tcPr>
            <w:tcW w:w="4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 and curtailments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early extinguishment of debt</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5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6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4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5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4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Crown</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Holdings common shareholders: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133,300,255</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133,906,820</w:t>
            </w: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133,546,285</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133,854,275</w:t>
            </w:r>
          </w:p>
        </w:tc>
        <w:tc>
          <w:tcPr>
            <w:tcW w:w="0" w:type="dxa"/>
            <w:vAlign w:val="bottom"/>
          </w:tcPr>
          <w:p>
            <w:pPr>
              <w:spacing w:after="0"/>
              <w:rPr>
                <w:sz w:val="1"/>
                <w:szCs w:val="1"/>
                <w:color w:val="auto"/>
              </w:rPr>
            </w:pPr>
          </w:p>
        </w:tc>
      </w:tr>
      <w:tr>
        <w:trPr>
          <w:trHeight w:val="243"/>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134,355,476</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134,981,636</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134,456,274</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134,768,003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common shares outstanding at quarter end</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134,763,007</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135,526,922</w:t>
            </w: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134,763,007</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135,526,922</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 Reconciliation from income from operations to segment income follows.</w:t>
      </w:r>
    </w:p>
    <w:p>
      <w:pPr>
        <w:sectPr>
          <w:pgSz w:w="11900" w:h="16838" w:orient="portrait"/>
          <w:cols w:equalWidth="0" w:num="1">
            <w:col w:w="11040"/>
          </w:cols>
          <w:pgMar w:left="400" w:top="59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 of 11</w:t>
      </w:r>
    </w:p>
    <w:p>
      <w:pPr>
        <w:sectPr>
          <w:pgSz w:w="11900" w:h="16838" w:orient="portrait"/>
          <w:cols w:equalWidth="0" w:num="1">
            <w:col w:w="11040"/>
          </w:cols>
          <w:pgMar w:left="400" w:top="591" w:right="459" w:bottom="1440"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-151130</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asbestos and restructuring and other.</w:t>
      </w:r>
    </w:p>
    <w:p>
      <w:pPr>
        <w:spacing w:after="0" w:line="114"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36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2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2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5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w:t>
            </w: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2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5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395</w:t>
            </w:r>
          </w:p>
        </w:tc>
        <w:tc>
          <w:tcPr>
            <w:tcW w:w="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1,081</w:t>
            </w:r>
          </w:p>
        </w:tc>
        <w:tc>
          <w:tcPr>
            <w:tcW w:w="5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1,096</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right="160" w:hanging="252"/>
        <w:spacing w:after="0" w:line="266" w:lineRule="auto"/>
        <w:tabs>
          <w:tab w:leader="none" w:pos="22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 addition to intangibles amortization charges, the amounts for 2019 also include $1 and $4 of accelerated depreciation related to the closure of a steel beverage can operation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2,608</w:t>
            </w: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43"/>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1,094</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43"/>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1,495</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7,573</w:t>
            </w:r>
          </w:p>
        </w:tc>
        <w:tc>
          <w:tcPr>
            <w:tcW w:w="2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Non-reportable segments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5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0" w:type="dxa"/>
            <w:vAlign w:val="bottom"/>
            <w:tcBorders>
              <w:bottom w:val="single" w:sz="8" w:color="auto"/>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Borders>
              <w:bottom w:val="single" w:sz="8" w:color="auto"/>
            </w:tcBorders>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3,084</w:t>
            </w:r>
          </w:p>
        </w:tc>
        <w:tc>
          <w:tcPr>
            <w:tcW w:w="40" w:type="dxa"/>
            <w:vAlign w:val="bottom"/>
          </w:tcPr>
          <w:p>
            <w:pPr>
              <w:spacing w:after="0"/>
              <w:rPr>
                <w:sz w:val="22"/>
                <w:szCs w:val="22"/>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8,613</w:t>
            </w:r>
          </w:p>
        </w:tc>
        <w:tc>
          <w:tcPr>
            <w:tcW w:w="2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8,874</w:t>
            </w:r>
          </w:p>
        </w:tc>
        <w:tc>
          <w:tcPr>
            <w:tcW w:w="0" w:type="dxa"/>
            <w:vAlign w:val="bottom"/>
          </w:tcPr>
          <w:p>
            <w:pPr>
              <w:spacing w:after="0"/>
              <w:rPr>
                <w:sz w:val="1"/>
                <w:szCs w:val="1"/>
                <w:color w:val="auto"/>
              </w:rPr>
            </w:pPr>
          </w:p>
        </w:tc>
      </w:tr>
      <w:tr>
        <w:trPr>
          <w:trHeight w:val="20"/>
        </w:trPr>
        <w:tc>
          <w:tcPr>
            <w:tcW w:w="2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7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43"/>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1300" w:type="dxa"/>
            <w:vAlign w:val="bottom"/>
            <w:gridSpan w:val="3"/>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1300" w:type="dxa"/>
            <w:vAlign w:val="bottom"/>
            <w:gridSpan w:val="3"/>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7"/>
        </w:trPr>
        <w:tc>
          <w:tcPr>
            <w:tcW w:w="1300" w:type="dxa"/>
            <w:vAlign w:val="bottom"/>
            <w:gridSpan w:val="3"/>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Non-reportable segments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5"/>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4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1,081</w:t>
            </w:r>
          </w:p>
        </w:tc>
        <w:tc>
          <w:tcPr>
            <w:tcW w:w="2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60" w:hanging="252"/>
        <w:spacing w:after="0" w:line="282" w:lineRule="auto"/>
        <w:tabs>
          <w:tab w:leader="none" w:pos="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the Company's food can and closures businesses in North America, aerosol can businesses in North America and Europe, the promotional packaging business in Europe, and tooling and equipment operations in the U.S. and United Kingdom.</w:t>
      </w:r>
    </w:p>
    <w:p>
      <w:pPr>
        <w:sectPr>
          <w:pgSz w:w="11900" w:h="16838" w:orient="portrait"/>
          <w:cols w:equalWidth="0" w:num="1">
            <w:col w:w="11240"/>
          </w:cols>
          <w:pgMar w:left="320" w:top="59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 of 11</w:t>
      </w:r>
    </w:p>
    <w:p>
      <w:pPr>
        <w:sectPr>
          <w:pgSz w:w="11900" w:h="16838" w:orient="portrait"/>
          <w:cols w:equalWidth="0" w:num="1">
            <w:col w:w="11240"/>
          </w:cols>
          <w:pgMar w:left="320" w:top="591" w:right="339" w:bottom="0"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-151765</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333"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0"/>
                <w:szCs w:val="20"/>
                <w:color w:val="auto"/>
              </w:rPr>
            </w:pPr>
          </w:p>
        </w:tc>
        <w:tc>
          <w:tcPr>
            <w:tcW w:w="3100" w:type="dxa"/>
            <w:vAlign w:val="bottom"/>
            <w:gridSpan w:val="10"/>
          </w:tcPr>
          <w:p>
            <w:pPr>
              <w:ind w:left="1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2019</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income/diluted earnings per</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attributable to Crown Holdings,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1.59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1.36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428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3.18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423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3.14</w:t>
            </w:r>
          </w:p>
        </w:tc>
        <w:tc>
          <w:tcPr>
            <w:tcW w:w="0" w:type="dxa"/>
            <w:vAlign w:val="bottom"/>
          </w:tcPr>
          <w:p>
            <w:pPr>
              <w:spacing w:after="0"/>
              <w:rPr>
                <w:sz w:val="1"/>
                <w:szCs w:val="1"/>
                <w:color w:val="auto"/>
              </w:rPr>
            </w:pPr>
          </w:p>
        </w:tc>
      </w:tr>
      <w:tr>
        <w:trPr>
          <w:trHeight w:val="270"/>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0.32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0.15</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176"/>
        </w:trPr>
        <w:tc>
          <w:tcPr>
            <w:tcW w:w="2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Pension settlements and</w:t>
            </w:r>
          </w:p>
        </w:tc>
        <w:tc>
          <w:tcPr>
            <w:tcW w:w="20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0.04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rPr>
              <w:t>61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0.45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29"/>
        </w:trPr>
        <w:tc>
          <w:tcPr>
            <w:tcW w:w="25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curtailments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Loss from early extinguishment</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of debt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(5)</w:t>
            </w:r>
          </w:p>
        </w:tc>
        <w:tc>
          <w:tcPr>
            <w:tcW w:w="200" w:type="dxa"/>
            <w:vAlign w:val="bottom"/>
          </w:tcPr>
          <w:p>
            <w:pPr>
              <w:spacing w:after="0"/>
              <w:rPr>
                <w:sz w:val="23"/>
                <w:szCs w:val="23"/>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3"/>
              </w:rPr>
              <w:t>(10)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(0.35)</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40"/>
              <w:spacing w:after="0" w:line="256"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(6)</w:t>
            </w:r>
          </w:p>
        </w:tc>
        <w:tc>
          <w:tcPr>
            <w:tcW w:w="2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0.13</w:t>
            </w:r>
          </w:p>
        </w:tc>
        <w:tc>
          <w:tcPr>
            <w:tcW w:w="0" w:type="dxa"/>
            <w:vAlign w:val="bottom"/>
          </w:tcPr>
          <w:p>
            <w:pPr>
              <w:spacing w:after="0"/>
              <w:rPr>
                <w:sz w:val="1"/>
                <w:szCs w:val="1"/>
                <w:color w:val="auto"/>
              </w:rPr>
            </w:pPr>
          </w:p>
        </w:tc>
      </w:tr>
      <w:tr>
        <w:trPr>
          <w:trHeight w:val="206"/>
        </w:trPr>
        <w:tc>
          <w:tcPr>
            <w:tcW w:w="258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Adjusted net income/diluted</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1.96</w:t>
            </w:r>
          </w:p>
        </w:tc>
        <w:tc>
          <w:tcPr>
            <w:tcW w:w="16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5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1.56</w:t>
            </w:r>
          </w:p>
        </w:tc>
        <w:tc>
          <w:tcPr>
            <w:tcW w:w="14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595</w:t>
            </w:r>
          </w:p>
        </w:tc>
        <w:tc>
          <w:tcPr>
            <w:tcW w:w="14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4.43</w:t>
            </w:r>
          </w:p>
        </w:tc>
        <w:tc>
          <w:tcPr>
            <w:tcW w:w="16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548</w:t>
            </w:r>
          </w:p>
        </w:tc>
        <w:tc>
          <w:tcPr>
            <w:tcW w:w="16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4.07</w:t>
            </w:r>
          </w:p>
        </w:tc>
        <w:tc>
          <w:tcPr>
            <w:tcW w:w="0" w:type="dxa"/>
            <w:vAlign w:val="bottom"/>
          </w:tcPr>
          <w:p>
            <w:pPr>
              <w:spacing w:after="0"/>
              <w:rPr>
                <w:sz w:val="1"/>
                <w:szCs w:val="1"/>
                <w:color w:val="auto"/>
              </w:rPr>
            </w:pPr>
          </w:p>
        </w:tc>
      </w:tr>
      <w:tr>
        <w:trPr>
          <w:trHeight w:val="232"/>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480" w:type="dxa"/>
            <w:vAlign w:val="bottom"/>
            <w:gridSpan w:val="3"/>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500" w:type="dxa"/>
            <w:vAlign w:val="bottom"/>
            <w:gridSpan w:val="3"/>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as reported</w:t>
            </w: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effective tax rate </w:t>
            </w:r>
            <w:r>
              <w:rPr>
                <w:rFonts w:ascii="Times New Roman" w:cs="Times New Roman" w:eastAsia="Times New Roman" w:hAnsi="Times New Roman"/>
                <w:sz w:val="23"/>
                <w:szCs w:val="23"/>
                <w:color w:val="auto"/>
                <w:vertAlign w:val="superscript"/>
              </w:rPr>
              <w:t>(7)</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25.8 %</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8" w:lineRule="exact"/>
        <w:rPr>
          <w:sz w:val="20"/>
          <w:szCs w:val="20"/>
          <w:color w:val="auto"/>
        </w:rPr>
      </w:pPr>
    </w:p>
    <w:p>
      <w:pPr>
        <w:jc w:val="both"/>
        <w:ind w:left="340" w:hanging="332"/>
        <w:spacing w:after="0" w:line="254"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and first nine months of 2020, the Company recorded charges of $45 million ($33 million net of tax) and $134 million ($101 million net of tax) for intangibles amortization arising from prior acquisitions. In the third quarter and first nine months of 2019, the Company recorded charges of $42 million ($31 million net of tax) and $136 million ($101 million net of tax) for intangibles amortization. Also in the third quarter and first nine months of 2019, the Company recorded charges of $1 million ($0 million net of tax) and $4 million ($3 million net of tax) for accelerated depreciation related to the planned shutdown of a steel beverage can operation in Spain.</w:t>
      </w:r>
    </w:p>
    <w:p>
      <w:pPr>
        <w:spacing w:after="0" w:line="200"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and first nine months of 2020, the Company recorded net restructuring and other charges of $10 million ($8 million net of tax) and $20 million ($16 million net of tax) primarily related to business reorganization activities. In the first nine months of 2019, the Company recorded net restructuring and other gains of $41 million ($26 million net of tax). The first nine months of 2019 included gains of $50 million arising from favorable court rulings in lawsuits brought by the Company's Brazilian subsidiaries claiming they were overcharged by the local tax authorities for indirect taxes paid in prior years, offset by other net charges of $9 million primarily related to restructuring actions.</w:t>
      </w:r>
    </w:p>
    <w:p>
      <w:pPr>
        <w:spacing w:after="0" w:line="200" w:lineRule="exact"/>
        <w:rPr>
          <w:rFonts w:ascii="Times New Roman" w:cs="Times New Roman" w:eastAsia="Times New Roman" w:hAnsi="Times New Roman"/>
          <w:sz w:val="18"/>
          <w:szCs w:val="18"/>
          <w:color w:val="auto"/>
        </w:rPr>
      </w:pPr>
    </w:p>
    <w:p>
      <w:pPr>
        <w:jc w:val="both"/>
        <w:ind w:left="340" w:hanging="332"/>
        <w:spacing w:after="0" w:line="276"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and first nine months of 2020, the Company recorded charges of $5 million ($4 million net of tax) and $61 million ($49 million net of tax) arising from pension plan settlements. In the third quarter and first nine months of 2019, the Company recorded charges of $6 million ($5 million net of tax) and $37 million ($31 million net of tax) arising from pension plan settlements. In the first quarter of 2019, the Company recorded a curtailment gain of $14 million ($12 million net of tax) in connection with the closure of a defined pension plan to future accrual for active members.</w:t>
      </w:r>
    </w:p>
    <w:p>
      <w:pPr>
        <w:spacing w:after="0" w:line="181"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2019, the Company recorded a charge of $6 million ($5 million net of tax) for the write off of deferred financing fees in connection with the repayment of a portion of its term loan.</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 of 11</w:t>
      </w:r>
    </w:p>
    <w:p>
      <w:pPr>
        <w:sectPr>
          <w:pgSz w:w="11900" w:h="16838" w:orient="portrait"/>
          <w:cols w:equalWidth="0" w:num="1">
            <w:col w:w="11240"/>
          </w:cols>
          <w:pgMar w:left="320" w:top="591" w:right="339" w:bottom="1440" w:gutter="0" w:footer="0" w:header="0"/>
          <w:type w:val="continuous"/>
        </w:sectPr>
      </w:pPr>
    </w:p>
    <w:bookmarkStart w:id="11" w:name="page12"/>
    <w:bookmarkEnd w:id="11"/>
    <w:p>
      <w:pPr>
        <w:ind w:left="7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-151130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72"/>
        <w:spacing w:after="0"/>
        <w:rPr>
          <w:sz w:val="20"/>
          <w:szCs w:val="20"/>
          <w:color w:val="auto"/>
        </w:rPr>
      </w:pPr>
      <w:r>
        <w:rPr>
          <w:rFonts w:ascii="Arial" w:cs="Arial" w:eastAsia="Arial" w:hAnsi="Arial"/>
          <w:sz w:val="14"/>
          <w:szCs w:val="14"/>
          <w:color w:val="auto"/>
        </w:rPr>
        <w:t>Corporate Headquarters</w:t>
      </w:r>
    </w:p>
    <w:p>
      <w:pPr>
        <w:ind w:left="72"/>
        <w:spacing w:after="0" w:line="201" w:lineRule="auto"/>
        <w:rPr>
          <w:sz w:val="20"/>
          <w:szCs w:val="20"/>
          <w:color w:val="auto"/>
        </w:rPr>
      </w:pPr>
      <w:r>
        <w:rPr>
          <w:rFonts w:ascii="Arial" w:cs="Arial" w:eastAsia="Arial" w:hAnsi="Arial"/>
          <w:sz w:val="14"/>
          <w:szCs w:val="14"/>
          <w:color w:val="auto"/>
        </w:rPr>
        <w:t>770 Township Line Road</w:t>
      </w:r>
    </w:p>
    <w:p>
      <w:pPr>
        <w:ind w:left="72"/>
        <w:spacing w:after="0"/>
        <w:rPr>
          <w:sz w:val="20"/>
          <w:szCs w:val="20"/>
          <w:color w:val="auto"/>
        </w:rPr>
      </w:pPr>
      <w:r>
        <w:rPr>
          <w:rFonts w:ascii="Arial" w:cs="Arial" w:eastAsia="Arial" w:hAnsi="Arial"/>
          <w:sz w:val="14"/>
          <w:szCs w:val="14"/>
          <w:color w:val="auto"/>
        </w:rPr>
        <w:t>Yardley, PA 19067</w:t>
      </w:r>
    </w:p>
    <w:p>
      <w:pPr>
        <w:spacing w:after="0" w:line="315" w:lineRule="exact"/>
        <w:rPr>
          <w:sz w:val="20"/>
          <w:szCs w:val="20"/>
          <w:color w:val="auto"/>
        </w:rPr>
      </w:pPr>
    </w:p>
    <w:p>
      <w:pPr>
        <w:jc w:val="both"/>
        <w:ind w:left="332" w:hanging="332"/>
        <w:spacing w:after="0" w:line="259" w:lineRule="auto"/>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and first nine months of 2020, the Company recorded income tax benefits of $15 million and $49 million related to the items described above. Also in the third quarter of 2020, the Company recorded tax charges of $5 million primarily related to tax law changes in the U.K. In the first quarter of 2020, the Company recorded a tax benefit of $4 million related to tax law changes in India. In the third quarter and first nine months of 2019, the Company recorded income tax benefits of $13 million and $26 million related to the items described above. Also in the third quarter of 2019, the Company recorded a tax benefit of $9 million arising from tax law changes. In the second quarter of 2019, the Company recorded a charge of $15 million to settle a tax contingency arising from a transaction that occurred prior to its acquisition of Signode.</w:t>
      </w:r>
    </w:p>
    <w:p>
      <w:pPr>
        <w:spacing w:after="0" w:line="19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nine months of 2019, the Company recorded noncontrolling interest expense of $17 million related to the items described above.</w:t>
      </w:r>
    </w:p>
    <w:p>
      <w:pPr>
        <w:spacing w:after="0" w:line="23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effects on adjusted net income were calculated using the applicable tax rates of the underlying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 of 11</w:t>
      </w:r>
    </w:p>
    <w:p>
      <w:pPr>
        <w:sectPr>
          <w:pgSz w:w="11900" w:h="16838" w:orient="portrait"/>
          <w:cols w:equalWidth="0" w:num="1">
            <w:col w:w="11232"/>
          </w:cols>
          <w:pgMar w:left="328" w:top="591" w:right="33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-151130</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80" w:type="dxa"/>
            <w:vAlign w:val="bottom"/>
          </w:tcPr>
          <w:p>
            <w:pPr>
              <w:spacing w:after="0"/>
              <w:rPr>
                <w:sz w:val="20"/>
                <w:szCs w:val="20"/>
                <w:color w:val="auto"/>
              </w:rPr>
            </w:pPr>
          </w:p>
        </w:tc>
      </w:tr>
      <w:tr>
        <w:trPr>
          <w:trHeight w:val="27"/>
        </w:trPr>
        <w:tc>
          <w:tcPr>
            <w:tcW w:w="15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150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1,740</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64"/>
        </w:trPr>
        <w:tc>
          <w:tcPr>
            <w:tcW w:w="150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4,330</w:t>
            </w:r>
          </w:p>
        </w:tc>
        <w:tc>
          <w:tcPr>
            <w:tcW w:w="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4,082</w:t>
            </w:r>
          </w:p>
        </w:tc>
        <w:tc>
          <w:tcPr>
            <w:tcW w:w="1480" w:type="dxa"/>
            <w:vAlign w:val="bottom"/>
          </w:tcPr>
          <w:p>
            <w:pPr>
              <w:spacing w:after="0"/>
              <w:rPr>
                <w:sz w:val="22"/>
                <w:szCs w:val="22"/>
                <w:color w:val="auto"/>
              </w:rPr>
            </w:pPr>
          </w:p>
        </w:tc>
      </w:tr>
      <w:tr>
        <w:trPr>
          <w:trHeight w:val="250"/>
        </w:trPr>
        <w:tc>
          <w:tcPr>
            <w:tcW w:w="15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6,367</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3,739</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c>
          <w:tcPr>
            <w:tcW w:w="1480" w:type="dxa"/>
            <w:vAlign w:val="bottom"/>
          </w:tcPr>
          <w:p>
            <w:pPr>
              <w:spacing w:after="0"/>
              <w:rPr>
                <w:sz w:val="23"/>
                <w:szCs w:val="23"/>
                <w:color w:val="auto"/>
              </w:rPr>
            </w:pPr>
          </w:p>
        </w:tc>
      </w:tr>
      <w:tr>
        <w:trPr>
          <w:trHeight w:val="264"/>
        </w:trPr>
        <w:tc>
          <w:tcPr>
            <w:tcW w:w="1500" w:type="dxa"/>
            <w:vAlign w:val="bottom"/>
          </w:tcPr>
          <w:p>
            <w:pPr>
              <w:spacing w:after="0"/>
              <w:rPr>
                <w:sz w:val="22"/>
                <w:szCs w:val="22"/>
                <w:color w:val="auto"/>
              </w:rPr>
            </w:pPr>
          </w:p>
        </w:tc>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15,629</w:t>
            </w:r>
          </w:p>
        </w:tc>
        <w:tc>
          <w:tcPr>
            <w:tcW w:w="7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15,337</w:t>
            </w:r>
          </w:p>
        </w:tc>
        <w:tc>
          <w:tcPr>
            <w:tcW w:w="1480" w:type="dxa"/>
            <w:vAlign w:val="bottom"/>
          </w:tcPr>
          <w:p>
            <w:pPr>
              <w:spacing w:after="0"/>
              <w:rPr>
                <w:sz w:val="22"/>
                <w:szCs w:val="22"/>
                <w:color w:val="auto"/>
              </w:rPr>
            </w:pPr>
          </w:p>
        </w:tc>
      </w:tr>
      <w:tr>
        <w:trPr>
          <w:trHeight w:val="20"/>
        </w:trPr>
        <w:tc>
          <w:tcPr>
            <w:tcW w:w="1500" w:type="dxa"/>
            <w:vAlign w:val="bottom"/>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50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3,411</w:t>
            </w:r>
          </w:p>
        </w:tc>
        <w:tc>
          <w:tcPr>
            <w:tcW w:w="1480" w:type="dxa"/>
            <w:vAlign w:val="bottom"/>
          </w:tcPr>
          <w:p>
            <w:pPr>
              <w:spacing w:after="0"/>
              <w:rPr>
                <w:sz w:val="23"/>
                <w:szCs w:val="23"/>
                <w:color w:val="auto"/>
              </w:rPr>
            </w:pPr>
          </w:p>
        </w:tc>
      </w:tr>
      <w:tr>
        <w:trPr>
          <w:trHeight w:val="263"/>
        </w:trPr>
        <w:tc>
          <w:tcPr>
            <w:tcW w:w="1500" w:type="dxa"/>
            <w:vAlign w:val="bottom"/>
          </w:tcPr>
          <w:p>
            <w:pPr>
              <w:spacing w:after="0"/>
              <w:rPr>
                <w:sz w:val="22"/>
                <w:szCs w:val="22"/>
                <w:color w:val="auto"/>
              </w:rPr>
            </w:pPr>
          </w:p>
        </w:tc>
        <w:tc>
          <w:tcPr>
            <w:tcW w:w="4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3,624</w:t>
            </w:r>
          </w:p>
        </w:tc>
        <w:tc>
          <w:tcPr>
            <w:tcW w:w="7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3,632</w:t>
            </w:r>
          </w:p>
        </w:tc>
        <w:tc>
          <w:tcPr>
            <w:tcW w:w="1480" w:type="dxa"/>
            <w:vAlign w:val="bottom"/>
          </w:tcPr>
          <w:p>
            <w:pPr>
              <w:spacing w:after="0"/>
              <w:rPr>
                <w:sz w:val="22"/>
                <w:szCs w:val="22"/>
                <w:color w:val="auto"/>
              </w:rPr>
            </w:pPr>
          </w:p>
        </w:tc>
      </w:tr>
      <w:tr>
        <w:trPr>
          <w:trHeight w:val="250"/>
        </w:trPr>
        <w:tc>
          <w:tcPr>
            <w:tcW w:w="1500" w:type="dxa"/>
            <w:vAlign w:val="bottom"/>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w:t>
            </w: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150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tcPr>
          <w:p>
            <w:pPr>
              <w:spacing w:after="0"/>
              <w:rPr>
                <w:sz w:val="22"/>
                <w:szCs w:val="22"/>
                <w:color w:val="auto"/>
              </w:rPr>
            </w:pPr>
          </w:p>
        </w:tc>
      </w:tr>
      <w:tr>
        <w:trPr>
          <w:trHeight w:val="263"/>
        </w:trPr>
        <w:tc>
          <w:tcPr>
            <w:tcW w:w="1500" w:type="dxa"/>
            <w:vAlign w:val="bottom"/>
          </w:tcPr>
          <w:p>
            <w:pPr>
              <w:spacing w:after="0"/>
              <w:rPr>
                <w:sz w:val="22"/>
                <w:szCs w:val="22"/>
                <w:color w:val="auto"/>
              </w:rPr>
            </w:pPr>
          </w:p>
        </w:tc>
        <w:tc>
          <w:tcPr>
            <w:tcW w:w="47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15,629</w:t>
            </w:r>
          </w:p>
        </w:tc>
        <w:tc>
          <w:tcPr>
            <w:tcW w:w="7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15,337</w:t>
            </w:r>
          </w:p>
        </w:tc>
        <w:tc>
          <w:tcPr>
            <w:tcW w:w="1480" w:type="dxa"/>
            <w:vAlign w:val="bottom"/>
          </w:tcPr>
          <w:p>
            <w:pPr>
              <w:spacing w:after="0"/>
              <w:rPr>
                <w:sz w:val="22"/>
                <w:szCs w:val="22"/>
                <w:color w:val="auto"/>
              </w:rPr>
            </w:pPr>
          </w:p>
        </w:tc>
      </w:tr>
      <w:tr>
        <w:trPr>
          <w:trHeight w:val="21"/>
        </w:trPr>
        <w:tc>
          <w:tcPr>
            <w:tcW w:w="15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27"/>
        </w:trPr>
        <w:tc>
          <w:tcPr>
            <w:tcW w:w="15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11</w:t>
      </w:r>
    </w:p>
    <w:p>
      <w:pPr>
        <w:sectPr>
          <w:pgSz w:w="11900" w:h="16838" w:orient="portrait"/>
          <w:cols w:equalWidth="0" w:num="1">
            <w:col w:w="11240"/>
          </w:cols>
          <w:pgMar w:left="320" w:top="591" w:right="339" w:bottom="1440" w:gutter="0" w:footer="0" w:header="0"/>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-151130</wp:posOffset>
            </wp:positionV>
            <wp:extent cx="15513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92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0"/>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contributions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63"/>
        </w:trPr>
        <w:tc>
          <w:tcPr>
            <w:tcW w:w="1940" w:type="dxa"/>
            <w:vAlign w:val="bottom"/>
          </w:tcPr>
          <w:p>
            <w:pPr>
              <w:spacing w:after="0"/>
              <w:rPr>
                <w:sz w:val="22"/>
                <w:szCs w:val="22"/>
                <w:color w:val="auto"/>
              </w:rPr>
            </w:pP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23"/>
                <w:szCs w:val="23"/>
                <w:b w:val="1"/>
                <w:bCs w:val="1"/>
                <w:color w:val="auto"/>
                <w:vertAlign w:val="superscript"/>
              </w:rPr>
              <w:t>(1)</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920" w:type="dxa"/>
            <w:vAlign w:val="bottom"/>
          </w:tcPr>
          <w:p>
            <w:pPr>
              <w:spacing w:after="0"/>
              <w:rPr>
                <w:sz w:val="22"/>
                <w:szCs w:val="22"/>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64"/>
        </w:trPr>
        <w:tc>
          <w:tcPr>
            <w:tcW w:w="1940" w:type="dxa"/>
            <w:vAlign w:val="bottom"/>
          </w:tcPr>
          <w:p>
            <w:pPr>
              <w:spacing w:after="0"/>
              <w:rPr>
                <w:sz w:val="22"/>
                <w:szCs w:val="22"/>
                <w:color w:val="auto"/>
              </w:rPr>
            </w:pP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920" w:type="dxa"/>
            <w:vAlign w:val="bottom"/>
          </w:tcPr>
          <w:p>
            <w:pPr>
              <w:spacing w:after="0"/>
              <w:rPr>
                <w:sz w:val="22"/>
                <w:szCs w:val="22"/>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debt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63"/>
        </w:trPr>
        <w:tc>
          <w:tcPr>
            <w:tcW w:w="1940" w:type="dxa"/>
            <w:vAlign w:val="bottom"/>
          </w:tcPr>
          <w:p>
            <w:pPr>
              <w:spacing w:after="0"/>
              <w:rPr>
                <w:sz w:val="22"/>
                <w:szCs w:val="22"/>
                <w:color w:val="auto"/>
              </w:rPr>
            </w:pP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provided by/(used for) financing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4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70"/>
        </w:trPr>
        <w:tc>
          <w:tcPr>
            <w:tcW w:w="1940" w:type="dxa"/>
            <w:vAlign w:val="bottom"/>
          </w:tcPr>
          <w:p>
            <w:pPr>
              <w:spacing w:after="0"/>
              <w:rPr>
                <w:sz w:val="23"/>
                <w:szCs w:val="23"/>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tcPr>
          <w:p>
            <w:pPr>
              <w:spacing w:after="0"/>
              <w:rPr>
                <w:sz w:val="23"/>
                <w:szCs w:val="23"/>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920" w:type="dxa"/>
            <w:vAlign w:val="bottom"/>
          </w:tcPr>
          <w:p>
            <w:pPr>
              <w:spacing w:after="0"/>
              <w:rPr>
                <w:sz w:val="7"/>
                <w:szCs w:val="7"/>
                <w:color w:val="auto"/>
              </w:rPr>
            </w:pPr>
          </w:p>
        </w:tc>
      </w:tr>
      <w:tr>
        <w:trPr>
          <w:trHeight w:val="250"/>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88"/>
        </w:trPr>
        <w:tc>
          <w:tcPr>
            <w:tcW w:w="1940" w:type="dxa"/>
            <w:vAlign w:val="bottom"/>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70"/>
        </w:trPr>
        <w:tc>
          <w:tcPr>
            <w:tcW w:w="1940" w:type="dxa"/>
            <w:vAlign w:val="bottom"/>
          </w:tcPr>
          <w:p>
            <w:pPr>
              <w:spacing w:after="0"/>
              <w:rPr>
                <w:sz w:val="23"/>
                <w:szCs w:val="2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at September 30 </w:t>
            </w:r>
            <w:r>
              <w:rPr>
                <w:rFonts w:ascii="Times New Roman" w:cs="Times New Roman" w:eastAsia="Times New Roman" w:hAnsi="Times New Roman"/>
                <w:sz w:val="23"/>
                <w:szCs w:val="23"/>
                <w:b w:val="1"/>
                <w:bCs w:val="1"/>
                <w:color w:val="auto"/>
                <w:vertAlign w:val="superscript"/>
              </w:rPr>
              <w:t>(2)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42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1920" w:type="dxa"/>
            <w:vAlign w:val="bottom"/>
          </w:tcPr>
          <w:p>
            <w:pPr>
              <w:spacing w:after="0"/>
              <w:rPr>
                <w:sz w:val="23"/>
                <w:szCs w:val="23"/>
                <w:color w:val="auto"/>
              </w:rPr>
            </w:pPr>
          </w:p>
        </w:tc>
      </w:tr>
      <w:tr>
        <w:trPr>
          <w:trHeight w:val="20"/>
        </w:trPr>
        <w:tc>
          <w:tcPr>
            <w:tcW w:w="19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0"/>
        </w:trPr>
        <w:tc>
          <w:tcPr>
            <w:tcW w:w="19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bl>
    <w:p>
      <w:pPr>
        <w:spacing w:after="0" w:line="103" w:lineRule="exact"/>
        <w:rPr>
          <w:sz w:val="20"/>
          <w:szCs w:val="20"/>
          <w:color w:val="auto"/>
        </w:rPr>
      </w:pPr>
    </w:p>
    <w:p>
      <w:pPr>
        <w:ind w:left="420" w:right="40" w:hanging="331"/>
        <w:spacing w:after="0" w:line="258" w:lineRule="auto"/>
        <w:tabs>
          <w:tab w:leader="none" w:pos="4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is defined by the Company as net cash used for operating activities less capital expenditures and certain other items. A reconciliation from net cash used for operating activities to adjusted free cash flow for the three and nine months ended September 30, 2020 and 2019 follows.</w:t>
      </w:r>
    </w:p>
    <w:p>
      <w:pPr>
        <w:spacing w:after="0" w:line="196"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includes $75 and $59 of restricted cash at September 30, 2020 and 2019.</w:t>
      </w:r>
    </w:p>
    <w:p>
      <w:pPr>
        <w:spacing w:after="0" w:line="140"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18"/>
                <w:szCs w:val="18"/>
                <w:color w:val="auto"/>
              </w:rPr>
            </w:pPr>
          </w:p>
        </w:tc>
        <w:tc>
          <w:tcPr>
            <w:tcW w:w="18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8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3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6"/>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428</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r>
      <w:tr>
        <w:trPr>
          <w:trHeight w:val="27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6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355</w:t>
            </w:r>
          </w:p>
        </w:tc>
        <w:tc>
          <w:tcPr>
            <w:tcW w:w="3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700" w:hanging="571"/>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benefit of cross currency swap included in investing activities.</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 of 11</w:t>
      </w:r>
    </w:p>
    <w:p>
      <w:pPr>
        <w:sectPr>
          <w:pgSz w:w="11900" w:h="16838" w:orient="portrait"/>
          <w:cols w:equalWidth="0" w:num="1">
            <w:col w:w="11240"/>
          </w:cols>
          <w:pgMar w:left="320" w:top="591" w:right="339" w:bottom="144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-151130</wp:posOffset>
            </wp:positionV>
            <wp:extent cx="155130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Impact of Foreign Currency Translation by Segment - Favorable/(Unfavorable) </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1744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18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60" w:type="dxa"/>
            <w:vAlign w:val="bottom"/>
          </w:tcPr>
          <w:p>
            <w:pPr>
              <w:spacing w:after="0"/>
              <w:rPr>
                <w:sz w:val="20"/>
                <w:szCs w:val="20"/>
                <w:color w:val="auto"/>
              </w:rPr>
            </w:pPr>
          </w:p>
        </w:tc>
        <w:tc>
          <w:tcPr>
            <w:tcW w:w="18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4"/>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Segment</w:t>
            </w:r>
          </w:p>
        </w:tc>
      </w:tr>
      <w:tr>
        <w:trPr>
          <w:trHeight w:val="238"/>
        </w:trPr>
        <w:tc>
          <w:tcPr>
            <w:tcW w:w="242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Income</w:t>
            </w: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5"/>
              </w:rPr>
              <w:t>(7)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Non-</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1"/>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5"/>
              </w:rPr>
              <w:t>(1)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4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40" w:right="120" w:hanging="408"/>
        <w:spacing w:after="0" w:line="242" w:lineRule="auto"/>
        <w:tabs>
          <w:tab w:leader="none" w:pos="7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Adjusted EBITDA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YTD</w:t>
            </w:r>
          </w:p>
        </w:tc>
        <w:tc>
          <w:tcPr>
            <w:tcW w:w="16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September YTD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Full Year 2019</w:t>
            </w:r>
          </w:p>
        </w:tc>
        <w:tc>
          <w:tcPr>
            <w:tcW w:w="200" w:type="dxa"/>
            <w:vAlign w:val="bottom"/>
          </w:tcPr>
          <w:p>
            <w:pPr>
              <w:spacing w:after="0"/>
              <w:rPr>
                <w:sz w:val="20"/>
                <w:szCs w:val="20"/>
                <w:color w:val="auto"/>
              </w:rPr>
            </w:pP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7"/>
        </w:trPr>
        <w:tc>
          <w:tcPr>
            <w:tcW w:w="3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1,196</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1,126</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Intangibles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restructuring and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3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1,096</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1,366</w:t>
            </w:r>
          </w:p>
        </w:tc>
      </w:tr>
      <w:tr>
        <w:trPr>
          <w:trHeight w:val="243"/>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320" w:type="dxa"/>
            <w:vAlign w:val="bottom"/>
          </w:tcPr>
          <w:p>
            <w:pPr>
              <w:spacing w:after="0"/>
              <w:rPr>
                <w:sz w:val="22"/>
                <w:szCs w:val="22"/>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1,333</w:t>
            </w:r>
          </w:p>
        </w:tc>
        <w:tc>
          <w:tcPr>
            <w:tcW w:w="3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1,702</w:t>
            </w:r>
          </w:p>
        </w:tc>
        <w:tc>
          <w:tcPr>
            <w:tcW w:w="3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1,694</w:t>
            </w:r>
          </w:p>
        </w:tc>
      </w:tr>
      <w:tr>
        <w:trPr>
          <w:trHeight w:val="21"/>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884"/>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 of 11</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60"/>
      </w:cols>
      <w:pgMar w:left="320" w:top="59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2020-10-19T15:33:18Z</dcterms:created>
  <dcterms:modified xsi:type="dcterms:W3CDTF">2020-10-19T15:33:18Z</dcterms:modified>
</cp:coreProperties>
</file>