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18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171" w:lineRule="exact"/>
        <w:rPr>
          <w:sz w:val="24"/>
          <w:szCs w:val="24"/>
          <w:color w:val="auto"/>
        </w:rPr>
      </w:pPr>
    </w:p>
    <w:p>
      <w:pPr>
        <w:ind w:left="500" w:right="420" w:hanging="465"/>
        <w:spacing w:after="0" w:line="256" w:lineRule="auto"/>
        <w:tabs>
          <w:tab w:leader="none" w:pos="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 THE QUARTERLY PERIOD ENDED June 30, 2019</w:t>
      </w:r>
    </w:p>
    <w:p>
      <w:pPr>
        <w:spacing w:after="0" w:line="341" w:lineRule="exact"/>
        <w:rPr>
          <w:sz w:val="24"/>
          <w:szCs w:val="24"/>
          <w:color w:val="auto"/>
        </w:rPr>
      </w:pPr>
    </w:p>
    <w:p>
      <w:pPr>
        <w:ind w:left="500" w:right="420" w:hanging="465"/>
        <w:spacing w:after="0" w:line="249"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 w:lineRule="exact"/>
        <w:rPr>
          <w:sz w:val="24"/>
          <w:szCs w:val="24"/>
          <w:color w:val="auto"/>
        </w:rPr>
      </w:pPr>
    </w:p>
    <w:p>
      <w:pPr>
        <w:ind w:left="3000"/>
        <w:spacing w:after="0"/>
        <w:rPr>
          <w:sz w:val="20"/>
          <w:szCs w:val="20"/>
          <w:color w:val="auto"/>
        </w:rPr>
      </w:pPr>
      <w:r>
        <w:rPr>
          <w:rFonts w:ascii="Arial" w:cs="Arial" w:eastAsia="Arial" w:hAnsi="Arial"/>
          <w:sz w:val="22"/>
          <w:szCs w:val="22"/>
          <w:b w:val="1"/>
          <w:bCs w:val="1"/>
          <w:color w:val="auto"/>
        </w:rPr>
        <w:t>FOR THE TRANSITION PERIOD FROM ____ TO ____</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COMMISSION FILE NUMBER 000-50189</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CROWN HOLDINGS, INC.</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15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jc w:val="center"/>
              <w:ind w:left="1200"/>
              <w:spacing w:after="0"/>
              <w:rPr>
                <w:sz w:val="20"/>
                <w:szCs w:val="20"/>
                <w:color w:val="auto"/>
              </w:rPr>
            </w:pPr>
            <w:r>
              <w:rPr>
                <w:rFonts w:ascii="Arial" w:cs="Arial" w:eastAsia="Arial" w:hAnsi="Arial"/>
                <w:sz w:val="18"/>
                <w:szCs w:val="18"/>
                <w:b w:val="1"/>
                <w:bCs w:val="1"/>
                <w:color w:val="auto"/>
                <w:w w:val="88"/>
              </w:rPr>
              <w:t>Pennsylvania</w:t>
            </w:r>
          </w:p>
        </w:tc>
        <w:tc>
          <w:tcPr>
            <w:tcW w:w="1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040" w:type="dxa"/>
            <w:vAlign w:val="bottom"/>
          </w:tcPr>
          <w:p>
            <w:pPr>
              <w:jc w:val="right"/>
              <w:ind w:right="541"/>
              <w:spacing w:after="0"/>
              <w:rPr>
                <w:sz w:val="20"/>
                <w:szCs w:val="20"/>
                <w:color w:val="auto"/>
              </w:rPr>
            </w:pPr>
            <w:r>
              <w:rPr>
                <w:rFonts w:ascii="Arial" w:cs="Arial" w:eastAsia="Arial" w:hAnsi="Arial"/>
                <w:sz w:val="18"/>
                <w:szCs w:val="18"/>
                <w:b w:val="1"/>
                <w:bCs w:val="1"/>
                <w:color w:val="auto"/>
              </w:rPr>
              <w:t>75-3099507</w:t>
            </w:r>
          </w:p>
        </w:tc>
      </w:tr>
      <w:tr>
        <w:trPr>
          <w:trHeight w:val="180"/>
        </w:trPr>
        <w:tc>
          <w:tcPr>
            <w:tcW w:w="3100" w:type="dxa"/>
            <w:vAlign w:val="bottom"/>
          </w:tcPr>
          <w:p>
            <w:pPr>
              <w:jc w:val="center"/>
              <w:ind w:left="1180"/>
              <w:spacing w:after="0"/>
              <w:rPr>
                <w:sz w:val="20"/>
                <w:szCs w:val="20"/>
                <w:color w:val="auto"/>
              </w:rPr>
            </w:pPr>
            <w:r>
              <w:rPr>
                <w:rFonts w:ascii="Arial" w:cs="Arial" w:eastAsia="Arial" w:hAnsi="Arial"/>
                <w:sz w:val="14"/>
                <w:szCs w:val="14"/>
                <w:b w:val="1"/>
                <w:bCs w:val="1"/>
                <w:color w:val="auto"/>
                <w:w w:val="93"/>
              </w:rPr>
              <w:t>(State or other jurisdiction of</w:t>
            </w: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040" w:type="dxa"/>
            <w:vAlign w:val="bottom"/>
          </w:tcPr>
          <w:p>
            <w:pPr>
              <w:jc w:val="center"/>
              <w:ind w:right="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7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6"/>
              </w:rPr>
              <w:t>Identification No.)</w:t>
            </w:r>
          </w:p>
        </w:tc>
      </w:tr>
      <w:tr>
        <w:trPr>
          <w:trHeight w:val="579"/>
        </w:trPr>
        <w:tc>
          <w:tcPr>
            <w:tcW w:w="4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770 Township Line Road</w:t>
            </w:r>
          </w:p>
        </w:tc>
        <w:tc>
          <w:tcPr>
            <w:tcW w:w="780" w:type="dxa"/>
            <w:vAlign w:val="bottom"/>
          </w:tcPr>
          <w:p>
            <w:pPr>
              <w:ind w:left="140"/>
              <w:spacing w:after="0"/>
              <w:rPr>
                <w:sz w:val="20"/>
                <w:szCs w:val="20"/>
                <w:color w:val="auto"/>
              </w:rPr>
            </w:pPr>
            <w:r>
              <w:rPr>
                <w:rFonts w:ascii="Arial" w:cs="Arial" w:eastAsia="Arial" w:hAnsi="Arial"/>
                <w:sz w:val="18"/>
                <w:szCs w:val="18"/>
                <w:b w:val="1"/>
                <w:bCs w:val="1"/>
                <w:color w:val="auto"/>
                <w:w w:val="95"/>
              </w:rPr>
              <w:t>Yardley</w:t>
            </w:r>
          </w:p>
        </w:tc>
        <w:tc>
          <w:tcPr>
            <w:tcW w:w="2740" w:type="dxa"/>
            <w:vAlign w:val="bottom"/>
          </w:tcPr>
          <w:p>
            <w:pPr>
              <w:ind w:left="660"/>
              <w:spacing w:after="0"/>
              <w:rPr>
                <w:sz w:val="20"/>
                <w:szCs w:val="20"/>
                <w:color w:val="auto"/>
              </w:rPr>
            </w:pPr>
            <w:r>
              <w:rPr>
                <w:rFonts w:ascii="Arial" w:cs="Arial" w:eastAsia="Arial" w:hAnsi="Arial"/>
                <w:sz w:val="18"/>
                <w:szCs w:val="18"/>
                <w:b w:val="1"/>
                <w:bCs w:val="1"/>
                <w:color w:val="auto"/>
              </w:rPr>
              <w:t>PA</w:t>
            </w:r>
          </w:p>
        </w:tc>
        <w:tc>
          <w:tcPr>
            <w:tcW w:w="2040" w:type="dxa"/>
            <w:vAlign w:val="bottom"/>
          </w:tcPr>
          <w:p>
            <w:pPr>
              <w:jc w:val="right"/>
              <w:ind w:right="741"/>
              <w:spacing w:after="0"/>
              <w:rPr>
                <w:sz w:val="20"/>
                <w:szCs w:val="20"/>
                <w:color w:val="auto"/>
              </w:rPr>
            </w:pPr>
            <w:r>
              <w:rPr>
                <w:rFonts w:ascii="Arial" w:cs="Arial" w:eastAsia="Arial" w:hAnsi="Arial"/>
                <w:sz w:val="18"/>
                <w:szCs w:val="18"/>
                <w:b w:val="1"/>
                <w:bCs w:val="1"/>
                <w:color w:val="auto"/>
              </w:rPr>
              <w:t>19067</w:t>
            </w:r>
          </w:p>
        </w:tc>
      </w:tr>
      <w:tr>
        <w:trPr>
          <w:trHeight w:val="218"/>
        </w:trPr>
        <w:tc>
          <w:tcPr>
            <w:tcW w:w="4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7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5"/>
              </w:rPr>
              <w:t>(Zip Code)</w:t>
            </w:r>
          </w:p>
        </w:tc>
      </w:tr>
      <w:tr>
        <w:trPr>
          <w:trHeight w:val="435"/>
        </w:trPr>
        <w:tc>
          <w:tcPr>
            <w:tcW w:w="3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740" w:type="dxa"/>
            <w:vAlign w:val="bottom"/>
          </w:tcPr>
          <w:p>
            <w:pPr>
              <w:jc w:val="right"/>
              <w:ind w:right="1590"/>
              <w:spacing w:after="0"/>
              <w:rPr>
                <w:sz w:val="20"/>
                <w:szCs w:val="20"/>
                <w:color w:val="auto"/>
              </w:rPr>
            </w:pPr>
            <w:r>
              <w:rPr>
                <w:rFonts w:ascii="Arial" w:cs="Arial" w:eastAsia="Arial" w:hAnsi="Arial"/>
                <w:sz w:val="18"/>
                <w:szCs w:val="18"/>
                <w:b w:val="1"/>
                <w:bCs w:val="1"/>
                <w:color w:val="auto"/>
                <w:w w:val="92"/>
              </w:rPr>
              <w:t>215-698-5100</w:t>
            </w:r>
          </w:p>
        </w:tc>
        <w:tc>
          <w:tcPr>
            <w:tcW w:w="2040" w:type="dxa"/>
            <w:vAlign w:val="bottom"/>
          </w:tcPr>
          <w:p>
            <w:pPr>
              <w:spacing w:after="0"/>
              <w:rPr>
                <w:sz w:val="24"/>
                <w:szCs w:val="24"/>
                <w:color w:val="auto"/>
              </w:rPr>
            </w:pPr>
          </w:p>
        </w:tc>
      </w:tr>
      <w:tr>
        <w:trPr>
          <w:trHeight w:val="166"/>
        </w:trPr>
        <w:tc>
          <w:tcPr>
            <w:tcW w:w="3100" w:type="dxa"/>
            <w:vAlign w:val="bottom"/>
          </w:tcPr>
          <w:p>
            <w:pPr>
              <w:spacing w:after="0"/>
              <w:rPr>
                <w:sz w:val="14"/>
                <w:szCs w:val="14"/>
                <w:color w:val="auto"/>
              </w:rPr>
            </w:pPr>
          </w:p>
        </w:tc>
        <w:tc>
          <w:tcPr>
            <w:tcW w:w="4800" w:type="dxa"/>
            <w:vAlign w:val="bottom"/>
            <w:gridSpan w:val="3"/>
          </w:tcPr>
          <w:p>
            <w:pPr>
              <w:ind w:left="1020"/>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2040" w:type="dxa"/>
            <w:vAlign w:val="bottom"/>
          </w:tcPr>
          <w:p>
            <w:pPr>
              <w:spacing w:after="0"/>
              <w:rPr>
                <w:sz w:val="14"/>
                <w:szCs w:val="14"/>
                <w:color w:val="auto"/>
              </w:rPr>
            </w:pPr>
          </w:p>
        </w:tc>
      </w:tr>
      <w:tr>
        <w:trPr>
          <w:trHeight w:val="182"/>
        </w:trPr>
        <w:tc>
          <w:tcPr>
            <w:tcW w:w="3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520" w:type="dxa"/>
            <w:vAlign w:val="bottom"/>
            <w:gridSpan w:val="2"/>
          </w:tcPr>
          <w:p>
            <w:pPr>
              <w:jc w:val="right"/>
              <w:ind w:right="1370"/>
              <w:spacing w:after="0"/>
              <w:rPr>
                <w:sz w:val="20"/>
                <w:szCs w:val="20"/>
                <w:color w:val="auto"/>
              </w:rPr>
            </w:pPr>
            <w:r>
              <w:rPr>
                <w:rFonts w:ascii="Arial" w:cs="Arial" w:eastAsia="Arial" w:hAnsi="Arial"/>
                <w:sz w:val="14"/>
                <w:szCs w:val="14"/>
                <w:color w:val="auto"/>
              </w:rPr>
              <w:t>____________________</w:t>
            </w:r>
          </w:p>
        </w:tc>
        <w:tc>
          <w:tcPr>
            <w:tcW w:w="2040" w:type="dxa"/>
            <w:vAlign w:val="bottom"/>
          </w:tcPr>
          <w:p>
            <w:pPr>
              <w:spacing w:after="0"/>
              <w:rPr>
                <w:sz w:val="15"/>
                <w:szCs w:val="15"/>
                <w:color w:val="auto"/>
              </w:rPr>
            </w:pPr>
          </w:p>
        </w:tc>
      </w:tr>
      <w:tr>
        <w:trPr>
          <w:trHeight w:val="276"/>
        </w:trPr>
        <w:tc>
          <w:tcPr>
            <w:tcW w:w="7900" w:type="dxa"/>
            <w:vAlign w:val="bottom"/>
            <w:gridSpan w:val="4"/>
          </w:tcPr>
          <w:p>
            <w:pPr>
              <w:spacing w:after="0"/>
              <w:rPr>
                <w:sz w:val="20"/>
                <w:szCs w:val="20"/>
                <w:color w:val="auto"/>
              </w:rPr>
            </w:pPr>
            <w:r>
              <w:rPr>
                <w:rFonts w:ascii="Arial" w:cs="Arial" w:eastAsia="Arial" w:hAnsi="Arial"/>
                <w:sz w:val="16"/>
                <w:szCs w:val="16"/>
                <w:b w:val="1"/>
                <w:bCs w:val="1"/>
                <w:color w:val="auto"/>
              </w:rPr>
              <w:t>SECURITIES REGISTERED PURSUANT TO SECTION 12(b) OF THE ACT:</w:t>
            </w:r>
          </w:p>
        </w:tc>
        <w:tc>
          <w:tcPr>
            <w:tcW w:w="2040" w:type="dxa"/>
            <w:vAlign w:val="bottom"/>
          </w:tcPr>
          <w:p>
            <w:pPr>
              <w:spacing w:after="0"/>
              <w:rPr>
                <w:sz w:val="24"/>
                <w:szCs w:val="24"/>
                <w:color w:val="auto"/>
              </w:rPr>
            </w:pPr>
          </w:p>
        </w:tc>
      </w:tr>
      <w:tr>
        <w:trPr>
          <w:trHeight w:val="351"/>
        </w:trPr>
        <w:tc>
          <w:tcPr>
            <w:tcW w:w="3100" w:type="dxa"/>
            <w:vAlign w:val="bottom"/>
          </w:tcPr>
          <w:p>
            <w:pPr>
              <w:ind w:left="40"/>
              <w:spacing w:after="0"/>
              <w:rPr>
                <w:sz w:val="20"/>
                <w:szCs w:val="20"/>
                <w:color w:val="auto"/>
              </w:rPr>
            </w:pPr>
            <w:r>
              <w:rPr>
                <w:rFonts w:ascii="Arial" w:cs="Arial" w:eastAsia="Arial" w:hAnsi="Arial"/>
                <w:sz w:val="16"/>
                <w:szCs w:val="16"/>
                <w:color w:val="auto"/>
              </w:rPr>
              <w:t>Title of each class</w:t>
            </w:r>
          </w:p>
        </w:tc>
        <w:tc>
          <w:tcPr>
            <w:tcW w:w="1280" w:type="dxa"/>
            <w:vAlign w:val="bottom"/>
          </w:tcPr>
          <w:p>
            <w:pPr>
              <w:ind w:left="20"/>
              <w:spacing w:after="0"/>
              <w:rPr>
                <w:sz w:val="20"/>
                <w:szCs w:val="20"/>
                <w:color w:val="auto"/>
              </w:rPr>
            </w:pPr>
            <w:r>
              <w:rPr>
                <w:rFonts w:ascii="Arial" w:cs="Arial" w:eastAsia="Arial" w:hAnsi="Arial"/>
                <w:sz w:val="16"/>
                <w:szCs w:val="16"/>
                <w:color w:val="auto"/>
              </w:rPr>
              <w:t>Trading Symbols</w:t>
            </w:r>
          </w:p>
        </w:tc>
        <w:tc>
          <w:tcPr>
            <w:tcW w:w="3520" w:type="dxa"/>
            <w:vAlign w:val="bottom"/>
            <w:gridSpan w:val="2"/>
          </w:tcPr>
          <w:p>
            <w:pPr>
              <w:ind w:left="240"/>
              <w:spacing w:after="0"/>
              <w:rPr>
                <w:sz w:val="20"/>
                <w:szCs w:val="20"/>
                <w:color w:val="auto"/>
              </w:rPr>
            </w:pPr>
            <w:r>
              <w:rPr>
                <w:rFonts w:ascii="Arial" w:cs="Arial" w:eastAsia="Arial" w:hAnsi="Arial"/>
                <w:sz w:val="16"/>
                <w:szCs w:val="16"/>
                <w:color w:val="auto"/>
              </w:rPr>
              <w:t>Name of each exchange on which registered</w:t>
            </w:r>
          </w:p>
        </w:tc>
        <w:tc>
          <w:tcPr>
            <w:tcW w:w="2040" w:type="dxa"/>
            <w:vAlign w:val="bottom"/>
          </w:tcPr>
          <w:p>
            <w:pPr>
              <w:spacing w:after="0"/>
              <w:rPr>
                <w:sz w:val="24"/>
                <w:szCs w:val="24"/>
                <w:color w:val="auto"/>
              </w:rPr>
            </w:pPr>
          </w:p>
        </w:tc>
      </w:tr>
      <w:tr>
        <w:trPr>
          <w:trHeight w:val="33"/>
        </w:trPr>
        <w:tc>
          <w:tcPr>
            <w:tcW w:w="3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gridSpan w:val="2"/>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17"/>
        </w:trPr>
        <w:tc>
          <w:tcPr>
            <w:tcW w:w="3100" w:type="dxa"/>
            <w:vAlign w:val="bottom"/>
          </w:tcPr>
          <w:p>
            <w:pPr>
              <w:ind w:left="40"/>
              <w:spacing w:after="0"/>
              <w:rPr>
                <w:sz w:val="20"/>
                <w:szCs w:val="20"/>
                <w:color w:val="auto"/>
              </w:rPr>
            </w:pPr>
            <w:r>
              <w:rPr>
                <w:rFonts w:ascii="Arial" w:cs="Arial" w:eastAsia="Arial" w:hAnsi="Arial"/>
                <w:sz w:val="16"/>
                <w:szCs w:val="16"/>
                <w:color w:val="auto"/>
              </w:rPr>
              <w:t>Common Stock $5.00 Par Value</w:t>
            </w:r>
          </w:p>
        </w:tc>
        <w:tc>
          <w:tcPr>
            <w:tcW w:w="1280" w:type="dxa"/>
            <w:vAlign w:val="bottom"/>
          </w:tcPr>
          <w:p>
            <w:pPr>
              <w:ind w:left="20"/>
              <w:spacing w:after="0"/>
              <w:rPr>
                <w:sz w:val="20"/>
                <w:szCs w:val="20"/>
                <w:color w:val="auto"/>
              </w:rPr>
            </w:pPr>
            <w:r>
              <w:rPr>
                <w:rFonts w:ascii="Arial" w:cs="Arial" w:eastAsia="Arial" w:hAnsi="Arial"/>
                <w:sz w:val="16"/>
                <w:szCs w:val="16"/>
                <w:color w:val="auto"/>
              </w:rPr>
              <w:t>CCK</w:t>
            </w:r>
          </w:p>
        </w:tc>
        <w:tc>
          <w:tcPr>
            <w:tcW w:w="3520" w:type="dxa"/>
            <w:vAlign w:val="bottom"/>
            <w:gridSpan w:val="2"/>
          </w:tcPr>
          <w:p>
            <w:pPr>
              <w:ind w:left="240"/>
              <w:spacing w:after="0"/>
              <w:rPr>
                <w:sz w:val="20"/>
                <w:szCs w:val="20"/>
                <w:color w:val="auto"/>
              </w:rPr>
            </w:pPr>
            <w:r>
              <w:rPr>
                <w:rFonts w:ascii="Arial" w:cs="Arial" w:eastAsia="Arial" w:hAnsi="Arial"/>
                <w:sz w:val="16"/>
                <w:szCs w:val="16"/>
                <w:color w:val="auto"/>
              </w:rPr>
              <w:t>New York Stock Exchange</w:t>
            </w:r>
          </w:p>
        </w:tc>
        <w:tc>
          <w:tcPr>
            <w:tcW w:w="2040" w:type="dxa"/>
            <w:vAlign w:val="bottom"/>
          </w:tcPr>
          <w:p>
            <w:pPr>
              <w:spacing w:after="0"/>
              <w:rPr>
                <w:sz w:val="18"/>
                <w:szCs w:val="18"/>
                <w:color w:val="auto"/>
              </w:rPr>
            </w:pPr>
          </w:p>
        </w:tc>
      </w:tr>
      <w:tr>
        <w:trPr>
          <w:trHeight w:val="257"/>
        </w:trPr>
        <w:tc>
          <w:tcPr>
            <w:tcW w:w="3100" w:type="dxa"/>
            <w:vAlign w:val="bottom"/>
          </w:tcPr>
          <w:p>
            <w:pPr>
              <w:ind w:left="40"/>
              <w:spacing w:after="0"/>
              <w:rPr>
                <w:sz w:val="20"/>
                <w:szCs w:val="20"/>
                <w:color w:val="auto"/>
              </w:rPr>
            </w:pPr>
            <w:r>
              <w:rPr>
                <w:rFonts w:ascii="Arial" w:cs="Arial" w:eastAsia="Arial" w:hAnsi="Arial"/>
                <w:sz w:val="16"/>
                <w:szCs w:val="16"/>
                <w:color w:val="auto"/>
              </w:rPr>
              <w:t>7 3/8% Debentures Due 2026</w:t>
            </w:r>
          </w:p>
        </w:tc>
        <w:tc>
          <w:tcPr>
            <w:tcW w:w="1280" w:type="dxa"/>
            <w:vAlign w:val="bottom"/>
          </w:tcPr>
          <w:p>
            <w:pPr>
              <w:ind w:left="20"/>
              <w:spacing w:after="0"/>
              <w:rPr>
                <w:sz w:val="20"/>
                <w:szCs w:val="20"/>
                <w:color w:val="auto"/>
              </w:rPr>
            </w:pPr>
            <w:r>
              <w:rPr>
                <w:rFonts w:ascii="Arial" w:cs="Arial" w:eastAsia="Arial" w:hAnsi="Arial"/>
                <w:sz w:val="16"/>
                <w:szCs w:val="16"/>
                <w:color w:val="auto"/>
              </w:rPr>
              <w:t>CCK26</w:t>
            </w:r>
          </w:p>
        </w:tc>
        <w:tc>
          <w:tcPr>
            <w:tcW w:w="3520" w:type="dxa"/>
            <w:vAlign w:val="bottom"/>
            <w:gridSpan w:val="2"/>
          </w:tcPr>
          <w:p>
            <w:pPr>
              <w:ind w:left="240"/>
              <w:spacing w:after="0"/>
              <w:rPr>
                <w:sz w:val="20"/>
                <w:szCs w:val="20"/>
                <w:color w:val="auto"/>
              </w:rPr>
            </w:pPr>
            <w:r>
              <w:rPr>
                <w:rFonts w:ascii="Arial" w:cs="Arial" w:eastAsia="Arial" w:hAnsi="Arial"/>
                <w:sz w:val="16"/>
                <w:szCs w:val="16"/>
                <w:color w:val="auto"/>
              </w:rPr>
              <w:t>New York Stock Exchange</w:t>
            </w:r>
          </w:p>
        </w:tc>
        <w:tc>
          <w:tcPr>
            <w:tcW w:w="2040" w:type="dxa"/>
            <w:vAlign w:val="bottom"/>
          </w:tcPr>
          <w:p>
            <w:pPr>
              <w:spacing w:after="0"/>
              <w:rPr>
                <w:sz w:val="22"/>
                <w:szCs w:val="22"/>
                <w:color w:val="auto"/>
              </w:rPr>
            </w:pPr>
          </w:p>
        </w:tc>
      </w:tr>
      <w:tr>
        <w:trPr>
          <w:trHeight w:val="257"/>
        </w:trPr>
        <w:tc>
          <w:tcPr>
            <w:tcW w:w="3100" w:type="dxa"/>
            <w:vAlign w:val="bottom"/>
          </w:tcPr>
          <w:p>
            <w:pPr>
              <w:ind w:left="40"/>
              <w:spacing w:after="0"/>
              <w:rPr>
                <w:sz w:val="20"/>
                <w:szCs w:val="20"/>
                <w:color w:val="auto"/>
              </w:rPr>
            </w:pPr>
            <w:r>
              <w:rPr>
                <w:rFonts w:ascii="Arial" w:cs="Arial" w:eastAsia="Arial" w:hAnsi="Arial"/>
                <w:sz w:val="16"/>
                <w:szCs w:val="16"/>
                <w:color w:val="auto"/>
              </w:rPr>
              <w:t>7 1/2% Debentures Due 2096</w:t>
            </w:r>
          </w:p>
        </w:tc>
        <w:tc>
          <w:tcPr>
            <w:tcW w:w="1280" w:type="dxa"/>
            <w:vAlign w:val="bottom"/>
          </w:tcPr>
          <w:p>
            <w:pPr>
              <w:ind w:left="20"/>
              <w:spacing w:after="0"/>
              <w:rPr>
                <w:sz w:val="20"/>
                <w:szCs w:val="20"/>
                <w:color w:val="auto"/>
              </w:rPr>
            </w:pPr>
            <w:r>
              <w:rPr>
                <w:rFonts w:ascii="Arial" w:cs="Arial" w:eastAsia="Arial" w:hAnsi="Arial"/>
                <w:sz w:val="16"/>
                <w:szCs w:val="16"/>
                <w:color w:val="auto"/>
              </w:rPr>
              <w:t>CCK96</w:t>
            </w:r>
          </w:p>
        </w:tc>
        <w:tc>
          <w:tcPr>
            <w:tcW w:w="3520" w:type="dxa"/>
            <w:vAlign w:val="bottom"/>
            <w:gridSpan w:val="2"/>
          </w:tcPr>
          <w:p>
            <w:pPr>
              <w:ind w:left="240"/>
              <w:spacing w:after="0"/>
              <w:rPr>
                <w:sz w:val="20"/>
                <w:szCs w:val="20"/>
                <w:color w:val="auto"/>
              </w:rPr>
            </w:pPr>
            <w:r>
              <w:rPr>
                <w:rFonts w:ascii="Arial" w:cs="Arial" w:eastAsia="Arial" w:hAnsi="Arial"/>
                <w:sz w:val="16"/>
                <w:szCs w:val="16"/>
                <w:color w:val="auto"/>
              </w:rPr>
              <w:t>New York Stock Exchange</w:t>
            </w:r>
          </w:p>
        </w:tc>
        <w:tc>
          <w:tcPr>
            <w:tcW w:w="2040" w:type="dxa"/>
            <w:vAlign w:val="bottom"/>
          </w:tcPr>
          <w:p>
            <w:pPr>
              <w:spacing w:after="0"/>
              <w:rPr>
                <w:sz w:val="22"/>
                <w:szCs w:val="22"/>
                <w:color w:val="auto"/>
              </w:rPr>
            </w:pPr>
          </w:p>
        </w:tc>
      </w:tr>
    </w:tbl>
    <w:p>
      <w:pPr>
        <w:spacing w:after="0" w:line="361"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9" w:lineRule="exact"/>
        <w:rPr>
          <w:sz w:val="24"/>
          <w:szCs w:val="24"/>
          <w:color w:val="auto"/>
        </w:rPr>
      </w:pPr>
    </w:p>
    <w:p>
      <w:pPr>
        <w:jc w:val="both"/>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and posted pursuant to Rule 405 of Regulation S-T (§ 232.405 of this chapter) during the preceding 12 months (or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28"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234" w:right="239" w:bottom="1440" w:gutter="0" w:footer="0" w:header="0"/>
        </w:sectPr>
      </w:pPr>
    </w:p>
    <w:p>
      <w:pPr>
        <w:spacing w:after="0" w:line="129"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4">
            <w:col w:w="1580" w:space="600"/>
            <w:col w:w="4820" w:space="720"/>
            <w:col w:w="2540" w:space="720"/>
            <w:col w:w="440"/>
          </w:cols>
          <w:pgMar w:left="240" w:top="234" w:right="239" w:bottom="1440" w:gutter="0" w:footer="0" w:header="0"/>
          <w:type w:val="continuous"/>
        </w:sectPr>
      </w:pPr>
    </w:p>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93" w:lineRule="exact"/>
        <w:rPr>
          <w:sz w:val="24"/>
          <w:szCs w:val="24"/>
          <w:color w:val="auto"/>
        </w:rPr>
      </w:pPr>
    </w:p>
    <w:p>
      <w:pPr>
        <w:sectPr>
          <w:pgSz w:w="11900" w:h="16838" w:orient="portrait"/>
          <w:cols w:equalWidth="0" w:num="4">
            <w:col w:w="1460" w:space="720"/>
            <w:col w:w="4820" w:space="720"/>
            <w:col w:w="2540" w:space="720"/>
            <w:col w:w="440"/>
          </w:cols>
          <w:pgMar w:left="240" w:top="234" w:right="239" w:bottom="1440" w:gutter="0" w:footer="0" w:header="0"/>
          <w:type w:val="continuous"/>
        </w:sect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51" w:lineRule="exact"/>
        <w:rPr>
          <w:sz w:val="24"/>
          <w:szCs w:val="24"/>
          <w:color w:val="auto"/>
        </w:rPr>
      </w:pPr>
    </w:p>
    <w:p>
      <w:pPr>
        <w:spacing w:after="0" w:line="18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tabs>
          <w:tab w:leader="none" w:pos="7100" w:val="left"/>
          <w:tab w:leader="none" w:pos="7720" w:val="left"/>
        </w:tabs>
        <w:rPr>
          <w:sz w:val="20"/>
          <w:szCs w:val="20"/>
          <w:color w:val="auto"/>
        </w:rPr>
      </w:pPr>
      <w:r>
        <w:rPr>
          <w:rFonts w:ascii="Arial" w:cs="Arial" w:eastAsia="Arial" w:hAnsi="Arial"/>
          <w:sz w:val="16"/>
          <w:szCs w:val="16"/>
          <w:color w:val="auto"/>
        </w:rPr>
        <w:t>Indicate by check mark whether the registrant is a shell company (as defined in Exchange Act Rule 12b-2).</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86" w:lineRule="exact"/>
        <w:rPr>
          <w:sz w:val="24"/>
          <w:szCs w:val="24"/>
          <w:color w:val="auto"/>
        </w:rPr>
      </w:pPr>
    </w:p>
    <w:p>
      <w:pPr>
        <w:spacing w:after="0"/>
        <w:rPr>
          <w:sz w:val="20"/>
          <w:szCs w:val="20"/>
          <w:color w:val="auto"/>
        </w:rPr>
      </w:pPr>
      <w:r>
        <w:rPr>
          <w:rFonts w:ascii="Arial" w:cs="Arial" w:eastAsia="Arial" w:hAnsi="Arial"/>
          <w:sz w:val="16"/>
          <w:szCs w:val="16"/>
          <w:color w:val="auto"/>
        </w:rPr>
        <w:t>There were 135,527,287 shares of Common Stock outstanding as of July 29, 2019.</w:t>
      </w:r>
    </w:p>
    <w:p>
      <w:pPr>
        <w:sectPr>
          <w:pgSz w:w="11900" w:h="16838" w:orient="portrait"/>
          <w:cols w:equalWidth="0" w:num="1">
            <w:col w:w="11420"/>
          </w:cols>
          <w:pgMar w:left="240" w:top="234" w:right="239" w:bottom="1440" w:gutter="0" w:footer="0" w:header="0"/>
          <w:type w:val="continuous"/>
        </w:sectPr>
      </w:pPr>
    </w:p>
    <w:bookmarkStart w:id="1" w:name="page2"/>
    <w:bookmarkEnd w:id="1"/>
    <w:p>
      <w:pPr>
        <w:jc w:val="center"/>
        <w:ind w:right="-13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 – FINANCIAL INFORMATION</w:t>
      </w:r>
    </w:p>
    <w:p>
      <w:pPr>
        <w:spacing w:after="0" w:line="38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millions except per share data)</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6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20"/>
                <w:szCs w:val="20"/>
                <w:color w:val="auto"/>
              </w:rPr>
            </w:pPr>
          </w:p>
        </w:tc>
        <w:tc>
          <w:tcPr>
            <w:tcW w:w="200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6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40" w:type="dxa"/>
            <w:vAlign w:val="bottom"/>
          </w:tcPr>
          <w:p>
            <w:pPr>
              <w:spacing w:after="0"/>
              <w:rPr>
                <w:sz w:val="23"/>
                <w:szCs w:val="23"/>
                <w:color w:val="auto"/>
              </w:rPr>
            </w:pPr>
          </w:p>
        </w:tc>
      </w:tr>
      <w:tr>
        <w:trPr>
          <w:trHeight w:val="27"/>
        </w:trPr>
        <w:tc>
          <w:tcPr>
            <w:tcW w:w="6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6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230"/>
              <w:spacing w:after="0"/>
              <w:rPr>
                <w:sz w:val="20"/>
                <w:szCs w:val="20"/>
                <w:color w:val="auto"/>
              </w:rPr>
            </w:pPr>
            <w:r>
              <w:rPr>
                <w:rFonts w:ascii="Arial" w:cs="Arial" w:eastAsia="Arial" w:hAnsi="Arial"/>
                <w:sz w:val="18"/>
                <w:szCs w:val="18"/>
                <w:b w:val="1"/>
                <w:bCs w:val="1"/>
                <w:color w:val="auto"/>
                <w:w w:val="94"/>
              </w:rPr>
              <w:t>2018</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2018</w:t>
            </w:r>
          </w:p>
        </w:tc>
      </w:tr>
      <w:tr>
        <w:trPr>
          <w:trHeight w:val="27"/>
        </w:trPr>
        <w:tc>
          <w:tcPr>
            <w:tcW w:w="6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4"/>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3,035</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3,046</w:t>
            </w:r>
          </w:p>
        </w:tc>
        <w:tc>
          <w:tcPr>
            <w:tcW w:w="4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5,790</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5,243</w:t>
            </w:r>
          </w:p>
        </w:tc>
      </w:tr>
      <w:tr>
        <w:trPr>
          <w:trHeight w:val="237"/>
        </w:trPr>
        <w:tc>
          <w:tcPr>
            <w:tcW w:w="6220" w:type="dxa"/>
            <w:vAlign w:val="bottom"/>
          </w:tcPr>
          <w:p>
            <w:pPr>
              <w:ind w:left="380"/>
              <w:spacing w:after="0"/>
              <w:rPr>
                <w:sz w:val="20"/>
                <w:szCs w:val="20"/>
                <w:color w:val="auto"/>
              </w:rPr>
            </w:pPr>
            <w:r>
              <w:rPr>
                <w:rFonts w:ascii="Arial" w:cs="Arial" w:eastAsia="Arial" w:hAnsi="Arial"/>
                <w:sz w:val="18"/>
                <w:szCs w:val="18"/>
                <w:color w:val="auto"/>
              </w:rPr>
              <w:t>Cost of products sold, excluding depreciation and amortization</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2,417</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2,466</w:t>
            </w:r>
          </w:p>
        </w:tc>
        <w:tc>
          <w:tcPr>
            <w:tcW w:w="4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4,627</w:t>
            </w: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4,274</w:t>
            </w:r>
          </w:p>
        </w:tc>
      </w:tr>
      <w:tr>
        <w:trPr>
          <w:trHeight w:val="27"/>
        </w:trPr>
        <w:tc>
          <w:tcPr>
            <w:tcW w:w="6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245</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w:t>
            </w:r>
          </w:p>
        </w:tc>
      </w:tr>
      <w:tr>
        <w:trPr>
          <w:trHeight w:val="243"/>
        </w:trPr>
        <w:tc>
          <w:tcPr>
            <w:tcW w:w="6220" w:type="dxa"/>
            <w:vAlign w:val="bottom"/>
          </w:tcPr>
          <w:p>
            <w:pPr>
              <w:ind w:left="380"/>
              <w:spacing w:after="0"/>
              <w:rPr>
                <w:sz w:val="20"/>
                <w:szCs w:val="20"/>
                <w:color w:val="auto"/>
              </w:rPr>
            </w:pPr>
            <w:r>
              <w:rPr>
                <w:rFonts w:ascii="Arial" w:cs="Arial" w:eastAsia="Arial" w:hAnsi="Arial"/>
                <w:sz w:val="18"/>
                <w:szCs w:val="18"/>
                <w:color w:val="auto"/>
              </w:rPr>
              <w:t>Selling and administrative expense</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157</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159</w:t>
            </w: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314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249</w:t>
            </w:r>
          </w:p>
        </w:tc>
      </w:tr>
      <w:tr>
        <w:trPr>
          <w:trHeight w:val="27"/>
        </w:trPr>
        <w:tc>
          <w:tcPr>
            <w:tcW w:w="6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6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and other</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4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r>
      <w:tr>
        <w:trPr>
          <w:trHeight w:val="237"/>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383</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292</w:t>
            </w:r>
          </w:p>
        </w:tc>
        <w:tc>
          <w:tcPr>
            <w:tcW w:w="4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645</w:t>
            </w: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513</w:t>
            </w:r>
          </w:p>
        </w:tc>
      </w:tr>
      <w:tr>
        <w:trPr>
          <w:trHeight w:val="27"/>
        </w:trPr>
        <w:tc>
          <w:tcPr>
            <w:tcW w:w="6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from early extinguishments of debt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220" w:type="dxa"/>
            <w:vAlign w:val="bottom"/>
          </w:tcPr>
          <w:p>
            <w:pPr>
              <w:ind w:left="380"/>
              <w:spacing w:after="0"/>
              <w:rPr>
                <w:sz w:val="20"/>
                <w:szCs w:val="20"/>
                <w:color w:val="auto"/>
              </w:rPr>
            </w:pPr>
            <w:r>
              <w:rPr>
                <w:rFonts w:ascii="Arial" w:cs="Arial" w:eastAsia="Arial" w:hAnsi="Arial"/>
                <w:sz w:val="18"/>
                <w:szCs w:val="18"/>
                <w:color w:val="auto"/>
              </w:rPr>
              <w:t>Other pension and postretirement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w:t>
            </w: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6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w:t>
            </w:r>
          </w:p>
        </w:tc>
      </w:tr>
      <w:tr>
        <w:trPr>
          <w:trHeight w:val="243"/>
        </w:trPr>
        <w:tc>
          <w:tcPr>
            <w:tcW w:w="622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6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6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4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r>
      <w:tr>
        <w:trPr>
          <w:trHeight w:val="237"/>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260</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201</w:t>
            </w:r>
          </w:p>
        </w:tc>
        <w:tc>
          <w:tcPr>
            <w:tcW w:w="4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438</w:t>
            </w: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353</w:t>
            </w:r>
          </w:p>
        </w:tc>
      </w:tr>
      <w:tr>
        <w:trPr>
          <w:trHeight w:val="27"/>
        </w:trPr>
        <w:tc>
          <w:tcPr>
            <w:tcW w:w="6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w:t>
            </w:r>
          </w:p>
        </w:tc>
      </w:tr>
      <w:tr>
        <w:trPr>
          <w:trHeight w:val="243"/>
        </w:trPr>
        <w:tc>
          <w:tcPr>
            <w:tcW w:w="6220" w:type="dxa"/>
            <w:vAlign w:val="bottom"/>
          </w:tcPr>
          <w:p>
            <w:pPr>
              <w:ind w:left="380"/>
              <w:spacing w:after="0"/>
              <w:rPr>
                <w:sz w:val="20"/>
                <w:szCs w:val="20"/>
                <w:color w:val="auto"/>
              </w:rPr>
            </w:pPr>
            <w:r>
              <w:rPr>
                <w:rFonts w:ascii="Arial" w:cs="Arial" w:eastAsia="Arial" w:hAnsi="Arial"/>
                <w:sz w:val="18"/>
                <w:szCs w:val="18"/>
                <w:color w:val="auto"/>
              </w:rPr>
              <w:t>Equity earnings in affiliates</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7"/>
        </w:trPr>
        <w:tc>
          <w:tcPr>
            <w:tcW w:w="6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305</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260</w:t>
            </w:r>
          </w:p>
        </w:tc>
      </w:tr>
      <w:tr>
        <w:trPr>
          <w:trHeight w:val="243"/>
        </w:trPr>
        <w:tc>
          <w:tcPr>
            <w:tcW w:w="6220" w:type="dxa"/>
            <w:vAlign w:val="bottom"/>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6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9"/>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Crown Holdings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c>
          <w:tcPr>
            <w:tcW w:w="4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6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50"/>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common share attributable to Crown Holdings: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6220" w:type="dxa"/>
            <w:vAlign w:val="bottom"/>
          </w:tcPr>
          <w:p>
            <w:pPr>
              <w:ind w:left="38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0.99</w:t>
            </w:r>
          </w:p>
        </w:tc>
        <w:tc>
          <w:tcPr>
            <w:tcW w:w="44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1.79</w:t>
            </w:r>
          </w:p>
        </w:tc>
        <w:tc>
          <w:tcPr>
            <w:tcW w:w="2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1.66</w:t>
            </w:r>
          </w:p>
        </w:tc>
      </w:tr>
      <w:tr>
        <w:trPr>
          <w:trHeight w:val="67"/>
        </w:trPr>
        <w:tc>
          <w:tcPr>
            <w:tcW w:w="62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4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r>
      <w:tr>
        <w:trPr>
          <w:trHeight w:val="256"/>
        </w:trPr>
        <w:tc>
          <w:tcPr>
            <w:tcW w:w="622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0.99</w:t>
            </w: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80"/>
          </w:cols>
          <w:pgMar w:left="240" w:top="121" w:right="37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0"/>
                <w:szCs w:val="20"/>
                <w:color w:val="auto"/>
              </w:rPr>
            </w:pPr>
          </w:p>
        </w:tc>
        <w:tc>
          <w:tcPr>
            <w:tcW w:w="200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6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20" w:type="dxa"/>
            <w:vAlign w:val="bottom"/>
          </w:tcPr>
          <w:p>
            <w:pPr>
              <w:spacing w:after="0"/>
              <w:rPr>
                <w:sz w:val="23"/>
                <w:szCs w:val="23"/>
                <w:color w:val="auto"/>
              </w:rPr>
            </w:pPr>
          </w:p>
        </w:tc>
      </w:tr>
      <w:tr>
        <w:trPr>
          <w:trHeight w:val="27"/>
        </w:trPr>
        <w:tc>
          <w:tcPr>
            <w:tcW w:w="6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6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230"/>
              <w:spacing w:after="0"/>
              <w:rPr>
                <w:sz w:val="20"/>
                <w:szCs w:val="20"/>
                <w:color w:val="auto"/>
              </w:rPr>
            </w:pPr>
            <w:r>
              <w:rPr>
                <w:rFonts w:ascii="Arial" w:cs="Arial" w:eastAsia="Arial" w:hAnsi="Arial"/>
                <w:sz w:val="18"/>
                <w:szCs w:val="18"/>
                <w:b w:val="1"/>
                <w:bCs w:val="1"/>
                <w:color w:val="auto"/>
                <w:w w:val="94"/>
              </w:rPr>
              <w:t>2018</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230"/>
              <w:spacing w:after="0"/>
              <w:rPr>
                <w:sz w:val="20"/>
                <w:szCs w:val="20"/>
                <w:color w:val="auto"/>
              </w:rPr>
            </w:pPr>
            <w:r>
              <w:rPr>
                <w:rFonts w:ascii="Arial" w:cs="Arial" w:eastAsia="Arial" w:hAnsi="Arial"/>
                <w:sz w:val="18"/>
                <w:szCs w:val="18"/>
                <w:b w:val="1"/>
                <w:bCs w:val="1"/>
                <w:color w:val="auto"/>
                <w:w w:val="94"/>
              </w:rPr>
              <w:t>2018</w:t>
            </w:r>
          </w:p>
        </w:tc>
      </w:tr>
      <w:tr>
        <w:trPr>
          <w:trHeight w:val="27"/>
        </w:trPr>
        <w:tc>
          <w:tcPr>
            <w:tcW w:w="6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4"/>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c>
          <w:tcPr>
            <w:tcW w:w="4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w:t>
            </w:r>
          </w:p>
        </w:tc>
      </w:tr>
      <w:tr>
        <w:trPr>
          <w:trHeight w:val="318"/>
        </w:trPr>
        <w:tc>
          <w:tcPr>
            <w:tcW w:w="62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6260" w:type="dxa"/>
            <w:vAlign w:val="bottom"/>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(144)</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
        </w:trPr>
        <w:tc>
          <w:tcPr>
            <w:tcW w:w="6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Pension and other postretirement benefits</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43"/>
        </w:trPr>
        <w:tc>
          <w:tcPr>
            <w:tcW w:w="6260" w:type="dxa"/>
            <w:vAlign w:val="bottom"/>
          </w:tcPr>
          <w:p>
            <w:pPr>
              <w:ind w:left="280"/>
              <w:spacing w:after="0"/>
              <w:rPr>
                <w:sz w:val="20"/>
                <w:szCs w:val="20"/>
                <w:color w:val="auto"/>
              </w:rPr>
            </w:pPr>
            <w:r>
              <w:rPr>
                <w:rFonts w:ascii="Arial" w:cs="Arial" w:eastAsia="Arial" w:hAnsi="Arial"/>
                <w:sz w:val="18"/>
                <w:szCs w:val="18"/>
                <w:color w:val="auto"/>
              </w:rPr>
              <w:t>Derivatives qualifying as hedges</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6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4"/>
        </w:trPr>
        <w:tc>
          <w:tcPr>
            <w:tcW w:w="62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b w:val="1"/>
                <w:bCs w:val="1"/>
                <w:color w:val="auto"/>
              </w:rPr>
              <w:t>Total other comprehensive income (loss)</w:t>
            </w: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4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318"/>
        </w:trPr>
        <w:tc>
          <w:tcPr>
            <w:tcW w:w="62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w:t>
            </w:r>
          </w:p>
        </w:tc>
      </w:tr>
      <w:tr>
        <w:trPr>
          <w:trHeight w:val="243"/>
        </w:trPr>
        <w:tc>
          <w:tcPr>
            <w:tcW w:w="6260" w:type="dxa"/>
            <w:vAlign w:val="bottom"/>
          </w:tcPr>
          <w:p>
            <w:pPr>
              <w:ind w:left="280"/>
              <w:spacing w:after="0"/>
              <w:rPr>
                <w:sz w:val="20"/>
                <w:szCs w:val="20"/>
                <w:color w:val="auto"/>
              </w:rPr>
            </w:pPr>
            <w:r>
              <w:rPr>
                <w:rFonts w:ascii="Arial" w:cs="Arial" w:eastAsia="Arial" w:hAnsi="Arial"/>
                <w:sz w:val="18"/>
                <w:szCs w:val="18"/>
                <w:color w:val="auto"/>
              </w:rPr>
              <w:t>Net income attributable to noncontrolling interests</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6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Translation adjustments attributable to noncontrolling interests</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6260" w:type="dxa"/>
            <w:vAlign w:val="bottom"/>
          </w:tcPr>
          <w:p>
            <w:pPr>
              <w:ind w:left="280"/>
              <w:spacing w:after="0"/>
              <w:rPr>
                <w:sz w:val="20"/>
                <w:szCs w:val="20"/>
                <w:color w:val="auto"/>
              </w:rPr>
            </w:pPr>
            <w:r>
              <w:rPr>
                <w:rFonts w:ascii="Arial" w:cs="Arial" w:eastAsia="Arial" w:hAnsi="Arial"/>
                <w:sz w:val="18"/>
                <w:szCs w:val="18"/>
                <w:color w:val="auto"/>
              </w:rPr>
              <w:t>Derivatives qualifying as hedges attributable to noncontrolling interests</w:t>
            </w:r>
          </w:p>
        </w:tc>
        <w:tc>
          <w:tcPr>
            <w:tcW w:w="200" w:type="dxa"/>
            <w:vAlign w:val="bottom"/>
          </w:tcPr>
          <w:p>
            <w:pPr>
              <w:spacing w:after="0"/>
              <w:rPr>
                <w:sz w:val="21"/>
                <w:szCs w:val="21"/>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6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9"/>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attributable to Crown Holdings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4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80"/>
          </w:cols>
          <w:pgMar w:left="240" w:top="121" w:right="3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Crown Holdings, Inc.</w:t>
            </w: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819"/>
        </w:trPr>
        <w:tc>
          <w:tcPr>
            <w:tcW w:w="2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6"/>
              </w:rPr>
              <w:t>CONSOLIDATED BALANCE SHEETS (Condensed)</w:t>
            </w: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6"/>
        </w:trPr>
        <w:tc>
          <w:tcPr>
            <w:tcW w:w="2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(In millions)</w:t>
            </w: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2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(Unaudited)</w:t>
            </w: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576"/>
        </w:trPr>
        <w:tc>
          <w:tcPr>
            <w:tcW w:w="2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24"/>
                <w:szCs w:val="24"/>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2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r>
      <w:tr>
        <w:trPr>
          <w:trHeight w:val="27"/>
        </w:trPr>
        <w:tc>
          <w:tcPr>
            <w:tcW w:w="29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3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8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600" w:type="dxa"/>
            <w:vAlign w:val="bottom"/>
            <w:gridSpan w:val="3"/>
          </w:tcPr>
          <w:p>
            <w:pPr>
              <w:ind w:left="40"/>
              <w:spacing w:after="0"/>
              <w:rPr>
                <w:sz w:val="20"/>
                <w:szCs w:val="20"/>
                <w:color w:val="auto"/>
              </w:rPr>
            </w:pPr>
            <w:r>
              <w:rPr>
                <w:rFonts w:ascii="Arial" w:cs="Arial" w:eastAsia="Arial" w:hAnsi="Arial"/>
                <w:sz w:val="18"/>
                <w:szCs w:val="18"/>
                <w:b w:val="1"/>
                <w:bCs w:val="1"/>
                <w:color w:val="auto"/>
              </w:rPr>
              <w:t>Current assets</w:t>
            </w:r>
          </w:p>
        </w:tc>
        <w:tc>
          <w:tcPr>
            <w:tcW w:w="3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2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6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42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w:t>
            </w: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607</w:t>
            </w:r>
          </w:p>
        </w:tc>
      </w:tr>
      <w:tr>
        <w:trPr>
          <w:trHeight w:val="243"/>
        </w:trPr>
        <w:tc>
          <w:tcPr>
            <w:tcW w:w="3600" w:type="dxa"/>
            <w:vAlign w:val="bottom"/>
            <w:gridSpan w:val="3"/>
          </w:tcPr>
          <w:p>
            <w:pPr>
              <w:ind w:left="380"/>
              <w:spacing w:after="0"/>
              <w:rPr>
                <w:sz w:val="20"/>
                <w:szCs w:val="20"/>
                <w:color w:val="auto"/>
              </w:rPr>
            </w:pPr>
            <w:r>
              <w:rPr>
                <w:rFonts w:ascii="Arial" w:cs="Arial" w:eastAsia="Arial" w:hAnsi="Arial"/>
                <w:sz w:val="18"/>
                <w:szCs w:val="18"/>
                <w:color w:val="auto"/>
              </w:rPr>
              <w:t>Receivables, net</w:t>
            </w:r>
          </w:p>
        </w:tc>
        <w:tc>
          <w:tcPr>
            <w:tcW w:w="3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1,830</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1,602</w:t>
            </w:r>
          </w:p>
        </w:tc>
      </w:tr>
      <w:tr>
        <w:trPr>
          <w:trHeight w:val="27"/>
        </w:trPr>
        <w:tc>
          <w:tcPr>
            <w:tcW w:w="2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6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38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1,837</w:t>
            </w: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1,690</w:t>
            </w:r>
          </w:p>
        </w:tc>
      </w:tr>
      <w:tr>
        <w:trPr>
          <w:trHeight w:val="243"/>
        </w:trPr>
        <w:tc>
          <w:tcPr>
            <w:tcW w:w="3600" w:type="dxa"/>
            <w:vAlign w:val="bottom"/>
            <w:gridSpan w:val="3"/>
          </w:tcPr>
          <w:p>
            <w:pPr>
              <w:ind w:left="380"/>
              <w:spacing w:after="0"/>
              <w:rPr>
                <w:sz w:val="20"/>
                <w:szCs w:val="20"/>
                <w:color w:val="auto"/>
              </w:rPr>
            </w:pPr>
            <w:r>
              <w:rPr>
                <w:rFonts w:ascii="Arial" w:cs="Arial" w:eastAsia="Arial" w:hAnsi="Arial"/>
                <w:sz w:val="18"/>
                <w:szCs w:val="18"/>
                <w:color w:val="auto"/>
                <w:w w:val="93"/>
              </w:rPr>
              <w:t>Prepaid expenses and other current assets</w:t>
            </w:r>
          </w:p>
        </w:tc>
        <w:tc>
          <w:tcPr>
            <w:tcW w:w="3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205</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180</w:t>
            </w:r>
          </w:p>
        </w:tc>
      </w:tr>
      <w:tr>
        <w:trPr>
          <w:trHeight w:val="27"/>
        </w:trPr>
        <w:tc>
          <w:tcPr>
            <w:tcW w:w="29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360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38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4,214</w:t>
            </w:r>
          </w:p>
        </w:tc>
        <w:tc>
          <w:tcPr>
            <w:tcW w:w="4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4,079</w:t>
            </w:r>
          </w:p>
        </w:tc>
      </w:tr>
      <w:tr>
        <w:trPr>
          <w:trHeight w:val="318"/>
        </w:trPr>
        <w:tc>
          <w:tcPr>
            <w:tcW w:w="2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r>
      <w:tr>
        <w:trPr>
          <w:trHeight w:val="250"/>
        </w:trPr>
        <w:tc>
          <w:tcPr>
            <w:tcW w:w="3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8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4,448</w:t>
            </w: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4,442</w:t>
            </w:r>
          </w:p>
        </w:tc>
      </w:tr>
      <w:tr>
        <w:trPr>
          <w:trHeight w:val="243"/>
        </w:trPr>
        <w:tc>
          <w:tcPr>
            <w:tcW w:w="3600" w:type="dxa"/>
            <w:vAlign w:val="bottom"/>
            <w:gridSpan w:val="3"/>
          </w:tcPr>
          <w:p>
            <w:pPr>
              <w:ind w:left="40"/>
              <w:spacing w:after="0"/>
              <w:rPr>
                <w:sz w:val="20"/>
                <w:szCs w:val="20"/>
                <w:color w:val="auto"/>
              </w:rPr>
            </w:pPr>
            <w:r>
              <w:rPr>
                <w:rFonts w:ascii="Arial" w:cs="Arial" w:eastAsia="Arial" w:hAnsi="Arial"/>
                <w:sz w:val="18"/>
                <w:szCs w:val="18"/>
                <w:color w:val="auto"/>
              </w:rPr>
              <w:t>Intangible assets, net</w:t>
            </w:r>
          </w:p>
        </w:tc>
        <w:tc>
          <w:tcPr>
            <w:tcW w:w="3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2,106</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2,193</w:t>
            </w:r>
          </w:p>
        </w:tc>
      </w:tr>
      <w:tr>
        <w:trPr>
          <w:trHeight w:val="27"/>
        </w:trPr>
        <w:tc>
          <w:tcPr>
            <w:tcW w:w="2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38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3,761</w:t>
            </w: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3,745</w:t>
            </w:r>
          </w:p>
        </w:tc>
      </w:tr>
      <w:tr>
        <w:trPr>
          <w:trHeight w:val="243"/>
        </w:trPr>
        <w:tc>
          <w:tcPr>
            <w:tcW w:w="3600" w:type="dxa"/>
            <w:vAlign w:val="bottom"/>
            <w:gridSpan w:val="3"/>
          </w:tcPr>
          <w:p>
            <w:pPr>
              <w:ind w:left="40"/>
              <w:spacing w:after="0"/>
              <w:rPr>
                <w:sz w:val="20"/>
                <w:szCs w:val="20"/>
                <w:color w:val="auto"/>
              </w:rPr>
            </w:pPr>
            <w:r>
              <w:rPr>
                <w:rFonts w:ascii="Arial" w:cs="Arial" w:eastAsia="Arial" w:hAnsi="Arial"/>
                <w:sz w:val="18"/>
                <w:szCs w:val="18"/>
                <w:color w:val="auto"/>
              </w:rPr>
              <w:t>Operating lease right-of-use assets, net</w:t>
            </w:r>
          </w:p>
        </w:tc>
        <w:tc>
          <w:tcPr>
            <w:tcW w:w="3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209</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38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827</w:t>
            </w:r>
          </w:p>
        </w:tc>
        <w:tc>
          <w:tcPr>
            <w:tcW w:w="4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803</w:t>
            </w:r>
          </w:p>
        </w:tc>
      </w:tr>
      <w:tr>
        <w:trPr>
          <w:trHeight w:val="237"/>
        </w:trPr>
        <w:tc>
          <w:tcPr>
            <w:tcW w:w="3600" w:type="dxa"/>
            <w:vAlign w:val="bottom"/>
            <w:gridSpan w:val="3"/>
          </w:tcPr>
          <w:p>
            <w:pPr>
              <w:ind w:left="720"/>
              <w:spacing w:after="0"/>
              <w:rPr>
                <w:sz w:val="20"/>
                <w:szCs w:val="20"/>
                <w:color w:val="auto"/>
              </w:rPr>
            </w:pPr>
            <w:r>
              <w:rPr>
                <w:rFonts w:ascii="Arial" w:cs="Arial" w:eastAsia="Arial" w:hAnsi="Arial"/>
                <w:sz w:val="18"/>
                <w:szCs w:val="18"/>
                <w:b w:val="1"/>
                <w:bCs w:val="1"/>
                <w:color w:val="auto"/>
              </w:rPr>
              <w:t>Total</w:t>
            </w:r>
          </w:p>
        </w:tc>
        <w:tc>
          <w:tcPr>
            <w:tcW w:w="38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15,565</w:t>
            </w:r>
          </w:p>
        </w:tc>
        <w:tc>
          <w:tcPr>
            <w:tcW w:w="4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15,262</w:t>
            </w:r>
          </w:p>
        </w:tc>
      </w:tr>
      <w:tr>
        <w:trPr>
          <w:trHeight w:val="67"/>
        </w:trPr>
        <w:tc>
          <w:tcPr>
            <w:tcW w:w="2980" w:type="dxa"/>
            <w:vAlign w:val="bottom"/>
            <w:tcBorders>
              <w:bottom w:val="single" w:sz="8" w:color="CCEEFF"/>
            </w:tcBorders>
          </w:tcPr>
          <w:p>
            <w:pPr>
              <w:spacing w:after="0"/>
              <w:rPr>
                <w:sz w:val="5"/>
                <w:szCs w:val="5"/>
                <w:color w:val="auto"/>
              </w:rPr>
            </w:pPr>
          </w:p>
        </w:tc>
        <w:tc>
          <w:tcPr>
            <w:tcW w:w="48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38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44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r>
      <w:tr>
        <w:trPr>
          <w:trHeight w:val="278"/>
        </w:trPr>
        <w:tc>
          <w:tcPr>
            <w:tcW w:w="29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8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43"/>
        </w:trPr>
        <w:tc>
          <w:tcPr>
            <w:tcW w:w="3600" w:type="dxa"/>
            <w:vAlign w:val="bottom"/>
            <w:gridSpan w:val="3"/>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3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2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38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600" w:type="dxa"/>
            <w:vAlign w:val="bottom"/>
            <w:gridSpan w:val="3"/>
          </w:tcPr>
          <w:p>
            <w:pPr>
              <w:ind w:left="380"/>
              <w:spacing w:after="0"/>
              <w:rPr>
                <w:sz w:val="20"/>
                <w:szCs w:val="20"/>
                <w:color w:val="auto"/>
              </w:rPr>
            </w:pPr>
            <w:r>
              <w:rPr>
                <w:rFonts w:ascii="Arial" w:cs="Arial" w:eastAsia="Arial" w:hAnsi="Arial"/>
                <w:sz w:val="18"/>
                <w:szCs w:val="18"/>
                <w:color w:val="auto"/>
              </w:rPr>
              <w:t>Short-term debt</w:t>
            </w:r>
          </w:p>
        </w:tc>
        <w:tc>
          <w:tcPr>
            <w:tcW w:w="42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135</w:t>
            </w:r>
          </w:p>
        </w:tc>
        <w:tc>
          <w:tcPr>
            <w:tcW w:w="4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89</w:t>
            </w:r>
          </w:p>
        </w:tc>
      </w:tr>
      <w:tr>
        <w:trPr>
          <w:trHeight w:val="27"/>
        </w:trPr>
        <w:tc>
          <w:tcPr>
            <w:tcW w:w="2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6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Current maturities of long-term debt</w:t>
            </w:r>
          </w:p>
        </w:tc>
        <w:tc>
          <w:tcPr>
            <w:tcW w:w="38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r>
      <w:tr>
        <w:trPr>
          <w:trHeight w:val="243"/>
        </w:trPr>
        <w:tc>
          <w:tcPr>
            <w:tcW w:w="3600" w:type="dxa"/>
            <w:vAlign w:val="bottom"/>
            <w:gridSpan w:val="3"/>
          </w:tcPr>
          <w:p>
            <w:pPr>
              <w:ind w:left="380"/>
              <w:spacing w:after="0"/>
              <w:rPr>
                <w:sz w:val="20"/>
                <w:szCs w:val="20"/>
                <w:color w:val="auto"/>
              </w:rPr>
            </w:pPr>
            <w:r>
              <w:rPr>
                <w:rFonts w:ascii="Arial" w:cs="Arial" w:eastAsia="Arial" w:hAnsi="Arial"/>
                <w:sz w:val="18"/>
                <w:szCs w:val="18"/>
                <w:color w:val="auto"/>
                <w:w w:val="93"/>
              </w:rPr>
              <w:t>Current portion of operating lease liabilities</w:t>
            </w:r>
          </w:p>
        </w:tc>
        <w:tc>
          <w:tcPr>
            <w:tcW w:w="3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6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8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2,355</w:t>
            </w: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2,732</w:t>
            </w:r>
          </w:p>
        </w:tc>
      </w:tr>
      <w:tr>
        <w:trPr>
          <w:trHeight w:val="243"/>
        </w:trPr>
        <w:tc>
          <w:tcPr>
            <w:tcW w:w="3600" w:type="dxa"/>
            <w:vAlign w:val="bottom"/>
            <w:gridSpan w:val="3"/>
          </w:tcPr>
          <w:p>
            <w:pPr>
              <w:ind w:left="380"/>
              <w:spacing w:after="0"/>
              <w:rPr>
                <w:sz w:val="20"/>
                <w:szCs w:val="20"/>
                <w:color w:val="auto"/>
              </w:rPr>
            </w:pPr>
            <w:r>
              <w:rPr>
                <w:rFonts w:ascii="Arial" w:cs="Arial" w:eastAsia="Arial" w:hAnsi="Arial"/>
                <w:sz w:val="18"/>
                <w:szCs w:val="18"/>
                <w:color w:val="auto"/>
              </w:rPr>
              <w:t>Accrued liabilities</w:t>
            </w:r>
          </w:p>
        </w:tc>
        <w:tc>
          <w:tcPr>
            <w:tcW w:w="3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983</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1,011</w:t>
            </w:r>
          </w:p>
        </w:tc>
      </w:tr>
      <w:tr>
        <w:trPr>
          <w:trHeight w:val="27"/>
        </w:trPr>
        <w:tc>
          <w:tcPr>
            <w:tcW w:w="29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360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38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3,608</w:t>
            </w:r>
          </w:p>
        </w:tc>
        <w:tc>
          <w:tcPr>
            <w:tcW w:w="4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3,913</w:t>
            </w:r>
          </w:p>
        </w:tc>
      </w:tr>
      <w:tr>
        <w:trPr>
          <w:trHeight w:val="318"/>
        </w:trPr>
        <w:tc>
          <w:tcPr>
            <w:tcW w:w="2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r>
      <w:tr>
        <w:trPr>
          <w:trHeight w:val="250"/>
        </w:trPr>
        <w:tc>
          <w:tcPr>
            <w:tcW w:w="3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debt, excluding current maturities</w:t>
            </w:r>
          </w:p>
        </w:tc>
        <w:tc>
          <w:tcPr>
            <w:tcW w:w="38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8,549</w:t>
            </w: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8,493</w:t>
            </w:r>
          </w:p>
        </w:tc>
      </w:tr>
      <w:tr>
        <w:trPr>
          <w:trHeight w:val="243"/>
        </w:trPr>
        <w:tc>
          <w:tcPr>
            <w:tcW w:w="3600" w:type="dxa"/>
            <w:vAlign w:val="bottom"/>
            <w:gridSpan w:val="3"/>
          </w:tcPr>
          <w:p>
            <w:pPr>
              <w:ind w:left="40"/>
              <w:spacing w:after="0"/>
              <w:rPr>
                <w:sz w:val="20"/>
                <w:szCs w:val="20"/>
                <w:color w:val="auto"/>
              </w:rPr>
            </w:pPr>
            <w:r>
              <w:rPr>
                <w:rFonts w:ascii="Arial" w:cs="Arial" w:eastAsia="Arial" w:hAnsi="Arial"/>
                <w:sz w:val="18"/>
                <w:szCs w:val="18"/>
                <w:color w:val="auto"/>
                <w:w w:val="94"/>
              </w:rPr>
              <w:t>Non-current portion of operating lease liabilities</w:t>
            </w:r>
          </w:p>
        </w:tc>
        <w:tc>
          <w:tcPr>
            <w:tcW w:w="3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165</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Postretirement and pension liabilities</w:t>
            </w:r>
          </w:p>
        </w:tc>
        <w:tc>
          <w:tcPr>
            <w:tcW w:w="38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663</w:t>
            </w: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683</w:t>
            </w:r>
          </w:p>
        </w:tc>
      </w:tr>
      <w:tr>
        <w:trPr>
          <w:trHeight w:val="243"/>
        </w:trPr>
        <w:tc>
          <w:tcPr>
            <w:tcW w:w="3600" w:type="dxa"/>
            <w:vAlign w:val="bottom"/>
            <w:gridSpan w:val="3"/>
          </w:tcPr>
          <w:p>
            <w:pPr>
              <w:ind w:left="40"/>
              <w:spacing w:after="0"/>
              <w:rPr>
                <w:sz w:val="20"/>
                <w:szCs w:val="20"/>
                <w:color w:val="auto"/>
              </w:rPr>
            </w:pPr>
            <w:r>
              <w:rPr>
                <w:rFonts w:ascii="Arial" w:cs="Arial" w:eastAsia="Arial" w:hAnsi="Arial"/>
                <w:sz w:val="18"/>
                <w:szCs w:val="18"/>
                <w:color w:val="auto"/>
              </w:rPr>
              <w:t>Other non-current liabilities</w:t>
            </w:r>
          </w:p>
        </w:tc>
        <w:tc>
          <w:tcPr>
            <w:tcW w:w="3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880</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887</w:t>
            </w:r>
          </w:p>
        </w:tc>
      </w:tr>
      <w:tr>
        <w:trPr>
          <w:trHeight w:val="27"/>
        </w:trPr>
        <w:tc>
          <w:tcPr>
            <w:tcW w:w="2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600" w:type="dxa"/>
            <w:vAlign w:val="bottom"/>
            <w:gridSpan w:val="3"/>
            <w:shd w:val="clear" w:color="auto" w:fill="CCEEFF"/>
          </w:tcPr>
          <w:p>
            <w:pPr>
              <w:ind w:left="40"/>
              <w:spacing w:after="0" w:line="202" w:lineRule="exact"/>
              <w:rPr>
                <w:rFonts w:ascii="Arial" w:cs="Arial" w:eastAsia="Arial" w:hAnsi="Arial"/>
                <w:sz w:val="18"/>
                <w:szCs w:val="18"/>
                <w:color w:val="auto"/>
                <w:w w:val="93"/>
              </w:rPr>
            </w:pPr>
            <w:r>
              <w:rPr>
                <w:rFonts w:ascii="Arial" w:cs="Arial" w:eastAsia="Arial" w:hAnsi="Arial"/>
                <w:sz w:val="18"/>
                <w:szCs w:val="18"/>
                <w:color w:val="auto"/>
                <w:w w:val="93"/>
              </w:rPr>
              <w:t xml:space="preserve">Commitments and contingent liabilities </w:t>
            </w:r>
            <w:r>
              <w:rPr>
                <w:rFonts w:ascii="Arial" w:cs="Arial" w:eastAsia="Arial" w:hAnsi="Arial"/>
                <w:sz w:val="18"/>
                <w:szCs w:val="18"/>
                <w:i w:val="1"/>
                <w:iCs w:val="1"/>
                <w:color w:val="auto"/>
                <w:w w:val="93"/>
              </w:rPr>
              <w:t>(</w:t>
            </w:r>
            <w:hyperlink w:anchor="page16">
              <w:r>
                <w:rPr>
                  <w:rFonts w:ascii="Arial" w:cs="Arial" w:eastAsia="Arial" w:hAnsi="Arial"/>
                  <w:sz w:val="18"/>
                  <w:szCs w:val="18"/>
                  <w:i w:val="1"/>
                  <w:iCs w:val="1"/>
                  <w:color w:val="0000EE"/>
                  <w:w w:val="93"/>
                </w:rPr>
                <w:t>Note L</w:t>
              </w:r>
            </w:hyperlink>
            <w:r>
              <w:rPr>
                <w:rFonts w:ascii="Arial" w:cs="Arial" w:eastAsia="Arial" w:hAnsi="Arial"/>
                <w:sz w:val="18"/>
                <w:szCs w:val="18"/>
                <w:i w:val="1"/>
                <w:iCs w:val="1"/>
                <w:color w:val="auto"/>
                <w:w w:val="93"/>
              </w:rPr>
              <w:t>)</w:t>
            </w:r>
          </w:p>
        </w:tc>
        <w:tc>
          <w:tcPr>
            <w:tcW w:w="38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43"/>
        </w:trPr>
        <w:tc>
          <w:tcPr>
            <w:tcW w:w="298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Noncontrolling interests</w:t>
            </w:r>
          </w:p>
        </w:tc>
        <w:tc>
          <w:tcPr>
            <w:tcW w:w="480" w:type="dxa"/>
            <w:vAlign w:val="bottom"/>
            <w:tcBorders>
              <w:top w:val="single" w:sz="8" w:color="0000EE"/>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80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112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406</w:t>
            </w:r>
          </w:p>
        </w:tc>
        <w:tc>
          <w:tcPr>
            <w:tcW w:w="44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36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349</w:t>
            </w:r>
          </w:p>
        </w:tc>
      </w:tr>
      <w:tr>
        <w:trPr>
          <w:trHeight w:val="27"/>
        </w:trPr>
        <w:tc>
          <w:tcPr>
            <w:tcW w:w="2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Crown Holdings shareholders’ equity</w:t>
            </w:r>
          </w:p>
        </w:tc>
        <w:tc>
          <w:tcPr>
            <w:tcW w:w="38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1,294</w:t>
            </w:r>
          </w:p>
        </w:tc>
        <w:tc>
          <w:tcPr>
            <w:tcW w:w="4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937</w:t>
            </w:r>
          </w:p>
        </w:tc>
      </w:tr>
      <w:tr>
        <w:trPr>
          <w:trHeight w:val="237"/>
        </w:trPr>
        <w:tc>
          <w:tcPr>
            <w:tcW w:w="3600" w:type="dxa"/>
            <w:vAlign w:val="bottom"/>
            <w:gridSpan w:val="3"/>
          </w:tcPr>
          <w:p>
            <w:pPr>
              <w:ind w:left="720"/>
              <w:spacing w:after="0"/>
              <w:rPr>
                <w:sz w:val="20"/>
                <w:szCs w:val="20"/>
                <w:color w:val="auto"/>
              </w:rPr>
            </w:pPr>
            <w:r>
              <w:rPr>
                <w:rFonts w:ascii="Arial" w:cs="Arial" w:eastAsia="Arial" w:hAnsi="Arial"/>
                <w:sz w:val="18"/>
                <w:szCs w:val="18"/>
                <w:b w:val="1"/>
                <w:bCs w:val="1"/>
                <w:color w:val="auto"/>
              </w:rPr>
              <w:t>Total equity</w:t>
            </w:r>
          </w:p>
        </w:tc>
        <w:tc>
          <w:tcPr>
            <w:tcW w:w="38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1,700</w:t>
            </w:r>
          </w:p>
        </w:tc>
        <w:tc>
          <w:tcPr>
            <w:tcW w:w="4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1,286</w:t>
            </w:r>
          </w:p>
        </w:tc>
      </w:tr>
      <w:tr>
        <w:trPr>
          <w:trHeight w:val="27"/>
        </w:trPr>
        <w:tc>
          <w:tcPr>
            <w:tcW w:w="29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360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8"/>
                <w:szCs w:val="18"/>
                <w:b w:val="1"/>
                <w:bCs w:val="1"/>
                <w:color w:val="auto"/>
              </w:rPr>
              <w:t>Total</w:t>
            </w:r>
          </w:p>
        </w:tc>
        <w:tc>
          <w:tcPr>
            <w:tcW w:w="42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15,565</w:t>
            </w:r>
          </w:p>
        </w:tc>
        <w:tc>
          <w:tcPr>
            <w:tcW w:w="4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15,262</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80"/>
          </w:cols>
          <w:pgMar w:left="240" w:top="121" w:right="7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8340" w:type="dxa"/>
            <w:vAlign w:val="bottom"/>
          </w:tcPr>
          <w:p>
            <w:pPr>
              <w:jc w:val="center"/>
              <w:ind w:left="3010"/>
              <w:spacing w:after="0"/>
              <w:rPr>
                <w:sz w:val="20"/>
                <w:szCs w:val="20"/>
                <w:color w:val="auto"/>
              </w:rPr>
            </w:pPr>
            <w:r>
              <w:rPr>
                <w:rFonts w:ascii="Arial" w:cs="Arial" w:eastAsia="Arial" w:hAnsi="Arial"/>
                <w:sz w:val="18"/>
                <w:szCs w:val="18"/>
                <w:b w:val="1"/>
                <w:bCs w:val="1"/>
                <w:color w:val="auto"/>
                <w:w w:val="91"/>
              </w:rPr>
              <w:t>Crown Holdings, Inc.</w:t>
            </w: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819"/>
        </w:trPr>
        <w:tc>
          <w:tcPr>
            <w:tcW w:w="8340" w:type="dxa"/>
            <w:vAlign w:val="bottom"/>
          </w:tcPr>
          <w:p>
            <w:pPr>
              <w:jc w:val="center"/>
              <w:ind w:left="3010"/>
              <w:spacing w:after="0"/>
              <w:rPr>
                <w:sz w:val="20"/>
                <w:szCs w:val="20"/>
                <w:color w:val="auto"/>
              </w:rPr>
            </w:pPr>
            <w:r>
              <w:rPr>
                <w:rFonts w:ascii="Arial" w:cs="Arial" w:eastAsia="Arial" w:hAnsi="Arial"/>
                <w:sz w:val="18"/>
                <w:szCs w:val="18"/>
                <w:b w:val="1"/>
                <w:bCs w:val="1"/>
                <w:color w:val="auto"/>
                <w:w w:val="96"/>
              </w:rPr>
              <w:t>CONSOLIDATED STATEMENTS OF CASH FLOWS (Condensed)</w:t>
            </w: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8340" w:type="dxa"/>
            <w:vAlign w:val="bottom"/>
          </w:tcPr>
          <w:p>
            <w:pPr>
              <w:jc w:val="center"/>
              <w:ind w:left="2990"/>
              <w:spacing w:after="0"/>
              <w:rPr>
                <w:sz w:val="20"/>
                <w:szCs w:val="20"/>
                <w:color w:val="auto"/>
              </w:rPr>
            </w:pPr>
            <w:r>
              <w:rPr>
                <w:rFonts w:ascii="Arial" w:cs="Arial" w:eastAsia="Arial" w:hAnsi="Arial"/>
                <w:sz w:val="18"/>
                <w:szCs w:val="18"/>
                <w:b w:val="1"/>
                <w:bCs w:val="1"/>
                <w:color w:val="auto"/>
                <w:w w:val="93"/>
              </w:rPr>
              <w:t>(In millions)</w:t>
            </w: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4"/>
        </w:trPr>
        <w:tc>
          <w:tcPr>
            <w:tcW w:w="8340" w:type="dxa"/>
            <w:vAlign w:val="bottom"/>
          </w:tcPr>
          <w:p>
            <w:pPr>
              <w:jc w:val="center"/>
              <w:ind w:left="2990"/>
              <w:spacing w:after="0"/>
              <w:rPr>
                <w:sz w:val="20"/>
                <w:szCs w:val="20"/>
                <w:color w:val="auto"/>
              </w:rPr>
            </w:pPr>
            <w:r>
              <w:rPr>
                <w:rFonts w:ascii="Arial" w:cs="Arial" w:eastAsia="Arial" w:hAnsi="Arial"/>
                <w:sz w:val="18"/>
                <w:szCs w:val="18"/>
                <w:b w:val="1"/>
                <w:bCs w:val="1"/>
                <w:color w:val="auto"/>
                <w:w w:val="93"/>
              </w:rPr>
              <w:t>(Unaudited)</w:t>
            </w: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78"/>
        </w:trPr>
        <w:tc>
          <w:tcPr>
            <w:tcW w:w="8340" w:type="dxa"/>
            <w:vAlign w:val="bottom"/>
          </w:tcPr>
          <w:p>
            <w:pPr>
              <w:spacing w:after="0"/>
              <w:rPr>
                <w:sz w:val="24"/>
                <w:szCs w:val="24"/>
                <w:color w:val="auto"/>
              </w:rPr>
            </w:pPr>
          </w:p>
        </w:tc>
        <w:tc>
          <w:tcPr>
            <w:tcW w:w="2920" w:type="dxa"/>
            <w:vAlign w:val="bottom"/>
            <w:gridSpan w:val="5"/>
          </w:tcPr>
          <w:p>
            <w:pPr>
              <w:jc w:val="right"/>
              <w:ind w:right="65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8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16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960" w:type="dxa"/>
            <w:vAlign w:val="bottom"/>
          </w:tcPr>
          <w:p>
            <w:pPr>
              <w:spacing w:after="0"/>
              <w:rPr>
                <w:sz w:val="23"/>
                <w:szCs w:val="23"/>
                <w:color w:val="auto"/>
              </w:rPr>
            </w:pPr>
          </w:p>
        </w:tc>
      </w:tr>
      <w:tr>
        <w:trPr>
          <w:trHeight w:val="27"/>
        </w:trPr>
        <w:tc>
          <w:tcPr>
            <w:tcW w:w="83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r>
      <w:tr>
        <w:trPr>
          <w:trHeight w:val="27"/>
        </w:trPr>
        <w:tc>
          <w:tcPr>
            <w:tcW w:w="83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305</w:t>
            </w:r>
          </w:p>
        </w:tc>
        <w:tc>
          <w:tcPr>
            <w:tcW w:w="4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260</w:t>
            </w:r>
          </w:p>
        </w:tc>
      </w:tr>
      <w:tr>
        <w:trPr>
          <w:trHeight w:val="27"/>
        </w:trPr>
        <w:tc>
          <w:tcPr>
            <w:tcW w:w="8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Adjustments to reconcile net income to net cash used for operating activities:</w:t>
            </w: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80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245</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178</w:t>
            </w:r>
          </w:p>
        </w:tc>
      </w:tr>
      <w:tr>
        <w:trPr>
          <w:trHeight w:val="27"/>
        </w:trPr>
        <w:tc>
          <w:tcPr>
            <w:tcW w:w="8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Restructuring and other</w:t>
            </w: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Foreign exchange</w:t>
            </w:r>
          </w:p>
        </w:tc>
        <w:tc>
          <w:tcPr>
            <w:tcW w:w="80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28</w:t>
            </w:r>
          </w:p>
        </w:tc>
      </w:tr>
      <w:tr>
        <w:trPr>
          <w:trHeight w:val="27"/>
        </w:trPr>
        <w:tc>
          <w:tcPr>
            <w:tcW w:w="8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Pension expense</w:t>
            </w: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Pension contributions</w:t>
            </w:r>
          </w:p>
        </w:tc>
        <w:tc>
          <w:tcPr>
            <w:tcW w:w="8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8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Stock-based compensation</w:t>
            </w: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Changes in assets and liabilities:</w:t>
            </w: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Receivables</w:t>
            </w: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(228)</w:t>
            </w: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w:t>
            </w: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Inventories</w:t>
            </w:r>
          </w:p>
        </w:tc>
        <w:tc>
          <w:tcPr>
            <w:tcW w:w="8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0"/>
              </w:rPr>
              <w:t>(149)</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(230)</w:t>
            </w:r>
          </w:p>
        </w:tc>
      </w:tr>
      <w:tr>
        <w:trPr>
          <w:trHeight w:val="27"/>
        </w:trPr>
        <w:tc>
          <w:tcPr>
            <w:tcW w:w="8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Accounts payable and accrued liabilities</w:t>
            </w: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(433)</w:t>
            </w: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Other, net</w:t>
            </w:r>
          </w:p>
        </w:tc>
        <w:tc>
          <w:tcPr>
            <w:tcW w:w="80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w:t>
            </w:r>
          </w:p>
        </w:tc>
      </w:tr>
      <w:tr>
        <w:trPr>
          <w:trHeight w:val="27"/>
        </w:trPr>
        <w:tc>
          <w:tcPr>
            <w:tcW w:w="83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b w:val="1"/>
                <w:bCs w:val="1"/>
                <w:color w:val="auto"/>
              </w:rPr>
              <w:t>Net cash used for operating activities</w:t>
            </w:r>
          </w:p>
        </w:tc>
        <w:tc>
          <w:tcPr>
            <w:tcW w:w="8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(227)</w:t>
            </w:r>
          </w:p>
        </w:tc>
        <w:tc>
          <w:tcPr>
            <w:tcW w:w="4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8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Capital expenditures</w:t>
            </w: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(154)</w:t>
            </w: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Acquisition of business, net of cash acquired</w:t>
            </w:r>
          </w:p>
        </w:tc>
        <w:tc>
          <w:tcPr>
            <w:tcW w:w="800" w:type="dxa"/>
            <w:vAlign w:val="bottom"/>
          </w:tcPr>
          <w:p>
            <w:pPr>
              <w:spacing w:after="0"/>
              <w:rPr>
                <w:sz w:val="21"/>
                <w:szCs w:val="21"/>
                <w:color w:val="auto"/>
              </w:rPr>
            </w:pPr>
          </w:p>
        </w:tc>
        <w:tc>
          <w:tcPr>
            <w:tcW w:w="8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(3,907)</w:t>
            </w:r>
          </w:p>
        </w:tc>
      </w:tr>
      <w:tr>
        <w:trPr>
          <w:trHeight w:val="27"/>
        </w:trPr>
        <w:tc>
          <w:tcPr>
            <w:tcW w:w="8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Beneficial interests in transferred receivables</w:t>
            </w:r>
          </w:p>
        </w:tc>
        <w:tc>
          <w:tcPr>
            <w:tcW w:w="8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Proceeds from sale of property, plant and equipment</w:t>
            </w:r>
          </w:p>
        </w:tc>
        <w:tc>
          <w:tcPr>
            <w:tcW w:w="80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8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Foreign exchange derivatives related to acquisitions</w:t>
            </w:r>
          </w:p>
        </w:tc>
        <w:tc>
          <w:tcPr>
            <w:tcW w:w="8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Net investment hedge</w:t>
            </w:r>
          </w:p>
        </w:tc>
        <w:tc>
          <w:tcPr>
            <w:tcW w:w="80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b w:val="1"/>
                <w:bCs w:val="1"/>
                <w:color w:val="auto"/>
              </w:rPr>
              <w:t>Net cash used for investing activities</w:t>
            </w:r>
          </w:p>
        </w:tc>
        <w:tc>
          <w:tcPr>
            <w:tcW w:w="8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(137)</w:t>
            </w:r>
          </w:p>
        </w:tc>
        <w:tc>
          <w:tcPr>
            <w:tcW w:w="4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(3,792)</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8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Proceeds from long-term debt</w:t>
            </w:r>
          </w:p>
        </w:tc>
        <w:tc>
          <w:tcPr>
            <w:tcW w:w="8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4,082</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Payments of long-term debt</w:t>
            </w:r>
          </w:p>
        </w:tc>
        <w:tc>
          <w:tcPr>
            <w:tcW w:w="8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0"/>
              </w:rPr>
              <w:t>(305)</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8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change in revolving credit facility and short-term debt</w:t>
            </w: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w:t>
            </w: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Payments of finance leases</w:t>
            </w:r>
          </w:p>
        </w:tc>
        <w:tc>
          <w:tcPr>
            <w:tcW w:w="8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Debt issue costs</w:t>
            </w:r>
          </w:p>
        </w:tc>
        <w:tc>
          <w:tcPr>
            <w:tcW w:w="8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Common stock issued</w:t>
            </w:r>
          </w:p>
        </w:tc>
        <w:tc>
          <w:tcPr>
            <w:tcW w:w="80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8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Common stock repurchased</w:t>
            </w: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Contributions from noncontrolling interests</w:t>
            </w:r>
          </w:p>
        </w:tc>
        <w:tc>
          <w:tcPr>
            <w:tcW w:w="80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Dividends paid to noncontrolling interests</w:t>
            </w: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Foreign exchange derivatives related to debt</w:t>
            </w:r>
          </w:p>
        </w:tc>
        <w:tc>
          <w:tcPr>
            <w:tcW w:w="8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83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b w:val="1"/>
                <w:bCs w:val="1"/>
                <w:color w:val="auto"/>
              </w:rPr>
              <w:t>Net cash provided by financing activities</w:t>
            </w:r>
          </w:p>
        </w:tc>
        <w:tc>
          <w:tcPr>
            <w:tcW w:w="8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c>
          <w:tcPr>
            <w:tcW w:w="4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4,162</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8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83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cash, cash equivalents and restricted cash</w:t>
            </w: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(262)</w:t>
            </w: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at January 1</w:t>
            </w:r>
          </w:p>
        </w:tc>
        <w:tc>
          <w:tcPr>
            <w:tcW w:w="80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659</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435</w:t>
            </w:r>
          </w:p>
        </w:tc>
      </w:tr>
      <w:tr>
        <w:trPr>
          <w:trHeight w:val="27"/>
        </w:trPr>
        <w:tc>
          <w:tcPr>
            <w:tcW w:w="83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cash equivalents and restricted cash at June 30</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w:t>
            </w:r>
          </w:p>
        </w:tc>
        <w:tc>
          <w:tcPr>
            <w:tcW w:w="4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60"/>
          </w:cols>
          <w:pgMar w:left="240" w:top="121" w:right="399" w:bottom="1440" w:gutter="0" w:footer="0" w:header="0"/>
        </w:sectPr>
      </w:pPr>
    </w:p>
    <w:p>
      <w:pPr>
        <w:spacing w:after="0" w:line="252"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60"/>
          </w:cols>
          <w:pgMar w:left="240" w:top="121" w:right="39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Crown Holdings, Inc.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34290</wp:posOffset>
            </wp:positionV>
            <wp:extent cx="36360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Paid-in</w:t>
            </w:r>
          </w:p>
        </w:tc>
        <w:tc>
          <w:tcPr>
            <w:tcW w:w="1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Treasury</w:t>
            </w:r>
          </w:p>
        </w:tc>
        <w:tc>
          <w:tcPr>
            <w:tcW w:w="1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1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Noncontrolling</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1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Crown</w:t>
            </w:r>
          </w:p>
        </w:tc>
        <w:tc>
          <w:tcPr>
            <w:tcW w:w="1120" w:type="dxa"/>
            <w:vAlign w:val="bottom"/>
            <w:gridSpan w:val="3"/>
            <w:vMerge w:val="continue"/>
          </w:tcPr>
          <w:p>
            <w:pPr>
              <w:spacing w:after="0"/>
              <w:rPr>
                <w:sz w:val="12"/>
                <w:szCs w:val="12"/>
                <w:color w:val="auto"/>
              </w:rPr>
            </w:pPr>
          </w:p>
        </w:tc>
        <w:tc>
          <w:tcPr>
            <w:tcW w:w="68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6"/>
                <w:szCs w:val="16"/>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Stock</w:t>
            </w:r>
          </w:p>
        </w:tc>
        <w:tc>
          <w:tcPr>
            <w:tcW w:w="160" w:type="dxa"/>
            <w:vAlign w:val="bottom"/>
          </w:tcPr>
          <w:p>
            <w:pPr>
              <w:spacing w:after="0"/>
              <w:rPr>
                <w:sz w:val="16"/>
                <w:szCs w:val="16"/>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Equity</w:t>
            </w:r>
          </w:p>
        </w:tc>
        <w:tc>
          <w:tcPr>
            <w:tcW w:w="18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Interests</w:t>
            </w: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January 1, 2019</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3"/>
              </w:rPr>
              <w:t>$ 1,286</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Dividends paid to noncontrolling interests</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awarded</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issued</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Common stock repurchased</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929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3,552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3"/>
              </w:rPr>
              <w:t>$ 1,502</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Dividends paid to noncontrolling interests</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Contribution from noncontrolling interests</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issued</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Common stock repurchased</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June 30, 2019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929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3,689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3"/>
              </w:rPr>
              <w:t>$ 1,700</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EQUITY (continued)</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Crown Holdings, Inc.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34290</wp:posOffset>
            </wp:positionV>
            <wp:extent cx="36360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Paid-in</w:t>
            </w:r>
          </w:p>
        </w:tc>
        <w:tc>
          <w:tcPr>
            <w:tcW w:w="1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Treasury</w:t>
            </w:r>
          </w:p>
        </w:tc>
        <w:tc>
          <w:tcPr>
            <w:tcW w:w="1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1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Noncontrolling</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1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Crown</w:t>
            </w:r>
          </w:p>
        </w:tc>
        <w:tc>
          <w:tcPr>
            <w:tcW w:w="11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6"/>
                <w:szCs w:val="16"/>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Stock</w:t>
            </w:r>
          </w:p>
        </w:tc>
        <w:tc>
          <w:tcPr>
            <w:tcW w:w="160" w:type="dxa"/>
            <w:vAlign w:val="bottom"/>
          </w:tcPr>
          <w:p>
            <w:pPr>
              <w:spacing w:after="0"/>
              <w:rPr>
                <w:sz w:val="16"/>
                <w:szCs w:val="16"/>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Equity</w:t>
            </w:r>
          </w:p>
        </w:tc>
        <w:tc>
          <w:tcPr>
            <w:tcW w:w="18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Interests</w:t>
            </w:r>
          </w:p>
        </w:tc>
        <w:tc>
          <w:tcPr>
            <w:tcW w:w="1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January 1, 2018</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rPr>
              <w:t>Cumulative effect of change in accounting</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rPr>
              <w:t>principle</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Common stock repurchased</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929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3"/>
              </w:rPr>
              <w:t>1,112</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Dividends paid to noncontrolling interests</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awarded</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issued</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Common stock repurchased</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June 30, 2018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929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3,232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3"/>
              </w:rPr>
              <w:t>1,137</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per share and statistical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88"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Statement of Information Furnished</w:t>
      </w:r>
    </w:p>
    <w:p>
      <w:pPr>
        <w:spacing w:after="0" w:line="229" w:lineRule="exact"/>
        <w:rPr>
          <w:rFonts w:ascii="Arial" w:cs="Arial" w:eastAsia="Arial" w:hAnsi="Arial"/>
          <w:sz w:val="18"/>
          <w:szCs w:val="18"/>
          <w:b w:val="1"/>
          <w:bCs w:val="1"/>
          <w:color w:val="auto"/>
        </w:rPr>
      </w:pPr>
    </w:p>
    <w:p>
      <w:pPr>
        <w:jc w:val="both"/>
        <w:ind w:left="66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consolidated financial statements include the accounts of Crown Holdings, Inc. and its consolidated subsidiaries (the “Company”). The accompanying unaudited interim consolidated financial statements have been prepared in accordance with Form 10-Q instructions. In the opinion of management, these consolidated financial statements contain all adjustments of a normal and recurring nature necessary for a fair statement of the financial position of the Company as of June 30, 2019 and the results of its operations for the three and six months ended June 30, 2019 and 2018 and of its cash flows for the six months ended June 30, 2019 and 2018. The results reported in these consolidated financial statements are not necessarily indicative of the results that may be expected for the entire year. These results have been determined on the basis of accounting principles generally accepted in the United States of America (“GAAP”).</w:t>
      </w:r>
    </w:p>
    <w:p>
      <w:pPr>
        <w:spacing w:after="0" w:line="177" w:lineRule="exact"/>
        <w:rPr>
          <w:rFonts w:ascii="Arial" w:cs="Arial" w:eastAsia="Arial" w:hAnsi="Arial"/>
          <w:sz w:val="18"/>
          <w:szCs w:val="18"/>
          <w:b w:val="1"/>
          <w:bCs w:val="1"/>
          <w:color w:val="auto"/>
        </w:rPr>
      </w:pPr>
    </w:p>
    <w:p>
      <w:pPr>
        <w:jc w:val="both"/>
        <w:ind w:left="6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Certain information and footnote disclosures normally included in financial statements presented in accordance with GAAP have been condensed or omitted. The year-end condensed balance sheet data was derived from audited financial statements, but does not include all disclosures required by GAAP. The accompanying consolidated financial statements should be read in conjunction with the consolidated financial statements and notes thereto included in the Company's Annual Report on Form 10-K for the year ended December 31, 2018.</w:t>
      </w:r>
    </w:p>
    <w:p>
      <w:pPr>
        <w:spacing w:after="0" w:line="383" w:lineRule="exact"/>
        <w:rPr>
          <w:rFonts w:ascii="Arial" w:cs="Arial" w:eastAsia="Arial" w:hAnsi="Arial"/>
          <w:sz w:val="18"/>
          <w:szCs w:val="18"/>
          <w:b w:val="1"/>
          <w:bCs w:val="1"/>
          <w:color w:val="auto"/>
        </w:rPr>
      </w:pPr>
    </w:p>
    <w:p>
      <w:pPr>
        <w:ind w:left="660" w:right="7600" w:hanging="652"/>
        <w:spacing w:after="0" w:line="522" w:lineRule="auto"/>
        <w:tabs>
          <w:tab w:leader="none" w:pos="66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 xml:space="preserve">Accounting and Reporting Developments </w:t>
      </w:r>
      <w:r>
        <w:rPr>
          <w:rFonts w:ascii="Arial" w:cs="Arial" w:eastAsia="Arial" w:hAnsi="Arial"/>
          <w:sz w:val="16"/>
          <w:szCs w:val="16"/>
          <w:u w:val="single" w:color="auto"/>
          <w:color w:val="auto"/>
        </w:rPr>
        <w:t>Recently Adopted Accounting Standards</w:t>
      </w:r>
    </w:p>
    <w:p>
      <w:pPr>
        <w:jc w:val="both"/>
        <w:ind w:left="660"/>
        <w:spacing w:after="0" w:line="270" w:lineRule="auto"/>
        <w:rPr>
          <w:rFonts w:ascii="Arial" w:cs="Arial" w:eastAsia="Arial" w:hAnsi="Arial"/>
          <w:sz w:val="17"/>
          <w:szCs w:val="17"/>
          <w:color w:val="0000EE"/>
        </w:rPr>
      </w:pPr>
      <w:r>
        <w:rPr>
          <w:rFonts w:ascii="Arial" w:cs="Arial" w:eastAsia="Arial" w:hAnsi="Arial"/>
          <w:sz w:val="17"/>
          <w:szCs w:val="17"/>
          <w:color w:val="auto"/>
        </w:rPr>
        <w:t xml:space="preserve">In February 2016, the FASB issued new guidance on lease accounting. Under the new guidance, lease classification criteria and income statement recognition are similar to previous guidance; however, all leases with a term longer than one year are recorded on the balance sheet through a right-of-use asset and a corresponding lease liability. The Company adopted the standard on a modified retrospective basis on January 1, 2019. In addition, the Company elected the package of practical expedients, which allowed the Company to carryforward its historical assessments of whether contracts are or contain leases, lease classification and initial direct costs. Adoption of this standard resulted in the recording of operating right-of-use assets and corresponding operating lease liabilities of approximately $220. Finance leases were already recorded on the balance sheet under the previous guidance in current and long-term maturities of long-term debt. Upon adoption of this standard $5 was reclassified to accrued liabilities and $24 was reclassified to other non-current liabilities. The Company reclassified prior period amounts to conform to the current year presentation. See </w:t>
      </w:r>
      <w:hyperlink w:anchor="page9">
        <w:r>
          <w:rPr>
            <w:rFonts w:ascii="Arial" w:cs="Arial" w:eastAsia="Arial" w:hAnsi="Arial"/>
            <w:sz w:val="17"/>
            <w:szCs w:val="17"/>
            <w:u w:val="single" w:color="auto"/>
            <w:color w:val="0000EE"/>
          </w:rPr>
          <w:t>Note C</w:t>
        </w:r>
        <w:r>
          <w:rPr>
            <w:rFonts w:ascii="Arial" w:cs="Arial" w:eastAsia="Arial" w:hAnsi="Arial"/>
            <w:sz w:val="17"/>
            <w:szCs w:val="17"/>
            <w:color w:val="0000EE"/>
          </w:rPr>
          <w:t xml:space="preserve"> </w:t>
        </w:r>
      </w:hyperlink>
      <w:r>
        <w:rPr>
          <w:rFonts w:ascii="Arial" w:cs="Arial" w:eastAsia="Arial" w:hAnsi="Arial"/>
          <w:sz w:val="17"/>
          <w:szCs w:val="17"/>
          <w:color w:val="000000"/>
        </w:rPr>
        <w:t>for</w:t>
      </w:r>
      <w:r>
        <w:rPr>
          <w:rFonts w:ascii="Arial" w:cs="Arial" w:eastAsia="Arial" w:hAnsi="Arial"/>
          <w:sz w:val="17"/>
          <w:szCs w:val="17"/>
          <w:color w:val="0000EE"/>
        </w:rPr>
        <w:t xml:space="preserve"> </w:t>
      </w:r>
      <w:r>
        <w:rPr>
          <w:rFonts w:ascii="Arial" w:cs="Arial" w:eastAsia="Arial" w:hAnsi="Arial"/>
          <w:sz w:val="17"/>
          <w:szCs w:val="17"/>
          <w:color w:val="000000"/>
        </w:rPr>
        <w:t>further information on the Company's lease arrangements.</w:t>
      </w:r>
    </w:p>
    <w:p>
      <w:pPr>
        <w:spacing w:after="0" w:line="181" w:lineRule="exact"/>
        <w:rPr>
          <w:rFonts w:ascii="Arial" w:cs="Arial" w:eastAsia="Arial" w:hAnsi="Arial"/>
          <w:sz w:val="17"/>
          <w:szCs w:val="17"/>
          <w:color w:val="0000EE"/>
        </w:rPr>
      </w:pPr>
    </w:p>
    <w:p>
      <w:pPr>
        <w:ind w:left="660" w:right="240"/>
        <w:spacing w:after="0" w:line="264" w:lineRule="auto"/>
        <w:rPr>
          <w:rFonts w:ascii="Arial" w:cs="Arial" w:eastAsia="Arial" w:hAnsi="Arial"/>
          <w:sz w:val="17"/>
          <w:szCs w:val="17"/>
          <w:color w:val="0000EE"/>
        </w:rPr>
      </w:pPr>
      <w:r>
        <w:rPr>
          <w:rFonts w:ascii="Arial" w:cs="Arial" w:eastAsia="Arial" w:hAnsi="Arial"/>
          <w:sz w:val="18"/>
          <w:szCs w:val="18"/>
          <w:color w:val="auto"/>
        </w:rPr>
        <w:t>In February 2018, the FASB issued new accounting guidance to permit the reclassification from accumulated other comprehensive earnings to retained earnings of stranded tax effects resulting from the Tax Cuts and Jobs Act of 2017 (the "Tax Act"). The Company adopted the guidance on January 1, 2019 and elected not to reclassify stranded tax effects resulting from the Tax Act.</w:t>
      </w:r>
    </w:p>
    <w:p>
      <w:pPr>
        <w:spacing w:after="0" w:line="181" w:lineRule="exact"/>
        <w:rPr>
          <w:rFonts w:ascii="Arial" w:cs="Arial" w:eastAsia="Arial" w:hAnsi="Arial"/>
          <w:sz w:val="17"/>
          <w:szCs w:val="17"/>
          <w:color w:val="0000EE"/>
        </w:rPr>
      </w:pPr>
    </w:p>
    <w:p>
      <w:pPr>
        <w:ind w:left="660"/>
        <w:spacing w:after="0"/>
        <w:rPr>
          <w:rFonts w:ascii="Arial" w:cs="Arial" w:eastAsia="Arial" w:hAnsi="Arial"/>
          <w:sz w:val="17"/>
          <w:szCs w:val="17"/>
          <w:color w:val="0000EE"/>
        </w:rPr>
      </w:pPr>
      <w:r>
        <w:rPr>
          <w:rFonts w:ascii="Arial" w:cs="Arial" w:eastAsia="Arial" w:hAnsi="Arial"/>
          <w:sz w:val="18"/>
          <w:szCs w:val="18"/>
          <w:u w:val="single" w:color="auto"/>
          <w:color w:val="auto"/>
        </w:rPr>
        <w:t>Recently Issued Accounting Standards</w:t>
      </w:r>
    </w:p>
    <w:p>
      <w:pPr>
        <w:spacing w:after="0" w:line="306" w:lineRule="exact"/>
        <w:rPr>
          <w:rFonts w:ascii="Arial" w:cs="Arial" w:eastAsia="Arial" w:hAnsi="Arial"/>
          <w:sz w:val="17"/>
          <w:szCs w:val="17"/>
          <w:color w:val="0000EE"/>
        </w:rPr>
      </w:pPr>
    </w:p>
    <w:p>
      <w:pPr>
        <w:jc w:val="both"/>
        <w:ind w:left="660"/>
        <w:spacing w:after="0" w:line="297" w:lineRule="auto"/>
        <w:rPr>
          <w:rFonts w:ascii="Arial" w:cs="Arial" w:eastAsia="Arial" w:hAnsi="Arial"/>
          <w:sz w:val="17"/>
          <w:szCs w:val="17"/>
          <w:color w:val="0000EE"/>
        </w:rPr>
      </w:pPr>
      <w:r>
        <w:rPr>
          <w:rFonts w:ascii="Arial" w:cs="Arial" w:eastAsia="Arial" w:hAnsi="Arial"/>
          <w:sz w:val="16"/>
          <w:szCs w:val="16"/>
          <w:color w:val="auto"/>
        </w:rPr>
        <w:t>In June 2016, the FASB issued new guidance on the accounting for credit losses on financial instruments. The new standard introduces an approach, based on expected losses, to estimate credit losses on certain types of financial instruments. The new approach to estimating credit losses (referred to as the current expected credit losses model) applies to most financial assets measured at amortized cost and certain other instruments, including trade and other receivables, loans, held-to-maturity debt securities, net investments in operating leases and off-balance-sheet credit exposures. This guidance is effective for the Company on January 1, 2020. The Company is currently evaluating the impact of adopting this standard.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ind w:left="400" w:hanging="392"/>
        <w:spacing w:after="0"/>
        <w:tabs>
          <w:tab w:leader="none" w:pos="4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Leases</w:t>
      </w:r>
    </w:p>
    <w:p>
      <w:pPr>
        <w:spacing w:after="0" w:line="229" w:lineRule="exact"/>
        <w:rPr>
          <w:sz w:val="20"/>
          <w:szCs w:val="20"/>
          <w:color w:val="auto"/>
        </w:rPr>
      </w:pPr>
    </w:p>
    <w:p>
      <w:pPr>
        <w:jc w:val="both"/>
        <w:ind w:left="660"/>
        <w:spacing w:after="0" w:line="287" w:lineRule="auto"/>
        <w:rPr>
          <w:sz w:val="20"/>
          <w:szCs w:val="20"/>
          <w:color w:val="auto"/>
        </w:rPr>
      </w:pPr>
      <w:r>
        <w:rPr>
          <w:rFonts w:ascii="Arial" w:cs="Arial" w:eastAsia="Arial" w:hAnsi="Arial"/>
          <w:sz w:val="16"/>
          <w:szCs w:val="16"/>
          <w:color w:val="auto"/>
        </w:rPr>
        <w:t>The Company has operating and finance leases for land and buildings related to certain manufacturing facilities, warehouses and corporate offices, vehicle fleets and certain office and manufacturing equipment. Leases with an initial term of 12 months or less are not recorded on the balance sheet. The Company's lease terms include options to extend the lease when it is reasonably certain that the Company will exercise the option. Variable lease payment amounts that cannot be determined at commencement of the lease, such as increases in index rates, are not included in the measurement of the lease liabilities and corresponding right-of-use assets and are recognized in the period those payments are incurred. The Company separates lease and non-lease components of lease arrangements and allocates contract consideration based on standalone selling prices. Variable consideration is allocated to the lease and non-lease components to which the variable payments specifically relate to. The discount rate implicit within the Company's leases is often not determinable and therefore the Company generally uses its incremental borrowing rate based on the information available at the commencement date of the lease in determining the present value of the lease payments. The incremental borrowing rate is determined based on lease term and currency in which lease payments are made. The Company's leases do not contain any material residual value guarantees or material restrictive covenants. At June 30, 2019, the Company does not have material lease commitments that have not commenced.</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lease expense were as follows:</w:t>
      </w:r>
    </w:p>
    <w:p>
      <w:pPr>
        <w:spacing w:after="0" w:line="34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Three Months Ended</w:t>
            </w:r>
          </w:p>
        </w:tc>
        <w:tc>
          <w:tcPr>
            <w:tcW w:w="220" w:type="dxa"/>
            <w:vAlign w:val="bottom"/>
          </w:tcPr>
          <w:p>
            <w:pPr>
              <w:spacing w:after="0"/>
              <w:rPr>
                <w:sz w:val="20"/>
                <w:szCs w:val="20"/>
                <w:color w:val="auto"/>
              </w:rPr>
            </w:pPr>
          </w:p>
        </w:tc>
        <w:tc>
          <w:tcPr>
            <w:tcW w:w="1760" w:type="dxa"/>
            <w:vAlign w:val="bottom"/>
          </w:tcPr>
          <w:p>
            <w:pPr>
              <w:jc w:val="right"/>
              <w:ind w:right="230"/>
              <w:spacing w:after="0"/>
              <w:rPr>
                <w:sz w:val="20"/>
                <w:szCs w:val="20"/>
                <w:color w:val="auto"/>
              </w:rPr>
            </w:pPr>
            <w:r>
              <w:rPr>
                <w:rFonts w:ascii="Arial" w:cs="Arial" w:eastAsia="Arial" w:hAnsi="Arial"/>
                <w:sz w:val="18"/>
                <w:szCs w:val="18"/>
                <w:color w:val="auto"/>
                <w:w w:val="97"/>
              </w:rPr>
              <w:t>Six Months Ended</w:t>
            </w:r>
          </w:p>
        </w:tc>
      </w:tr>
      <w:tr>
        <w:trPr>
          <w:trHeight w:val="270"/>
        </w:trPr>
        <w:tc>
          <w:tcPr>
            <w:tcW w:w="5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80" w:type="dxa"/>
            <w:vAlign w:val="bottom"/>
            <w:gridSpan w:val="2"/>
          </w:tcPr>
          <w:p>
            <w:pPr>
              <w:jc w:val="center"/>
              <w:ind w:right="440"/>
              <w:spacing w:after="0"/>
              <w:rPr>
                <w:sz w:val="20"/>
                <w:szCs w:val="20"/>
                <w:color w:val="auto"/>
              </w:rPr>
            </w:pPr>
            <w:r>
              <w:rPr>
                <w:rFonts w:ascii="Arial" w:cs="Arial" w:eastAsia="Arial" w:hAnsi="Arial"/>
                <w:sz w:val="18"/>
                <w:szCs w:val="18"/>
                <w:color w:val="auto"/>
                <w:w w:val="87"/>
              </w:rPr>
              <w:t>June 30, 2019</w:t>
            </w:r>
          </w:p>
        </w:tc>
        <w:tc>
          <w:tcPr>
            <w:tcW w:w="220" w:type="dxa"/>
            <w:vAlign w:val="bottom"/>
          </w:tcPr>
          <w:p>
            <w:pPr>
              <w:spacing w:after="0"/>
              <w:rPr>
                <w:sz w:val="23"/>
                <w:szCs w:val="23"/>
                <w:color w:val="auto"/>
              </w:rPr>
            </w:pPr>
          </w:p>
        </w:tc>
        <w:tc>
          <w:tcPr>
            <w:tcW w:w="1760" w:type="dxa"/>
            <w:vAlign w:val="bottom"/>
          </w:tcPr>
          <w:p>
            <w:pPr>
              <w:jc w:val="right"/>
              <w:ind w:right="390"/>
              <w:spacing w:after="0"/>
              <w:rPr>
                <w:sz w:val="20"/>
                <w:szCs w:val="20"/>
                <w:color w:val="auto"/>
              </w:rPr>
            </w:pPr>
            <w:r>
              <w:rPr>
                <w:rFonts w:ascii="Arial" w:cs="Arial" w:eastAsia="Arial" w:hAnsi="Arial"/>
                <w:sz w:val="18"/>
                <w:szCs w:val="18"/>
                <w:color w:val="auto"/>
              </w:rPr>
              <w:t>June 30, 2019</w:t>
            </w:r>
          </w:p>
        </w:tc>
      </w:tr>
      <w:tr>
        <w:trPr>
          <w:trHeight w:val="27"/>
        </w:trPr>
        <w:tc>
          <w:tcPr>
            <w:tcW w:w="5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costs:</w:t>
            </w: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r>
      <w:tr>
        <w:trPr>
          <w:trHeight w:val="243"/>
        </w:trPr>
        <w:tc>
          <w:tcPr>
            <w:tcW w:w="5180" w:type="dxa"/>
            <w:vAlign w:val="bottom"/>
          </w:tcPr>
          <w:p>
            <w:pPr>
              <w:ind w:left="260"/>
              <w:spacing w:after="0"/>
              <w:rPr>
                <w:sz w:val="20"/>
                <w:szCs w:val="20"/>
                <w:color w:val="auto"/>
              </w:rPr>
            </w:pPr>
            <w:r>
              <w:rPr>
                <w:rFonts w:ascii="Arial" w:cs="Arial" w:eastAsia="Arial" w:hAnsi="Arial"/>
                <w:sz w:val="18"/>
                <w:szCs w:val="18"/>
                <w:color w:val="auto"/>
              </w:rPr>
              <w:t>Operating lease cost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5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5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Short-term lease cost</w:t>
            </w:r>
          </w:p>
        </w:tc>
        <w:tc>
          <w:tcPr>
            <w:tcW w:w="1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97"/>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lease costs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311"/>
        </w:trPr>
        <w:tc>
          <w:tcPr>
            <w:tcW w:w="51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Finance lease cost:</w:t>
            </w:r>
          </w:p>
        </w:tc>
        <w:tc>
          <w:tcPr>
            <w:tcW w:w="1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7"/>
        </w:trPr>
        <w:tc>
          <w:tcPr>
            <w:tcW w:w="5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5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Amortization of right-of-use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5180" w:type="dxa"/>
            <w:vAlign w:val="bottom"/>
          </w:tcPr>
          <w:p>
            <w:pPr>
              <w:ind w:left="20"/>
              <w:spacing w:after="0"/>
              <w:rPr>
                <w:sz w:val="20"/>
                <w:szCs w:val="20"/>
                <w:color w:val="auto"/>
              </w:rPr>
            </w:pPr>
            <w:r>
              <w:rPr>
                <w:rFonts w:ascii="Arial" w:cs="Arial" w:eastAsia="Arial" w:hAnsi="Arial"/>
                <w:sz w:val="18"/>
                <w:szCs w:val="18"/>
                <w:color w:val="auto"/>
              </w:rPr>
              <w:t>Total finance lease costs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5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Variable operating lease costs were $1 for the three and six months ended June 30, 2019. Interest on finance lease liabilities was less than $1 for the three and six months ended June 30, 2019.</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34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ind w:right="270"/>
              <w:spacing w:after="0"/>
              <w:rPr>
                <w:sz w:val="20"/>
                <w:szCs w:val="20"/>
                <w:color w:val="auto"/>
              </w:rPr>
            </w:pPr>
            <w:r>
              <w:rPr>
                <w:rFonts w:ascii="Arial" w:cs="Arial" w:eastAsia="Arial" w:hAnsi="Arial"/>
                <w:sz w:val="18"/>
                <w:szCs w:val="18"/>
                <w:color w:val="auto"/>
                <w:w w:val="98"/>
              </w:rPr>
              <w:t>Six Months Ended</w:t>
            </w:r>
          </w:p>
        </w:tc>
      </w:tr>
      <w:tr>
        <w:trPr>
          <w:trHeight w:val="270"/>
        </w:trPr>
        <w:tc>
          <w:tcPr>
            <w:tcW w:w="5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20" w:type="dxa"/>
            <w:vAlign w:val="bottom"/>
          </w:tcPr>
          <w:p>
            <w:pPr>
              <w:jc w:val="right"/>
              <w:ind w:right="430"/>
              <w:spacing w:after="0"/>
              <w:rPr>
                <w:sz w:val="20"/>
                <w:szCs w:val="20"/>
                <w:color w:val="auto"/>
              </w:rPr>
            </w:pPr>
            <w:r>
              <w:rPr>
                <w:rFonts w:ascii="Arial" w:cs="Arial" w:eastAsia="Arial" w:hAnsi="Arial"/>
                <w:sz w:val="18"/>
                <w:szCs w:val="18"/>
                <w:color w:val="auto"/>
              </w:rPr>
              <w:t>June 30, 2019</w:t>
            </w:r>
          </w:p>
        </w:tc>
      </w:tr>
      <w:tr>
        <w:trPr>
          <w:trHeight w:val="27"/>
        </w:trPr>
        <w:tc>
          <w:tcPr>
            <w:tcW w:w="5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0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w:t>
            </w:r>
          </w:p>
        </w:tc>
        <w:tc>
          <w:tcPr>
            <w:tcW w:w="2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237"/>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r>
      <w:tr>
        <w:trPr>
          <w:trHeight w:val="243"/>
        </w:trPr>
        <w:tc>
          <w:tcPr>
            <w:tcW w:w="5080" w:type="dxa"/>
            <w:vAlign w:val="bottom"/>
          </w:tcPr>
          <w:p>
            <w:pPr>
              <w:ind w:left="240"/>
              <w:spacing w:after="0"/>
              <w:rPr>
                <w:sz w:val="20"/>
                <w:szCs w:val="20"/>
                <w:color w:val="auto"/>
              </w:rPr>
            </w:pPr>
            <w:r>
              <w:rPr>
                <w:rFonts w:ascii="Arial" w:cs="Arial" w:eastAsia="Arial" w:hAnsi="Arial"/>
                <w:sz w:val="18"/>
                <w:szCs w:val="18"/>
                <w:color w:val="auto"/>
              </w:rPr>
              <w:t>Operating cash flows from operating leases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Financing cash flows from finance leases</w:t>
            </w: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lease obligations:</w:t>
            </w:r>
          </w:p>
        </w:tc>
        <w:tc>
          <w:tcPr>
            <w:tcW w:w="2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43"/>
        </w:trPr>
        <w:tc>
          <w:tcPr>
            <w:tcW w:w="5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50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3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Operating cash flows from finance leases were less than $1 for the six months ended June 30, 2019.</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3420" w:type="dxa"/>
            <w:vAlign w:val="bottom"/>
            <w:gridSpan w:val="6"/>
          </w:tcPr>
          <w:p>
            <w:pPr>
              <w:jc w:val="center"/>
              <w:ind w:right="1180"/>
              <w:spacing w:after="0"/>
              <w:rPr>
                <w:sz w:val="20"/>
                <w:szCs w:val="20"/>
                <w:color w:val="auto"/>
              </w:rPr>
            </w:pPr>
            <w:r>
              <w:rPr>
                <w:rFonts w:ascii="Arial" w:cs="Arial" w:eastAsia="Arial" w:hAnsi="Arial"/>
                <w:sz w:val="18"/>
                <w:szCs w:val="18"/>
                <w:b w:val="1"/>
                <w:bCs w:val="1"/>
                <w:color w:val="auto"/>
                <w:w w:val="91"/>
              </w:rPr>
              <w:t>Crown Holdings, Inc.</w:t>
            </w:r>
          </w:p>
        </w:tc>
        <w:tc>
          <w:tcPr>
            <w:tcW w:w="28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837"/>
        </w:trPr>
        <w:tc>
          <w:tcPr>
            <w:tcW w:w="3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gridSpan w:val="3"/>
          </w:tcPr>
          <w:p>
            <w:pPr>
              <w:ind w:left="120"/>
              <w:spacing w:after="0"/>
              <w:rPr>
                <w:sz w:val="20"/>
                <w:szCs w:val="20"/>
                <w:color w:val="auto"/>
              </w:rPr>
            </w:pPr>
            <w:r>
              <w:rPr>
                <w:rFonts w:ascii="Arial" w:cs="Arial" w:eastAsia="Arial" w:hAnsi="Arial"/>
                <w:sz w:val="18"/>
                <w:szCs w:val="18"/>
                <w:color w:val="auto"/>
              </w:rPr>
              <w:t>June 30, 2019</w:t>
            </w: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44"/>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43"/>
        </w:trPr>
        <w:tc>
          <w:tcPr>
            <w:tcW w:w="3940" w:type="dxa"/>
            <w:vAlign w:val="bottom"/>
          </w:tcPr>
          <w:p>
            <w:pPr>
              <w:ind w:left="260"/>
              <w:spacing w:after="0"/>
              <w:rPr>
                <w:sz w:val="20"/>
                <w:szCs w:val="20"/>
                <w:color w:val="auto"/>
              </w:rPr>
            </w:pPr>
            <w:r>
              <w:rPr>
                <w:rFonts w:ascii="Arial" w:cs="Arial" w:eastAsia="Arial" w:hAnsi="Arial"/>
                <w:sz w:val="18"/>
                <w:szCs w:val="18"/>
                <w:color w:val="auto"/>
              </w:rPr>
              <w:t>Operating lease right-of-use assets</w:t>
            </w:r>
          </w:p>
        </w:tc>
        <w:tc>
          <w:tcPr>
            <w:tcW w:w="1260" w:type="dxa"/>
            <w:vAlign w:val="bottom"/>
            <w:gridSpan w:val="2"/>
          </w:tcPr>
          <w:p>
            <w:pPr>
              <w:jc w:val="center"/>
              <w:ind w:left="91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1"/>
                <w:szCs w:val="21"/>
                <w:color w:val="auto"/>
              </w:rPr>
            </w:pPr>
          </w:p>
        </w:tc>
        <w:tc>
          <w:tcPr>
            <w:tcW w:w="1680" w:type="dxa"/>
            <w:vAlign w:val="bottom"/>
          </w:tcPr>
          <w:p>
            <w:pPr>
              <w:jc w:val="right"/>
              <w:ind w:right="110"/>
              <w:spacing w:after="0"/>
              <w:rPr>
                <w:sz w:val="20"/>
                <w:szCs w:val="20"/>
                <w:color w:val="auto"/>
              </w:rPr>
            </w:pPr>
            <w:r>
              <w:rPr>
                <w:rFonts w:ascii="Arial" w:cs="Arial" w:eastAsia="Arial" w:hAnsi="Arial"/>
                <w:sz w:val="18"/>
                <w:szCs w:val="18"/>
                <w:color w:val="auto"/>
              </w:rPr>
              <w:t>209</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3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324"/>
        </w:trPr>
        <w:tc>
          <w:tcPr>
            <w:tcW w:w="39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43"/>
        </w:trPr>
        <w:tc>
          <w:tcPr>
            <w:tcW w:w="3940" w:type="dxa"/>
            <w:vAlign w:val="bottom"/>
          </w:tcPr>
          <w:p>
            <w:pPr>
              <w:ind w:left="160"/>
              <w:spacing w:after="0"/>
              <w:rPr>
                <w:sz w:val="20"/>
                <w:szCs w:val="20"/>
                <w:color w:val="auto"/>
              </w:rPr>
            </w:pPr>
            <w:r>
              <w:rPr>
                <w:rFonts w:ascii="Arial" w:cs="Arial" w:eastAsia="Arial" w:hAnsi="Arial"/>
                <w:sz w:val="18"/>
                <w:szCs w:val="18"/>
                <w:color w:val="auto"/>
              </w:rPr>
              <w:t>Current portion of operating lease liabilities</w:t>
            </w:r>
          </w:p>
        </w:tc>
        <w:tc>
          <w:tcPr>
            <w:tcW w:w="1260" w:type="dxa"/>
            <w:vAlign w:val="bottom"/>
            <w:gridSpan w:val="2"/>
          </w:tcPr>
          <w:p>
            <w:pPr>
              <w:jc w:val="center"/>
              <w:ind w:left="91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1"/>
                <w:szCs w:val="21"/>
                <w:color w:val="auto"/>
              </w:rPr>
            </w:pPr>
          </w:p>
        </w:tc>
        <w:tc>
          <w:tcPr>
            <w:tcW w:w="1680" w:type="dxa"/>
            <w:vAlign w:val="bottom"/>
          </w:tcPr>
          <w:p>
            <w:pPr>
              <w:jc w:val="right"/>
              <w:ind w:right="110"/>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3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3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9"/>
              </w:rPr>
              <w:t>Non-current portion of operating lease liabilities</w:t>
            </w:r>
          </w:p>
        </w:tc>
        <w:tc>
          <w:tcPr>
            <w:tcW w:w="10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165</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97"/>
        </w:trPr>
        <w:tc>
          <w:tcPr>
            <w:tcW w:w="39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operating lease liabilities</w:t>
            </w:r>
          </w:p>
        </w:tc>
        <w:tc>
          <w:tcPr>
            <w:tcW w:w="106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tcPr>
          <w:p>
            <w:pPr>
              <w:spacing w:after="0"/>
              <w:rPr>
                <w:sz w:val="24"/>
                <w:szCs w:val="24"/>
                <w:color w:val="auto"/>
              </w:rPr>
            </w:pPr>
          </w:p>
        </w:tc>
        <w:tc>
          <w:tcPr>
            <w:tcW w:w="16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212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11"/>
        </w:trPr>
        <w:tc>
          <w:tcPr>
            <w:tcW w:w="39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color w:val="auto"/>
              </w:rPr>
              <w:t>Finance leases:</w:t>
            </w: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3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Property, plant and equipment</w:t>
            </w:r>
          </w:p>
        </w:tc>
        <w:tc>
          <w:tcPr>
            <w:tcW w:w="1260" w:type="dxa"/>
            <w:vAlign w:val="bottom"/>
            <w:tcBorders>
              <w:bottom w:val="single" w:sz="8" w:color="CCEEFF"/>
            </w:tcBorders>
            <w:gridSpan w:val="2"/>
            <w:shd w:val="clear" w:color="auto" w:fill="CCEEFF"/>
          </w:tcPr>
          <w:p>
            <w:pPr>
              <w:jc w:val="center"/>
              <w:ind w:left="91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43"/>
        </w:trPr>
        <w:tc>
          <w:tcPr>
            <w:tcW w:w="3940" w:type="dxa"/>
            <w:vAlign w:val="bottom"/>
          </w:tcPr>
          <w:p>
            <w:pPr>
              <w:ind w:left="160"/>
              <w:spacing w:after="0"/>
              <w:rPr>
                <w:sz w:val="20"/>
                <w:szCs w:val="20"/>
                <w:color w:val="auto"/>
              </w:rPr>
            </w:pPr>
            <w:r>
              <w:rPr>
                <w:rFonts w:ascii="Arial" w:cs="Arial" w:eastAsia="Arial" w:hAnsi="Arial"/>
                <w:sz w:val="18"/>
                <w:szCs w:val="18"/>
                <w:color w:val="auto"/>
              </w:rPr>
              <w:t>Accumulated depreciation</w:t>
            </w: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7"/>
        </w:trPr>
        <w:tc>
          <w:tcPr>
            <w:tcW w:w="3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Property, plant and equipment, net</w:t>
            </w:r>
          </w:p>
        </w:tc>
        <w:tc>
          <w:tcPr>
            <w:tcW w:w="1260" w:type="dxa"/>
            <w:vAlign w:val="bottom"/>
            <w:gridSpan w:val="2"/>
            <w:shd w:val="clear" w:color="auto" w:fill="CCEEFF"/>
          </w:tcPr>
          <w:p>
            <w:pPr>
              <w:jc w:val="center"/>
              <w:ind w:left="91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311"/>
        </w:trPr>
        <w:tc>
          <w:tcPr>
            <w:tcW w:w="3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50"/>
        </w:trPr>
        <w:tc>
          <w:tcPr>
            <w:tcW w:w="3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1260" w:type="dxa"/>
            <w:vAlign w:val="bottom"/>
            <w:tcBorders>
              <w:bottom w:val="single" w:sz="8" w:color="CCEEFF"/>
            </w:tcBorders>
            <w:gridSpan w:val="2"/>
            <w:shd w:val="clear" w:color="auto" w:fill="CCEEFF"/>
          </w:tcPr>
          <w:p>
            <w:pPr>
              <w:jc w:val="center"/>
              <w:ind w:left="91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43"/>
        </w:trPr>
        <w:tc>
          <w:tcPr>
            <w:tcW w:w="3940" w:type="dxa"/>
            <w:vAlign w:val="bottom"/>
          </w:tcPr>
          <w:p>
            <w:pPr>
              <w:ind w:left="160"/>
              <w:spacing w:after="0"/>
              <w:rPr>
                <w:sz w:val="20"/>
                <w:szCs w:val="20"/>
                <w:color w:val="auto"/>
              </w:rPr>
            </w:pPr>
            <w:r>
              <w:rPr>
                <w:rFonts w:ascii="Arial" w:cs="Arial" w:eastAsia="Arial" w:hAnsi="Arial"/>
                <w:sz w:val="18"/>
                <w:szCs w:val="18"/>
                <w:color w:val="auto"/>
              </w:rPr>
              <w:t>Other non-current liabilities</w:t>
            </w: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tcPr>
          <w:p>
            <w:pPr>
              <w:jc w:val="right"/>
              <w:ind w:right="110"/>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7"/>
        </w:trPr>
        <w:tc>
          <w:tcPr>
            <w:tcW w:w="3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finance lease liabilities</w:t>
            </w:r>
          </w:p>
        </w:tc>
        <w:tc>
          <w:tcPr>
            <w:tcW w:w="1260" w:type="dxa"/>
            <w:vAlign w:val="bottom"/>
            <w:gridSpan w:val="2"/>
            <w:shd w:val="clear" w:color="auto" w:fill="CCEEFF"/>
          </w:tcPr>
          <w:p>
            <w:pPr>
              <w:jc w:val="center"/>
              <w:ind w:left="91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311"/>
        </w:trPr>
        <w:tc>
          <w:tcPr>
            <w:tcW w:w="3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50"/>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w:t>
            </w: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43"/>
        </w:trPr>
        <w:tc>
          <w:tcPr>
            <w:tcW w:w="3940" w:type="dxa"/>
            <w:vAlign w:val="bottom"/>
          </w:tcPr>
          <w:p>
            <w:pPr>
              <w:ind w:left="240"/>
              <w:spacing w:after="0"/>
              <w:rPr>
                <w:sz w:val="20"/>
                <w:szCs w:val="20"/>
                <w:color w:val="auto"/>
              </w:rPr>
            </w:pPr>
            <w:r>
              <w:rPr>
                <w:rFonts w:ascii="Arial" w:cs="Arial" w:eastAsia="Arial" w:hAnsi="Arial"/>
                <w:sz w:val="18"/>
                <w:szCs w:val="18"/>
                <w:color w:val="auto"/>
              </w:rPr>
              <w:t>Operating leases</w:t>
            </w: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gridSpan w:val="3"/>
          </w:tcPr>
          <w:p>
            <w:pPr>
              <w:ind w:left="840"/>
              <w:spacing w:after="0"/>
              <w:rPr>
                <w:sz w:val="20"/>
                <w:szCs w:val="20"/>
                <w:color w:val="auto"/>
              </w:rPr>
            </w:pPr>
            <w:r>
              <w:rPr>
                <w:rFonts w:ascii="Arial" w:cs="Arial" w:eastAsia="Arial" w:hAnsi="Arial"/>
                <w:sz w:val="18"/>
                <w:szCs w:val="18"/>
                <w:color w:val="auto"/>
              </w:rPr>
              <w:t>9.8 years</w:t>
            </w:r>
          </w:p>
        </w:tc>
        <w:tc>
          <w:tcPr>
            <w:tcW w:w="28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3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Finance leases</w:t>
            </w: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7.3 years</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3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Operating leases</w:t>
            </w: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43"/>
        </w:trPr>
        <w:tc>
          <w:tcPr>
            <w:tcW w:w="3940" w:type="dxa"/>
            <w:vAlign w:val="bottom"/>
          </w:tcPr>
          <w:p>
            <w:pPr>
              <w:ind w:left="240"/>
              <w:spacing w:after="0"/>
              <w:rPr>
                <w:sz w:val="20"/>
                <w:szCs w:val="20"/>
                <w:color w:val="auto"/>
              </w:rPr>
            </w:pPr>
            <w:r>
              <w:rPr>
                <w:rFonts w:ascii="Arial" w:cs="Arial" w:eastAsia="Arial" w:hAnsi="Arial"/>
                <w:sz w:val="18"/>
                <w:szCs w:val="18"/>
                <w:color w:val="auto"/>
              </w:rPr>
              <w:t>Finance leases</w:t>
            </w: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635"/>
        </w:trPr>
        <w:tc>
          <w:tcPr>
            <w:tcW w:w="5440" w:type="dxa"/>
            <w:vAlign w:val="bottom"/>
            <w:gridSpan w:val="4"/>
          </w:tcPr>
          <w:p>
            <w:pPr>
              <w:spacing w:after="0"/>
              <w:rPr>
                <w:sz w:val="20"/>
                <w:szCs w:val="20"/>
                <w:color w:val="auto"/>
              </w:rPr>
            </w:pPr>
            <w:r>
              <w:rPr>
                <w:rFonts w:ascii="Arial" w:cs="Arial" w:eastAsia="Arial" w:hAnsi="Arial"/>
                <w:sz w:val="18"/>
                <w:szCs w:val="18"/>
                <w:color w:val="auto"/>
              </w:rPr>
              <w:t>Maturities of lease liabilities as of June 30, 2019 were as follows:</w:t>
            </w:r>
          </w:p>
        </w:tc>
        <w:tc>
          <w:tcPr>
            <w:tcW w:w="1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554"/>
        </w:trPr>
        <w:tc>
          <w:tcPr>
            <w:tcW w:w="3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gridSpan w:val="3"/>
          </w:tcPr>
          <w:p>
            <w:pPr>
              <w:ind w:left="120"/>
              <w:spacing w:after="0"/>
              <w:rPr>
                <w:sz w:val="20"/>
                <w:szCs w:val="20"/>
                <w:color w:val="auto"/>
              </w:rPr>
            </w:pPr>
            <w:r>
              <w:rPr>
                <w:rFonts w:ascii="Arial" w:cs="Arial" w:eastAsia="Arial" w:hAnsi="Arial"/>
                <w:sz w:val="18"/>
                <w:szCs w:val="18"/>
                <w:color w:val="auto"/>
              </w:rPr>
              <w:t>Operating Leases</w:t>
            </w:r>
          </w:p>
        </w:tc>
        <w:tc>
          <w:tcPr>
            <w:tcW w:w="280" w:type="dxa"/>
            <w:vAlign w:val="bottom"/>
          </w:tcPr>
          <w:p>
            <w:pPr>
              <w:spacing w:after="0"/>
              <w:rPr>
                <w:sz w:val="24"/>
                <w:szCs w:val="24"/>
                <w:color w:val="auto"/>
              </w:rPr>
            </w:pPr>
          </w:p>
        </w:tc>
        <w:tc>
          <w:tcPr>
            <w:tcW w:w="1700" w:type="dxa"/>
            <w:vAlign w:val="bottom"/>
          </w:tcPr>
          <w:p>
            <w:pPr>
              <w:jc w:val="right"/>
              <w:ind w:right="350"/>
              <w:spacing w:after="0"/>
              <w:rPr>
                <w:sz w:val="20"/>
                <w:szCs w:val="20"/>
                <w:color w:val="auto"/>
              </w:rPr>
            </w:pPr>
            <w:r>
              <w:rPr>
                <w:rFonts w:ascii="Arial" w:cs="Arial" w:eastAsia="Arial" w:hAnsi="Arial"/>
                <w:sz w:val="18"/>
                <w:szCs w:val="18"/>
                <w:color w:val="auto"/>
                <w:w w:val="97"/>
              </w:rPr>
              <w:t>Finance Leases</w:t>
            </w:r>
          </w:p>
        </w:tc>
      </w:tr>
      <w:tr>
        <w:trPr>
          <w:trHeight w:val="27"/>
        </w:trPr>
        <w:tc>
          <w:tcPr>
            <w:tcW w:w="39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5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color w:val="auto"/>
              </w:rPr>
              <w:t>2020</w:t>
            </w: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3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color w:val="auto"/>
              </w:rPr>
              <w:t>2022</w:t>
            </w: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3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114</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39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39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lease payments</w:t>
            </w: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39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3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Maturities of lease liabilities as of December 31, 2018 were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Operating Leases</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tcPr>
          <w:p>
            <w:pPr>
              <w:jc w:val="right"/>
              <w:ind w:right="350"/>
              <w:spacing w:after="0"/>
              <w:rPr>
                <w:sz w:val="20"/>
                <w:szCs w:val="20"/>
                <w:color w:val="auto"/>
              </w:rPr>
            </w:pPr>
            <w:r>
              <w:rPr>
                <w:rFonts w:ascii="Arial" w:cs="Arial" w:eastAsia="Arial" w:hAnsi="Arial"/>
                <w:sz w:val="18"/>
                <w:szCs w:val="18"/>
                <w:color w:val="auto"/>
                <w:w w:val="97"/>
              </w:rPr>
              <w:t>Finance Leases</w:t>
            </w:r>
          </w:p>
        </w:tc>
      </w:tr>
      <w:tr>
        <w:trPr>
          <w:trHeight w:val="27"/>
        </w:trPr>
        <w:tc>
          <w:tcPr>
            <w:tcW w:w="52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620" w:type="dxa"/>
            <w:vAlign w:val="bottom"/>
            <w:tcBorders>
              <w:bottom w:val="single" w:sz="8" w:color="CCEEFF"/>
            </w:tcBorders>
            <w:shd w:val="clear" w:color="auto" w:fill="CCEEFF"/>
          </w:tcPr>
          <w:p>
            <w:pPr>
              <w:jc w:val="right"/>
              <w:ind w:right="141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2020</w:t>
            </w:r>
          </w:p>
        </w:tc>
        <w:tc>
          <w:tcPr>
            <w:tcW w:w="16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5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6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2022</w:t>
            </w:r>
          </w:p>
        </w:tc>
        <w:tc>
          <w:tcPr>
            <w:tcW w:w="16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5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6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6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6"/>
              </w:rPr>
              <w:t>117</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52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52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lease payments</w:t>
            </w:r>
          </w:p>
        </w:tc>
        <w:tc>
          <w:tcPr>
            <w:tcW w:w="1620" w:type="dxa"/>
            <w:vAlign w:val="bottom"/>
            <w:tcBorders>
              <w:bottom w:val="single" w:sz="8" w:color="auto"/>
            </w:tcBorders>
            <w:shd w:val="clear" w:color="auto" w:fill="CCEEFF"/>
          </w:tcPr>
          <w:p>
            <w:pPr>
              <w:jc w:val="right"/>
              <w:ind w:right="141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294</w:t>
            </w:r>
          </w:p>
        </w:tc>
        <w:tc>
          <w:tcPr>
            <w:tcW w:w="1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52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559"/>
          </w:cols>
          <w:pgMar w:left="900" w:top="121" w:right="1440" w:bottom="1440" w:gutter="0" w:footer="0" w:header="0"/>
        </w:sectPr>
      </w:pPr>
    </w:p>
    <w:p>
      <w:pPr>
        <w:spacing w:after="0" w:line="200" w:lineRule="exact"/>
        <w:rPr>
          <w:sz w:val="20"/>
          <w:szCs w:val="20"/>
          <w:color w:val="auto"/>
        </w:rPr>
      </w:pPr>
    </w:p>
    <w:p>
      <w:pPr>
        <w:spacing w:after="0" w:line="220"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9559"/>
          </w:cols>
          <w:pgMar w:left="900" w:top="121" w:right="1440"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0" w:hanging="392"/>
        <w:spacing w:after="0"/>
        <w:tabs>
          <w:tab w:leader="none" w:pos="4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Acquisition of Signode</w:t>
      </w:r>
    </w:p>
    <w:p>
      <w:pPr>
        <w:spacing w:after="0" w:line="22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On April 3, 2018, the Company completed its acquisition of Signode Industrial Group Holdings (Bermuda) Ltd. (“Signode”), a leading global provider of transit packaging systems and solutions, thereby broadening and diversifying its customer base and product offerings. The Company paid a purchase price of $3.9 billion.</w:t>
      </w:r>
    </w:p>
    <w:p>
      <w:pPr>
        <w:spacing w:after="0" w:line="181" w:lineRule="exact"/>
        <w:rPr>
          <w:sz w:val="20"/>
          <w:szCs w:val="20"/>
          <w:color w:val="auto"/>
        </w:rPr>
      </w:pPr>
    </w:p>
    <w:p>
      <w:pPr>
        <w:jc w:val="both"/>
        <w:ind w:left="660" w:right="20"/>
        <w:spacing w:after="0" w:line="264" w:lineRule="auto"/>
        <w:rPr>
          <w:sz w:val="20"/>
          <w:szCs w:val="20"/>
          <w:color w:val="auto"/>
        </w:rPr>
      </w:pPr>
      <w:r>
        <w:rPr>
          <w:rFonts w:ascii="Arial" w:cs="Arial" w:eastAsia="Arial" w:hAnsi="Arial"/>
          <w:sz w:val="18"/>
          <w:szCs w:val="18"/>
          <w:color w:val="auto"/>
        </w:rPr>
        <w:t>The company finalized its purchase accounting for the Signode acquisition in the first quarter of 2019. There were no material adjustments to the preliminary valuation of identifiable assets acquired and liabilities assumed as compared to the amounts disclosed in the Company's Annual Report on Form 10-K for the year ended December 31, 2018.</w:t>
      </w:r>
    </w:p>
    <w:p>
      <w:pPr>
        <w:spacing w:after="0" w:line="181" w:lineRule="exact"/>
        <w:rPr>
          <w:sz w:val="20"/>
          <w:szCs w:val="20"/>
          <w:color w:val="auto"/>
        </w:rPr>
      </w:pPr>
    </w:p>
    <w:p>
      <w:pPr>
        <w:jc w:val="both"/>
        <w:ind w:left="660"/>
        <w:spacing w:after="0" w:line="297" w:lineRule="auto"/>
        <w:rPr>
          <w:sz w:val="20"/>
          <w:szCs w:val="20"/>
          <w:color w:val="auto"/>
        </w:rPr>
      </w:pPr>
      <w:r>
        <w:rPr>
          <w:rFonts w:ascii="Arial" w:cs="Arial" w:eastAsia="Arial" w:hAnsi="Arial"/>
          <w:sz w:val="16"/>
          <w:szCs w:val="16"/>
          <w:color w:val="auto"/>
        </w:rPr>
        <w:t>The following unaudited supplemental pro forma data presents consolidated information as if the acquisition had been completed on January 1, 2017. These amounts were calculated after adjusting Signode's results to reflect interest expense incurred on the debt to finance the acquisition, additional depreciation and amortization that would have been charged assuming the fair value of property, plant and equipment and intangible assets and fair value adjustments relating to the sale of inventory acquired had been applied from January 1, 2017 and related transaction costs. Signode's results include foreign exchange losses related to pre-acquisition intercompany debt arrangements of $15 for the six months ended June 30, 2018.</w:t>
      </w:r>
    </w:p>
    <w:p>
      <w:pPr>
        <w:spacing w:after="0" w:line="320"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tcPr>
          <w:p>
            <w:pPr>
              <w:jc w:val="right"/>
              <w:ind w:right="390"/>
              <w:spacing w:after="0"/>
              <w:rPr>
                <w:sz w:val="20"/>
                <w:szCs w:val="20"/>
                <w:color w:val="auto"/>
              </w:rPr>
            </w:pPr>
            <w:r>
              <w:rPr>
                <w:rFonts w:ascii="Arial" w:cs="Arial" w:eastAsia="Arial" w:hAnsi="Arial"/>
                <w:sz w:val="18"/>
                <w:szCs w:val="18"/>
                <w:color w:val="auto"/>
                <w:w w:val="92"/>
              </w:rPr>
              <w:t>Three Months Ended</w:t>
            </w:r>
          </w:p>
        </w:tc>
        <w:tc>
          <w:tcPr>
            <w:tcW w:w="520" w:type="dxa"/>
            <w:vAlign w:val="bottom"/>
          </w:tcPr>
          <w:p>
            <w:pPr>
              <w:spacing w:after="0"/>
              <w:rPr>
                <w:sz w:val="20"/>
                <w:szCs w:val="20"/>
                <w:color w:val="auto"/>
              </w:rPr>
            </w:pPr>
          </w:p>
        </w:tc>
        <w:tc>
          <w:tcPr>
            <w:tcW w:w="1700" w:type="dxa"/>
            <w:vAlign w:val="bottom"/>
          </w:tcPr>
          <w:p>
            <w:pPr>
              <w:jc w:val="right"/>
              <w:ind w:right="190"/>
              <w:spacing w:after="0"/>
              <w:rPr>
                <w:sz w:val="20"/>
                <w:szCs w:val="20"/>
                <w:color w:val="auto"/>
              </w:rPr>
            </w:pPr>
            <w:r>
              <w:rPr>
                <w:rFonts w:ascii="Arial" w:cs="Arial" w:eastAsia="Arial" w:hAnsi="Arial"/>
                <w:sz w:val="18"/>
                <w:szCs w:val="18"/>
                <w:color w:val="auto"/>
                <w:w w:val="95"/>
              </w:rPr>
              <w:t>Six Months Ended</w:t>
            </w:r>
          </w:p>
        </w:tc>
      </w:tr>
      <w:tr>
        <w:trPr>
          <w:trHeight w:val="270"/>
        </w:trPr>
        <w:tc>
          <w:tcPr>
            <w:tcW w:w="54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60" w:type="dxa"/>
            <w:vAlign w:val="bottom"/>
          </w:tcPr>
          <w:p>
            <w:pPr>
              <w:jc w:val="right"/>
              <w:ind w:right="650"/>
              <w:spacing w:after="0"/>
              <w:rPr>
                <w:sz w:val="20"/>
                <w:szCs w:val="20"/>
                <w:color w:val="auto"/>
              </w:rPr>
            </w:pPr>
            <w:r>
              <w:rPr>
                <w:rFonts w:ascii="Arial" w:cs="Arial" w:eastAsia="Arial" w:hAnsi="Arial"/>
                <w:sz w:val="18"/>
                <w:szCs w:val="18"/>
                <w:color w:val="auto"/>
              </w:rPr>
              <w:t>June 30, 2018</w:t>
            </w:r>
          </w:p>
        </w:tc>
        <w:tc>
          <w:tcPr>
            <w:tcW w:w="520" w:type="dxa"/>
            <w:vAlign w:val="bottom"/>
          </w:tcPr>
          <w:p>
            <w:pPr>
              <w:spacing w:after="0"/>
              <w:rPr>
                <w:sz w:val="23"/>
                <w:szCs w:val="23"/>
                <w:color w:val="auto"/>
              </w:rPr>
            </w:pPr>
          </w:p>
        </w:tc>
        <w:tc>
          <w:tcPr>
            <w:tcW w:w="1700" w:type="dxa"/>
            <w:vAlign w:val="bottom"/>
          </w:tcPr>
          <w:p>
            <w:pPr>
              <w:jc w:val="right"/>
              <w:ind w:right="350"/>
              <w:spacing w:after="0"/>
              <w:rPr>
                <w:sz w:val="20"/>
                <w:szCs w:val="20"/>
                <w:color w:val="auto"/>
              </w:rPr>
            </w:pPr>
            <w:r>
              <w:rPr>
                <w:rFonts w:ascii="Arial" w:cs="Arial" w:eastAsia="Arial" w:hAnsi="Arial"/>
                <w:sz w:val="18"/>
                <w:szCs w:val="18"/>
                <w:color w:val="auto"/>
              </w:rPr>
              <w:t>June 30, 2018</w:t>
            </w:r>
          </w:p>
        </w:tc>
      </w:tr>
      <w:tr>
        <w:trPr>
          <w:trHeight w:val="27"/>
        </w:trPr>
        <w:tc>
          <w:tcPr>
            <w:tcW w:w="5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7"/>
        </w:trPr>
        <w:tc>
          <w:tcPr>
            <w:tcW w:w="5440" w:type="dxa"/>
            <w:vAlign w:val="bottom"/>
          </w:tcPr>
          <w:p>
            <w:pPr>
              <w:ind w:left="20"/>
              <w:spacing w:after="0"/>
              <w:rPr>
                <w:sz w:val="20"/>
                <w:szCs w:val="20"/>
                <w:color w:val="auto"/>
              </w:rPr>
            </w:pPr>
            <w:r>
              <w:rPr>
                <w:rFonts w:ascii="Arial" w:cs="Arial" w:eastAsia="Arial" w:hAnsi="Arial"/>
                <w:sz w:val="18"/>
                <w:szCs w:val="18"/>
                <w:color w:val="auto"/>
              </w:rPr>
              <w:t>Pro forma net 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tcPr>
          <w:p>
            <w:pPr>
              <w:jc w:val="right"/>
              <w:ind w:right="270"/>
              <w:spacing w:after="0"/>
              <w:rPr>
                <w:sz w:val="20"/>
                <w:szCs w:val="20"/>
                <w:color w:val="auto"/>
              </w:rPr>
            </w:pPr>
            <w:r>
              <w:rPr>
                <w:rFonts w:ascii="Arial" w:cs="Arial" w:eastAsia="Arial" w:hAnsi="Arial"/>
                <w:sz w:val="18"/>
                <w:szCs w:val="18"/>
                <w:color w:val="auto"/>
              </w:rPr>
              <w:t>3,046</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5,831</w:t>
            </w:r>
          </w:p>
        </w:tc>
      </w:tr>
      <w:tr>
        <w:trPr>
          <w:trHeight w:val="27"/>
        </w:trPr>
        <w:tc>
          <w:tcPr>
            <w:tcW w:w="5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4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 forma net income attributable to Crown Holdings</w:t>
            </w:r>
          </w:p>
        </w:tc>
        <w:tc>
          <w:tcPr>
            <w:tcW w:w="180" w:type="dxa"/>
            <w:vAlign w:val="bottom"/>
            <w:shd w:val="clear" w:color="auto" w:fill="CCEEFF"/>
          </w:tcPr>
          <w:p>
            <w:pPr>
              <w:spacing w:after="0"/>
              <w:rPr>
                <w:sz w:val="21"/>
                <w:szCs w:val="21"/>
                <w:color w:val="auto"/>
              </w:rPr>
            </w:pPr>
          </w:p>
        </w:tc>
        <w:tc>
          <w:tcPr>
            <w:tcW w:w="20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176</w:t>
            </w:r>
          </w:p>
        </w:tc>
        <w:tc>
          <w:tcPr>
            <w:tcW w:w="52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244</w:t>
            </w:r>
          </w:p>
        </w:tc>
      </w:tr>
      <w:tr>
        <w:trPr>
          <w:trHeight w:val="27"/>
        </w:trPr>
        <w:tc>
          <w:tcPr>
            <w:tcW w:w="54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unaudited supplemental pro forma financial information is based on the Company's preliminary assignment of purchase price and therefore subject to adjustment upon finalizing the purchase price assignment. The pro forma data should not be considered indicative of the results that would have occurred if the acquisition and related financing had been consummated on the assumed completion dates, nor are they indicative of future results.</w:t>
      </w:r>
    </w:p>
    <w:p>
      <w:pPr>
        <w:spacing w:after="0" w:line="399" w:lineRule="exact"/>
        <w:rPr>
          <w:sz w:val="20"/>
          <w:szCs w:val="20"/>
          <w:color w:val="auto"/>
        </w:rPr>
      </w:pPr>
    </w:p>
    <w:p>
      <w:pPr>
        <w:ind w:left="400" w:hanging="392"/>
        <w:spacing w:after="0"/>
        <w:tabs>
          <w:tab w:leader="none" w:pos="4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Revenue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three and six months ended June 30, 2019 and 2018, the Company recognized revenue as follows:</w:t>
      </w:r>
    </w:p>
    <w:p>
      <w:pPr>
        <w:spacing w:after="0" w:line="34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20" w:type="dxa"/>
            <w:vAlign w:val="bottom"/>
            <w:gridSpan w:val="5"/>
          </w:tcPr>
          <w:p>
            <w:pPr>
              <w:ind w:left="200"/>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20"/>
                <w:szCs w:val="20"/>
                <w:color w:val="auto"/>
              </w:rPr>
            </w:pPr>
          </w:p>
        </w:tc>
        <w:tc>
          <w:tcPr>
            <w:tcW w:w="2120" w:type="dxa"/>
            <w:vAlign w:val="bottom"/>
            <w:gridSpan w:val="4"/>
          </w:tcPr>
          <w:p>
            <w:pPr>
              <w:jc w:val="right"/>
              <w:ind w:right="410"/>
              <w:spacing w:after="0"/>
              <w:rPr>
                <w:sz w:val="20"/>
                <w:szCs w:val="20"/>
                <w:color w:val="auto"/>
              </w:rPr>
            </w:pPr>
            <w:r>
              <w:rPr>
                <w:rFonts w:ascii="Arial" w:cs="Arial" w:eastAsia="Arial" w:hAnsi="Arial"/>
                <w:sz w:val="18"/>
                <w:szCs w:val="18"/>
                <w:color w:val="auto"/>
              </w:rPr>
              <w:t>Six Months Ended</w:t>
            </w:r>
          </w:p>
        </w:tc>
      </w:tr>
      <w:tr>
        <w:trPr>
          <w:trHeight w:val="270"/>
        </w:trPr>
        <w:tc>
          <w:tcPr>
            <w:tcW w:w="4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June 30,</w:t>
            </w:r>
          </w:p>
        </w:tc>
        <w:tc>
          <w:tcPr>
            <w:tcW w:w="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June 30,</w:t>
            </w:r>
          </w:p>
        </w:tc>
        <w:tc>
          <w:tcPr>
            <w:tcW w:w="800" w:type="dxa"/>
            <w:vAlign w:val="bottom"/>
          </w:tcPr>
          <w:p>
            <w:pPr>
              <w:spacing w:after="0"/>
              <w:rPr>
                <w:sz w:val="23"/>
                <w:szCs w:val="23"/>
                <w:color w:val="auto"/>
              </w:rPr>
            </w:pPr>
          </w:p>
        </w:tc>
      </w:tr>
      <w:tr>
        <w:trPr>
          <w:trHeight w:val="27"/>
        </w:trPr>
        <w:tc>
          <w:tcPr>
            <w:tcW w:w="48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ind w:right="270"/>
              <w:spacing w:after="0"/>
              <w:rPr>
                <w:sz w:val="20"/>
                <w:szCs w:val="20"/>
                <w:color w:val="auto"/>
              </w:rPr>
            </w:pPr>
            <w:r>
              <w:rPr>
                <w:rFonts w:ascii="Arial" w:cs="Arial" w:eastAsia="Arial" w:hAnsi="Arial"/>
                <w:sz w:val="18"/>
                <w:szCs w:val="18"/>
                <w:color w:val="auto"/>
                <w:w w:val="99"/>
              </w:rPr>
              <w:t>2018</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ind w:right="270"/>
              <w:spacing w:after="0"/>
              <w:rPr>
                <w:sz w:val="20"/>
                <w:szCs w:val="20"/>
                <w:color w:val="auto"/>
              </w:rPr>
            </w:pPr>
            <w:r>
              <w:rPr>
                <w:rFonts w:ascii="Arial" w:cs="Arial" w:eastAsia="Arial" w:hAnsi="Arial"/>
                <w:sz w:val="18"/>
                <w:szCs w:val="18"/>
                <w:color w:val="auto"/>
              </w:rPr>
              <w:t>2018</w:t>
            </w:r>
          </w:p>
        </w:tc>
      </w:tr>
      <w:tr>
        <w:trPr>
          <w:trHeight w:val="27"/>
        </w:trPr>
        <w:tc>
          <w:tcPr>
            <w:tcW w:w="4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recognized over time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1,496</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1,508</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2,861</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2,935</w:t>
            </w: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Revenue recognized at a point in time</w:t>
            </w:r>
          </w:p>
        </w:tc>
        <w:tc>
          <w:tcPr>
            <w:tcW w:w="2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1,539</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1,538</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2,929</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2,308</w:t>
            </w:r>
          </w:p>
        </w:tc>
      </w:tr>
      <w:tr>
        <w:trPr>
          <w:trHeight w:val="27"/>
        </w:trPr>
        <w:tc>
          <w:tcPr>
            <w:tcW w:w="4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3,035</w:t>
            </w:r>
          </w:p>
        </w:tc>
        <w:tc>
          <w:tcPr>
            <w:tcW w:w="1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3,046</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5,790</w:t>
            </w:r>
          </w:p>
        </w:tc>
        <w:tc>
          <w:tcPr>
            <w:tcW w:w="1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5,243</w:t>
            </w:r>
          </w:p>
        </w:tc>
      </w:tr>
      <w:tr>
        <w:trPr>
          <w:trHeight w:val="20"/>
        </w:trPr>
        <w:tc>
          <w:tcPr>
            <w:tcW w:w="4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xml:space="preserve">See </w:t>
      </w:r>
      <w:hyperlink w:anchor="page26">
        <w:r>
          <w:rPr>
            <w:rFonts w:ascii="Arial" w:cs="Arial" w:eastAsia="Arial" w:hAnsi="Arial"/>
            <w:sz w:val="18"/>
            <w:szCs w:val="18"/>
            <w:u w:val="single" w:color="auto"/>
            <w:color w:val="0000EE"/>
          </w:rPr>
          <w:t>Note 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disaggregation of the Company's revenue.</w:t>
      </w:r>
    </w:p>
    <w:p>
      <w:pPr>
        <w:spacing w:after="0" w:line="185"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The Company has applied the practical expedient to exclude disclosure of remaining performance obligations as its binding orders typically have a term of one year or less.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Contract Assets and Contract Liabilities</w:t>
      </w:r>
    </w:p>
    <w:p>
      <w:pPr>
        <w:spacing w:after="0" w:line="185"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Contract assets are recorded for revenue recognized over time when the Company has determined that control for a performance obligation has passed to the customer, but the right to invoice the customer is contingent upon the completion of the performance obligations included in the contract.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Contract liabilities are established if the Company must defer the recognition of a portion of consideration received because it has to satisfy a future obligation.</w:t>
      </w:r>
    </w:p>
    <w:p>
      <w:pPr>
        <w:spacing w:after="0" w:line="13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Contract assets are typically recognized for work in process related to the Company's three-piece printed products. The Company's equipment business may record contract assets or contract liabilities depending on the timing of satisfaction of performance obligations and receipt of consideration from the customer.</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Contract assets and liabilities are reported in a net position on a contract-by-contract basis. Net contract assets were as follows:</w:t>
      </w:r>
    </w:p>
    <w:p>
      <w:pPr>
        <w:spacing w:after="0" w:line="34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2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June 30, 2019</w:t>
            </w: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jc w:val="right"/>
              <w:ind w:right="130"/>
              <w:spacing w:after="0"/>
              <w:rPr>
                <w:sz w:val="20"/>
                <w:szCs w:val="20"/>
                <w:color w:val="auto"/>
              </w:rPr>
            </w:pPr>
            <w:r>
              <w:rPr>
                <w:rFonts w:ascii="Arial" w:cs="Arial" w:eastAsia="Arial" w:hAnsi="Arial"/>
                <w:sz w:val="18"/>
                <w:szCs w:val="18"/>
                <w:color w:val="auto"/>
                <w:w w:val="92"/>
              </w:rPr>
              <w:t>December 31, 2018</w:t>
            </w:r>
          </w:p>
        </w:tc>
      </w:tr>
      <w:tr>
        <w:trPr>
          <w:trHeight w:val="27"/>
        </w:trPr>
        <w:tc>
          <w:tcPr>
            <w:tcW w:w="52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 included in prepaid and other current assets</w:t>
            </w:r>
          </w:p>
        </w:tc>
        <w:tc>
          <w:tcPr>
            <w:tcW w:w="1520" w:type="dxa"/>
            <w:vAlign w:val="bottom"/>
            <w:tcBorders>
              <w:bottom w:val="single" w:sz="8" w:color="CCEEFF"/>
            </w:tcBorders>
            <w:shd w:val="clear" w:color="auto" w:fill="CCEEFF"/>
          </w:tcPr>
          <w:p>
            <w:pPr>
              <w:jc w:val="right"/>
              <w:ind w:right="131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7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Contract liabilities included in accrued liabilities</w:t>
            </w:r>
          </w:p>
        </w:tc>
        <w:tc>
          <w:tcPr>
            <w:tcW w:w="15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5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liabilities included in other non-current liabilities</w:t>
            </w:r>
          </w:p>
        </w:tc>
        <w:tc>
          <w:tcPr>
            <w:tcW w:w="15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57"/>
        </w:trPr>
        <w:tc>
          <w:tcPr>
            <w:tcW w:w="5220" w:type="dxa"/>
            <w:vAlign w:val="bottom"/>
          </w:tcPr>
          <w:p>
            <w:pPr>
              <w:ind w:left="20"/>
              <w:spacing w:after="0"/>
              <w:rPr>
                <w:sz w:val="20"/>
                <w:szCs w:val="20"/>
                <w:color w:val="auto"/>
              </w:rPr>
            </w:pPr>
            <w:r>
              <w:rPr>
                <w:rFonts w:ascii="Arial" w:cs="Arial" w:eastAsia="Arial" w:hAnsi="Arial"/>
                <w:sz w:val="18"/>
                <w:szCs w:val="18"/>
                <w:color w:val="auto"/>
              </w:rPr>
              <w:t>Net contract asset</w:t>
            </w:r>
          </w:p>
        </w:tc>
        <w:tc>
          <w:tcPr>
            <w:tcW w:w="1520" w:type="dxa"/>
            <w:vAlign w:val="bottom"/>
            <w:tcBorders>
              <w:top w:val="single" w:sz="8" w:color="auto"/>
              <w:bottom w:val="single" w:sz="8" w:color="auto"/>
            </w:tcBorders>
          </w:tcPr>
          <w:p>
            <w:pPr>
              <w:jc w:val="right"/>
              <w:ind w:right="131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7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r>
      <w:tr>
        <w:trPr>
          <w:trHeight w:val="20"/>
        </w:trPr>
        <w:tc>
          <w:tcPr>
            <w:tcW w:w="52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right="2300"/>
        <w:spacing w:after="0" w:line="277" w:lineRule="auto"/>
        <w:rPr>
          <w:sz w:val="20"/>
          <w:szCs w:val="20"/>
          <w:color w:val="auto"/>
        </w:rPr>
      </w:pPr>
      <w:r>
        <w:rPr>
          <w:rFonts w:ascii="Arial" w:cs="Arial" w:eastAsia="Arial" w:hAnsi="Arial"/>
          <w:sz w:val="18"/>
          <w:szCs w:val="18"/>
          <w:color w:val="auto"/>
        </w:rPr>
        <w:t>Contract assets at June 30, 2019, primarily relates to revenue recognized for customized work-in-process inventory in the Company's three-piece food can product businesses.</w:t>
      </w:r>
    </w:p>
    <w:p>
      <w:pPr>
        <w:spacing w:after="0" w:line="170" w:lineRule="exact"/>
        <w:rPr>
          <w:sz w:val="20"/>
          <w:szCs w:val="20"/>
          <w:color w:val="auto"/>
        </w:rPr>
      </w:pPr>
    </w:p>
    <w:p>
      <w:pPr>
        <w:ind w:left="660" w:right="760"/>
        <w:spacing w:after="0" w:line="277" w:lineRule="auto"/>
        <w:rPr>
          <w:sz w:val="20"/>
          <w:szCs w:val="20"/>
          <w:color w:val="auto"/>
        </w:rPr>
      </w:pPr>
      <w:r>
        <w:rPr>
          <w:rFonts w:ascii="Arial" w:cs="Arial" w:eastAsia="Arial" w:hAnsi="Arial"/>
          <w:sz w:val="18"/>
          <w:szCs w:val="18"/>
          <w:color w:val="auto"/>
        </w:rPr>
        <w:t>During the six months ended June 30, 2019, the Company recognized revenue of $1 related to contract liabilities at December 31, 2018 for performance obligations satisfied during the period.</w:t>
      </w:r>
    </w:p>
    <w:p>
      <w:pPr>
        <w:spacing w:after="0" w:line="383"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Cash, Cash Equivalents, and Restricted Cash</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Cash, cash equivalents, and restricted cash included in the Company's Consolidated Balance Sheets and Statement of Cash Flows were as follows:</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June 30, 2019</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ind w:right="170"/>
              <w:spacing w:after="0"/>
              <w:rPr>
                <w:sz w:val="20"/>
                <w:szCs w:val="20"/>
                <w:color w:val="auto"/>
              </w:rPr>
            </w:pPr>
            <w:r>
              <w:rPr>
                <w:rFonts w:ascii="Arial" w:cs="Arial" w:eastAsia="Arial" w:hAnsi="Arial"/>
                <w:sz w:val="18"/>
                <w:szCs w:val="18"/>
                <w:color w:val="auto"/>
                <w:w w:val="92"/>
              </w:rPr>
              <w:t>December 31, 2018</w:t>
            </w:r>
          </w:p>
        </w:tc>
      </w:tr>
      <w:tr>
        <w:trPr>
          <w:trHeight w:val="27"/>
        </w:trPr>
        <w:tc>
          <w:tcPr>
            <w:tcW w:w="60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40" w:type="dxa"/>
            <w:vAlign w:val="bottom"/>
            <w:tcBorders>
              <w:bottom w:val="single" w:sz="8" w:color="CCEEFF"/>
            </w:tcBorders>
            <w:shd w:val="clear" w:color="auto" w:fill="CCEEFF"/>
          </w:tcPr>
          <w:p>
            <w:pPr>
              <w:jc w:val="right"/>
              <w:ind w:right="123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342</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607</w:t>
            </w:r>
          </w:p>
        </w:tc>
      </w:tr>
      <w:tr>
        <w:trPr>
          <w:trHeight w:val="324"/>
        </w:trPr>
        <w:tc>
          <w:tcPr>
            <w:tcW w:w="60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50"/>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 included in prepaid expenses and other current assets</w:t>
            </w:r>
          </w:p>
        </w:tc>
        <w:tc>
          <w:tcPr>
            <w:tcW w:w="1440" w:type="dxa"/>
            <w:vAlign w:val="bottom"/>
            <w:tcBorders>
              <w:bottom w:val="single" w:sz="8" w:color="CCEEFF"/>
            </w:tcBorders>
            <w:shd w:val="clear" w:color="auto" w:fill="CCEEFF"/>
          </w:tcPr>
          <w:p>
            <w:pPr>
              <w:jc w:val="right"/>
              <w:ind w:right="123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r>
      <w:tr>
        <w:trPr>
          <w:trHeight w:val="243"/>
        </w:trPr>
        <w:tc>
          <w:tcPr>
            <w:tcW w:w="6080" w:type="dxa"/>
            <w:vAlign w:val="bottom"/>
          </w:tcPr>
          <w:p>
            <w:pPr>
              <w:ind w:left="20"/>
              <w:spacing w:after="0"/>
              <w:rPr>
                <w:sz w:val="20"/>
                <w:szCs w:val="20"/>
                <w:color w:val="auto"/>
              </w:rPr>
            </w:pPr>
            <w:r>
              <w:rPr>
                <w:rFonts w:ascii="Arial" w:cs="Arial" w:eastAsia="Arial" w:hAnsi="Arial"/>
                <w:sz w:val="18"/>
                <w:szCs w:val="18"/>
                <w:color w:val="auto"/>
              </w:rPr>
              <w:t>Restricted cash included in other non-current assets</w:t>
            </w:r>
          </w:p>
        </w:tc>
        <w:tc>
          <w:tcPr>
            <w:tcW w:w="144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60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restricted cash</w:t>
            </w:r>
          </w:p>
        </w:tc>
        <w:tc>
          <w:tcPr>
            <w:tcW w:w="1440" w:type="dxa"/>
            <w:vAlign w:val="bottom"/>
            <w:tcBorders>
              <w:bottom w:val="single" w:sz="8" w:color="CCEEFF"/>
            </w:tcBorders>
            <w:shd w:val="clear" w:color="auto" w:fill="CCEEFF"/>
          </w:tcPr>
          <w:p>
            <w:pPr>
              <w:jc w:val="right"/>
              <w:ind w:right="123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r>
      <w:tr>
        <w:trPr>
          <w:trHeight w:val="324"/>
        </w:trPr>
        <w:tc>
          <w:tcPr>
            <w:tcW w:w="60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75"/>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1440" w:type="dxa"/>
            <w:vAlign w:val="bottom"/>
            <w:tcBorders>
              <w:bottom w:val="single" w:sz="8" w:color="CCEEFF"/>
            </w:tcBorders>
            <w:shd w:val="clear" w:color="auto" w:fill="CCEEFF"/>
          </w:tcPr>
          <w:p>
            <w:pPr>
              <w:jc w:val="right"/>
              <w:ind w:right="123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397</w:t>
            </w:r>
          </w:p>
        </w:tc>
        <w:tc>
          <w:tcPr>
            <w:tcW w:w="1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659</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Amounts included in restricted cash primarily represent amounts required to be segregated by certain of the Company's receivables securitization agreements.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Pr>
          <w:p>
            <w:pPr>
              <w:spacing w:after="0"/>
              <w:rPr>
                <w:sz w:val="20"/>
                <w:szCs w:val="20"/>
                <w:color w:val="auto"/>
              </w:rPr>
            </w:pPr>
            <w:r>
              <w:rPr>
                <w:rFonts w:ascii="Arial" w:cs="Arial" w:eastAsia="Arial" w:hAnsi="Arial"/>
                <w:sz w:val="18"/>
                <w:szCs w:val="18"/>
                <w:b w:val="1"/>
                <w:bCs w:val="1"/>
                <w:color w:val="auto"/>
              </w:rPr>
              <w:t>G.</w:t>
            </w:r>
          </w:p>
        </w:tc>
        <w:tc>
          <w:tcPr>
            <w:tcW w:w="5660" w:type="dxa"/>
            <w:vAlign w:val="bottom"/>
            <w:gridSpan w:val="3"/>
          </w:tcPr>
          <w:p>
            <w:pPr>
              <w:ind w:left="240"/>
              <w:spacing w:after="0"/>
              <w:rPr>
                <w:sz w:val="20"/>
                <w:szCs w:val="20"/>
                <w:color w:val="auto"/>
              </w:rPr>
            </w:pPr>
            <w:r>
              <w:rPr>
                <w:rFonts w:ascii="Arial" w:cs="Arial" w:eastAsia="Arial" w:hAnsi="Arial"/>
                <w:sz w:val="18"/>
                <w:szCs w:val="18"/>
                <w:b w:val="1"/>
                <w:bCs w:val="1"/>
                <w:color w:val="auto"/>
              </w:rPr>
              <w:t>Receivables</w:t>
            </w: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615"/>
        </w:trPr>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4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00" w:type="dxa"/>
            <w:vAlign w:val="bottom"/>
            <w:gridSpan w:val="2"/>
          </w:tcPr>
          <w:p>
            <w:pPr>
              <w:ind w:left="160"/>
              <w:spacing w:after="0"/>
              <w:rPr>
                <w:sz w:val="20"/>
                <w:szCs w:val="20"/>
                <w:color w:val="auto"/>
              </w:rPr>
            </w:pPr>
            <w:r>
              <w:rPr>
                <w:rFonts w:ascii="Arial" w:cs="Arial" w:eastAsia="Arial" w:hAnsi="Arial"/>
                <w:sz w:val="18"/>
                <w:szCs w:val="18"/>
                <w:color w:val="auto"/>
              </w:rPr>
              <w:t>June 30, 2019</w:t>
            </w:r>
          </w:p>
        </w:tc>
        <w:tc>
          <w:tcPr>
            <w:tcW w:w="180" w:type="dxa"/>
            <w:vAlign w:val="bottom"/>
          </w:tcPr>
          <w:p>
            <w:pPr>
              <w:spacing w:after="0"/>
              <w:rPr>
                <w:sz w:val="24"/>
                <w:szCs w:val="24"/>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color w:val="auto"/>
                <w:w w:val="92"/>
              </w:rPr>
              <w:t>December 31, 2018</w:t>
            </w:r>
          </w:p>
        </w:tc>
      </w:tr>
      <w:tr>
        <w:trPr>
          <w:trHeight w:val="27"/>
        </w:trPr>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1,429</w:t>
            </w:r>
          </w:p>
        </w:tc>
        <w:tc>
          <w:tcPr>
            <w:tcW w:w="6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1,303</w:t>
            </w:r>
          </w:p>
        </w:tc>
      </w:tr>
      <w:tr>
        <w:trPr>
          <w:trHeight w:val="243"/>
        </w:trPr>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20" w:type="dxa"/>
            <w:vAlign w:val="bottom"/>
            <w:gridSpan w:val="2"/>
          </w:tcPr>
          <w:p>
            <w:pPr>
              <w:ind w:left="20"/>
              <w:spacing w:after="0"/>
              <w:rPr>
                <w:sz w:val="20"/>
                <w:szCs w:val="20"/>
                <w:color w:val="auto"/>
              </w:rPr>
            </w:pPr>
            <w:r>
              <w:rPr>
                <w:rFonts w:ascii="Arial" w:cs="Arial" w:eastAsia="Arial" w:hAnsi="Arial"/>
                <w:sz w:val="18"/>
                <w:szCs w:val="18"/>
                <w:color w:val="auto"/>
              </w:rPr>
              <w:t>Less: allowance for doubtful accounts</w:t>
            </w:r>
          </w:p>
        </w:tc>
        <w:tc>
          <w:tcPr>
            <w:tcW w:w="2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(66)</w:t>
            </w: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
        </w:trPr>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trade receivables</w:t>
            </w: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1,363</w:t>
            </w:r>
          </w:p>
        </w:tc>
        <w:tc>
          <w:tcPr>
            <w:tcW w:w="6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1,238</w:t>
            </w:r>
          </w:p>
        </w:tc>
      </w:tr>
      <w:tr>
        <w:trPr>
          <w:trHeight w:val="243"/>
        </w:trPr>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20" w:type="dxa"/>
            <w:vAlign w:val="bottom"/>
            <w:gridSpan w:val="2"/>
          </w:tcPr>
          <w:p>
            <w:pPr>
              <w:ind w:left="20"/>
              <w:spacing w:after="0"/>
              <w:rPr>
                <w:sz w:val="20"/>
                <w:szCs w:val="20"/>
                <w:color w:val="auto"/>
              </w:rPr>
            </w:pPr>
            <w:r>
              <w:rPr>
                <w:rFonts w:ascii="Arial" w:cs="Arial" w:eastAsia="Arial" w:hAnsi="Arial"/>
                <w:sz w:val="18"/>
                <w:szCs w:val="18"/>
                <w:color w:val="auto"/>
              </w:rPr>
              <w:t>Unbilled receivables</w:t>
            </w:r>
          </w:p>
        </w:tc>
        <w:tc>
          <w:tcPr>
            <w:tcW w:w="2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245</w:t>
            </w: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181</w:t>
            </w:r>
          </w:p>
        </w:tc>
      </w:tr>
      <w:tr>
        <w:trPr>
          <w:trHeight w:val="27"/>
        </w:trPr>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Miscellaneous receivables</w:t>
            </w:r>
          </w:p>
        </w:tc>
        <w:tc>
          <w:tcPr>
            <w:tcW w:w="2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w:t>
            </w:r>
          </w:p>
        </w:tc>
        <w:tc>
          <w:tcPr>
            <w:tcW w:w="6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w:t>
            </w:r>
          </w:p>
        </w:tc>
      </w:tr>
      <w:tr>
        <w:trPr>
          <w:trHeight w:val="257"/>
        </w:trPr>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20" w:type="dxa"/>
            <w:vAlign w:val="bottom"/>
            <w:gridSpan w:val="2"/>
          </w:tcPr>
          <w:p>
            <w:pPr>
              <w:ind w:left="20"/>
              <w:spacing w:after="0"/>
              <w:rPr>
                <w:sz w:val="20"/>
                <w:szCs w:val="20"/>
                <w:color w:val="auto"/>
              </w:rPr>
            </w:pPr>
            <w:r>
              <w:rPr>
                <w:rFonts w:ascii="Arial" w:cs="Arial" w:eastAsia="Arial" w:hAnsi="Arial"/>
                <w:sz w:val="18"/>
                <w:szCs w:val="18"/>
                <w:color w:val="auto"/>
              </w:rPr>
              <w:t>Receivables, net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1,830</w:t>
            </w:r>
          </w:p>
        </w:tc>
        <w:tc>
          <w:tcPr>
            <w:tcW w:w="6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1,602</w:t>
            </w:r>
          </w:p>
        </w:tc>
      </w:tr>
      <w:tr>
        <w:trPr>
          <w:trHeight w:val="20"/>
        </w:trPr>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1" w:right="2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Inventories</w:t>
      </w:r>
    </w:p>
    <w:p>
      <w:pPr>
        <w:spacing w:after="0" w:line="31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Inventories are stated at the lower of cost or market, with cost principally determined under the first-in first-out ("FIFO") or average cost method.</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00" w:type="dxa"/>
            <w:vAlign w:val="bottom"/>
            <w:gridSpan w:val="2"/>
          </w:tcPr>
          <w:p>
            <w:pPr>
              <w:ind w:left="160"/>
              <w:spacing w:after="0"/>
              <w:rPr>
                <w:sz w:val="20"/>
                <w:szCs w:val="20"/>
                <w:color w:val="auto"/>
              </w:rPr>
            </w:pPr>
            <w:r>
              <w:rPr>
                <w:rFonts w:ascii="Arial" w:cs="Arial" w:eastAsia="Arial" w:hAnsi="Arial"/>
                <w:sz w:val="18"/>
                <w:szCs w:val="18"/>
                <w:color w:val="auto"/>
              </w:rPr>
              <w:t>June 30, 2019</w:t>
            </w:r>
          </w:p>
        </w:tc>
        <w:tc>
          <w:tcPr>
            <w:tcW w:w="180" w:type="dxa"/>
            <w:vAlign w:val="bottom"/>
          </w:tcPr>
          <w:p>
            <w:pPr>
              <w:spacing w:after="0"/>
              <w:rPr>
                <w:sz w:val="20"/>
                <w:szCs w:val="20"/>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color w:val="auto"/>
                <w:w w:val="92"/>
              </w:rPr>
              <w:t>December 31, 2018</w:t>
            </w:r>
          </w:p>
        </w:tc>
      </w:tr>
      <w:tr>
        <w:trPr>
          <w:trHeight w:val="27"/>
        </w:trPr>
        <w:tc>
          <w:tcPr>
            <w:tcW w:w="5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 and supplies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953</w:t>
            </w:r>
          </w:p>
        </w:tc>
        <w:tc>
          <w:tcPr>
            <w:tcW w:w="6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937</w:t>
            </w: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178</w:t>
            </w: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144</w:t>
            </w:r>
          </w:p>
        </w:tc>
      </w:tr>
      <w:tr>
        <w:trPr>
          <w:trHeight w:val="27"/>
        </w:trPr>
        <w:tc>
          <w:tcPr>
            <w:tcW w:w="5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706</w:t>
            </w:r>
          </w:p>
        </w:tc>
        <w:tc>
          <w:tcPr>
            <w:tcW w:w="6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w:t>
            </w:r>
          </w:p>
        </w:tc>
      </w:tr>
      <w:tr>
        <w:trPr>
          <w:trHeight w:val="237"/>
        </w:trPr>
        <w:tc>
          <w:tcPr>
            <w:tcW w:w="54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1,837</w:t>
            </w:r>
          </w:p>
        </w:tc>
        <w:tc>
          <w:tcPr>
            <w:tcW w:w="6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1,690</w:t>
            </w:r>
          </w:p>
        </w:tc>
      </w:tr>
      <w:tr>
        <w:trPr>
          <w:trHeight w:val="27"/>
        </w:trPr>
        <w:tc>
          <w:tcPr>
            <w:tcW w:w="5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0"/>
        </w:trPr>
        <w:tc>
          <w:tcPr>
            <w:tcW w:w="5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00" w:hanging="292"/>
        <w:spacing w:after="0"/>
        <w:tabs>
          <w:tab w:leader="none" w:pos="3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Intangible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Gross carrying amounts and accumulated amortization of finite-lived intangible assets by major class were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June 30, 2019</w:t>
            </w: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ind w:left="20"/>
              <w:spacing w:after="0"/>
              <w:rPr>
                <w:sz w:val="20"/>
                <w:szCs w:val="20"/>
                <w:color w:val="auto"/>
              </w:rPr>
            </w:pPr>
            <w:r>
              <w:rPr>
                <w:rFonts w:ascii="Arial" w:cs="Arial" w:eastAsia="Arial" w:hAnsi="Arial"/>
                <w:sz w:val="18"/>
                <w:szCs w:val="18"/>
                <w:color w:val="auto"/>
              </w:rPr>
              <w:t>December 31, 2018</w:t>
            </w: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7"/>
        </w:trPr>
        <w:tc>
          <w:tcPr>
            <w:tcW w:w="3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22"/>
        </w:trPr>
        <w:tc>
          <w:tcPr>
            <w:tcW w:w="3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Accumulated</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Accumulated</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3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ind w:left="60"/>
              <w:spacing w:after="0"/>
              <w:rPr>
                <w:sz w:val="20"/>
                <w:szCs w:val="20"/>
                <w:color w:val="auto"/>
              </w:rPr>
            </w:pPr>
            <w:r>
              <w:rPr>
                <w:rFonts w:ascii="Arial" w:cs="Arial" w:eastAsia="Arial" w:hAnsi="Arial"/>
                <w:sz w:val="18"/>
                <w:szCs w:val="18"/>
                <w:color w:val="auto"/>
              </w:rPr>
              <w:t>Gross</w:t>
            </w:r>
          </w:p>
        </w:tc>
        <w:tc>
          <w:tcPr>
            <w:tcW w:w="140" w:type="dxa"/>
            <w:vAlign w:val="bottom"/>
          </w:tcPr>
          <w:p>
            <w:pPr>
              <w:spacing w:after="0"/>
              <w:rPr>
                <w:sz w:val="20"/>
                <w:szCs w:val="20"/>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amortization</w:t>
            </w:r>
          </w:p>
        </w:tc>
        <w:tc>
          <w:tcPr>
            <w:tcW w:w="20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auto"/>
              </w:rPr>
              <w:t>Net</w:t>
            </w:r>
          </w:p>
        </w:tc>
        <w:tc>
          <w:tcPr>
            <w:tcW w:w="160" w:type="dxa"/>
            <w:vAlign w:val="bottom"/>
          </w:tcPr>
          <w:p>
            <w:pPr>
              <w:spacing w:after="0"/>
              <w:rPr>
                <w:sz w:val="20"/>
                <w:szCs w:val="20"/>
                <w:color w:val="auto"/>
              </w:rPr>
            </w:pPr>
          </w:p>
        </w:tc>
        <w:tc>
          <w:tcPr>
            <w:tcW w:w="780" w:type="dxa"/>
            <w:vAlign w:val="bottom"/>
            <w:gridSpan w:val="2"/>
          </w:tcPr>
          <w:p>
            <w:pPr>
              <w:ind w:left="40"/>
              <w:spacing w:after="0"/>
              <w:rPr>
                <w:sz w:val="20"/>
                <w:szCs w:val="20"/>
                <w:color w:val="auto"/>
              </w:rPr>
            </w:pPr>
            <w:r>
              <w:rPr>
                <w:rFonts w:ascii="Arial" w:cs="Arial" w:eastAsia="Arial" w:hAnsi="Arial"/>
                <w:sz w:val="18"/>
                <w:szCs w:val="18"/>
                <w:color w:val="auto"/>
              </w:rPr>
              <w:t>Gross</w:t>
            </w:r>
          </w:p>
        </w:tc>
        <w:tc>
          <w:tcPr>
            <w:tcW w:w="120" w:type="dxa"/>
            <w:vAlign w:val="bottom"/>
          </w:tcPr>
          <w:p>
            <w:pPr>
              <w:spacing w:after="0"/>
              <w:rPr>
                <w:sz w:val="20"/>
                <w:szCs w:val="20"/>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amortization</w:t>
            </w:r>
          </w:p>
        </w:tc>
        <w:tc>
          <w:tcPr>
            <w:tcW w:w="200" w:type="dxa"/>
            <w:vAlign w:val="bottom"/>
          </w:tcPr>
          <w:p>
            <w:pPr>
              <w:spacing w:after="0"/>
              <w:rPr>
                <w:sz w:val="20"/>
                <w:szCs w:val="20"/>
                <w:color w:val="auto"/>
              </w:rPr>
            </w:pPr>
          </w:p>
        </w:tc>
        <w:tc>
          <w:tcPr>
            <w:tcW w:w="640" w:type="dxa"/>
            <w:vAlign w:val="bottom"/>
          </w:tcPr>
          <w:p>
            <w:pPr>
              <w:jc w:val="right"/>
              <w:ind w:right="210"/>
              <w:spacing w:after="0"/>
              <w:rPr>
                <w:sz w:val="20"/>
                <w:szCs w:val="20"/>
                <w:color w:val="auto"/>
              </w:rPr>
            </w:pPr>
            <w:r>
              <w:rPr>
                <w:rFonts w:ascii="Arial" w:cs="Arial" w:eastAsia="Arial" w:hAnsi="Arial"/>
                <w:sz w:val="18"/>
                <w:szCs w:val="18"/>
                <w:color w:val="auto"/>
              </w:rPr>
              <w:t>Net</w:t>
            </w:r>
          </w:p>
        </w:tc>
      </w:tr>
      <w:tr>
        <w:trPr>
          <w:trHeight w:val="27"/>
        </w:trPr>
        <w:tc>
          <w:tcPr>
            <w:tcW w:w="3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1,620</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1,351</w:t>
            </w:r>
          </w:p>
        </w:tc>
        <w:tc>
          <w:tcPr>
            <w:tcW w:w="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1,409</w:t>
            </w: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16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544</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515</w:t>
            </w: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530</w:t>
            </w:r>
          </w:p>
        </w:tc>
      </w:tr>
      <w:tr>
        <w:trPr>
          <w:trHeight w:val="27"/>
        </w:trPr>
        <w:tc>
          <w:tcPr>
            <w:tcW w:w="3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c>
          <w:tcPr>
            <w:tcW w:w="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w:t>
            </w: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Long term supply contracts</w:t>
            </w:r>
          </w:p>
        </w:tc>
        <w:tc>
          <w:tcPr>
            <w:tcW w:w="16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147</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106</w:t>
            </w:r>
          </w:p>
        </w:tc>
      </w:tr>
      <w:tr>
        <w:trPr>
          <w:trHeight w:val="27"/>
        </w:trPr>
        <w:tc>
          <w:tcPr>
            <w:tcW w:w="3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Patents</w:t>
            </w: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4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37"/>
        </w:trPr>
        <w:tc>
          <w:tcPr>
            <w:tcW w:w="30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2,484</w:t>
            </w:r>
          </w:p>
        </w:tc>
        <w:tc>
          <w:tcPr>
            <w:tcW w:w="2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2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2,106</w:t>
            </w:r>
          </w:p>
        </w:tc>
        <w:tc>
          <w:tcPr>
            <w:tcW w:w="4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2,479</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2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2,193</w:t>
            </w:r>
          </w:p>
        </w:tc>
      </w:tr>
      <w:tr>
        <w:trPr>
          <w:trHeight w:val="27"/>
        </w:trPr>
        <w:tc>
          <w:tcPr>
            <w:tcW w:w="3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
        </w:trPr>
        <w:tc>
          <w:tcPr>
            <w:tcW w:w="3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Total amortization expense of intangible assets was $47 and $94 and $41 and $52 for the three and six months ended June 30, 2019 and 2018.</w:t>
      </w:r>
    </w:p>
    <w:p>
      <w:pPr>
        <w:spacing w:after="0" w:line="200" w:lineRule="exact"/>
        <w:rPr>
          <w:sz w:val="20"/>
          <w:szCs w:val="20"/>
          <w:color w:val="auto"/>
        </w:rPr>
      </w:pPr>
    </w:p>
    <w:p>
      <w:pPr>
        <w:spacing w:after="0" w:line="260"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Restructuring and Other</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Company recorded restructuring and other charges / (benefits) as follows:</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820" w:type="dxa"/>
            <w:vAlign w:val="bottom"/>
          </w:tcPr>
          <w:p>
            <w:pPr>
              <w:spacing w:after="0"/>
              <w:rPr>
                <w:sz w:val="20"/>
                <w:szCs w:val="20"/>
                <w:color w:val="auto"/>
              </w:rPr>
            </w:pPr>
          </w:p>
        </w:tc>
        <w:tc>
          <w:tcPr>
            <w:tcW w:w="2040" w:type="dxa"/>
            <w:vAlign w:val="bottom"/>
            <w:gridSpan w:val="4"/>
          </w:tcPr>
          <w:p>
            <w:pPr>
              <w:jc w:val="right"/>
              <w:ind w:right="10"/>
              <w:spacing w:after="0"/>
              <w:rPr>
                <w:sz w:val="20"/>
                <w:szCs w:val="20"/>
                <w:color w:val="auto"/>
              </w:rPr>
            </w:pPr>
            <w:r>
              <w:rPr>
                <w:rFonts w:ascii="Arial" w:cs="Arial" w:eastAsia="Arial" w:hAnsi="Arial"/>
                <w:sz w:val="18"/>
                <w:szCs w:val="18"/>
                <w:color w:val="auto"/>
              </w:rPr>
              <w:t>Three Months Ended</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00" w:type="dxa"/>
            <w:vAlign w:val="bottom"/>
            <w:gridSpan w:val="4"/>
          </w:tcPr>
          <w:p>
            <w:pPr>
              <w:jc w:val="right"/>
              <w:ind w:right="390"/>
              <w:spacing w:after="0"/>
              <w:rPr>
                <w:sz w:val="20"/>
                <w:szCs w:val="20"/>
                <w:color w:val="auto"/>
              </w:rPr>
            </w:pPr>
            <w:r>
              <w:rPr>
                <w:rFonts w:ascii="Arial" w:cs="Arial" w:eastAsia="Arial" w:hAnsi="Arial"/>
                <w:sz w:val="18"/>
                <w:szCs w:val="18"/>
                <w:color w:val="auto"/>
              </w:rPr>
              <w:t>Six Months Ended</w:t>
            </w:r>
          </w:p>
        </w:tc>
      </w:tr>
      <w:tr>
        <w:trPr>
          <w:trHeight w:val="270"/>
        </w:trPr>
        <w:tc>
          <w:tcPr>
            <w:tcW w:w="48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300" w:type="dxa"/>
            <w:vAlign w:val="bottom"/>
            <w:gridSpan w:val="3"/>
          </w:tcPr>
          <w:p>
            <w:pPr>
              <w:jc w:val="right"/>
              <w:ind w:right="470"/>
              <w:spacing w:after="0"/>
              <w:rPr>
                <w:sz w:val="20"/>
                <w:szCs w:val="20"/>
                <w:color w:val="auto"/>
              </w:rPr>
            </w:pPr>
            <w:r>
              <w:rPr>
                <w:rFonts w:ascii="Arial" w:cs="Arial" w:eastAsia="Arial" w:hAnsi="Arial"/>
                <w:sz w:val="18"/>
                <w:szCs w:val="18"/>
                <w:color w:val="auto"/>
              </w:rPr>
              <w:t>June 30,</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June 30,</w:t>
            </w:r>
          </w:p>
        </w:tc>
        <w:tc>
          <w:tcPr>
            <w:tcW w:w="780" w:type="dxa"/>
            <w:vAlign w:val="bottom"/>
          </w:tcPr>
          <w:p>
            <w:pPr>
              <w:spacing w:after="0"/>
              <w:rPr>
                <w:sz w:val="23"/>
                <w:szCs w:val="23"/>
                <w:color w:val="auto"/>
              </w:rPr>
            </w:pPr>
          </w:p>
        </w:tc>
      </w:tr>
      <w:tr>
        <w:trPr>
          <w:trHeight w:val="27"/>
        </w:trPr>
        <w:tc>
          <w:tcPr>
            <w:tcW w:w="48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48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2019</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2018</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ind w:right="270"/>
              <w:spacing w:after="0"/>
              <w:rPr>
                <w:sz w:val="20"/>
                <w:szCs w:val="20"/>
                <w:color w:val="auto"/>
              </w:rPr>
            </w:pPr>
            <w:r>
              <w:rPr>
                <w:rFonts w:ascii="Arial" w:cs="Arial" w:eastAsia="Arial" w:hAnsi="Arial"/>
                <w:sz w:val="18"/>
                <w:szCs w:val="18"/>
                <w:color w:val="auto"/>
                <w:w w:val="99"/>
              </w:rPr>
              <w:t>2018</w:t>
            </w:r>
          </w:p>
        </w:tc>
      </w:tr>
      <w:tr>
        <w:trPr>
          <w:trHeight w:val="27"/>
        </w:trPr>
        <w:tc>
          <w:tcPr>
            <w:tcW w:w="48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 impairments and sales</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Restructuring</w:t>
            </w:r>
          </w:p>
        </w:tc>
        <w:tc>
          <w:tcPr>
            <w:tcW w:w="74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4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Transaction costs</w:t>
            </w:r>
          </w:p>
        </w:tc>
        <w:tc>
          <w:tcPr>
            <w:tcW w:w="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19</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74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7"/>
              </w:rPr>
              <w:t>(41)</w:t>
            </w: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48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9"/>
        </w:trPr>
        <w:tc>
          <w:tcPr>
            <w:tcW w:w="48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(45)</w:t>
            </w: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16</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For the three and six months ended June 30, 2019, other income is related to gains arising from favorable court rulings in lawsuits brought by certain of the Company's Brazilian subsidiaries claiming they were overcharged by the local tax authorities for indirect taxes paid in prior years. For the three and six months ended June 30, 2018, other income included a benefit due to favorable settlement of a litigation matter related to Mivisa that arose prior to acquisition by the Company in 2014.</w:t>
      </w:r>
    </w:p>
    <w:p>
      <w:pPr>
        <w:spacing w:after="0" w:line="187"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For the three and six months ended June 30, 2019, asset impairments and sales included gains related to asset sales partially offset by a charge of $6 related to a fire at a production facility in Asia.</w:t>
      </w:r>
    </w:p>
    <w:p>
      <w:pPr>
        <w:spacing w:after="0" w:line="170"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For the three and six months ended June 30, 2019, restructuring included a charge of $8 related to headcount reductions in the Company's European Division.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three and six months ended June 30, 2018, transaction costs related to the Signode acquisition.</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1" w:right="2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At June 30, 2019, the Company had restructuring accruals of $21, primarily related to current and prior year actions to reduce manufacturing capacity and headcount in its European businesses. The Company expects to pay these amounts over the next twelve months. The Company continues to review its supply and demand profile and long-term plans in its businesses, and it is possible that the Company may record additional restructuring charges in the future.</w:t>
      </w:r>
    </w:p>
    <w:p>
      <w:pPr>
        <w:spacing w:after="0" w:line="399"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Asbestos-Related Liabilities</w:t>
      </w:r>
    </w:p>
    <w:p>
      <w:pPr>
        <w:spacing w:after="0" w:line="229"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Crown Cork &amp; Seal Company, Inc. (“Crown Cork”) is one of many defendants in a substantial number of lawsuits filed throughout the U.S. by persons alleging bodily injury as a result of exposure to asbestos. These claims arose from the insulation operations of a U.S. company, the majority of whose stock Crown Cork purchased in 1963. Approximately ninety days after the stock purchase, this U.S. company sold its insulation assets and was later merged into Crown Cork.</w:t>
      </w:r>
    </w:p>
    <w:p>
      <w:pPr>
        <w:spacing w:after="0" w:line="186"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Prior to 1998, amounts paid to asbestos claimants were covered by a fund made available to Crown Cork under a 1985 settlement with carriers insuring Crown Cork through 1976, when Crown Cork became self-insured. The fund was depleted in 1998 and the Company has no remaining coverage for asbestos-related costs.</w:t>
      </w:r>
    </w:p>
    <w:p>
      <w:pPr>
        <w:spacing w:after="0" w:line="181" w:lineRule="exact"/>
        <w:rPr>
          <w:rFonts w:ascii="Arial" w:cs="Arial" w:eastAsia="Arial" w:hAnsi="Arial"/>
          <w:sz w:val="18"/>
          <w:szCs w:val="18"/>
          <w:b w:val="1"/>
          <w:bCs w:val="1"/>
          <w:color w:val="auto"/>
        </w:rPr>
      </w:pPr>
    </w:p>
    <w:p>
      <w:pPr>
        <w:jc w:val="both"/>
        <w:ind w:left="66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In December 2001, the Commonwealth of Pennsylvania enacted legislation that limits the asbestos-related liabilities of Pennsylvania corporations that are successors by corporate merger to companies involved with asbestos. The legislation limits the successor’s liability for asbestos to the acquired company’s asset value adjusted for inflation. Crown Cork has paid significantly more for asbestos-related claims than the acquired company’s adjusted asset value. In November 2004, the legislation was amended to address a Pennsylvania Supreme Court decision (Ieropoli v. AC&amp;S Corporation, et. al., No. 117 EM 2002) which held that the statute violated the Pennsylvania Constitution due to retroactive application. The Company cautions that the limitations of the statute, as amended, are subject to litigation and may not be upheld.</w:t>
      </w:r>
    </w:p>
    <w:p>
      <w:pPr>
        <w:spacing w:after="0" w:line="178" w:lineRule="exact"/>
        <w:rPr>
          <w:rFonts w:ascii="Arial" w:cs="Arial" w:eastAsia="Arial" w:hAnsi="Arial"/>
          <w:sz w:val="18"/>
          <w:szCs w:val="18"/>
          <w:b w:val="1"/>
          <w:bCs w:val="1"/>
          <w:color w:val="auto"/>
        </w:rPr>
      </w:pPr>
    </w:p>
    <w:p>
      <w:pPr>
        <w:jc w:val="both"/>
        <w:ind w:left="6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In June 2003, the state of Texas enacted legislation that limits the asbestos-related liabilities in Texas courts of companies such as Crown Cork that allegedly incurred these liabilities because they are successors by corporate merger to companies that had been involved with asbestos. The Texas legislation, which applies to future claims and pending claims, caps asbestos-related liabilities at the total gross value of the predecessor’s assets adjusted for inflation. Crown Cork has paid significantly more for asbestos-related claims than the total adjusted value of its predecessor’s assets.</w:t>
      </w:r>
    </w:p>
    <w:p>
      <w:pPr>
        <w:spacing w:after="0" w:line="154" w:lineRule="exact"/>
        <w:rPr>
          <w:rFonts w:ascii="Arial" w:cs="Arial" w:eastAsia="Arial" w:hAnsi="Arial"/>
          <w:sz w:val="18"/>
          <w:szCs w:val="18"/>
          <w:b w:val="1"/>
          <w:bCs w:val="1"/>
          <w:color w:val="auto"/>
        </w:rPr>
      </w:pPr>
    </w:p>
    <w:p>
      <w:pPr>
        <w:jc w:val="both"/>
        <w:ind w:left="6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In October 2010, the Texas Supreme Court held that the Texas legislation was unconstitutional under the Texas Constitution when applied to asbestos-related claims pending against Crown Cork when the legislation was enacted in June 2003. The Company believes that the decision of the Texas Supreme Court is limited to retroactive application of the Texas legislation to asbestos-related cases that were pending against Crown Cork in Texas on June 11, 2003 and therefore, in its accrual, continues to assign no value to claims filed after June 11, 2003.</w:t>
      </w:r>
    </w:p>
    <w:p>
      <w:pPr>
        <w:spacing w:after="0" w:line="171" w:lineRule="exact"/>
        <w:rPr>
          <w:rFonts w:ascii="Arial" w:cs="Arial" w:eastAsia="Arial" w:hAnsi="Arial"/>
          <w:sz w:val="18"/>
          <w:szCs w:val="18"/>
          <w:b w:val="1"/>
          <w:bCs w:val="1"/>
          <w:color w:val="auto"/>
        </w:rPr>
      </w:pPr>
    </w:p>
    <w:p>
      <w:pPr>
        <w:jc w:val="both"/>
        <w:ind w:left="6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In recent years, the states of Alabama, Arizona, Arkansas, Florida, Georgia, Idaho, Indiana, Iowa, Kansas, Michigan, Mississippi, Nebraska, North Carolina, North Dakota, Ohio, Oklahoma, South Carolina, South Dakota, Tennessee, Utah, West Virginia, Wisconsin and Wyoming enacted legislation that limits asbestos-related liabilities under state law of companies such as Crown Cork that allegedly incurred these liabilities because they are successors by corporate merger to companies that had been involved with asbestos. The legislation, which applies to future and, with the exception of Arkansas, Georgia, South Carolina, South Dakota, West Virginia and Wyoming, pending claims, caps asbestos-related liabilities at the fair market value of the predecessor's total gross assets adjusted for inflation. Crown Cork has paid significantly more for asbestos-related claims than the total value of its predecessor's assets adjusted for inflation. Crown Cork has integrated the legislation into its claims defense strategy.</w:t>
      </w:r>
    </w:p>
    <w:p>
      <w:pPr>
        <w:spacing w:after="0" w:line="167" w:lineRule="exact"/>
        <w:rPr>
          <w:rFonts w:ascii="Arial" w:cs="Arial" w:eastAsia="Arial" w:hAnsi="Arial"/>
          <w:sz w:val="18"/>
          <w:szCs w:val="18"/>
          <w:b w:val="1"/>
          <w:bCs w:val="1"/>
          <w:color w:val="auto"/>
        </w:rPr>
      </w:pPr>
    </w:p>
    <w:p>
      <w:pPr>
        <w:ind w:left="6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Company further cautions that an adverse ruling in any litigation relating to the constitutionality or applicability to Crown Cork of one or more statutes that limits the asbestos-related liability of alleged defendants like Crown Cork could have a material impact on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4" w:name="page15"/>
    <w:bookmarkEnd w:id="14"/>
    <w:p>
      <w:pPr>
        <w:ind w:left="42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2019, the Company paid $5 to settle outstanding claims and had claims activity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claims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56,000</w:t>
            </w:r>
          </w:p>
        </w:tc>
      </w:tr>
      <w:tr>
        <w:trPr>
          <w:trHeight w:val="243"/>
        </w:trPr>
        <w:tc>
          <w:tcPr>
            <w:tcW w:w="8540" w:type="dxa"/>
            <w:vAlign w:val="bottom"/>
          </w:tcPr>
          <w:p>
            <w:pPr>
              <w:ind w:left="20"/>
              <w:spacing w:after="0"/>
              <w:rPr>
                <w:sz w:val="20"/>
                <w:szCs w:val="20"/>
                <w:color w:val="auto"/>
              </w:rPr>
            </w:pPr>
            <w:r>
              <w:rPr>
                <w:rFonts w:ascii="Arial" w:cs="Arial" w:eastAsia="Arial" w:hAnsi="Arial"/>
                <w:sz w:val="18"/>
                <w:szCs w:val="18"/>
                <w:color w:val="auto"/>
              </w:rPr>
              <w:t>New claims</w:t>
            </w:r>
          </w:p>
        </w:tc>
        <w:tc>
          <w:tcPr>
            <w:tcW w:w="136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85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Settlements or dismissals</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7"/>
        </w:trPr>
        <w:tc>
          <w:tcPr>
            <w:tcW w:w="8540" w:type="dxa"/>
            <w:vAlign w:val="bottom"/>
          </w:tcPr>
          <w:p>
            <w:pPr>
              <w:ind w:left="20"/>
              <w:spacing w:after="0"/>
              <w:rPr>
                <w:sz w:val="20"/>
                <w:szCs w:val="20"/>
                <w:color w:val="auto"/>
              </w:rPr>
            </w:pPr>
            <w:r>
              <w:rPr>
                <w:rFonts w:ascii="Arial" w:cs="Arial" w:eastAsia="Arial" w:hAnsi="Arial"/>
                <w:sz w:val="18"/>
                <w:szCs w:val="18"/>
                <w:color w:val="auto"/>
              </w:rPr>
              <w:t>Ending claims</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56,000</w:t>
            </w:r>
          </w:p>
        </w:tc>
      </w:tr>
      <w:tr>
        <w:trPr>
          <w:trHeight w:val="27"/>
        </w:trPr>
        <w:tc>
          <w:tcPr>
            <w:tcW w:w="85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85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fourth quarter of each year, the Company performs an analysis of outstanding claims and categorizes these claims by year of exposure and state filed. As of December 31, 2018, the Company's outstanding claims were:</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Claimants alleging first exposure after 1964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16,500</w:t>
            </w:r>
          </w:p>
        </w:tc>
      </w:tr>
      <w:tr>
        <w:trPr>
          <w:trHeight w:val="243"/>
        </w:trPr>
        <w:tc>
          <w:tcPr>
            <w:tcW w:w="8540" w:type="dxa"/>
            <w:vAlign w:val="bottom"/>
          </w:tcPr>
          <w:p>
            <w:pPr>
              <w:ind w:left="20"/>
              <w:spacing w:after="0"/>
              <w:rPr>
                <w:sz w:val="20"/>
                <w:szCs w:val="20"/>
                <w:color w:val="auto"/>
              </w:rPr>
            </w:pPr>
            <w:r>
              <w:rPr>
                <w:rFonts w:ascii="Arial" w:cs="Arial" w:eastAsia="Arial" w:hAnsi="Arial"/>
                <w:sz w:val="18"/>
                <w:szCs w:val="18"/>
                <w:color w:val="auto"/>
              </w:rPr>
              <w:t>Claimants alleging first exposure before or during 1964 filed in:</w:t>
            </w:r>
          </w:p>
        </w:tc>
        <w:tc>
          <w:tcPr>
            <w:tcW w:w="1360" w:type="dxa"/>
            <w:vAlign w:val="bottom"/>
          </w:tcPr>
          <w:p>
            <w:pPr>
              <w:spacing w:after="0"/>
              <w:rPr>
                <w:sz w:val="21"/>
                <w:szCs w:val="21"/>
                <w:color w:val="auto"/>
              </w:rPr>
            </w:pPr>
          </w:p>
        </w:tc>
      </w:tr>
      <w:tr>
        <w:trPr>
          <w:trHeight w:val="27"/>
        </w:trPr>
        <w:tc>
          <w:tcPr>
            <w:tcW w:w="85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Texas</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13,000</w:t>
            </w:r>
          </w:p>
        </w:tc>
      </w:tr>
      <w:tr>
        <w:trPr>
          <w:trHeight w:val="243"/>
        </w:trPr>
        <w:tc>
          <w:tcPr>
            <w:tcW w:w="8540" w:type="dxa"/>
            <w:vAlign w:val="bottom"/>
          </w:tcPr>
          <w:p>
            <w:pPr>
              <w:ind w:left="380"/>
              <w:spacing w:after="0"/>
              <w:rPr>
                <w:sz w:val="20"/>
                <w:szCs w:val="20"/>
                <w:color w:val="auto"/>
              </w:rPr>
            </w:pPr>
            <w:r>
              <w:rPr>
                <w:rFonts w:ascii="Arial" w:cs="Arial" w:eastAsia="Arial" w:hAnsi="Arial"/>
                <w:sz w:val="18"/>
                <w:szCs w:val="18"/>
                <w:color w:val="auto"/>
              </w:rPr>
              <w:t>Pennsylvania</w:t>
            </w:r>
          </w:p>
        </w:tc>
        <w:tc>
          <w:tcPr>
            <w:tcW w:w="1360" w:type="dxa"/>
            <w:vAlign w:val="bottom"/>
          </w:tcPr>
          <w:p>
            <w:pPr>
              <w:jc w:val="right"/>
              <w:spacing w:after="0"/>
              <w:rPr>
                <w:sz w:val="20"/>
                <w:szCs w:val="20"/>
                <w:color w:val="auto"/>
              </w:rPr>
            </w:pPr>
            <w:r>
              <w:rPr>
                <w:rFonts w:ascii="Arial" w:cs="Arial" w:eastAsia="Arial" w:hAnsi="Arial"/>
                <w:sz w:val="18"/>
                <w:szCs w:val="18"/>
                <w:color w:val="auto"/>
              </w:rPr>
              <w:t>1,500</w:t>
            </w:r>
          </w:p>
        </w:tc>
      </w:tr>
      <w:tr>
        <w:trPr>
          <w:trHeight w:val="27"/>
        </w:trPr>
        <w:tc>
          <w:tcPr>
            <w:tcW w:w="85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states that have enacted asbestos legislation</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r>
      <w:tr>
        <w:trPr>
          <w:trHeight w:val="243"/>
        </w:trPr>
        <w:tc>
          <w:tcPr>
            <w:tcW w:w="8540" w:type="dxa"/>
            <w:vAlign w:val="bottom"/>
          </w:tcPr>
          <w:p>
            <w:pPr>
              <w:ind w:left="380"/>
              <w:spacing w:after="0"/>
              <w:rPr>
                <w:sz w:val="20"/>
                <w:szCs w:val="20"/>
                <w:color w:val="auto"/>
              </w:rPr>
            </w:pPr>
            <w:r>
              <w:rPr>
                <w:rFonts w:ascii="Arial" w:cs="Arial" w:eastAsia="Arial" w:hAnsi="Arial"/>
                <w:sz w:val="18"/>
                <w:szCs w:val="18"/>
                <w:color w:val="auto"/>
              </w:rPr>
              <w:t>Other states</w:t>
            </w:r>
          </w:p>
        </w:tc>
        <w:tc>
          <w:tcPr>
            <w:tcW w:w="1360" w:type="dxa"/>
            <w:vAlign w:val="bottom"/>
          </w:tcPr>
          <w:p>
            <w:pPr>
              <w:jc w:val="right"/>
              <w:spacing w:after="0"/>
              <w:rPr>
                <w:sz w:val="20"/>
                <w:szCs w:val="20"/>
                <w:color w:val="auto"/>
              </w:rPr>
            </w:pPr>
            <w:r>
              <w:rPr>
                <w:rFonts w:ascii="Arial" w:cs="Arial" w:eastAsia="Arial" w:hAnsi="Arial"/>
                <w:sz w:val="18"/>
                <w:szCs w:val="18"/>
                <w:color w:val="auto"/>
              </w:rPr>
              <w:t>19,000</w:t>
            </w:r>
          </w:p>
        </w:tc>
      </w:tr>
      <w:tr>
        <w:trPr>
          <w:trHeight w:val="27"/>
        </w:trPr>
        <w:tc>
          <w:tcPr>
            <w:tcW w:w="85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claims outstanding</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56,000</w:t>
            </w: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outstanding claims in each period exclude approximately 19,000 inactive claims. Due to the passage of time, the Company considers it unlikely that the plaintiffs in these cases will pursue further action against the Company. The exclusion of these inactive claims had no effect on the calculation of the Company’s accrual as the claims were filed in states, as described above, where the Company’s liability is limited by statute.</w:t>
      </w:r>
    </w:p>
    <w:p>
      <w:pPr>
        <w:spacing w:after="0" w:line="14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With respect to claimants alleging first exposure to asbestos before or during 1964, the Company does not include in its accrual any amounts for settlements in states where the Company’s liability is limited by statute except for certain pending claims in Texas as described earlier.</w:t>
      </w:r>
    </w:p>
    <w:p>
      <w:pPr>
        <w:spacing w:after="0" w:line="1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With respect to post-1964 claims, regardless of the existence of asbestos legislation, the Company does not include in its accrual any amounts for settlement of these claims because of increased difficulty of establishing identification of relevant insulation products as the cause of injury. Given the Company's settlement experience with post-1964 claims, it does not believe that an adverse ruling in the Texas or Pennsylvania asbestos litigation cases, or in any other state that has enacted asbestos legislation, would have a material impact on the Company with respect to such claims.</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the percentage of outstanding claims related to claimants alleging serious diseases (primarily mesothelioma and other malignancies) were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20"/>
                <w:szCs w:val="20"/>
                <w:color w:val="auto"/>
              </w:rPr>
            </w:pP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2018</w:t>
            </w:r>
          </w:p>
        </w:tc>
        <w:tc>
          <w:tcPr>
            <w:tcW w:w="500" w:type="dxa"/>
            <w:vAlign w:val="bottom"/>
          </w:tcPr>
          <w:p>
            <w:pPr>
              <w:spacing w:after="0"/>
              <w:rPr>
                <w:sz w:val="20"/>
                <w:szCs w:val="20"/>
                <w:color w:val="auto"/>
              </w:rPr>
            </w:pP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2017</w:t>
            </w:r>
          </w:p>
        </w:tc>
      </w:tr>
      <w:tr>
        <w:trPr>
          <w:trHeight w:val="27"/>
        </w:trPr>
        <w:tc>
          <w:tcPr>
            <w:tcW w:w="65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claims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5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6540" w:type="dxa"/>
            <w:vAlign w:val="bottom"/>
          </w:tcPr>
          <w:p>
            <w:pPr>
              <w:ind w:left="20"/>
              <w:spacing w:after="0"/>
              <w:rPr>
                <w:sz w:val="20"/>
                <w:szCs w:val="20"/>
                <w:color w:val="auto"/>
              </w:rPr>
            </w:pPr>
            <w:r>
              <w:rPr>
                <w:rFonts w:ascii="Arial" w:cs="Arial" w:eastAsia="Arial" w:hAnsi="Arial"/>
                <w:sz w:val="18"/>
                <w:szCs w:val="18"/>
                <w:color w:val="auto"/>
              </w:rPr>
              <w:t>Pre-1964 claims in states without asbestos legislation</w:t>
            </w:r>
          </w:p>
        </w:tc>
        <w:tc>
          <w:tcPr>
            <w:tcW w:w="1480" w:type="dxa"/>
            <w:vAlign w:val="bottom"/>
          </w:tcPr>
          <w:p>
            <w:pPr>
              <w:jc w:val="right"/>
              <w:spacing w:after="0"/>
              <w:rPr>
                <w:sz w:val="20"/>
                <w:szCs w:val="20"/>
                <w:color w:val="auto"/>
              </w:rPr>
            </w:pPr>
            <w:r>
              <w:rPr>
                <w:rFonts w:ascii="Arial" w:cs="Arial" w:eastAsia="Arial" w:hAnsi="Arial"/>
                <w:sz w:val="18"/>
                <w:szCs w:val="18"/>
                <w:color w:val="auto"/>
              </w:rPr>
              <w:t>41%</w:t>
            </w:r>
          </w:p>
        </w:tc>
        <w:tc>
          <w:tcPr>
            <w:tcW w:w="5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41%</w:t>
            </w:r>
          </w:p>
        </w:tc>
      </w:tr>
    </w:tbl>
    <w:p>
      <w:pPr>
        <w:spacing w:after="0" w:line="200" w:lineRule="exact"/>
        <w:rPr>
          <w:sz w:val="20"/>
          <w:szCs w:val="20"/>
          <w:color w:val="auto"/>
        </w:rPr>
      </w:pPr>
    </w:p>
    <w:p>
      <w:pPr>
        <w:spacing w:after="0" w:line="24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Crown Cork has entered into arrangements with plaintiffs’ counsel in certain jurisdictions with respect to claims which are not yet filed, or asserted, against it. However, Crown Cork expects claims under these arrangements to be filed or asserted against Crown Cork in the future. The projected value of these claims is included in the Company’s estimated liability as of June 30, 2019.</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2019, the Company’s accrual for pending and future asbestos-related claims and related legal costs was $288, including $236 for unasserted claims. The Company determines its accrual without limitation to a specific time period.</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It is reasonably possible that the actual loss could be in excess of the Company’s accrual. However, the Company is unable to estimate the reasonably possible loss in excess of its accrual due to uncertainty in the following assumptions that underlie the Company’s accrual and the possibility of losses in excess of such accrual: the amount of damages sought by the claimant (which was not specified for approximately 81% of the claims outstanding at the end of 2018), the Company and claimant’s willingness to negotiate a settlement, the terms of settlements of other defendants with asbestos-related liabilities, the bankruptcy filings of other defendants (which may result in additional claims and higher settlements for non-bankrupt defendants), the nature of pending and future claims (including the seriousness of alleged disease,</w:t>
      </w:r>
    </w:p>
    <w:p>
      <w:pPr>
        <w:sectPr>
          <w:pgSz w:w="11900" w:h="16838" w:orient="portrait"/>
          <w:cols w:equalWidth="0" w:num="1">
            <w:col w:w="10760"/>
          </w:cols>
          <w:pgMar w:left="900" w:top="121" w:right="239" w:bottom="1440" w:gutter="0" w:footer="0" w:header="0"/>
        </w:sectPr>
      </w:pPr>
    </w:p>
    <w:p>
      <w:pPr>
        <w:spacing w:after="0" w:line="205"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0760"/>
          </w:cols>
          <w:pgMar w:left="900" w:top="121" w:right="2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whether claimants allege first exposure to asbestos before or during 1964 and the claimant’s ability to demonstrate the alleged link to Crown Cork), the volatility of the litigation environment, the defense strategies available to the Company, the level of future claims, the rate of receipt of claims, the jurisdiction in which claims are filed, and the effect of state asbestos legislation (including the validity and applicability of the Pennsylvania legislation to non-Pennsylvania jurisdictions, where the substantial majority of the Company’s asbestos cases are filed).</w:t>
      </w:r>
    </w:p>
    <w:p>
      <w:pPr>
        <w:spacing w:after="0" w:line="384"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Contingent Liabilities</w:t>
      </w:r>
    </w:p>
    <w:p>
      <w:pPr>
        <w:spacing w:after="0" w:line="229" w:lineRule="exact"/>
        <w:rPr>
          <w:rFonts w:ascii="Arial" w:cs="Arial" w:eastAsia="Arial" w:hAnsi="Arial"/>
          <w:sz w:val="18"/>
          <w:szCs w:val="18"/>
          <w:b w:val="1"/>
          <w:bCs w:val="1"/>
          <w:color w:val="auto"/>
        </w:rPr>
      </w:pPr>
    </w:p>
    <w:p>
      <w:pPr>
        <w:jc w:val="both"/>
        <w:ind w:left="66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Company, along with others in most cases, has been identified by the EPA or a comparable state environmental agency as a Potentially Responsible Party (“PRP”) at a number of sites and has recorded aggregate accruals of $7 for its share of estimated future remediation costs at these sites. The Company has been identified as having either directly or indirectly disposed of commercial or industrial waste at the sites subject to the accrual, and where appropriate and supported by available information, generally has agreed to be responsible for a percentage of future remediation costs based on an estimated volume of materials disposed in proportion to the total materials disposed at each site. The Company has not had monetary sanctions imposed nor has the Company been notified of any potential monetary sanctions at any of the sites.</w:t>
      </w:r>
    </w:p>
    <w:p>
      <w:pPr>
        <w:spacing w:after="0" w:line="178" w:lineRule="exact"/>
        <w:rPr>
          <w:rFonts w:ascii="Arial" w:cs="Arial" w:eastAsia="Arial" w:hAnsi="Arial"/>
          <w:sz w:val="18"/>
          <w:szCs w:val="18"/>
          <w:b w:val="1"/>
          <w:bCs w:val="1"/>
          <w:color w:val="auto"/>
        </w:rPr>
      </w:pPr>
    </w:p>
    <w:p>
      <w:pPr>
        <w:ind w:left="660"/>
        <w:spacing w:after="0" w:line="258" w:lineRule="auto"/>
        <w:rPr>
          <w:rFonts w:ascii="Arial" w:cs="Arial" w:eastAsia="Arial" w:hAnsi="Arial"/>
          <w:sz w:val="18"/>
          <w:szCs w:val="18"/>
          <w:b w:val="1"/>
          <w:bCs w:val="1"/>
          <w:color w:val="auto"/>
        </w:rPr>
      </w:pPr>
      <w:r>
        <w:rPr>
          <w:rFonts w:ascii="Arial" w:cs="Arial" w:eastAsia="Arial" w:hAnsi="Arial"/>
          <w:sz w:val="18"/>
          <w:szCs w:val="18"/>
          <w:color w:val="auto"/>
        </w:rPr>
        <w:t>The Company has also recorded aggregate accruals of $8 for remediation activities at various worldwide locations that are owned by the Company and for which the Company is not a member of a PRP group. Although the Company believes</w:t>
      </w:r>
    </w:p>
    <w:p>
      <w:pPr>
        <w:spacing w:after="0" w:line="1" w:lineRule="exact"/>
        <w:rPr>
          <w:rFonts w:ascii="Arial" w:cs="Arial" w:eastAsia="Arial" w:hAnsi="Arial"/>
          <w:sz w:val="18"/>
          <w:szCs w:val="18"/>
          <w:b w:val="1"/>
          <w:bCs w:val="1"/>
          <w:color w:val="auto"/>
        </w:rPr>
      </w:pPr>
    </w:p>
    <w:p>
      <w:pPr>
        <w:jc w:val="both"/>
        <w:ind w:left="6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its accruals are adequate to cover its portion of future remediation costs, there can be no assurance that the ultimate payments will not exceed the amount of the Company’s accruals and will not have a material effect on its results of operations, financial position and cash flow. Any possible loss or range of potential loss that may be incurred in excess of the recorded accruals cannot be estimated.</w:t>
      </w:r>
    </w:p>
    <w:p>
      <w:pPr>
        <w:spacing w:after="0" w:line="190" w:lineRule="exact"/>
        <w:rPr>
          <w:rFonts w:ascii="Arial" w:cs="Arial" w:eastAsia="Arial" w:hAnsi="Arial"/>
          <w:sz w:val="18"/>
          <w:szCs w:val="18"/>
          <w:b w:val="1"/>
          <w:bCs w:val="1"/>
          <w:color w:val="auto"/>
        </w:rPr>
      </w:pPr>
    </w:p>
    <w:p>
      <w:pPr>
        <w:jc w:val="both"/>
        <w:ind w:left="66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In March 2015, the Bundeskartellamt, or German Federal Cartel Office (“FCO”), conducted unannounced inspections of the premises of several metal packaging manufacturers, including a German subsidiary of the Company. The local court order authorizing the inspection cited FCO suspicions of anti-competitive agreements in the German market for the supply of metal packaging products. The Company conducted an internal investigation into the matter and discovered instances of inappropriate conduct by certain employees of German subsidiaries of the Company. The Company cooperated with the FCO and submitted a leniency application with the FCO which disclosed the findings of its internal investigation to date. In April 2018, the FCO discontinued its national investigation and referred the matter to the European Commission (the “Commission”). Following the referral, Commission officials conducted unannounced inspections of the premises of several metal packaging manufacturers, including Company subsidiaries in Germany, France and the United Kingdom.</w:t>
      </w:r>
    </w:p>
    <w:p>
      <w:pPr>
        <w:spacing w:after="0" w:line="178" w:lineRule="exact"/>
        <w:rPr>
          <w:rFonts w:ascii="Arial" w:cs="Arial" w:eastAsia="Arial" w:hAnsi="Arial"/>
          <w:sz w:val="18"/>
          <w:szCs w:val="18"/>
          <w:b w:val="1"/>
          <w:bCs w:val="1"/>
          <w:color w:val="auto"/>
        </w:rPr>
      </w:pPr>
    </w:p>
    <w:p>
      <w:pPr>
        <w:jc w:val="both"/>
        <w:ind w:left="6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Commission's investigation is ongoing and, to date, the Commission has not officially charged the Company or any of its subsidiaries with violations of competition law. The Company is cooperating with the Commission and submitted a leniency application with the Commission with respect to the findings of the investigation in Germany referenced above. This application may lead to the reduction of possible future penalties. At this stage of the investigation the Company believes that a loss is probable but is unable to predict the ultimate outcome of the Commission’s investigation and is unable to estimate the loss or possible range of losses that could be incurred, and has therefore not recorded a charge in connection with the actions by the Commission. If the Commission finds that the Company or any of its subsidiaries violated competition law, fines levied by the Commission could be material to the Company's operating results and cash flows for the periods in which they are resolved or become reasonably estimable.</w:t>
      </w:r>
    </w:p>
    <w:p>
      <w:pPr>
        <w:spacing w:after="0" w:line="192" w:lineRule="exact"/>
        <w:rPr>
          <w:rFonts w:ascii="Arial" w:cs="Arial" w:eastAsia="Arial" w:hAnsi="Arial"/>
          <w:sz w:val="18"/>
          <w:szCs w:val="18"/>
          <w:b w:val="1"/>
          <w:bCs w:val="1"/>
          <w:color w:val="auto"/>
        </w:rPr>
      </w:pPr>
    </w:p>
    <w:p>
      <w:pPr>
        <w:jc w:val="both"/>
        <w:ind w:left="66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In March 2017, U.S. Customs and Border Protection (“CBP”) at the Port of Milwaukee issued a penalty notification alleging that certain of the Company’s subsidiaries intentionally misclassified the importation of certain goods into the U.S. during the period 2004-2009. CBP initially assessed a penalty of $18 and subsequently mitigated to $6. The Company has acknowledged to CBP that the goods were misclassified and has paid all related duties. The Company has asserted that the misclassification was unintentional and disputes the penalty assessment. At the present time, based on the information available, the Company does not believe that a loss for the alleged intentional misclassification is probable. There can be no assurance the Company will be successful in contesting the assessed penalty.</w:t>
      </w:r>
    </w:p>
    <w:p>
      <w:pPr>
        <w:spacing w:after="0" w:line="178" w:lineRule="exact"/>
        <w:rPr>
          <w:rFonts w:ascii="Arial" w:cs="Arial" w:eastAsia="Arial" w:hAnsi="Arial"/>
          <w:sz w:val="18"/>
          <w:szCs w:val="18"/>
          <w:b w:val="1"/>
          <w:bCs w:val="1"/>
          <w:color w:val="auto"/>
        </w:rPr>
      </w:pPr>
    </w:p>
    <w:p>
      <w:pPr>
        <w:jc w:val="both"/>
        <w:ind w:left="6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Company and its subsidiaries are also subject to various other lawsuits and claims with respect to governmental, labor, environmental, securities, vendor and other matters arising out of the Company’s normal course of business. While the impact on future financial results is not subject to reasonable estimation because considerable uncertainty exists, management believes that the ultimate liabilities resulting from such lawsuits and claims will not materially affect the Company’s consolidated earnings, financial position or cash flow.</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Company has various commitments to purchase materials, supplies and utilities as part of the ordinary course of business. The Company’s basic raw materials for its products are steel and aluminum, both of which are purchased from multiple sources. The Company is subject to fluctuations in the cost of these raw materials (including in connection with tariffs recently imposed in the U.S., which may increase costs) and has periodically adjusted its selling prices to reflect these movements. There can be no assurance that the Company will be able to fully recover any increases or fluctuations in raw material costs from its customers. The Company also has commitments for standby letters of credit and for purchases of capital assets.</w:t>
      </w:r>
    </w:p>
    <w:p>
      <w:pPr>
        <w:spacing w:after="0" w:line="16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At June 30, 2019, the Company was party to certain indemnification agreements covering environmental remediation, lease payments and other potential costs associated with properties sold or businesses divested. The Company accrues for costs related to these items when it is probable that a liability has been incurred and the amount can be reasonably estimated.</w:t>
      </w:r>
    </w:p>
    <w:p>
      <w:pPr>
        <w:spacing w:after="0" w:line="393" w:lineRule="exact"/>
        <w:rPr>
          <w:sz w:val="20"/>
          <w:szCs w:val="20"/>
          <w:color w:val="auto"/>
        </w:rPr>
      </w:pPr>
    </w:p>
    <w:p>
      <w:pPr>
        <w:ind w:left="660" w:right="7380" w:hanging="652"/>
        <w:spacing w:after="0" w:line="503" w:lineRule="auto"/>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Derivative and Other Financial Instruments </w:t>
      </w:r>
      <w:r>
        <w:rPr>
          <w:rFonts w:ascii="Arial" w:cs="Arial" w:eastAsia="Arial" w:hAnsi="Arial"/>
          <w:sz w:val="18"/>
          <w:szCs w:val="18"/>
          <w:u w:val="single" w:color="auto"/>
          <w:color w:val="auto"/>
        </w:rPr>
        <w:t>Fair Value Measurements</w:t>
      </w:r>
    </w:p>
    <w:p>
      <w:pPr>
        <w:jc w:val="both"/>
        <w:ind w:left="66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Under GAAP a framework exists for measuring fair value, providing a three-tier hierarchy of pricing inputs used to report assets and liabilities that are adjusted to fair value. Level 1 includes inputs such as quoted prices which are available in active markets for identical assets or liabilities as of the report date. Level 2 includes inputs other than those available in active markets included in Level 1, which are either directly or indirectly observable as of the reporting date. Level 3 includes unobservable pricing inputs that are not corroborated by market data or other objective sources. The Company has no recurring items valued using Level 3 inputs other than certain pension plan assets.</w:t>
      </w:r>
    </w:p>
    <w:p>
      <w:pPr>
        <w:spacing w:after="0" w:line="172"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utilizes market data or assumptions that market participants would use in pricing the asset or liability. The Company’s assessment of the significance of a particular input to the fair value measurement requires judgment and may affect the valuation of assets and liabilities measured at fair value and their placement within the fair value hierarchy.</w:t>
      </w:r>
    </w:p>
    <w:p>
      <w:pPr>
        <w:spacing w:after="0" w:line="181" w:lineRule="exact"/>
        <w:rPr>
          <w:rFonts w:ascii="Arial" w:cs="Arial" w:eastAsia="Arial" w:hAnsi="Arial"/>
          <w:sz w:val="18"/>
          <w:szCs w:val="18"/>
          <w:b w:val="1"/>
          <w:bCs w:val="1"/>
          <w:color w:val="auto"/>
        </w:rPr>
      </w:pPr>
    </w:p>
    <w:p>
      <w:pPr>
        <w:jc w:val="both"/>
        <w:ind w:left="6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applies a market approach to value its commodity price hedge contracts. Prices from observable markets are used to develop the fair value of these financial instruments and they are reported under Level 2. The Company uses an income approach to value its foreign exchange forward contracts. These contracts are valued using a discounted cash flow model that calculates the present value of future cash flows under the terms of the contracts using market information as of the reporting date, such as foreign exchange spot and forward rates, and are reported under Level 2 of the fair value hierarchy.</w:t>
      </w:r>
    </w:p>
    <w:p>
      <w:pPr>
        <w:spacing w:after="0" w:line="188"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Fair value disclosures for financial assets and liabilities that were accounted for at fair value on a recurring basis are provided later in this note. In addition, see </w:t>
      </w:r>
      <w:hyperlink w:anchor="page22">
        <w:r>
          <w:rPr>
            <w:rFonts w:ascii="Arial" w:cs="Arial" w:eastAsia="Arial" w:hAnsi="Arial"/>
            <w:sz w:val="18"/>
            <w:szCs w:val="18"/>
            <w:u w:val="single" w:color="auto"/>
            <w:color w:val="0000EE"/>
          </w:rPr>
          <w:t>Note N</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fair value disclosures related to debt.</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u w:val="single" w:color="auto"/>
          <w:color w:val="auto"/>
        </w:rPr>
        <w:t>Derivative Financial Instruments</w:t>
      </w:r>
    </w:p>
    <w:p>
      <w:pPr>
        <w:spacing w:after="0" w:line="225" w:lineRule="exact"/>
        <w:rPr>
          <w:rFonts w:ascii="Arial" w:cs="Arial" w:eastAsia="Arial" w:hAnsi="Arial"/>
          <w:sz w:val="18"/>
          <w:szCs w:val="18"/>
          <w:color w:val="auto"/>
        </w:rPr>
      </w:pPr>
    </w:p>
    <w:p>
      <w:pPr>
        <w:jc w:val="both"/>
        <w:ind w:left="660"/>
        <w:spacing w:after="0" w:line="279" w:lineRule="auto"/>
        <w:rPr>
          <w:rFonts w:ascii="Arial" w:cs="Arial" w:eastAsia="Arial" w:hAnsi="Arial"/>
          <w:sz w:val="18"/>
          <w:szCs w:val="18"/>
          <w:color w:val="auto"/>
        </w:rPr>
      </w:pPr>
      <w:r>
        <w:rPr>
          <w:rFonts w:ascii="Arial" w:cs="Arial" w:eastAsia="Arial" w:hAnsi="Arial"/>
          <w:sz w:val="17"/>
          <w:szCs w:val="17"/>
          <w:color w:val="auto"/>
        </w:rPr>
        <w:t>In the normal course of business the Company is subject to risk from adverse fluctuations in currency exchange rates, interest rates and commodity prices. The Company manages these risks through a program that includes the use of derivative financial instruments, primarily swaps and forwards. Counterparties to these contracts are major financial institutions. The Company is exposed to credit loss in the event of nonperformance by these counterparties. The Company does not use derivative instruments for trading or speculative purposes.</w:t>
      </w:r>
    </w:p>
    <w:p>
      <w:pPr>
        <w:spacing w:after="0" w:line="171" w:lineRule="exact"/>
        <w:rPr>
          <w:rFonts w:ascii="Arial" w:cs="Arial" w:eastAsia="Arial" w:hAnsi="Arial"/>
          <w:sz w:val="18"/>
          <w:szCs w:val="18"/>
          <w:color w:val="auto"/>
        </w:rPr>
      </w:pPr>
    </w:p>
    <w:p>
      <w:pPr>
        <w:jc w:val="both"/>
        <w:ind w:left="660"/>
        <w:spacing w:after="0" w:line="302" w:lineRule="auto"/>
        <w:rPr>
          <w:rFonts w:ascii="Arial" w:cs="Arial" w:eastAsia="Arial" w:hAnsi="Arial"/>
          <w:sz w:val="18"/>
          <w:szCs w:val="18"/>
          <w:color w:val="auto"/>
        </w:rPr>
      </w:pPr>
      <w:r>
        <w:rPr>
          <w:rFonts w:ascii="Arial" w:cs="Arial" w:eastAsia="Arial" w:hAnsi="Arial"/>
          <w:sz w:val="16"/>
          <w:szCs w:val="16"/>
          <w:color w:val="auto"/>
        </w:rPr>
        <w:t>The Company’s objective in managing exposure to market and interest rate risk is to limit the impact on earnings and cash flow. The extent to which the Company uses such instruments is dependent upon its access to these contracts in the financial markets and its success using other methods, such as netting exposures in the same currencies to mitigate foreign exchange risk, using sales agreements that permit the pass-through of commodity price and foreign exchange rate risk to customers and borrowing both fixed and floating debt instruments to manage interest rate risk.</w:t>
      </w:r>
    </w:p>
    <w:p>
      <w:pPr>
        <w:spacing w:after="0" w:line="370" w:lineRule="exact"/>
        <w:rPr>
          <w:rFonts w:ascii="Arial" w:cs="Arial" w:eastAsia="Arial" w:hAnsi="Arial"/>
          <w:sz w:val="18"/>
          <w:szCs w:val="18"/>
          <w:color w:val="auto"/>
        </w:rPr>
      </w:pPr>
    </w:p>
    <w:p>
      <w:pPr>
        <w:jc w:val="both"/>
        <w:ind w:left="660"/>
        <w:spacing w:after="0" w:line="257" w:lineRule="auto"/>
        <w:rPr>
          <w:rFonts w:ascii="Arial" w:cs="Arial" w:eastAsia="Arial" w:hAnsi="Arial"/>
          <w:sz w:val="18"/>
          <w:szCs w:val="18"/>
          <w:color w:val="auto"/>
        </w:rPr>
      </w:pPr>
      <w:r>
        <w:rPr>
          <w:rFonts w:ascii="Arial" w:cs="Arial" w:eastAsia="Arial" w:hAnsi="Arial"/>
          <w:sz w:val="18"/>
          <w:szCs w:val="18"/>
          <w:color w:val="auto"/>
        </w:rPr>
        <w:t>For derivative financial instruments accounted for in hedging relationships, the Company formally designates and documents, at inception, the financial instrument as a hedge of a specific underlying exposure, the risk management objective and the manner in which effectiveness will be assessed. The Company formally assesses, both at inception and at least quarterly thereafter, whether the hedging relationships are effective in offsetting changes in fair value or cash flows of the related underlying exposures. When a hedge no longer qualifies for hedge accounting, the change in fair value from the date of the last effectiveness test is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17" w:name="page18"/>
    <w:bookmarkEnd w:id="17"/>
    <w:p>
      <w:pPr>
        <w:ind w:left="42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recognized in earnings. Any gain or loss which has accumulated in other comprehensive income at the date of the last effectiveness test is reclassified into earnings at the same time of the underlying exposure.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Flow Hedges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designates certain derivative financial instruments as cash flow hedges. No components of the hedging instruments are excluded from the assessment of hedge effectiveness. Changes in fair value of outstanding derivatives accounted for as cash flow hedges are recorded in accumulated other comprehensive income until earnings are impacted by the hedged transaction. Classification of the gain or loss in the Consolidated Statements of Operations upon reclassification from accumulated comprehensive income is the same as that of the underlying exposure. Contracts outstanding at June 30, 2019 mature between one and thirty-three months.</w:t>
      </w:r>
    </w:p>
    <w:p>
      <w:pPr>
        <w:spacing w:after="0" w:line="17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When the Company discontinues hedge accounting because it is no longer probable that an anticipated transaction will occur in the originally specified period, changes to the fair value accumulated in other comprehensive income are recognized immediately in earnings.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uses forward contracts to hedge anticipated purchases of various commodities, including aluminum, fuel oil and natural gas, and these exposures are hedged by a central treasury unit.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also designates certain foreign exchange contracts as cash flow hedges of anticipated foreign currency denominated sales or purchases. The Company manages these risks at the operating unit level. Foreign currency risk is generally hedged with the related commodity price risk.</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June 2019, the Company entered into interest rate swaps to convert $200 of the U.S. dollar term loan facility from floating-rate to a fixed-rate of approximately 1.82%. These interest rate swaps mature in June 2021.</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set forth financial information about the impact on other comprehensive income ("OCI"), accumulated other comprehensive income (“AOCI”) and earnings from changes in the fair value of derivative instruments.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gridSpan w:val="5"/>
          </w:tcPr>
          <w:p>
            <w:pPr>
              <w:jc w:val="center"/>
              <w:ind w:right="220"/>
              <w:spacing w:after="0"/>
              <w:rPr>
                <w:sz w:val="20"/>
                <w:szCs w:val="20"/>
                <w:color w:val="auto"/>
              </w:rPr>
            </w:pPr>
            <w:r>
              <w:rPr>
                <w:rFonts w:ascii="Arial" w:cs="Arial" w:eastAsia="Arial" w:hAnsi="Arial"/>
                <w:sz w:val="18"/>
                <w:szCs w:val="18"/>
                <w:color w:val="auto"/>
                <w:w w:val="94"/>
              </w:rPr>
              <w:t>Amount of gain/(loss)</w:t>
            </w:r>
          </w:p>
        </w:tc>
        <w:tc>
          <w:tcPr>
            <w:tcW w:w="200" w:type="dxa"/>
            <w:vAlign w:val="bottom"/>
          </w:tcPr>
          <w:p>
            <w:pPr>
              <w:spacing w:after="0"/>
              <w:rPr>
                <w:sz w:val="20"/>
                <w:szCs w:val="20"/>
                <w:color w:val="auto"/>
              </w:rPr>
            </w:pPr>
          </w:p>
        </w:tc>
        <w:tc>
          <w:tcPr>
            <w:tcW w:w="2120" w:type="dxa"/>
            <w:vAlign w:val="bottom"/>
            <w:gridSpan w:val="5"/>
          </w:tcPr>
          <w:p>
            <w:pPr>
              <w:jc w:val="center"/>
              <w:ind w:right="240"/>
              <w:spacing w:after="0"/>
              <w:rPr>
                <w:sz w:val="20"/>
                <w:szCs w:val="20"/>
                <w:color w:val="auto"/>
              </w:rPr>
            </w:pPr>
            <w:r>
              <w:rPr>
                <w:rFonts w:ascii="Arial" w:cs="Arial" w:eastAsia="Arial" w:hAnsi="Arial"/>
                <w:sz w:val="18"/>
                <w:szCs w:val="18"/>
                <w:color w:val="auto"/>
                <w:w w:val="94"/>
              </w:rPr>
              <w:t>Amount of gain/(loss)</w:t>
            </w:r>
          </w:p>
        </w:tc>
        <w:tc>
          <w:tcPr>
            <w:tcW w:w="2420" w:type="dxa"/>
            <w:vAlign w:val="bottom"/>
          </w:tcPr>
          <w:p>
            <w:pPr>
              <w:spacing w:after="0"/>
              <w:rPr>
                <w:sz w:val="20"/>
                <w:szCs w:val="20"/>
                <w:color w:val="auto"/>
              </w:rPr>
            </w:pPr>
          </w:p>
        </w:tc>
      </w:tr>
      <w:tr>
        <w:trPr>
          <w:trHeight w:val="270"/>
        </w:trPr>
        <w:tc>
          <w:tcPr>
            <w:tcW w:w="2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60" w:type="dxa"/>
            <w:vAlign w:val="bottom"/>
            <w:gridSpan w:val="5"/>
          </w:tcPr>
          <w:p>
            <w:pPr>
              <w:jc w:val="center"/>
              <w:ind w:right="260"/>
              <w:spacing w:after="0"/>
              <w:rPr>
                <w:sz w:val="20"/>
                <w:szCs w:val="20"/>
                <w:color w:val="auto"/>
              </w:rPr>
            </w:pPr>
            <w:r>
              <w:rPr>
                <w:rFonts w:ascii="Arial" w:cs="Arial" w:eastAsia="Arial" w:hAnsi="Arial"/>
                <w:sz w:val="18"/>
                <w:szCs w:val="18"/>
                <w:color w:val="auto"/>
                <w:w w:val="91"/>
              </w:rPr>
              <w:t>recognized in OCI</w:t>
            </w:r>
          </w:p>
        </w:tc>
        <w:tc>
          <w:tcPr>
            <w:tcW w:w="200" w:type="dxa"/>
            <w:vAlign w:val="bottom"/>
          </w:tcPr>
          <w:p>
            <w:pPr>
              <w:spacing w:after="0"/>
              <w:rPr>
                <w:sz w:val="23"/>
                <w:szCs w:val="23"/>
                <w:color w:val="auto"/>
              </w:rPr>
            </w:pPr>
          </w:p>
        </w:tc>
        <w:tc>
          <w:tcPr>
            <w:tcW w:w="2120" w:type="dxa"/>
            <w:vAlign w:val="bottom"/>
            <w:gridSpan w:val="5"/>
          </w:tcPr>
          <w:p>
            <w:pPr>
              <w:jc w:val="center"/>
              <w:ind w:right="280"/>
              <w:spacing w:after="0"/>
              <w:rPr>
                <w:sz w:val="20"/>
                <w:szCs w:val="20"/>
                <w:color w:val="auto"/>
              </w:rPr>
            </w:pPr>
            <w:r>
              <w:rPr>
                <w:rFonts w:ascii="Arial" w:cs="Arial" w:eastAsia="Arial" w:hAnsi="Arial"/>
                <w:sz w:val="18"/>
                <w:szCs w:val="18"/>
                <w:color w:val="auto"/>
                <w:w w:val="91"/>
              </w:rPr>
              <w:t>recognized in OCI</w:t>
            </w:r>
          </w:p>
        </w:tc>
        <w:tc>
          <w:tcPr>
            <w:tcW w:w="2420" w:type="dxa"/>
            <w:vAlign w:val="bottom"/>
          </w:tcPr>
          <w:p>
            <w:pPr>
              <w:spacing w:after="0"/>
              <w:rPr>
                <w:sz w:val="23"/>
                <w:szCs w:val="23"/>
                <w:color w:val="auto"/>
              </w:rPr>
            </w:pPr>
          </w:p>
        </w:tc>
      </w:tr>
      <w:tr>
        <w:trPr>
          <w:trHeight w:val="27"/>
        </w:trPr>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237"/>
        </w:trPr>
        <w:tc>
          <w:tcPr>
            <w:tcW w:w="2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gridSpan w:val="5"/>
          </w:tcPr>
          <w:p>
            <w:pPr>
              <w:jc w:val="center"/>
              <w:ind w:right="260"/>
              <w:spacing w:after="0"/>
              <w:rPr>
                <w:sz w:val="20"/>
                <w:szCs w:val="20"/>
                <w:color w:val="auto"/>
              </w:rPr>
            </w:pPr>
            <w:r>
              <w:rPr>
                <w:rFonts w:ascii="Arial" w:cs="Arial" w:eastAsia="Arial" w:hAnsi="Arial"/>
                <w:sz w:val="18"/>
                <w:szCs w:val="18"/>
                <w:color w:val="auto"/>
                <w:w w:val="90"/>
              </w:rPr>
              <w:t>Three Months Ended</w:t>
            </w:r>
          </w:p>
        </w:tc>
        <w:tc>
          <w:tcPr>
            <w:tcW w:w="200" w:type="dxa"/>
            <w:vAlign w:val="bottom"/>
          </w:tcPr>
          <w:p>
            <w:pPr>
              <w:spacing w:after="0"/>
              <w:rPr>
                <w:sz w:val="20"/>
                <w:szCs w:val="20"/>
                <w:color w:val="auto"/>
              </w:rPr>
            </w:pPr>
          </w:p>
        </w:tc>
        <w:tc>
          <w:tcPr>
            <w:tcW w:w="2120" w:type="dxa"/>
            <w:vAlign w:val="bottom"/>
            <w:gridSpan w:val="5"/>
          </w:tcPr>
          <w:p>
            <w:pPr>
              <w:jc w:val="center"/>
              <w:ind w:right="260"/>
              <w:spacing w:after="0"/>
              <w:rPr>
                <w:sz w:val="20"/>
                <w:szCs w:val="20"/>
                <w:color w:val="auto"/>
              </w:rPr>
            </w:pPr>
            <w:r>
              <w:rPr>
                <w:rFonts w:ascii="Arial" w:cs="Arial" w:eastAsia="Arial" w:hAnsi="Arial"/>
                <w:sz w:val="18"/>
                <w:szCs w:val="18"/>
                <w:color w:val="auto"/>
                <w:w w:val="91"/>
              </w:rPr>
              <w:t>Six Months Ended</w:t>
            </w:r>
          </w:p>
        </w:tc>
        <w:tc>
          <w:tcPr>
            <w:tcW w:w="2420" w:type="dxa"/>
            <w:vAlign w:val="bottom"/>
          </w:tcPr>
          <w:p>
            <w:pPr>
              <w:spacing w:after="0"/>
              <w:rPr>
                <w:sz w:val="20"/>
                <w:szCs w:val="20"/>
                <w:color w:val="auto"/>
              </w:rPr>
            </w:pPr>
          </w:p>
        </w:tc>
      </w:tr>
      <w:tr>
        <w:trPr>
          <w:trHeight w:val="270"/>
        </w:trPr>
        <w:tc>
          <w:tcPr>
            <w:tcW w:w="2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gridSpan w:val="3"/>
          </w:tcPr>
          <w:p>
            <w:pPr>
              <w:jc w:val="center"/>
              <w:ind w:left="470"/>
              <w:spacing w:after="0"/>
              <w:rPr>
                <w:sz w:val="20"/>
                <w:szCs w:val="20"/>
                <w:color w:val="auto"/>
              </w:rPr>
            </w:pPr>
            <w:r>
              <w:rPr>
                <w:rFonts w:ascii="Arial" w:cs="Arial" w:eastAsia="Arial" w:hAnsi="Arial"/>
                <w:sz w:val="18"/>
                <w:szCs w:val="18"/>
                <w:color w:val="auto"/>
                <w:w w:val="86"/>
              </w:rPr>
              <w:t>June 30,</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3"/>
          </w:tcPr>
          <w:p>
            <w:pPr>
              <w:jc w:val="center"/>
              <w:ind w:left="470"/>
              <w:spacing w:after="0"/>
              <w:rPr>
                <w:sz w:val="20"/>
                <w:szCs w:val="20"/>
                <w:color w:val="auto"/>
              </w:rPr>
            </w:pPr>
            <w:r>
              <w:rPr>
                <w:rFonts w:ascii="Arial" w:cs="Arial" w:eastAsia="Arial" w:hAnsi="Arial"/>
                <w:sz w:val="18"/>
                <w:szCs w:val="18"/>
                <w:color w:val="auto"/>
                <w:w w:val="86"/>
              </w:rPr>
              <w:t>June 30,</w:t>
            </w: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20" w:type="dxa"/>
            <w:vAlign w:val="bottom"/>
          </w:tcPr>
          <w:p>
            <w:pPr>
              <w:spacing w:after="0"/>
              <w:rPr>
                <w:sz w:val="23"/>
                <w:szCs w:val="23"/>
                <w:color w:val="auto"/>
              </w:rPr>
            </w:pPr>
          </w:p>
        </w:tc>
      </w:tr>
      <w:tr>
        <w:trPr>
          <w:trHeight w:val="27"/>
        </w:trPr>
        <w:tc>
          <w:tcPr>
            <w:tcW w:w="306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237"/>
        </w:trPr>
        <w:tc>
          <w:tcPr>
            <w:tcW w:w="3060" w:type="dxa"/>
            <w:vAlign w:val="bottom"/>
            <w:gridSpan w:val="2"/>
          </w:tcPr>
          <w:p>
            <w:pPr>
              <w:ind w:left="20"/>
              <w:spacing w:after="0"/>
              <w:rPr>
                <w:sz w:val="20"/>
                <w:szCs w:val="20"/>
                <w:color w:val="auto"/>
              </w:rPr>
            </w:pPr>
            <w:r>
              <w:rPr>
                <w:rFonts w:ascii="Arial" w:cs="Arial" w:eastAsia="Arial" w:hAnsi="Arial"/>
                <w:sz w:val="18"/>
                <w:szCs w:val="18"/>
                <w:color w:val="auto"/>
              </w:rPr>
              <w:t>Derivatives in cash flow hedges</w:t>
            </w:r>
          </w:p>
        </w:tc>
        <w:tc>
          <w:tcPr>
            <w:tcW w:w="18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230"/>
              <w:spacing w:after="0"/>
              <w:rPr>
                <w:sz w:val="20"/>
                <w:szCs w:val="20"/>
                <w:color w:val="auto"/>
              </w:rPr>
            </w:pPr>
            <w:r>
              <w:rPr>
                <w:rFonts w:ascii="Arial" w:cs="Arial" w:eastAsia="Arial" w:hAnsi="Arial"/>
                <w:sz w:val="18"/>
                <w:szCs w:val="18"/>
                <w:color w:val="auto"/>
                <w:w w:val="99"/>
              </w:rPr>
              <w:t>2018</w:t>
            </w: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27"/>
        </w:trPr>
        <w:tc>
          <w:tcPr>
            <w:tcW w:w="2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20" w:type="dxa"/>
            <w:vAlign w:val="bottom"/>
          </w:tcPr>
          <w:p>
            <w:pPr>
              <w:spacing w:after="0"/>
              <w:rPr>
                <w:sz w:val="2"/>
                <w:szCs w:val="2"/>
                <w:color w:val="auto"/>
              </w:rPr>
            </w:pPr>
          </w:p>
        </w:tc>
      </w:tr>
      <w:tr>
        <w:trPr>
          <w:trHeight w:val="244"/>
        </w:trPr>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420" w:type="dxa"/>
            <w:vAlign w:val="bottom"/>
          </w:tcPr>
          <w:p>
            <w:pPr>
              <w:spacing w:after="0"/>
              <w:rPr>
                <w:sz w:val="21"/>
                <w:szCs w:val="21"/>
                <w:color w:val="auto"/>
              </w:rPr>
            </w:pPr>
          </w:p>
        </w:tc>
      </w:tr>
      <w:tr>
        <w:trPr>
          <w:trHeight w:val="243"/>
        </w:trPr>
        <w:tc>
          <w:tcPr>
            <w:tcW w:w="3060" w:type="dxa"/>
            <w:vAlign w:val="bottom"/>
            <w:gridSpan w:val="2"/>
          </w:tcPr>
          <w:p>
            <w:pPr>
              <w:ind w:left="20"/>
              <w:spacing w:after="0"/>
              <w:rPr>
                <w:sz w:val="20"/>
                <w:szCs w:val="20"/>
                <w:color w:val="auto"/>
              </w:rPr>
            </w:pPr>
            <w:r>
              <w:rPr>
                <w:rFonts w:ascii="Arial" w:cs="Arial" w:eastAsia="Arial" w:hAnsi="Arial"/>
                <w:sz w:val="18"/>
                <w:szCs w:val="18"/>
                <w:color w:val="auto"/>
              </w:rPr>
              <w:t>Commodities</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420" w:type="dxa"/>
            <w:vAlign w:val="bottom"/>
          </w:tcPr>
          <w:p>
            <w:pPr>
              <w:spacing w:after="0"/>
              <w:rPr>
                <w:sz w:val="21"/>
                <w:szCs w:val="21"/>
                <w:color w:val="auto"/>
              </w:rPr>
            </w:pPr>
          </w:p>
        </w:tc>
      </w:tr>
      <w:tr>
        <w:trPr>
          <w:trHeight w:val="27"/>
        </w:trPr>
        <w:tc>
          <w:tcPr>
            <w:tcW w:w="2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20" w:type="dxa"/>
            <w:vAlign w:val="bottom"/>
          </w:tcPr>
          <w:p>
            <w:pPr>
              <w:spacing w:after="0"/>
              <w:rPr>
                <w:sz w:val="2"/>
                <w:szCs w:val="2"/>
                <w:color w:val="auto"/>
              </w:rPr>
            </w:pPr>
          </w:p>
        </w:tc>
      </w:tr>
      <w:tr>
        <w:trPr>
          <w:trHeight w:val="269"/>
        </w:trPr>
        <w:tc>
          <w:tcPr>
            <w:tcW w:w="2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2420" w:type="dxa"/>
            <w:vAlign w:val="bottom"/>
          </w:tcPr>
          <w:p>
            <w:pPr>
              <w:spacing w:after="0"/>
              <w:rPr>
                <w:sz w:val="22"/>
                <w:szCs w:val="22"/>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440"/>
        </w:trPr>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gridSpan w:val="5"/>
          </w:tcPr>
          <w:p>
            <w:pPr>
              <w:jc w:val="center"/>
              <w:ind w:right="260"/>
              <w:spacing w:after="0"/>
              <w:rPr>
                <w:sz w:val="20"/>
                <w:szCs w:val="20"/>
                <w:color w:val="auto"/>
              </w:rPr>
            </w:pPr>
            <w:r>
              <w:rPr>
                <w:rFonts w:ascii="Arial" w:cs="Arial" w:eastAsia="Arial" w:hAnsi="Arial"/>
                <w:sz w:val="18"/>
                <w:szCs w:val="18"/>
                <w:color w:val="auto"/>
                <w:w w:val="95"/>
              </w:rPr>
              <w:t>Amount of gain/</w:t>
            </w:r>
          </w:p>
        </w:tc>
        <w:tc>
          <w:tcPr>
            <w:tcW w:w="200" w:type="dxa"/>
            <w:vAlign w:val="bottom"/>
          </w:tcPr>
          <w:p>
            <w:pPr>
              <w:spacing w:after="0"/>
              <w:rPr>
                <w:sz w:val="24"/>
                <w:szCs w:val="24"/>
                <w:color w:val="auto"/>
              </w:rPr>
            </w:pPr>
          </w:p>
        </w:tc>
        <w:tc>
          <w:tcPr>
            <w:tcW w:w="2120" w:type="dxa"/>
            <w:vAlign w:val="bottom"/>
            <w:gridSpan w:val="5"/>
          </w:tcPr>
          <w:p>
            <w:pPr>
              <w:jc w:val="center"/>
              <w:ind w:right="260"/>
              <w:spacing w:after="0"/>
              <w:rPr>
                <w:sz w:val="20"/>
                <w:szCs w:val="20"/>
                <w:color w:val="auto"/>
              </w:rPr>
            </w:pPr>
            <w:r>
              <w:rPr>
                <w:rFonts w:ascii="Arial" w:cs="Arial" w:eastAsia="Arial" w:hAnsi="Arial"/>
                <w:sz w:val="18"/>
                <w:szCs w:val="18"/>
                <w:color w:val="auto"/>
                <w:w w:val="93"/>
              </w:rPr>
              <w:t>Amount of gain/</w:t>
            </w:r>
          </w:p>
        </w:tc>
        <w:tc>
          <w:tcPr>
            <w:tcW w:w="2420" w:type="dxa"/>
            <w:vAlign w:val="bottom"/>
          </w:tcPr>
          <w:p>
            <w:pPr>
              <w:spacing w:after="0"/>
              <w:rPr>
                <w:sz w:val="24"/>
                <w:szCs w:val="24"/>
                <w:color w:val="auto"/>
              </w:rPr>
            </w:pPr>
          </w:p>
        </w:tc>
      </w:tr>
      <w:tr>
        <w:trPr>
          <w:trHeight w:val="270"/>
        </w:trPr>
        <w:tc>
          <w:tcPr>
            <w:tcW w:w="2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60" w:type="dxa"/>
            <w:vAlign w:val="bottom"/>
            <w:gridSpan w:val="5"/>
          </w:tcPr>
          <w:p>
            <w:pPr>
              <w:jc w:val="center"/>
              <w:ind w:right="240"/>
              <w:spacing w:after="0"/>
              <w:rPr>
                <w:sz w:val="20"/>
                <w:szCs w:val="20"/>
                <w:color w:val="auto"/>
              </w:rPr>
            </w:pPr>
            <w:r>
              <w:rPr>
                <w:rFonts w:ascii="Arial" w:cs="Arial" w:eastAsia="Arial" w:hAnsi="Arial"/>
                <w:sz w:val="18"/>
                <w:szCs w:val="18"/>
                <w:color w:val="auto"/>
                <w:w w:val="92"/>
              </w:rPr>
              <w:t>(loss) reclassified from</w:t>
            </w:r>
          </w:p>
        </w:tc>
        <w:tc>
          <w:tcPr>
            <w:tcW w:w="200" w:type="dxa"/>
            <w:vAlign w:val="bottom"/>
          </w:tcPr>
          <w:p>
            <w:pPr>
              <w:spacing w:after="0"/>
              <w:rPr>
                <w:sz w:val="23"/>
                <w:szCs w:val="23"/>
                <w:color w:val="auto"/>
              </w:rPr>
            </w:pPr>
          </w:p>
        </w:tc>
        <w:tc>
          <w:tcPr>
            <w:tcW w:w="2120" w:type="dxa"/>
            <w:vAlign w:val="bottom"/>
            <w:gridSpan w:val="5"/>
          </w:tcPr>
          <w:p>
            <w:pPr>
              <w:jc w:val="center"/>
              <w:ind w:right="260"/>
              <w:spacing w:after="0"/>
              <w:rPr>
                <w:sz w:val="20"/>
                <w:szCs w:val="20"/>
                <w:color w:val="auto"/>
              </w:rPr>
            </w:pPr>
            <w:r>
              <w:rPr>
                <w:rFonts w:ascii="Arial" w:cs="Arial" w:eastAsia="Arial" w:hAnsi="Arial"/>
                <w:sz w:val="18"/>
                <w:szCs w:val="18"/>
                <w:color w:val="auto"/>
                <w:w w:val="92"/>
              </w:rPr>
              <w:t>(loss) reclassified from</w:t>
            </w:r>
          </w:p>
        </w:tc>
        <w:tc>
          <w:tcPr>
            <w:tcW w:w="2420" w:type="dxa"/>
            <w:vAlign w:val="bottom"/>
          </w:tcPr>
          <w:p>
            <w:pPr>
              <w:spacing w:after="0"/>
              <w:rPr>
                <w:sz w:val="23"/>
                <w:szCs w:val="23"/>
                <w:color w:val="auto"/>
              </w:rPr>
            </w:pPr>
          </w:p>
        </w:tc>
      </w:tr>
      <w:tr>
        <w:trPr>
          <w:trHeight w:val="270"/>
        </w:trPr>
        <w:tc>
          <w:tcPr>
            <w:tcW w:w="2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60" w:type="dxa"/>
            <w:vAlign w:val="bottom"/>
            <w:gridSpan w:val="5"/>
          </w:tcPr>
          <w:p>
            <w:pPr>
              <w:jc w:val="center"/>
              <w:ind w:right="240"/>
              <w:spacing w:after="0"/>
              <w:rPr>
                <w:sz w:val="20"/>
                <w:szCs w:val="20"/>
                <w:color w:val="auto"/>
              </w:rPr>
            </w:pPr>
            <w:r>
              <w:rPr>
                <w:rFonts w:ascii="Arial" w:cs="Arial" w:eastAsia="Arial" w:hAnsi="Arial"/>
                <w:sz w:val="18"/>
                <w:szCs w:val="18"/>
                <w:color w:val="auto"/>
                <w:w w:val="94"/>
              </w:rPr>
              <w:t>AOCI into income</w:t>
            </w:r>
          </w:p>
        </w:tc>
        <w:tc>
          <w:tcPr>
            <w:tcW w:w="200" w:type="dxa"/>
            <w:vAlign w:val="bottom"/>
          </w:tcPr>
          <w:p>
            <w:pPr>
              <w:spacing w:after="0"/>
              <w:rPr>
                <w:sz w:val="23"/>
                <w:szCs w:val="23"/>
                <w:color w:val="auto"/>
              </w:rPr>
            </w:pPr>
          </w:p>
        </w:tc>
        <w:tc>
          <w:tcPr>
            <w:tcW w:w="2120" w:type="dxa"/>
            <w:vAlign w:val="bottom"/>
            <w:gridSpan w:val="5"/>
          </w:tcPr>
          <w:p>
            <w:pPr>
              <w:jc w:val="center"/>
              <w:ind w:right="260"/>
              <w:spacing w:after="0"/>
              <w:rPr>
                <w:sz w:val="20"/>
                <w:szCs w:val="20"/>
                <w:color w:val="auto"/>
              </w:rPr>
            </w:pPr>
            <w:r>
              <w:rPr>
                <w:rFonts w:ascii="Arial" w:cs="Arial" w:eastAsia="Arial" w:hAnsi="Arial"/>
                <w:sz w:val="18"/>
                <w:szCs w:val="18"/>
                <w:color w:val="auto"/>
                <w:w w:val="94"/>
              </w:rPr>
              <w:t>AOCI into income</w:t>
            </w:r>
          </w:p>
        </w:tc>
        <w:tc>
          <w:tcPr>
            <w:tcW w:w="2420" w:type="dxa"/>
            <w:vAlign w:val="bottom"/>
          </w:tcPr>
          <w:p>
            <w:pPr>
              <w:spacing w:after="0"/>
              <w:rPr>
                <w:sz w:val="23"/>
                <w:szCs w:val="23"/>
                <w:color w:val="auto"/>
              </w:rPr>
            </w:pPr>
          </w:p>
        </w:tc>
      </w:tr>
      <w:tr>
        <w:trPr>
          <w:trHeight w:val="27"/>
        </w:trPr>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237"/>
        </w:trPr>
        <w:tc>
          <w:tcPr>
            <w:tcW w:w="2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gridSpan w:val="5"/>
          </w:tcPr>
          <w:p>
            <w:pPr>
              <w:jc w:val="center"/>
              <w:ind w:right="260"/>
              <w:spacing w:after="0"/>
              <w:rPr>
                <w:sz w:val="20"/>
                <w:szCs w:val="20"/>
                <w:color w:val="auto"/>
              </w:rPr>
            </w:pPr>
            <w:r>
              <w:rPr>
                <w:rFonts w:ascii="Arial" w:cs="Arial" w:eastAsia="Arial" w:hAnsi="Arial"/>
                <w:sz w:val="18"/>
                <w:szCs w:val="18"/>
                <w:color w:val="auto"/>
                <w:w w:val="90"/>
              </w:rPr>
              <w:t>Three Months Ended</w:t>
            </w:r>
          </w:p>
        </w:tc>
        <w:tc>
          <w:tcPr>
            <w:tcW w:w="200" w:type="dxa"/>
            <w:vAlign w:val="bottom"/>
          </w:tcPr>
          <w:p>
            <w:pPr>
              <w:spacing w:after="0"/>
              <w:rPr>
                <w:sz w:val="20"/>
                <w:szCs w:val="20"/>
                <w:color w:val="auto"/>
              </w:rPr>
            </w:pPr>
          </w:p>
        </w:tc>
        <w:tc>
          <w:tcPr>
            <w:tcW w:w="2120" w:type="dxa"/>
            <w:vAlign w:val="bottom"/>
            <w:gridSpan w:val="5"/>
          </w:tcPr>
          <w:p>
            <w:pPr>
              <w:jc w:val="center"/>
              <w:ind w:right="260"/>
              <w:spacing w:after="0"/>
              <w:rPr>
                <w:sz w:val="20"/>
                <w:szCs w:val="20"/>
                <w:color w:val="auto"/>
              </w:rPr>
            </w:pPr>
            <w:r>
              <w:rPr>
                <w:rFonts w:ascii="Arial" w:cs="Arial" w:eastAsia="Arial" w:hAnsi="Arial"/>
                <w:sz w:val="18"/>
                <w:szCs w:val="18"/>
                <w:color w:val="auto"/>
                <w:w w:val="91"/>
              </w:rPr>
              <w:t>Six Months Ended</w:t>
            </w:r>
          </w:p>
        </w:tc>
        <w:tc>
          <w:tcPr>
            <w:tcW w:w="2420" w:type="dxa"/>
            <w:vAlign w:val="bottom"/>
          </w:tcPr>
          <w:p>
            <w:pPr>
              <w:spacing w:after="0"/>
              <w:rPr>
                <w:sz w:val="20"/>
                <w:szCs w:val="20"/>
                <w:color w:val="auto"/>
              </w:rPr>
            </w:pPr>
          </w:p>
        </w:tc>
      </w:tr>
      <w:tr>
        <w:trPr>
          <w:trHeight w:val="270"/>
        </w:trPr>
        <w:tc>
          <w:tcPr>
            <w:tcW w:w="2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gridSpan w:val="3"/>
          </w:tcPr>
          <w:p>
            <w:pPr>
              <w:jc w:val="center"/>
              <w:ind w:left="470"/>
              <w:spacing w:after="0"/>
              <w:rPr>
                <w:sz w:val="20"/>
                <w:szCs w:val="20"/>
                <w:color w:val="auto"/>
              </w:rPr>
            </w:pPr>
            <w:r>
              <w:rPr>
                <w:rFonts w:ascii="Arial" w:cs="Arial" w:eastAsia="Arial" w:hAnsi="Arial"/>
                <w:sz w:val="18"/>
                <w:szCs w:val="18"/>
                <w:color w:val="auto"/>
                <w:w w:val="86"/>
              </w:rPr>
              <w:t>June 30,</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3"/>
          </w:tcPr>
          <w:p>
            <w:pPr>
              <w:jc w:val="center"/>
              <w:ind w:left="470"/>
              <w:spacing w:after="0"/>
              <w:rPr>
                <w:sz w:val="20"/>
                <w:szCs w:val="20"/>
                <w:color w:val="auto"/>
              </w:rPr>
            </w:pPr>
            <w:r>
              <w:rPr>
                <w:rFonts w:ascii="Arial" w:cs="Arial" w:eastAsia="Arial" w:hAnsi="Arial"/>
                <w:sz w:val="18"/>
                <w:szCs w:val="18"/>
                <w:color w:val="auto"/>
                <w:w w:val="86"/>
              </w:rPr>
              <w:t>June 30,</w:t>
            </w: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2"/>
              </w:rPr>
              <w:t>Affected line items in the</w:t>
            </w:r>
          </w:p>
        </w:tc>
      </w:tr>
      <w:tr>
        <w:trPr>
          <w:trHeight w:val="27"/>
        </w:trPr>
        <w:tc>
          <w:tcPr>
            <w:tcW w:w="306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237"/>
        </w:trPr>
        <w:tc>
          <w:tcPr>
            <w:tcW w:w="3060" w:type="dxa"/>
            <w:vAlign w:val="bottom"/>
            <w:gridSpan w:val="2"/>
          </w:tcPr>
          <w:p>
            <w:pPr>
              <w:ind w:left="20"/>
              <w:spacing w:after="0"/>
              <w:rPr>
                <w:sz w:val="20"/>
                <w:szCs w:val="20"/>
                <w:color w:val="auto"/>
              </w:rPr>
            </w:pPr>
            <w:r>
              <w:rPr>
                <w:rFonts w:ascii="Arial" w:cs="Arial" w:eastAsia="Arial" w:hAnsi="Arial"/>
                <w:sz w:val="18"/>
                <w:szCs w:val="18"/>
                <w:color w:val="auto"/>
              </w:rPr>
              <w:t>Derivatives in cash flow hedges</w:t>
            </w:r>
          </w:p>
        </w:tc>
        <w:tc>
          <w:tcPr>
            <w:tcW w:w="18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230"/>
              <w:spacing w:after="0"/>
              <w:rPr>
                <w:sz w:val="20"/>
                <w:szCs w:val="20"/>
                <w:color w:val="auto"/>
              </w:rPr>
            </w:pPr>
            <w:r>
              <w:rPr>
                <w:rFonts w:ascii="Arial" w:cs="Arial" w:eastAsia="Arial" w:hAnsi="Arial"/>
                <w:sz w:val="18"/>
                <w:szCs w:val="18"/>
                <w:color w:val="auto"/>
                <w:w w:val="99"/>
              </w:rPr>
              <w:t>2018</w:t>
            </w:r>
          </w:p>
        </w:tc>
        <w:tc>
          <w:tcPr>
            <w:tcW w:w="100" w:type="dxa"/>
            <w:vAlign w:val="bottom"/>
          </w:tcPr>
          <w:p>
            <w:pPr>
              <w:spacing w:after="0"/>
              <w:rPr>
                <w:sz w:val="20"/>
                <w:szCs w:val="20"/>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Statement of Operations</w:t>
            </w:r>
          </w:p>
        </w:tc>
      </w:tr>
      <w:tr>
        <w:trPr>
          <w:trHeight w:val="27"/>
        </w:trPr>
        <w:tc>
          <w:tcPr>
            <w:tcW w:w="2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r>
      <w:tr>
        <w:trPr>
          <w:trHeight w:val="244"/>
        </w:trPr>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r>
      <w:tr>
        <w:trPr>
          <w:trHeight w:val="243"/>
        </w:trPr>
        <w:tc>
          <w:tcPr>
            <w:tcW w:w="3060" w:type="dxa"/>
            <w:vAlign w:val="bottom"/>
            <w:gridSpan w:val="2"/>
          </w:tcPr>
          <w:p>
            <w:pPr>
              <w:ind w:left="20"/>
              <w:spacing w:after="0"/>
              <w:rPr>
                <w:sz w:val="20"/>
                <w:szCs w:val="20"/>
                <w:color w:val="auto"/>
              </w:rPr>
            </w:pPr>
            <w:r>
              <w:rPr>
                <w:rFonts w:ascii="Arial" w:cs="Arial" w:eastAsia="Arial" w:hAnsi="Arial"/>
                <w:sz w:val="18"/>
                <w:szCs w:val="18"/>
                <w:color w:val="auto"/>
              </w:rPr>
              <w:t>Commodities</w:t>
            </w: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420" w:type="dxa"/>
            <w:vAlign w:val="bottom"/>
          </w:tcPr>
          <w:p>
            <w:pPr>
              <w:ind w:left="40"/>
              <w:spacing w:after="0"/>
              <w:rPr>
                <w:sz w:val="20"/>
                <w:szCs w:val="20"/>
                <w:color w:val="auto"/>
              </w:rPr>
            </w:pPr>
            <w:r>
              <w:rPr>
                <w:rFonts w:ascii="Arial" w:cs="Arial" w:eastAsia="Arial" w:hAnsi="Arial"/>
                <w:sz w:val="18"/>
                <w:szCs w:val="18"/>
                <w:color w:val="auto"/>
              </w:rPr>
              <w:t>Net sales</w:t>
            </w:r>
          </w:p>
        </w:tc>
      </w:tr>
      <w:tr>
        <w:trPr>
          <w:trHeight w:val="27"/>
        </w:trPr>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520" w:type="dxa"/>
            <w:vAlign w:val="bottom"/>
            <w:gridSpan w:val="2"/>
          </w:tcPr>
          <w:p>
            <w:pPr>
              <w:spacing w:after="0"/>
              <w:rPr>
                <w:sz w:val="2"/>
                <w:szCs w:val="2"/>
                <w:color w:val="auto"/>
              </w:rPr>
            </w:pPr>
          </w:p>
        </w:tc>
      </w:tr>
      <w:tr>
        <w:trPr>
          <w:trHeight w:val="250"/>
        </w:trPr>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260" w:type="dxa"/>
            <w:vAlign w:val="bottom"/>
            <w:tcBorders>
              <w:bottom w:val="single" w:sz="8" w:color="CCEEFF"/>
            </w:tcBorders>
            <w:gridSpan w:val="3"/>
            <w:shd w:val="clear" w:color="auto" w:fill="CCEEFF"/>
          </w:tcPr>
          <w:p>
            <w:pPr>
              <w:jc w:val="right"/>
              <w:ind w:right="770"/>
              <w:spacing w:after="0"/>
              <w:rPr>
                <w:sz w:val="20"/>
                <w:szCs w:val="20"/>
                <w:color w:val="auto"/>
              </w:rPr>
            </w:pPr>
            <w:r>
              <w:rPr>
                <w:rFonts w:ascii="Arial" w:cs="Arial" w:eastAsia="Arial" w:hAnsi="Arial"/>
                <w:sz w:val="18"/>
                <w:szCs w:val="18"/>
                <w:color w:val="auto"/>
              </w:rPr>
              <w:t>(1)  Cost of products sold</w:t>
            </w:r>
          </w:p>
        </w:tc>
      </w:tr>
      <w:tr>
        <w:trPr>
          <w:trHeight w:val="243"/>
        </w:trPr>
        <w:tc>
          <w:tcPr>
            <w:tcW w:w="3060" w:type="dxa"/>
            <w:vAlign w:val="bottom"/>
            <w:gridSpan w:val="2"/>
          </w:tcPr>
          <w:p>
            <w:pPr>
              <w:ind w:left="20"/>
              <w:spacing w:after="0"/>
              <w:rPr>
                <w:sz w:val="20"/>
                <w:szCs w:val="20"/>
                <w:color w:val="auto"/>
              </w:rPr>
            </w:pPr>
            <w:r>
              <w:rPr>
                <w:rFonts w:ascii="Arial" w:cs="Arial" w:eastAsia="Arial" w:hAnsi="Arial"/>
                <w:sz w:val="18"/>
                <w:szCs w:val="18"/>
                <w:color w:val="auto"/>
              </w:rPr>
              <w:t>Commodities</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60" w:type="dxa"/>
            <w:vAlign w:val="bottom"/>
            <w:gridSpan w:val="3"/>
          </w:tcPr>
          <w:p>
            <w:pPr>
              <w:jc w:val="right"/>
              <w:ind w:right="770"/>
              <w:spacing w:after="0"/>
              <w:rPr>
                <w:sz w:val="20"/>
                <w:szCs w:val="20"/>
                <w:color w:val="auto"/>
              </w:rPr>
            </w:pPr>
            <w:r>
              <w:rPr>
                <w:rFonts w:ascii="Arial" w:cs="Arial" w:eastAsia="Arial" w:hAnsi="Arial"/>
                <w:sz w:val="18"/>
                <w:szCs w:val="18"/>
                <w:color w:val="auto"/>
              </w:rPr>
              <w:t>24   Cost of products sold</w:t>
            </w:r>
          </w:p>
        </w:tc>
      </w:tr>
      <w:tr>
        <w:trPr>
          <w:trHeight w:val="27"/>
        </w:trPr>
        <w:tc>
          <w:tcPr>
            <w:tcW w:w="2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r>
      <w:tr>
        <w:trPr>
          <w:trHeight w:val="264"/>
        </w:trPr>
        <w:tc>
          <w:tcPr>
            <w:tcW w:w="2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taxes</w:t>
            </w:r>
          </w:p>
        </w:tc>
      </w:tr>
      <w:tr>
        <w:trPr>
          <w:trHeight w:val="237"/>
        </w:trPr>
        <w:tc>
          <w:tcPr>
            <w:tcW w:w="2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242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r>
      <w:tr>
        <w:trPr>
          <w:trHeight w:val="27"/>
        </w:trPr>
        <w:tc>
          <w:tcPr>
            <w:tcW w:w="2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r>
      <w:tr>
        <w:trPr>
          <w:trHeight w:val="257"/>
        </w:trPr>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reclassified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r>
      <w:tr>
        <w:trPr>
          <w:trHeight w:val="20"/>
        </w:trPr>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three and six months ended June 30, 2019, the Company recorded a gain of less than $1 in accumulated other comprehensive loss related to its interest rate swaps.</w:t>
      </w:r>
    </w:p>
    <w:p>
      <w:pPr>
        <w:sectPr>
          <w:pgSz w:w="11900" w:h="16838" w:orient="portrait"/>
          <w:cols w:equalWidth="0" w:num="1">
            <w:col w:w="10760"/>
          </w:cols>
          <w:pgMar w:left="900" w:top="121" w:right="239" w:bottom="1440" w:gutter="0" w:footer="0" w:header="0"/>
        </w:sectPr>
      </w:pPr>
    </w:p>
    <w:p>
      <w:pPr>
        <w:spacing w:after="0" w:line="197"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0760"/>
          </w:cols>
          <w:pgMar w:left="900" w:top="121" w:right="239" w:bottom="1440" w:gutter="0" w:footer="0" w:header="0"/>
          <w:type w:val="continuous"/>
        </w:sectPr>
      </w:pPr>
    </w:p>
    <w:bookmarkStart w:id="18" w:name="page19"/>
    <w:bookmarkEnd w:id="18"/>
    <w:p>
      <w:pPr>
        <w:ind w:left="42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twelve-month period ending June 30, 2020, a net loss of $22 ($18, net of tax) is expected to be reclassified to earnings for commodity and foreign exchange contracts. No amounts were reclassified during the six months ended June 30, 2019 and 2018 in connection with anticipated transactions that were no longer considered probable.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Hedges and Contracts Not Designated as Hedges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designates certain derivative financial instruments as fair value hedges of recognized foreign-denominated assets and liabilities, generally trade accounts receivable and payable and unrecognized firm commitments. The notional values and maturity dates of the derivative instruments coincide with those of the hedged items. Changes in fair value of the derivative financial instruments, excluding time value, are offset by changes in fair value of the related hedged items.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derivative financial instruments, including foreign exchange contracts related to intercompany debt, were not designated in hedge relationships; however, they are effective economic hedges as the changes in their fair value, except for time value, are offset by changes arising from re-measurement of the related hedged items. The Company’s primary use of these derivative instruments is to offset the earnings impact that fluctuations in foreign exchange rates have on certain monetary assets and liabilities denominated in currencies other than the entity's functional currency.</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three and six months ended June 30, 2019 and 2018, the Company recorded losses of less than $1 from foreign exchange contracts designated as fair value hedges. These adjustments were reported within foreign exchange in the Consolidated Statements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impact on earnings from derivatives not designated as hedges.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80" w:type="dxa"/>
            <w:vAlign w:val="bottom"/>
            <w:gridSpan w:val="5"/>
          </w:tcPr>
          <w:p>
            <w:pPr>
              <w:ind w:left="200"/>
              <w:spacing w:after="0"/>
              <w:rPr>
                <w:sz w:val="20"/>
                <w:szCs w:val="20"/>
                <w:color w:val="auto"/>
              </w:rPr>
            </w:pPr>
            <w:r>
              <w:rPr>
                <w:rFonts w:ascii="Arial" w:cs="Arial" w:eastAsia="Arial" w:hAnsi="Arial"/>
                <w:sz w:val="18"/>
                <w:szCs w:val="18"/>
                <w:color w:val="auto"/>
              </w:rPr>
              <w:t>Pre-tax amount of gain/</w:t>
            </w:r>
          </w:p>
        </w:tc>
        <w:tc>
          <w:tcPr>
            <w:tcW w:w="200" w:type="dxa"/>
            <w:vAlign w:val="bottom"/>
          </w:tcPr>
          <w:p>
            <w:pPr>
              <w:spacing w:after="0"/>
              <w:rPr>
                <w:sz w:val="20"/>
                <w:szCs w:val="20"/>
                <w:color w:val="auto"/>
              </w:rPr>
            </w:pPr>
          </w:p>
        </w:tc>
        <w:tc>
          <w:tcPr>
            <w:tcW w:w="2020" w:type="dxa"/>
            <w:vAlign w:val="bottom"/>
            <w:gridSpan w:val="4"/>
          </w:tcPr>
          <w:p>
            <w:pPr>
              <w:jc w:val="right"/>
              <w:ind w:right="130"/>
              <w:spacing w:after="0"/>
              <w:rPr>
                <w:sz w:val="20"/>
                <w:szCs w:val="20"/>
                <w:color w:val="auto"/>
              </w:rPr>
            </w:pPr>
            <w:r>
              <w:rPr>
                <w:rFonts w:ascii="Arial" w:cs="Arial" w:eastAsia="Arial" w:hAnsi="Arial"/>
                <w:sz w:val="18"/>
                <w:szCs w:val="18"/>
                <w:color w:val="auto"/>
                <w:w w:val="95"/>
              </w:rPr>
              <w:t>Pre-tax amount of gain/</w:t>
            </w:r>
          </w:p>
        </w:tc>
        <w:tc>
          <w:tcPr>
            <w:tcW w:w="10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270"/>
        </w:trPr>
        <w:tc>
          <w:tcPr>
            <w:tcW w:w="3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80" w:type="dxa"/>
            <w:vAlign w:val="bottom"/>
            <w:gridSpan w:val="5"/>
          </w:tcPr>
          <w:p>
            <w:pPr>
              <w:jc w:val="center"/>
              <w:ind w:right="240"/>
              <w:spacing w:after="0"/>
              <w:rPr>
                <w:sz w:val="20"/>
                <w:szCs w:val="20"/>
                <w:color w:val="auto"/>
              </w:rPr>
            </w:pPr>
            <w:r>
              <w:rPr>
                <w:rFonts w:ascii="Arial" w:cs="Arial" w:eastAsia="Arial" w:hAnsi="Arial"/>
                <w:sz w:val="18"/>
                <w:szCs w:val="18"/>
                <w:color w:val="auto"/>
                <w:w w:val="91"/>
              </w:rPr>
              <w:t>(loss) recognized in income</w:t>
            </w:r>
          </w:p>
        </w:tc>
        <w:tc>
          <w:tcPr>
            <w:tcW w:w="200" w:type="dxa"/>
            <w:vAlign w:val="bottom"/>
          </w:tcPr>
          <w:p>
            <w:pPr>
              <w:spacing w:after="0"/>
              <w:rPr>
                <w:sz w:val="23"/>
                <w:szCs w:val="23"/>
                <w:color w:val="auto"/>
              </w:rPr>
            </w:pPr>
          </w:p>
        </w:tc>
        <w:tc>
          <w:tcPr>
            <w:tcW w:w="1740" w:type="dxa"/>
            <w:vAlign w:val="bottom"/>
            <w:gridSpan w:val="3"/>
          </w:tcPr>
          <w:p>
            <w:pPr>
              <w:jc w:val="center"/>
              <w:ind w:left="30"/>
              <w:spacing w:after="0"/>
              <w:rPr>
                <w:sz w:val="20"/>
                <w:szCs w:val="20"/>
                <w:color w:val="auto"/>
              </w:rPr>
            </w:pPr>
            <w:r>
              <w:rPr>
                <w:rFonts w:ascii="Arial" w:cs="Arial" w:eastAsia="Arial" w:hAnsi="Arial"/>
                <w:sz w:val="18"/>
                <w:szCs w:val="18"/>
                <w:color w:val="auto"/>
                <w:w w:val="90"/>
              </w:rPr>
              <w:t>(loss) recognized in</w:t>
            </w: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120" w:type="dxa"/>
            <w:vAlign w:val="bottom"/>
          </w:tcPr>
          <w:p>
            <w:pPr>
              <w:spacing w:after="0"/>
              <w:rPr>
                <w:sz w:val="23"/>
                <w:szCs w:val="23"/>
                <w:color w:val="auto"/>
              </w:rPr>
            </w:pPr>
          </w:p>
        </w:tc>
      </w:tr>
      <w:tr>
        <w:trPr>
          <w:trHeight w:val="270"/>
        </w:trPr>
        <w:tc>
          <w:tcPr>
            <w:tcW w:w="3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80" w:type="dxa"/>
            <w:vAlign w:val="bottom"/>
            <w:gridSpan w:val="5"/>
          </w:tcPr>
          <w:p>
            <w:pPr>
              <w:jc w:val="center"/>
              <w:ind w:right="220"/>
              <w:spacing w:after="0"/>
              <w:rPr>
                <w:sz w:val="20"/>
                <w:szCs w:val="20"/>
                <w:color w:val="auto"/>
              </w:rPr>
            </w:pPr>
            <w:r>
              <w:rPr>
                <w:rFonts w:ascii="Arial" w:cs="Arial" w:eastAsia="Arial" w:hAnsi="Arial"/>
                <w:sz w:val="18"/>
                <w:szCs w:val="18"/>
                <w:color w:val="auto"/>
                <w:w w:val="92"/>
              </w:rPr>
              <w:t>on derivative</w:t>
            </w:r>
          </w:p>
        </w:tc>
        <w:tc>
          <w:tcPr>
            <w:tcW w:w="200" w:type="dxa"/>
            <w:vAlign w:val="bottom"/>
          </w:tcPr>
          <w:p>
            <w:pPr>
              <w:spacing w:after="0"/>
              <w:rPr>
                <w:sz w:val="23"/>
                <w:szCs w:val="23"/>
                <w:color w:val="auto"/>
              </w:rPr>
            </w:pPr>
          </w:p>
        </w:tc>
        <w:tc>
          <w:tcPr>
            <w:tcW w:w="1740" w:type="dxa"/>
            <w:vAlign w:val="bottom"/>
            <w:gridSpan w:val="3"/>
          </w:tcPr>
          <w:p>
            <w:pPr>
              <w:jc w:val="center"/>
              <w:ind w:left="10"/>
              <w:spacing w:after="0"/>
              <w:rPr>
                <w:sz w:val="20"/>
                <w:szCs w:val="20"/>
                <w:color w:val="auto"/>
              </w:rPr>
            </w:pPr>
            <w:r>
              <w:rPr>
                <w:rFonts w:ascii="Arial" w:cs="Arial" w:eastAsia="Arial" w:hAnsi="Arial"/>
                <w:sz w:val="18"/>
                <w:szCs w:val="18"/>
                <w:color w:val="auto"/>
                <w:w w:val="92"/>
              </w:rPr>
              <w:t>income on derivative</w:t>
            </w: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120" w:type="dxa"/>
            <w:vAlign w:val="bottom"/>
          </w:tcPr>
          <w:p>
            <w:pPr>
              <w:spacing w:after="0"/>
              <w:rPr>
                <w:sz w:val="23"/>
                <w:szCs w:val="23"/>
                <w:color w:val="auto"/>
              </w:rPr>
            </w:pPr>
          </w:p>
        </w:tc>
      </w:tr>
      <w:tr>
        <w:trPr>
          <w:trHeight w:val="27"/>
        </w:trPr>
        <w:tc>
          <w:tcPr>
            <w:tcW w:w="3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37"/>
        </w:trPr>
        <w:tc>
          <w:tcPr>
            <w:tcW w:w="3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80" w:type="dxa"/>
            <w:vAlign w:val="bottom"/>
            <w:gridSpan w:val="5"/>
          </w:tcPr>
          <w:p>
            <w:pPr>
              <w:jc w:val="center"/>
              <w:ind w:right="240"/>
              <w:spacing w:after="0"/>
              <w:rPr>
                <w:sz w:val="20"/>
                <w:szCs w:val="20"/>
                <w:color w:val="auto"/>
              </w:rPr>
            </w:pPr>
            <w:r>
              <w:rPr>
                <w:rFonts w:ascii="Arial" w:cs="Arial" w:eastAsia="Arial" w:hAnsi="Arial"/>
                <w:sz w:val="18"/>
                <w:szCs w:val="18"/>
                <w:color w:val="auto"/>
                <w:w w:val="90"/>
              </w:rPr>
              <w:t>Three Months Ended</w:t>
            </w:r>
          </w:p>
        </w:tc>
        <w:tc>
          <w:tcPr>
            <w:tcW w:w="200" w:type="dxa"/>
            <w:vAlign w:val="bottom"/>
          </w:tcPr>
          <w:p>
            <w:pPr>
              <w:spacing w:after="0"/>
              <w:rPr>
                <w:sz w:val="20"/>
                <w:szCs w:val="20"/>
                <w:color w:val="auto"/>
              </w:rPr>
            </w:pPr>
          </w:p>
        </w:tc>
        <w:tc>
          <w:tcPr>
            <w:tcW w:w="1740" w:type="dxa"/>
            <w:vAlign w:val="bottom"/>
            <w:gridSpan w:val="3"/>
          </w:tcPr>
          <w:p>
            <w:pPr>
              <w:jc w:val="center"/>
              <w:ind w:left="30"/>
              <w:spacing w:after="0"/>
              <w:rPr>
                <w:sz w:val="20"/>
                <w:szCs w:val="20"/>
                <w:color w:val="auto"/>
              </w:rPr>
            </w:pPr>
            <w:r>
              <w:rPr>
                <w:rFonts w:ascii="Arial" w:cs="Arial" w:eastAsia="Arial" w:hAnsi="Arial"/>
                <w:sz w:val="18"/>
                <w:szCs w:val="18"/>
                <w:color w:val="auto"/>
                <w:w w:val="91"/>
              </w:rPr>
              <w:t>Six Months Ended</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270"/>
        </w:trPr>
        <w:tc>
          <w:tcPr>
            <w:tcW w:w="3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gridSpan w:val="3"/>
          </w:tcPr>
          <w:p>
            <w:pPr>
              <w:jc w:val="center"/>
              <w:ind w:left="570"/>
              <w:spacing w:after="0"/>
              <w:rPr>
                <w:sz w:val="20"/>
                <w:szCs w:val="20"/>
                <w:color w:val="auto"/>
              </w:rPr>
            </w:pPr>
            <w:r>
              <w:rPr>
                <w:rFonts w:ascii="Arial" w:cs="Arial" w:eastAsia="Arial" w:hAnsi="Arial"/>
                <w:sz w:val="18"/>
                <w:szCs w:val="18"/>
                <w:color w:val="auto"/>
                <w:w w:val="86"/>
              </w:rPr>
              <w:t>June 30,</w:t>
            </w: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40" w:type="dxa"/>
            <w:vAlign w:val="bottom"/>
            <w:gridSpan w:val="3"/>
          </w:tcPr>
          <w:p>
            <w:pPr>
              <w:jc w:val="center"/>
              <w:ind w:left="10"/>
              <w:spacing w:after="0"/>
              <w:rPr>
                <w:sz w:val="20"/>
                <w:szCs w:val="20"/>
                <w:color w:val="auto"/>
              </w:rPr>
            </w:pPr>
            <w:r>
              <w:rPr>
                <w:rFonts w:ascii="Arial" w:cs="Arial" w:eastAsia="Arial" w:hAnsi="Arial"/>
                <w:sz w:val="18"/>
                <w:szCs w:val="18"/>
                <w:color w:val="auto"/>
                <w:w w:val="86"/>
              </w:rPr>
              <w:t>June 30,</w:t>
            </w: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120" w:type="dxa"/>
            <w:vAlign w:val="bottom"/>
          </w:tcPr>
          <w:p>
            <w:pPr>
              <w:ind w:left="180"/>
              <w:spacing w:after="0"/>
              <w:rPr>
                <w:sz w:val="20"/>
                <w:szCs w:val="20"/>
                <w:color w:val="auto"/>
              </w:rPr>
            </w:pPr>
            <w:r>
              <w:rPr>
                <w:rFonts w:ascii="Arial" w:cs="Arial" w:eastAsia="Arial" w:hAnsi="Arial"/>
                <w:sz w:val="18"/>
                <w:szCs w:val="18"/>
                <w:color w:val="auto"/>
              </w:rPr>
              <w:t>Affected line item in the</w:t>
            </w:r>
          </w:p>
        </w:tc>
      </w:tr>
      <w:tr>
        <w:trPr>
          <w:trHeight w:val="27"/>
        </w:trPr>
        <w:tc>
          <w:tcPr>
            <w:tcW w:w="3180" w:type="dxa"/>
            <w:vAlign w:val="bottom"/>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37"/>
        </w:trPr>
        <w:tc>
          <w:tcPr>
            <w:tcW w:w="3180" w:type="dxa"/>
            <w:vAlign w:val="bottom"/>
            <w:gridSpan w:val="2"/>
          </w:tcPr>
          <w:p>
            <w:pPr>
              <w:ind w:left="20"/>
              <w:spacing w:after="0"/>
              <w:rPr>
                <w:sz w:val="20"/>
                <w:szCs w:val="20"/>
                <w:color w:val="auto"/>
              </w:rPr>
            </w:pPr>
            <w:r>
              <w:rPr>
                <w:rFonts w:ascii="Arial" w:cs="Arial" w:eastAsia="Arial" w:hAnsi="Arial"/>
                <w:sz w:val="18"/>
                <w:szCs w:val="18"/>
                <w:color w:val="auto"/>
              </w:rPr>
              <w:t>Derivatives not designated as hedges</w:t>
            </w:r>
          </w:p>
        </w:tc>
        <w:tc>
          <w:tcPr>
            <w:tcW w:w="14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color w:val="auto"/>
                <w:w w:val="99"/>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2018</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tcPr>
          <w:p>
            <w:pPr>
              <w:ind w:left="180"/>
              <w:spacing w:after="0"/>
              <w:rPr>
                <w:sz w:val="20"/>
                <w:szCs w:val="20"/>
                <w:color w:val="auto"/>
              </w:rPr>
            </w:pPr>
            <w:r>
              <w:rPr>
                <w:rFonts w:ascii="Arial" w:cs="Arial" w:eastAsia="Arial" w:hAnsi="Arial"/>
                <w:sz w:val="18"/>
                <w:szCs w:val="18"/>
                <w:color w:val="auto"/>
                <w:w w:val="98"/>
              </w:rPr>
              <w:t>Statement of Operations</w:t>
            </w:r>
          </w:p>
        </w:tc>
      </w:tr>
      <w:tr>
        <w:trPr>
          <w:trHeight w:val="27"/>
        </w:trPr>
        <w:tc>
          <w:tcPr>
            <w:tcW w:w="3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37"/>
        </w:trPr>
        <w:tc>
          <w:tcPr>
            <w:tcW w:w="3180" w:type="dxa"/>
            <w:vAlign w:val="bottom"/>
            <w:gridSpan w:val="2"/>
          </w:tcPr>
          <w:p>
            <w:pPr>
              <w:ind w:left="20"/>
              <w:spacing w:after="0"/>
              <w:rPr>
                <w:sz w:val="20"/>
                <w:szCs w:val="20"/>
                <w:color w:val="auto"/>
              </w:rPr>
            </w:pPr>
            <w:r>
              <w:rPr>
                <w:rFonts w:ascii="Arial" w:cs="Arial" w:eastAsia="Arial" w:hAnsi="Arial"/>
                <w:sz w:val="18"/>
                <w:szCs w:val="18"/>
                <w:color w:val="auto"/>
              </w:rPr>
              <w:t>Foreign exchange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120" w:type="dxa"/>
            <w:vAlign w:val="bottom"/>
          </w:tcPr>
          <w:p>
            <w:pPr>
              <w:ind w:left="40"/>
              <w:spacing w:after="0"/>
              <w:rPr>
                <w:sz w:val="20"/>
                <w:szCs w:val="20"/>
                <w:color w:val="auto"/>
              </w:rPr>
            </w:pPr>
            <w:r>
              <w:rPr>
                <w:rFonts w:ascii="Arial" w:cs="Arial" w:eastAsia="Arial" w:hAnsi="Arial"/>
                <w:sz w:val="18"/>
                <w:szCs w:val="18"/>
                <w:color w:val="auto"/>
              </w:rPr>
              <w:t>Net sales</w:t>
            </w:r>
          </w:p>
        </w:tc>
      </w:tr>
      <w:tr>
        <w:trPr>
          <w:trHeight w:val="27"/>
        </w:trPr>
        <w:tc>
          <w:tcPr>
            <w:tcW w:w="3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3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w:t>
            </w:r>
          </w:p>
        </w:tc>
        <w:tc>
          <w:tcPr>
            <w:tcW w:w="1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products sold</w:t>
            </w:r>
          </w:p>
        </w:tc>
      </w:tr>
      <w:tr>
        <w:trPr>
          <w:trHeight w:val="243"/>
        </w:trPr>
        <w:tc>
          <w:tcPr>
            <w:tcW w:w="3180" w:type="dxa"/>
            <w:vAlign w:val="bottom"/>
            <w:gridSpan w:val="2"/>
          </w:tcPr>
          <w:p>
            <w:pPr>
              <w:ind w:left="20"/>
              <w:spacing w:after="0"/>
              <w:rPr>
                <w:sz w:val="20"/>
                <w:szCs w:val="20"/>
                <w:color w:val="auto"/>
              </w:rPr>
            </w:pPr>
            <w:r>
              <w:rPr>
                <w:rFonts w:ascii="Arial" w:cs="Arial" w:eastAsia="Arial" w:hAnsi="Arial"/>
                <w:sz w:val="18"/>
                <w:szCs w:val="18"/>
                <w:color w:val="auto"/>
              </w:rPr>
              <w:t>Foreign exchange</w:t>
            </w:r>
          </w:p>
        </w:tc>
        <w:tc>
          <w:tcPr>
            <w:tcW w:w="1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(9)</w:t>
            </w:r>
          </w:p>
        </w:tc>
        <w:tc>
          <w:tcPr>
            <w:tcW w:w="100" w:type="dxa"/>
            <w:vAlign w:val="bottom"/>
          </w:tcPr>
          <w:p>
            <w:pPr>
              <w:spacing w:after="0"/>
              <w:rPr>
                <w:sz w:val="21"/>
                <w:szCs w:val="21"/>
                <w:color w:val="auto"/>
              </w:rPr>
            </w:pPr>
          </w:p>
        </w:tc>
        <w:tc>
          <w:tcPr>
            <w:tcW w:w="2120" w:type="dxa"/>
            <w:vAlign w:val="bottom"/>
          </w:tcPr>
          <w:p>
            <w:pPr>
              <w:ind w:left="40"/>
              <w:spacing w:after="0"/>
              <w:rPr>
                <w:sz w:val="20"/>
                <w:szCs w:val="20"/>
                <w:color w:val="auto"/>
              </w:rPr>
            </w:pPr>
            <w:r>
              <w:rPr>
                <w:rFonts w:ascii="Arial" w:cs="Arial" w:eastAsia="Arial" w:hAnsi="Arial"/>
                <w:sz w:val="18"/>
                <w:szCs w:val="18"/>
                <w:color w:val="auto"/>
              </w:rPr>
              <w:t>Foreign exchange</w:t>
            </w:r>
          </w:p>
        </w:tc>
      </w:tr>
      <w:tr>
        <w:trPr>
          <w:trHeight w:val="27"/>
        </w:trPr>
        <w:tc>
          <w:tcPr>
            <w:tcW w:w="3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r>
      <w:tr>
        <w:trPr>
          <w:trHeight w:val="269"/>
        </w:trPr>
        <w:tc>
          <w:tcPr>
            <w:tcW w:w="3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(8)</w:t>
            </w:r>
          </w:p>
        </w:tc>
        <w:tc>
          <w:tcPr>
            <w:tcW w:w="10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spacing w:after="0"/>
              <w:rPr>
                <w:sz w:val="22"/>
                <w:szCs w:val="22"/>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Investment Hedges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designates certain debt and derivative instruments as net investment hedges to manage foreign currency risk relating to net investments in subsidiaries denominated in foreign currencies and reduce the variability in the functional currency equivalent cash flows.</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three and six months ended June 30, 2019, the Company recorded a loss of $19 ($19, net of tax) and a gain of $9 ($9, net of tax) in other comprehensive income for certain debt instruments that are designated as hedges of its net investment in a euro-based subsidiary. For the three and six months ended June 30, 2018, the Company recorded gains of $48 ($48, net of tax) and $13 ($17, net of tax) in other comprehensive income for these net investment hedges. As of June 30, 2019 and December 31, 2018, cumulative losses of $50 and $59 ($27 and $36, net of tax) were recognized in accumulated other comprehensive income related to these net investment hedges. As of June 30, 2019, the carrying amount of the hedged net investment was $1,340 (€1,178 at June 30, 2019).</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January 2018, the Company entered into a series of cross-currency swaps with an aggregate notional value of $875 (€718). The swaps were designated as net investment hedges. Under the cross-currency contracts, the Company received semi-annual fixed U.S. dollar payments at a rate of 4.75% of the U.S. notional value and paid 2.50% on the euro notional value. The Company settled these swaps in November 2018.</w:t>
      </w:r>
    </w:p>
    <w:p>
      <w:pPr>
        <w:spacing w:after="0" w:line="39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760"/>
          </w:cols>
          <w:pgMar w:left="900" w:top="121" w:right="239" w:bottom="1440" w:gutter="0" w:footer="0" w:header="0"/>
        </w:sectPr>
      </w:pPr>
    </w:p>
    <w:bookmarkStart w:id="19" w:name="page20"/>
    <w:bookmarkEnd w:id="19"/>
    <w:p>
      <w:pPr>
        <w:ind w:left="42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November 2018, the Company entered into a series of cross-currency swaps with an aggregate notional value of $875 (€768). The swaps are designated as net investment hedges. Under the cross-currency contracts, the Company receives semi-annual fixed U.S. dollar payments at a rate of 4.75% of the U.S. notional value and pays 1.84% on the euro notional value.</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May 2019, the Company entered into a cross-currency swap with an aggregate notional value of $200 (€179). The swap is designated as a hedge of the Company's net investment in a euro-based subsidiary. Under the cross-currency contracts, the Company receives quarterly variable U.S. dollar payments at a rate of LIBOR plus a floating rate spread on the dollar notional value and pays EURIBOR plus a floating rate spread on the euro notional value.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Gains or losses on net investment hedges remain in accumulated other comprehensive income until disposal of the underlying assets.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set forth the impact on OCI from changes in the fair value of derivative instruments designated as net investment hedges.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4"/>
          </w:tcPr>
          <w:p>
            <w:pPr>
              <w:jc w:val="center"/>
              <w:ind w:left="190"/>
              <w:spacing w:after="0"/>
              <w:rPr>
                <w:sz w:val="20"/>
                <w:szCs w:val="20"/>
                <w:color w:val="auto"/>
              </w:rPr>
            </w:pPr>
            <w:r>
              <w:rPr>
                <w:rFonts w:ascii="Arial" w:cs="Arial" w:eastAsia="Arial" w:hAnsi="Arial"/>
                <w:sz w:val="18"/>
                <w:szCs w:val="18"/>
                <w:color w:val="auto"/>
                <w:w w:val="94"/>
              </w:rPr>
              <w:t>Amount of gain/(loss)</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4"/>
          </w:tcPr>
          <w:p>
            <w:pPr>
              <w:jc w:val="center"/>
              <w:ind w:right="110"/>
              <w:spacing w:after="0"/>
              <w:rPr>
                <w:sz w:val="20"/>
                <w:szCs w:val="20"/>
                <w:color w:val="auto"/>
              </w:rPr>
            </w:pPr>
            <w:r>
              <w:rPr>
                <w:rFonts w:ascii="Arial" w:cs="Arial" w:eastAsia="Arial" w:hAnsi="Arial"/>
                <w:sz w:val="18"/>
                <w:szCs w:val="18"/>
                <w:color w:val="auto"/>
                <w:w w:val="94"/>
              </w:rPr>
              <w:t>Amount of gain/(loss)</w:t>
            </w:r>
          </w:p>
        </w:tc>
      </w:tr>
      <w:tr>
        <w:trPr>
          <w:trHeight w:val="270"/>
        </w:trPr>
        <w:tc>
          <w:tcPr>
            <w:tcW w:w="4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80" w:type="dxa"/>
            <w:vAlign w:val="bottom"/>
            <w:gridSpan w:val="4"/>
          </w:tcPr>
          <w:p>
            <w:pPr>
              <w:jc w:val="center"/>
              <w:ind w:left="190"/>
              <w:spacing w:after="0"/>
              <w:rPr>
                <w:sz w:val="20"/>
                <w:szCs w:val="20"/>
                <w:color w:val="auto"/>
              </w:rPr>
            </w:pPr>
            <w:r>
              <w:rPr>
                <w:rFonts w:ascii="Arial" w:cs="Arial" w:eastAsia="Arial" w:hAnsi="Arial"/>
                <w:sz w:val="18"/>
                <w:szCs w:val="18"/>
                <w:color w:val="auto"/>
                <w:w w:val="91"/>
              </w:rPr>
              <w:t>recognized in OCI</w:t>
            </w: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0" w:type="dxa"/>
            <w:vAlign w:val="bottom"/>
            <w:gridSpan w:val="4"/>
          </w:tcPr>
          <w:p>
            <w:pPr>
              <w:jc w:val="center"/>
              <w:ind w:right="110"/>
              <w:spacing w:after="0"/>
              <w:rPr>
                <w:sz w:val="20"/>
                <w:szCs w:val="20"/>
                <w:color w:val="auto"/>
              </w:rPr>
            </w:pPr>
            <w:r>
              <w:rPr>
                <w:rFonts w:ascii="Arial" w:cs="Arial" w:eastAsia="Arial" w:hAnsi="Arial"/>
                <w:sz w:val="18"/>
                <w:szCs w:val="18"/>
                <w:color w:val="auto"/>
                <w:w w:val="91"/>
              </w:rPr>
              <w:t>recognized in OCI</w:t>
            </w:r>
          </w:p>
        </w:tc>
      </w:tr>
      <w:tr>
        <w:trPr>
          <w:trHeight w:val="27"/>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Borders>
              <w:bottom w:val="single" w:sz="8" w:color="auto"/>
            </w:tcBorders>
            <w:gridSpan w:val="4"/>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4"/>
          </w:tcPr>
          <w:p>
            <w:pPr>
              <w:spacing w:after="0"/>
              <w:rPr>
                <w:sz w:val="2"/>
                <w:szCs w:val="2"/>
                <w:color w:val="auto"/>
              </w:rPr>
            </w:pPr>
          </w:p>
        </w:tc>
      </w:tr>
      <w:tr>
        <w:trPr>
          <w:trHeight w:val="237"/>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4"/>
          </w:tcPr>
          <w:p>
            <w:pPr>
              <w:jc w:val="center"/>
              <w:ind w:left="190"/>
              <w:spacing w:after="0"/>
              <w:rPr>
                <w:sz w:val="20"/>
                <w:szCs w:val="20"/>
                <w:color w:val="auto"/>
              </w:rPr>
            </w:pPr>
            <w:r>
              <w:rPr>
                <w:rFonts w:ascii="Arial" w:cs="Arial" w:eastAsia="Arial" w:hAnsi="Arial"/>
                <w:sz w:val="18"/>
                <w:szCs w:val="18"/>
                <w:color w:val="auto"/>
                <w:w w:val="89"/>
              </w:rPr>
              <w:t>Three months ended</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4"/>
          </w:tcPr>
          <w:p>
            <w:pPr>
              <w:jc w:val="center"/>
              <w:ind w:right="110"/>
              <w:spacing w:after="0"/>
              <w:rPr>
                <w:sz w:val="20"/>
                <w:szCs w:val="20"/>
                <w:color w:val="auto"/>
              </w:rPr>
            </w:pPr>
            <w:r>
              <w:rPr>
                <w:rFonts w:ascii="Arial" w:cs="Arial" w:eastAsia="Arial" w:hAnsi="Arial"/>
                <w:sz w:val="18"/>
                <w:szCs w:val="18"/>
                <w:color w:val="auto"/>
                <w:w w:val="88"/>
              </w:rPr>
              <w:t>Six months ended</w:t>
            </w:r>
          </w:p>
        </w:tc>
      </w:tr>
      <w:tr>
        <w:trPr>
          <w:trHeight w:val="270"/>
        </w:trPr>
        <w:tc>
          <w:tcPr>
            <w:tcW w:w="4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140" w:type="dxa"/>
            <w:vAlign w:val="bottom"/>
            <w:gridSpan w:val="3"/>
          </w:tcPr>
          <w:p>
            <w:pPr>
              <w:jc w:val="center"/>
              <w:ind w:right="370"/>
              <w:spacing w:after="0"/>
              <w:rPr>
                <w:sz w:val="20"/>
                <w:szCs w:val="20"/>
                <w:color w:val="auto"/>
              </w:rPr>
            </w:pPr>
            <w:r>
              <w:rPr>
                <w:rFonts w:ascii="Arial" w:cs="Arial" w:eastAsia="Arial" w:hAnsi="Arial"/>
                <w:sz w:val="18"/>
                <w:szCs w:val="18"/>
                <w:color w:val="auto"/>
                <w:w w:val="86"/>
              </w:rPr>
              <w:t>June 30,</w:t>
            </w: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3"/>
          </w:tcPr>
          <w:p>
            <w:pPr>
              <w:jc w:val="center"/>
              <w:ind w:left="450"/>
              <w:spacing w:after="0"/>
              <w:rPr>
                <w:sz w:val="20"/>
                <w:szCs w:val="20"/>
                <w:color w:val="auto"/>
              </w:rPr>
            </w:pPr>
            <w:r>
              <w:rPr>
                <w:rFonts w:ascii="Arial" w:cs="Arial" w:eastAsia="Arial" w:hAnsi="Arial"/>
                <w:sz w:val="18"/>
                <w:szCs w:val="18"/>
                <w:color w:val="auto"/>
                <w:w w:val="86"/>
              </w:rPr>
              <w:t>June 30,</w:t>
            </w:r>
          </w:p>
        </w:tc>
        <w:tc>
          <w:tcPr>
            <w:tcW w:w="740" w:type="dxa"/>
            <w:vAlign w:val="bottom"/>
          </w:tcPr>
          <w:p>
            <w:pPr>
              <w:spacing w:after="0"/>
              <w:rPr>
                <w:sz w:val="23"/>
                <w:szCs w:val="23"/>
                <w:color w:val="auto"/>
              </w:rPr>
            </w:pPr>
          </w:p>
        </w:tc>
      </w:tr>
      <w:tr>
        <w:trPr>
          <w:trHeight w:val="27"/>
        </w:trPr>
        <w:tc>
          <w:tcPr>
            <w:tcW w:w="4620" w:type="dxa"/>
            <w:vAlign w:val="bottom"/>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Derivatives designated as net investment hedges</w:t>
            </w:r>
          </w:p>
        </w:tc>
        <w:tc>
          <w:tcPr>
            <w:tcW w:w="740" w:type="dxa"/>
            <w:vAlign w:val="bottom"/>
          </w:tcPr>
          <w:p>
            <w:pPr>
              <w:jc w:val="right"/>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2018</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250"/>
              <w:spacing w:after="0"/>
              <w:rPr>
                <w:sz w:val="20"/>
                <w:szCs w:val="20"/>
                <w:color w:val="auto"/>
              </w:rPr>
            </w:pPr>
            <w:r>
              <w:rPr>
                <w:rFonts w:ascii="Arial" w:cs="Arial" w:eastAsia="Arial" w:hAnsi="Arial"/>
                <w:sz w:val="18"/>
                <w:szCs w:val="18"/>
                <w:color w:val="auto"/>
                <w:w w:val="94"/>
              </w:rPr>
              <w:t>2018</w:t>
            </w:r>
          </w:p>
        </w:tc>
      </w:tr>
      <w:tr>
        <w:trPr>
          <w:trHeight w:val="27"/>
        </w:trPr>
        <w:tc>
          <w:tcPr>
            <w:tcW w:w="4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4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Gains and losses representing components excluded from the assessment of effectiveness on derivatives designated as net investment hedges are recognized in accumulated other comprehensive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Values of Derivative Financial Instruments and Valuation Hierarchy</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following table sets forth the Company's financial assets and liabilities that were accounted for at fair value on a recurring basis as of June 30, 2019 and December 31, 2018, respectively. The fair values of these financial instruments were reported under Level 2 of the fair value hierarchy.</w:t>
      </w:r>
    </w:p>
    <w:p>
      <w:pPr>
        <w:spacing w:after="0" w:line="286"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00" w:type="dxa"/>
            <w:vAlign w:val="bottom"/>
            <w:gridSpan w:val="3"/>
          </w:tcPr>
          <w:p>
            <w:pPr>
              <w:ind w:left="180"/>
              <w:spacing w:after="0"/>
              <w:rPr>
                <w:sz w:val="20"/>
                <w:szCs w:val="20"/>
                <w:color w:val="auto"/>
              </w:rPr>
            </w:pPr>
            <w:r>
              <w:rPr>
                <w:rFonts w:ascii="Arial" w:cs="Arial" w:eastAsia="Arial" w:hAnsi="Arial"/>
                <w:sz w:val="18"/>
                <w:szCs w:val="18"/>
                <w:color w:val="auto"/>
              </w:rPr>
              <w:t>Balance Sheet</w:t>
            </w:r>
          </w:p>
        </w:tc>
        <w:tc>
          <w:tcPr>
            <w:tcW w:w="180" w:type="dxa"/>
            <w:vAlign w:val="bottom"/>
          </w:tcPr>
          <w:p>
            <w:pPr>
              <w:spacing w:after="0"/>
              <w:rPr>
                <w:sz w:val="18"/>
                <w:szCs w:val="18"/>
                <w:color w:val="auto"/>
              </w:rPr>
            </w:pPr>
          </w:p>
        </w:tc>
        <w:tc>
          <w:tcPr>
            <w:tcW w:w="1020" w:type="dxa"/>
            <w:vAlign w:val="bottom"/>
            <w:gridSpan w:val="2"/>
          </w:tcPr>
          <w:p>
            <w:pPr>
              <w:ind w:left="40"/>
              <w:spacing w:after="0"/>
              <w:rPr>
                <w:sz w:val="20"/>
                <w:szCs w:val="20"/>
                <w:color w:val="auto"/>
              </w:rPr>
            </w:pPr>
            <w:r>
              <w:rPr>
                <w:rFonts w:ascii="Arial" w:cs="Arial" w:eastAsia="Arial" w:hAnsi="Arial"/>
                <w:sz w:val="18"/>
                <w:szCs w:val="18"/>
                <w:color w:val="auto"/>
              </w:rPr>
              <w:t>June 30,</w:t>
            </w:r>
          </w:p>
        </w:tc>
        <w:tc>
          <w:tcPr>
            <w:tcW w:w="14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w w:val="88"/>
              </w:rPr>
              <w:t>December 31,</w:t>
            </w:r>
          </w:p>
        </w:tc>
        <w:tc>
          <w:tcPr>
            <w:tcW w:w="100" w:type="dxa"/>
            <w:vAlign w:val="bottom"/>
          </w:tcPr>
          <w:p>
            <w:pPr>
              <w:spacing w:after="0"/>
              <w:rPr>
                <w:sz w:val="18"/>
                <w:szCs w:val="18"/>
                <w:color w:val="auto"/>
              </w:rPr>
            </w:pPr>
          </w:p>
        </w:tc>
        <w:tc>
          <w:tcPr>
            <w:tcW w:w="1600" w:type="dxa"/>
            <w:vAlign w:val="bottom"/>
            <w:gridSpan w:val="2"/>
          </w:tcPr>
          <w:p>
            <w:pPr>
              <w:ind w:left="240"/>
              <w:spacing w:after="0"/>
              <w:rPr>
                <w:sz w:val="20"/>
                <w:szCs w:val="20"/>
                <w:color w:val="auto"/>
              </w:rPr>
            </w:pPr>
            <w:r>
              <w:rPr>
                <w:rFonts w:ascii="Arial" w:cs="Arial" w:eastAsia="Arial" w:hAnsi="Arial"/>
                <w:sz w:val="18"/>
                <w:szCs w:val="18"/>
                <w:color w:val="auto"/>
              </w:rPr>
              <w:t>Balance Sheet</w:t>
            </w:r>
          </w:p>
        </w:tc>
        <w:tc>
          <w:tcPr>
            <w:tcW w:w="18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Arial" w:cs="Arial" w:eastAsia="Arial" w:hAnsi="Arial"/>
                <w:sz w:val="18"/>
                <w:szCs w:val="18"/>
                <w:color w:val="auto"/>
              </w:rPr>
              <w:t>June 30,</w:t>
            </w:r>
          </w:p>
        </w:tc>
        <w:tc>
          <w:tcPr>
            <w:tcW w:w="14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w w:val="88"/>
              </w:rPr>
              <w:t>December 31,</w:t>
            </w:r>
          </w:p>
        </w:tc>
      </w:tr>
      <w:tr>
        <w:trPr>
          <w:trHeight w:val="230"/>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00" w:type="dxa"/>
            <w:vAlign w:val="bottom"/>
            <w:gridSpan w:val="3"/>
          </w:tcPr>
          <w:p>
            <w:pPr>
              <w:ind w:left="220"/>
              <w:spacing w:after="0"/>
              <w:rPr>
                <w:sz w:val="20"/>
                <w:szCs w:val="20"/>
                <w:color w:val="auto"/>
              </w:rPr>
            </w:pPr>
            <w:r>
              <w:rPr>
                <w:rFonts w:ascii="Arial" w:cs="Arial" w:eastAsia="Arial" w:hAnsi="Arial"/>
                <w:sz w:val="18"/>
                <w:szCs w:val="18"/>
                <w:color w:val="auto"/>
              </w:rPr>
              <w:t>classification</w:t>
            </w:r>
          </w:p>
        </w:tc>
        <w:tc>
          <w:tcPr>
            <w:tcW w:w="18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3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1600" w:type="dxa"/>
            <w:vAlign w:val="bottom"/>
            <w:gridSpan w:val="2"/>
          </w:tcPr>
          <w:p>
            <w:pPr>
              <w:ind w:left="280"/>
              <w:spacing w:after="0"/>
              <w:rPr>
                <w:sz w:val="20"/>
                <w:szCs w:val="20"/>
                <w:color w:val="auto"/>
              </w:rPr>
            </w:pPr>
            <w:r>
              <w:rPr>
                <w:rFonts w:ascii="Arial" w:cs="Arial" w:eastAsia="Arial" w:hAnsi="Arial"/>
                <w:sz w:val="18"/>
                <w:szCs w:val="18"/>
                <w:color w:val="auto"/>
              </w:rPr>
              <w:t>classification</w:t>
            </w:r>
          </w:p>
        </w:tc>
        <w:tc>
          <w:tcPr>
            <w:tcW w:w="18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390"/>
              <w:spacing w:after="0"/>
              <w:rPr>
                <w:sz w:val="20"/>
                <w:szCs w:val="20"/>
                <w:color w:val="auto"/>
              </w:rPr>
            </w:pPr>
            <w:r>
              <w:rPr>
                <w:rFonts w:ascii="Arial" w:cs="Arial" w:eastAsia="Arial" w:hAnsi="Arial"/>
                <w:sz w:val="18"/>
                <w:szCs w:val="18"/>
                <w:color w:val="auto"/>
              </w:rPr>
              <w:t>2018</w:t>
            </w:r>
          </w:p>
        </w:tc>
      </w:tr>
      <w:tr>
        <w:trPr>
          <w:trHeight w:val="27"/>
        </w:trPr>
        <w:tc>
          <w:tcPr>
            <w:tcW w:w="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3"/>
        </w:trPr>
        <w:tc>
          <w:tcPr>
            <w:tcW w:w="20" w:type="dxa"/>
            <w:vAlign w:val="bottom"/>
            <w:shd w:val="clear" w:color="auto" w:fill="CCEEFF"/>
          </w:tcPr>
          <w:p>
            <w:pPr>
              <w:spacing w:after="0"/>
              <w:rPr>
                <w:sz w:val="15"/>
                <w:szCs w:val="15"/>
                <w:color w:val="auto"/>
              </w:rPr>
            </w:pPr>
          </w:p>
        </w:tc>
        <w:tc>
          <w:tcPr>
            <w:tcW w:w="3160" w:type="dxa"/>
            <w:vAlign w:val="bottom"/>
            <w:gridSpan w:val="4"/>
            <w:shd w:val="clear" w:color="auto" w:fill="CCEEFF"/>
          </w:tcPr>
          <w:p>
            <w:pPr>
              <w:spacing w:after="0" w:line="182" w:lineRule="exact"/>
              <w:rPr>
                <w:sz w:val="20"/>
                <w:szCs w:val="20"/>
                <w:color w:val="auto"/>
              </w:rPr>
            </w:pPr>
            <w:r>
              <w:rPr>
                <w:rFonts w:ascii="Arial" w:cs="Arial" w:eastAsia="Arial" w:hAnsi="Arial"/>
                <w:sz w:val="18"/>
                <w:szCs w:val="18"/>
                <w:color w:val="auto"/>
              </w:rPr>
              <w:t>Derivatives designated as hedging</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instruments</w:t>
            </w:r>
          </w:p>
        </w:tc>
        <w:tc>
          <w:tcPr>
            <w:tcW w:w="7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auto"/>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r>
      <w:tr>
        <w:trPr>
          <w:trHeight w:val="229"/>
        </w:trPr>
        <w:tc>
          <w:tcPr>
            <w:tcW w:w="20" w:type="dxa"/>
            <w:vAlign w:val="bottom"/>
          </w:tcPr>
          <w:p>
            <w:pPr>
              <w:spacing w:after="0"/>
              <w:rPr>
                <w:sz w:val="19"/>
                <w:szCs w:val="19"/>
                <w:color w:val="auto"/>
              </w:rPr>
            </w:pPr>
          </w:p>
        </w:tc>
        <w:tc>
          <w:tcPr>
            <w:tcW w:w="1760" w:type="dxa"/>
            <w:vAlign w:val="bottom"/>
            <w:gridSpan w:val="2"/>
          </w:tcPr>
          <w:p>
            <w:pPr>
              <w:spacing w:after="0"/>
              <w:rPr>
                <w:sz w:val="20"/>
                <w:szCs w:val="20"/>
                <w:color w:val="auto"/>
              </w:rPr>
            </w:pPr>
            <w:r>
              <w:rPr>
                <w:rFonts w:ascii="Arial" w:cs="Arial" w:eastAsia="Arial" w:hAnsi="Arial"/>
                <w:sz w:val="18"/>
                <w:szCs w:val="18"/>
                <w:color w:val="auto"/>
              </w:rPr>
              <w:t>Foreign exchange</w:t>
            </w:r>
          </w:p>
        </w:tc>
        <w:tc>
          <w:tcPr>
            <w:tcW w:w="1500" w:type="dxa"/>
            <w:vAlign w:val="bottom"/>
            <w:gridSpan w:val="3"/>
          </w:tcPr>
          <w:p>
            <w:pPr>
              <w:ind w:left="40"/>
              <w:spacing w:after="0"/>
              <w:rPr>
                <w:sz w:val="20"/>
                <w:szCs w:val="20"/>
                <w:color w:val="auto"/>
              </w:rPr>
            </w:pPr>
            <w:r>
              <w:rPr>
                <w:rFonts w:ascii="Arial" w:cs="Arial" w:eastAsia="Arial" w:hAnsi="Arial"/>
                <w:sz w:val="18"/>
                <w:szCs w:val="18"/>
                <w:color w:val="auto"/>
              </w:rPr>
              <w:t>Other current</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1760" w:type="dxa"/>
            <w:vAlign w:val="bottom"/>
            <w:gridSpan w:val="2"/>
          </w:tcPr>
          <w:p>
            <w:pPr>
              <w:spacing w:after="0"/>
              <w:rPr>
                <w:sz w:val="20"/>
                <w:szCs w:val="20"/>
                <w:color w:val="auto"/>
              </w:rPr>
            </w:pPr>
            <w:r>
              <w:rPr>
                <w:rFonts w:ascii="Arial" w:cs="Arial" w:eastAsia="Arial" w:hAnsi="Arial"/>
                <w:sz w:val="18"/>
                <w:szCs w:val="18"/>
                <w:color w:val="auto"/>
              </w:rPr>
              <w:t>contracts cash flow</w:t>
            </w:r>
          </w:p>
        </w:tc>
        <w:tc>
          <w:tcPr>
            <w:tcW w:w="1500" w:type="dxa"/>
            <w:vAlign w:val="bottom"/>
            <w:gridSpan w:val="3"/>
          </w:tcPr>
          <w:p>
            <w:pPr>
              <w:ind w:left="40"/>
              <w:spacing w:after="0"/>
              <w:rPr>
                <w:sz w:val="20"/>
                <w:szCs w:val="20"/>
                <w:color w:val="auto"/>
              </w:rPr>
            </w:pPr>
            <w:r>
              <w:rPr>
                <w:rFonts w:ascii="Arial" w:cs="Arial" w:eastAsia="Arial" w:hAnsi="Arial"/>
                <w:sz w:val="18"/>
                <w:szCs w:val="18"/>
                <w:color w:val="auto"/>
              </w:rPr>
              <w:t>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non-current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non-current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29"/>
        </w:trPr>
        <w:tc>
          <w:tcPr>
            <w:tcW w:w="20" w:type="dxa"/>
            <w:vAlign w:val="bottom"/>
          </w:tcPr>
          <w:p>
            <w:pPr>
              <w:spacing w:after="0"/>
              <w:rPr>
                <w:sz w:val="19"/>
                <w:szCs w:val="19"/>
                <w:color w:val="auto"/>
              </w:rPr>
            </w:pPr>
          </w:p>
        </w:tc>
        <w:tc>
          <w:tcPr>
            <w:tcW w:w="1760" w:type="dxa"/>
            <w:vAlign w:val="bottom"/>
            <w:gridSpan w:val="2"/>
          </w:tcPr>
          <w:p>
            <w:pPr>
              <w:spacing w:after="0"/>
              <w:rPr>
                <w:sz w:val="20"/>
                <w:szCs w:val="20"/>
                <w:color w:val="auto"/>
              </w:rPr>
            </w:pPr>
            <w:r>
              <w:rPr>
                <w:rFonts w:ascii="Arial" w:cs="Arial" w:eastAsia="Arial" w:hAnsi="Arial"/>
                <w:sz w:val="18"/>
                <w:szCs w:val="18"/>
                <w:color w:val="auto"/>
              </w:rPr>
              <w:t>Foreign exchange</w:t>
            </w:r>
          </w:p>
        </w:tc>
        <w:tc>
          <w:tcPr>
            <w:tcW w:w="1500" w:type="dxa"/>
            <w:vAlign w:val="bottom"/>
            <w:gridSpan w:val="3"/>
          </w:tcPr>
          <w:p>
            <w:pPr>
              <w:ind w:left="40"/>
              <w:spacing w:after="0"/>
              <w:rPr>
                <w:sz w:val="20"/>
                <w:szCs w:val="20"/>
                <w:color w:val="auto"/>
              </w:rPr>
            </w:pPr>
            <w:r>
              <w:rPr>
                <w:rFonts w:ascii="Arial" w:cs="Arial" w:eastAsia="Arial" w:hAnsi="Arial"/>
                <w:sz w:val="18"/>
                <w:szCs w:val="18"/>
                <w:color w:val="auto"/>
              </w:rPr>
              <w:t>Other current</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1760" w:type="dxa"/>
            <w:vAlign w:val="bottom"/>
            <w:gridSpan w:val="2"/>
          </w:tcPr>
          <w:p>
            <w:pPr>
              <w:spacing w:after="0"/>
              <w:rPr>
                <w:sz w:val="20"/>
                <w:szCs w:val="20"/>
                <w:color w:val="auto"/>
              </w:rPr>
            </w:pPr>
            <w:r>
              <w:rPr>
                <w:rFonts w:ascii="Arial" w:cs="Arial" w:eastAsia="Arial" w:hAnsi="Arial"/>
                <w:sz w:val="18"/>
                <w:szCs w:val="18"/>
                <w:color w:val="auto"/>
              </w:rPr>
              <w:t>contracts fair value</w:t>
            </w:r>
          </w:p>
        </w:tc>
        <w:tc>
          <w:tcPr>
            <w:tcW w:w="1500" w:type="dxa"/>
            <w:vAlign w:val="bottom"/>
            <w:gridSpan w:val="3"/>
          </w:tcPr>
          <w:p>
            <w:pPr>
              <w:ind w:left="40"/>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Commodities</w:t>
            </w:r>
          </w:p>
        </w:tc>
        <w:tc>
          <w:tcPr>
            <w:tcW w:w="15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current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contracts cash flow</w:t>
            </w:r>
          </w:p>
        </w:tc>
        <w:tc>
          <w:tcPr>
            <w:tcW w:w="1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r>
      <w:tr>
        <w:trPr>
          <w:trHeight w:val="229"/>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500" w:type="dxa"/>
            <w:vAlign w:val="bottom"/>
            <w:gridSpan w:val="3"/>
          </w:tcPr>
          <w:p>
            <w:pPr>
              <w:ind w:left="40"/>
              <w:spacing w:after="0"/>
              <w:rPr>
                <w:sz w:val="20"/>
                <w:szCs w:val="20"/>
                <w:color w:val="auto"/>
              </w:rPr>
            </w:pPr>
            <w:r>
              <w:rPr>
                <w:rFonts w:ascii="Arial" w:cs="Arial" w:eastAsia="Arial" w:hAnsi="Arial"/>
                <w:sz w:val="18"/>
                <w:szCs w:val="18"/>
                <w:color w:val="auto"/>
              </w:rPr>
              <w:t>Other non-current</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Other non-current</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00" w:type="dxa"/>
            <w:vAlign w:val="bottom"/>
            <w:gridSpan w:val="3"/>
          </w:tcPr>
          <w:p>
            <w:pPr>
              <w:ind w:left="40"/>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Net investment hedge</w:t>
            </w:r>
          </w:p>
        </w:tc>
        <w:tc>
          <w:tcPr>
            <w:tcW w:w="15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non-current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non-current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w:t>
            </w: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760"/>
          </w:cols>
          <w:pgMar w:left="900" w:top="121" w:right="239" w:bottom="1440" w:gutter="0" w:footer="0" w:header="0"/>
        </w:sectPr>
      </w:pPr>
    </w:p>
    <w:bookmarkStart w:id="20" w:name="page21"/>
    <w:bookmarkEnd w:id="20"/>
    <w:tbl>
      <w:tblPr>
        <w:tblLayout w:type="fixed"/>
        <w:tblInd w:w="10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4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rPr>
              <w:t>Crown Holdings, Inc.</w:t>
            </w: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82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00" w:type="dxa"/>
            <w:vAlign w:val="bottom"/>
            <w:gridSpan w:val="3"/>
          </w:tcPr>
          <w:p>
            <w:pPr>
              <w:ind w:left="180"/>
              <w:spacing w:after="0"/>
              <w:rPr>
                <w:sz w:val="20"/>
                <w:szCs w:val="20"/>
                <w:color w:val="auto"/>
              </w:rPr>
            </w:pPr>
            <w:r>
              <w:rPr>
                <w:rFonts w:ascii="Arial" w:cs="Arial" w:eastAsia="Arial" w:hAnsi="Arial"/>
                <w:sz w:val="18"/>
                <w:szCs w:val="18"/>
                <w:color w:val="auto"/>
              </w:rPr>
              <w:t>Balance Sheet</w:t>
            </w:r>
          </w:p>
        </w:tc>
        <w:tc>
          <w:tcPr>
            <w:tcW w:w="180" w:type="dxa"/>
            <w:vAlign w:val="bottom"/>
          </w:tcPr>
          <w:p>
            <w:pPr>
              <w:spacing w:after="0"/>
              <w:rPr>
                <w:sz w:val="24"/>
                <w:szCs w:val="24"/>
                <w:color w:val="auto"/>
              </w:rPr>
            </w:pPr>
          </w:p>
        </w:tc>
        <w:tc>
          <w:tcPr>
            <w:tcW w:w="1020" w:type="dxa"/>
            <w:vAlign w:val="bottom"/>
            <w:gridSpan w:val="2"/>
          </w:tcPr>
          <w:p>
            <w:pPr>
              <w:ind w:left="40"/>
              <w:spacing w:after="0"/>
              <w:rPr>
                <w:sz w:val="20"/>
                <w:szCs w:val="20"/>
                <w:color w:val="auto"/>
              </w:rPr>
            </w:pPr>
            <w:r>
              <w:rPr>
                <w:rFonts w:ascii="Arial" w:cs="Arial" w:eastAsia="Arial" w:hAnsi="Arial"/>
                <w:sz w:val="18"/>
                <w:szCs w:val="18"/>
                <w:color w:val="auto"/>
              </w:rPr>
              <w:t>June 30,</w:t>
            </w:r>
          </w:p>
        </w:tc>
        <w:tc>
          <w:tcPr>
            <w:tcW w:w="140" w:type="dxa"/>
            <w:vAlign w:val="bottom"/>
          </w:tcPr>
          <w:p>
            <w:pPr>
              <w:spacing w:after="0"/>
              <w:rPr>
                <w:sz w:val="24"/>
                <w:szCs w:val="24"/>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w w:val="88"/>
              </w:rPr>
              <w:t>December 31,</w:t>
            </w:r>
          </w:p>
        </w:tc>
        <w:tc>
          <w:tcPr>
            <w:tcW w:w="100" w:type="dxa"/>
            <w:vAlign w:val="bottom"/>
          </w:tcPr>
          <w:p>
            <w:pPr>
              <w:spacing w:after="0"/>
              <w:rPr>
                <w:sz w:val="24"/>
                <w:szCs w:val="24"/>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Balance Sheet</w:t>
            </w:r>
          </w:p>
        </w:tc>
        <w:tc>
          <w:tcPr>
            <w:tcW w:w="18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Arial" w:cs="Arial" w:eastAsia="Arial" w:hAnsi="Arial"/>
                <w:sz w:val="18"/>
                <w:szCs w:val="18"/>
                <w:color w:val="auto"/>
              </w:rPr>
              <w:t>June 30,</w:t>
            </w:r>
          </w:p>
        </w:tc>
        <w:tc>
          <w:tcPr>
            <w:tcW w:w="140" w:type="dxa"/>
            <w:vAlign w:val="bottom"/>
          </w:tcPr>
          <w:p>
            <w:pPr>
              <w:spacing w:after="0"/>
              <w:rPr>
                <w:sz w:val="24"/>
                <w:szCs w:val="24"/>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w w:val="88"/>
              </w:rPr>
              <w:t>December 31,</w:t>
            </w:r>
          </w:p>
        </w:tc>
      </w:tr>
      <w:tr>
        <w:trPr>
          <w:trHeight w:val="230"/>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00" w:type="dxa"/>
            <w:vAlign w:val="bottom"/>
            <w:gridSpan w:val="3"/>
          </w:tcPr>
          <w:p>
            <w:pPr>
              <w:ind w:left="220"/>
              <w:spacing w:after="0"/>
              <w:rPr>
                <w:sz w:val="20"/>
                <w:szCs w:val="20"/>
                <w:color w:val="auto"/>
              </w:rPr>
            </w:pPr>
            <w:r>
              <w:rPr>
                <w:rFonts w:ascii="Arial" w:cs="Arial" w:eastAsia="Arial" w:hAnsi="Arial"/>
                <w:sz w:val="18"/>
                <w:szCs w:val="18"/>
                <w:color w:val="auto"/>
              </w:rPr>
              <w:t>classification</w:t>
            </w:r>
          </w:p>
        </w:tc>
        <w:tc>
          <w:tcPr>
            <w:tcW w:w="18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3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classification</w:t>
            </w:r>
          </w:p>
        </w:tc>
        <w:tc>
          <w:tcPr>
            <w:tcW w:w="18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390"/>
              <w:spacing w:after="0"/>
              <w:rPr>
                <w:sz w:val="20"/>
                <w:szCs w:val="20"/>
                <w:color w:val="auto"/>
              </w:rPr>
            </w:pPr>
            <w:r>
              <w:rPr>
                <w:rFonts w:ascii="Arial" w:cs="Arial" w:eastAsia="Arial" w:hAnsi="Arial"/>
                <w:sz w:val="18"/>
                <w:szCs w:val="18"/>
                <w:color w:val="auto"/>
              </w:rPr>
              <w:t>2018</w:t>
            </w: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0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176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82"/>
              </w:rPr>
              <w:t>Derivatives not designated</w:t>
            </w:r>
          </w:p>
        </w:tc>
        <w:tc>
          <w:tcPr>
            <w:tcW w:w="1400" w:type="dxa"/>
            <w:vAlign w:val="bottom"/>
            <w:tcBorders>
              <w:top w:val="single" w:sz="8" w:color="auto"/>
            </w:tcBorders>
            <w:gridSpan w:val="2"/>
            <w:shd w:val="clear" w:color="auto" w:fill="CCEEFF"/>
          </w:tcPr>
          <w:p>
            <w:pPr>
              <w:ind w:left="220"/>
              <w:spacing w:after="0" w:line="182" w:lineRule="exact"/>
              <w:rPr>
                <w:sz w:val="20"/>
                <w:szCs w:val="20"/>
                <w:color w:val="auto"/>
              </w:rPr>
            </w:pPr>
            <w:r>
              <w:rPr>
                <w:rFonts w:ascii="Arial" w:cs="Arial" w:eastAsia="Arial" w:hAnsi="Arial"/>
                <w:sz w:val="18"/>
                <w:szCs w:val="18"/>
                <w:color w:val="auto"/>
              </w:rPr>
              <w:t>as hedging</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instruments</w:t>
            </w:r>
          </w:p>
        </w:tc>
        <w:tc>
          <w:tcPr>
            <w:tcW w:w="9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auto"/>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r>
      <w:tr>
        <w:trPr>
          <w:trHeight w:val="229"/>
        </w:trPr>
        <w:tc>
          <w:tcPr>
            <w:tcW w:w="20" w:type="dxa"/>
            <w:vAlign w:val="bottom"/>
          </w:tcPr>
          <w:p>
            <w:pPr>
              <w:spacing w:after="0"/>
              <w:rPr>
                <w:sz w:val="19"/>
                <w:szCs w:val="19"/>
                <w:color w:val="auto"/>
              </w:rPr>
            </w:pPr>
          </w:p>
        </w:tc>
        <w:tc>
          <w:tcPr>
            <w:tcW w:w="1760" w:type="dxa"/>
            <w:vAlign w:val="bottom"/>
            <w:gridSpan w:val="2"/>
          </w:tcPr>
          <w:p>
            <w:pPr>
              <w:spacing w:after="0"/>
              <w:rPr>
                <w:sz w:val="20"/>
                <w:szCs w:val="20"/>
                <w:color w:val="auto"/>
              </w:rPr>
            </w:pPr>
            <w:r>
              <w:rPr>
                <w:rFonts w:ascii="Arial" w:cs="Arial" w:eastAsia="Arial" w:hAnsi="Arial"/>
                <w:sz w:val="18"/>
                <w:szCs w:val="18"/>
                <w:color w:val="auto"/>
              </w:rPr>
              <w:t>Foreign exchange</w:t>
            </w:r>
          </w:p>
        </w:tc>
        <w:tc>
          <w:tcPr>
            <w:tcW w:w="1500" w:type="dxa"/>
            <w:vAlign w:val="bottom"/>
            <w:gridSpan w:val="3"/>
          </w:tcPr>
          <w:p>
            <w:pPr>
              <w:ind w:left="20"/>
              <w:spacing w:after="0"/>
              <w:rPr>
                <w:sz w:val="20"/>
                <w:szCs w:val="20"/>
                <w:color w:val="auto"/>
              </w:rPr>
            </w:pPr>
            <w:r>
              <w:rPr>
                <w:rFonts w:ascii="Arial" w:cs="Arial" w:eastAsia="Arial" w:hAnsi="Arial"/>
                <w:sz w:val="18"/>
                <w:szCs w:val="18"/>
                <w:color w:val="auto"/>
              </w:rPr>
              <w:t>Other current</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1760" w:type="dxa"/>
            <w:vAlign w:val="bottom"/>
            <w:gridSpan w:val="2"/>
          </w:tcPr>
          <w:p>
            <w:pPr>
              <w:spacing w:after="0"/>
              <w:rPr>
                <w:sz w:val="20"/>
                <w:szCs w:val="20"/>
                <w:color w:val="auto"/>
              </w:rPr>
            </w:pPr>
            <w:r>
              <w:rPr>
                <w:rFonts w:ascii="Arial" w:cs="Arial" w:eastAsia="Arial" w:hAnsi="Arial"/>
                <w:sz w:val="18"/>
                <w:szCs w:val="18"/>
                <w:color w:val="auto"/>
              </w:rPr>
              <w:t>contracts</w:t>
            </w:r>
          </w:p>
        </w:tc>
        <w:tc>
          <w:tcPr>
            <w:tcW w:w="1500" w:type="dxa"/>
            <w:vAlign w:val="bottom"/>
            <w:gridSpan w:val="3"/>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non-current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non-current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318"/>
        </w:trPr>
        <w:tc>
          <w:tcPr>
            <w:tcW w:w="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1760" w:type="dxa"/>
            <w:vAlign w:val="bottom"/>
            <w:gridSpan w:val="2"/>
          </w:tcPr>
          <w:p>
            <w:pPr>
              <w:spacing w:after="0"/>
              <w:rPr>
                <w:sz w:val="20"/>
                <w:szCs w:val="20"/>
                <w:color w:val="auto"/>
              </w:rPr>
            </w:pPr>
            <w:r>
              <w:rPr>
                <w:rFonts w:ascii="Arial" w:cs="Arial" w:eastAsia="Arial" w:hAnsi="Arial"/>
                <w:sz w:val="18"/>
                <w:szCs w:val="18"/>
                <w:color w:val="auto"/>
              </w:rPr>
              <w:t>Total derivatives</w:t>
            </w: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59</w:t>
            </w: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60" w:type="dxa"/>
            <w:vAlign w:val="bottom"/>
            <w:gridSpan w:val="3"/>
          </w:tcPr>
          <w:p>
            <w:pPr>
              <w:ind w:left="660"/>
              <w:spacing w:after="0"/>
              <w:rPr>
                <w:sz w:val="20"/>
                <w:szCs w:val="20"/>
                <w:color w:val="auto"/>
              </w:rPr>
            </w:pPr>
            <w:r>
              <w:rPr>
                <w:rFonts w:ascii="Arial" w:cs="Arial" w:eastAsia="Arial" w:hAnsi="Arial"/>
                <w:sz w:val="18"/>
                <w:szCs w:val="18"/>
                <w:color w:val="auto"/>
              </w:rPr>
              <w:t>Fair Value Hedge Carrying Amounts</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615"/>
        </w:trPr>
        <w:tc>
          <w:tcPr>
            <w:tcW w:w="660" w:type="dxa"/>
            <w:vAlign w:val="bottom"/>
          </w:tcPr>
          <w:p>
            <w:pPr>
              <w:spacing w:after="0"/>
              <w:rPr>
                <w:sz w:val="24"/>
                <w:szCs w:val="24"/>
                <w:color w:val="auto"/>
              </w:rPr>
            </w:pPr>
          </w:p>
        </w:tc>
        <w:tc>
          <w:tcPr>
            <w:tcW w:w="2640" w:type="dxa"/>
            <w:vAlign w:val="bottom"/>
            <w:tcBorders>
              <w:top w:val="single" w:sz="8" w:color="auto"/>
            </w:tcBorders>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20" w:type="dxa"/>
            <w:vAlign w:val="bottom"/>
            <w:gridSpan w:val="3"/>
          </w:tcPr>
          <w:p>
            <w:pPr>
              <w:ind w:left="360"/>
              <w:spacing w:after="0"/>
              <w:rPr>
                <w:sz w:val="20"/>
                <w:szCs w:val="20"/>
                <w:color w:val="auto"/>
              </w:rPr>
            </w:pPr>
            <w:r>
              <w:rPr>
                <w:rFonts w:ascii="Arial" w:cs="Arial" w:eastAsia="Arial" w:hAnsi="Arial"/>
                <w:sz w:val="18"/>
                <w:szCs w:val="18"/>
                <w:color w:val="auto"/>
              </w:rPr>
              <w:t>Carrying amount of the hedged</w:t>
            </w:r>
          </w:p>
        </w:tc>
      </w:tr>
      <w:tr>
        <w:trPr>
          <w:trHeight w:val="270"/>
        </w:trPr>
        <w:tc>
          <w:tcPr>
            <w:tcW w:w="66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920" w:type="dxa"/>
            <w:vAlign w:val="bottom"/>
            <w:gridSpan w:val="3"/>
          </w:tcPr>
          <w:p>
            <w:pPr>
              <w:jc w:val="right"/>
              <w:ind w:right="730"/>
              <w:spacing w:after="0"/>
              <w:rPr>
                <w:sz w:val="20"/>
                <w:szCs w:val="20"/>
                <w:color w:val="auto"/>
              </w:rPr>
            </w:pPr>
            <w:r>
              <w:rPr>
                <w:rFonts w:ascii="Arial" w:cs="Arial" w:eastAsia="Arial" w:hAnsi="Arial"/>
                <w:sz w:val="18"/>
                <w:szCs w:val="18"/>
                <w:color w:val="auto"/>
              </w:rPr>
              <w:t>assets/(liabilities)</w:t>
            </w:r>
          </w:p>
        </w:tc>
      </w:tr>
      <w:tr>
        <w:trPr>
          <w:trHeight w:val="27"/>
        </w:trPr>
        <w:tc>
          <w:tcPr>
            <w:tcW w:w="6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492"/>
        </w:trPr>
        <w:tc>
          <w:tcPr>
            <w:tcW w:w="4860" w:type="dxa"/>
            <w:vAlign w:val="bottom"/>
            <w:gridSpan w:val="3"/>
          </w:tcPr>
          <w:p>
            <w:pPr>
              <w:ind w:left="40"/>
              <w:spacing w:after="0"/>
              <w:rPr>
                <w:sz w:val="20"/>
                <w:szCs w:val="20"/>
                <w:color w:val="auto"/>
              </w:rPr>
            </w:pPr>
            <w:r>
              <w:rPr>
                <w:rFonts w:ascii="Arial" w:cs="Arial" w:eastAsia="Arial" w:hAnsi="Arial"/>
                <w:sz w:val="18"/>
                <w:szCs w:val="18"/>
                <w:color w:val="auto"/>
              </w:rPr>
              <w:t>Line item in the Balance Sheet in which the hedged item is</w:t>
            </w:r>
          </w:p>
        </w:tc>
        <w:tc>
          <w:tcPr>
            <w:tcW w:w="120" w:type="dxa"/>
            <w:vAlign w:val="bottom"/>
          </w:tcPr>
          <w:p>
            <w:pPr>
              <w:spacing w:after="0"/>
              <w:rPr>
                <w:sz w:val="24"/>
                <w:szCs w:val="24"/>
                <w:color w:val="auto"/>
              </w:rPr>
            </w:pPr>
          </w:p>
        </w:tc>
        <w:tc>
          <w:tcPr>
            <w:tcW w:w="1580" w:type="dxa"/>
            <w:vAlign w:val="bottom"/>
            <w:gridSpan w:val="2"/>
          </w:tcPr>
          <w:p>
            <w:pPr>
              <w:ind w:left="360"/>
              <w:spacing w:after="0"/>
              <w:rPr>
                <w:sz w:val="20"/>
                <w:szCs w:val="20"/>
                <w:color w:val="auto"/>
              </w:rPr>
            </w:pPr>
            <w:r>
              <w:rPr>
                <w:rFonts w:ascii="Arial" w:cs="Arial" w:eastAsia="Arial" w:hAnsi="Arial"/>
                <w:sz w:val="18"/>
                <w:szCs w:val="18"/>
                <w:color w:val="auto"/>
              </w:rPr>
              <w:t>June 30,</w:t>
            </w: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December 31,</w:t>
            </w:r>
          </w:p>
        </w:tc>
      </w:tr>
      <w:tr>
        <w:trPr>
          <w:trHeight w:val="230"/>
        </w:trPr>
        <w:tc>
          <w:tcPr>
            <w:tcW w:w="4860" w:type="dxa"/>
            <w:vAlign w:val="bottom"/>
            <w:gridSpan w:val="3"/>
          </w:tcPr>
          <w:p>
            <w:pPr>
              <w:ind w:left="40"/>
              <w:spacing w:after="0"/>
              <w:rPr>
                <w:sz w:val="20"/>
                <w:szCs w:val="20"/>
                <w:color w:val="auto"/>
              </w:rPr>
            </w:pPr>
            <w:r>
              <w:rPr>
                <w:rFonts w:ascii="Arial" w:cs="Arial" w:eastAsia="Arial" w:hAnsi="Arial"/>
                <w:sz w:val="18"/>
                <w:szCs w:val="18"/>
                <w:color w:val="auto"/>
              </w:rPr>
              <w:t>included</w:t>
            </w:r>
          </w:p>
        </w:tc>
        <w:tc>
          <w:tcPr>
            <w:tcW w:w="1460" w:type="dxa"/>
            <w:vAlign w:val="bottom"/>
            <w:gridSpan w:val="2"/>
          </w:tcPr>
          <w:p>
            <w:pPr>
              <w:jc w:val="right"/>
              <w:ind w:right="39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0"/>
                <w:szCs w:val="20"/>
                <w:color w:val="auto"/>
              </w:rPr>
            </w:pPr>
          </w:p>
        </w:tc>
        <w:tc>
          <w:tcPr>
            <w:tcW w:w="1340" w:type="dxa"/>
            <w:vAlign w:val="bottom"/>
          </w:tcPr>
          <w:p>
            <w:pPr>
              <w:jc w:val="right"/>
              <w:ind w:right="390"/>
              <w:spacing w:after="0"/>
              <w:rPr>
                <w:sz w:val="20"/>
                <w:szCs w:val="20"/>
                <w:color w:val="auto"/>
              </w:rPr>
            </w:pPr>
            <w:r>
              <w:rPr>
                <w:rFonts w:ascii="Arial" w:cs="Arial" w:eastAsia="Arial" w:hAnsi="Arial"/>
                <w:sz w:val="18"/>
                <w:szCs w:val="18"/>
                <w:color w:val="auto"/>
              </w:rPr>
              <w:t>2018</w:t>
            </w:r>
          </w:p>
        </w:tc>
      </w:tr>
      <w:tr>
        <w:trPr>
          <w:trHeight w:val="27"/>
        </w:trPr>
        <w:tc>
          <w:tcPr>
            <w:tcW w:w="66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4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Receivables, net</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4860" w:type="dxa"/>
            <w:vAlign w:val="bottom"/>
            <w:gridSpan w:val="3"/>
          </w:tcPr>
          <w:p>
            <w:pPr>
              <w:ind w:left="40"/>
              <w:spacing w:after="0"/>
              <w:rPr>
                <w:sz w:val="20"/>
                <w:szCs w:val="20"/>
                <w:color w:val="auto"/>
              </w:rPr>
            </w:pPr>
            <w:r>
              <w:rPr>
                <w:rFonts w:ascii="Arial" w:cs="Arial" w:eastAsia="Arial" w:hAnsi="Arial"/>
                <w:sz w:val="18"/>
                <w:szCs w:val="18"/>
                <w:color w:val="auto"/>
              </w:rPr>
              <w:t>Accounts payable</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w:t>
            </w:r>
          </w:p>
        </w:tc>
      </w:tr>
    </w:tbl>
    <w:p>
      <w:pPr>
        <w:spacing w:after="0" w:line="200" w:lineRule="exact"/>
        <w:rPr>
          <w:sz w:val="20"/>
          <w:szCs w:val="20"/>
          <w:color w:val="auto"/>
        </w:rPr>
      </w:pPr>
    </w:p>
    <w:p>
      <w:pPr>
        <w:spacing w:after="0" w:line="245" w:lineRule="exact"/>
        <w:rPr>
          <w:sz w:val="20"/>
          <w:szCs w:val="20"/>
          <w:color w:val="auto"/>
        </w:rPr>
      </w:pPr>
    </w:p>
    <w:p>
      <w:pPr>
        <w:ind w:left="660" w:right="60"/>
        <w:spacing w:after="0" w:line="264" w:lineRule="auto"/>
        <w:rPr>
          <w:sz w:val="20"/>
          <w:szCs w:val="20"/>
          <w:color w:val="auto"/>
        </w:rPr>
      </w:pPr>
      <w:r>
        <w:rPr>
          <w:rFonts w:ascii="Arial" w:cs="Arial" w:eastAsia="Arial" w:hAnsi="Arial"/>
          <w:sz w:val="18"/>
          <w:szCs w:val="18"/>
          <w:color w:val="auto"/>
        </w:rPr>
        <w:t>As of June 30, 2019, the cumulative amounts of fair value hedging adjustments included in the carrying amount of the hedge assets and liabilities were a loss of $2. As of December 31, 2018, the cumulative amounts of fair value hedging adjustments included in the carrying amount of the hedge assets and liabilities were less than $1.</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Offsetting of Derivative Assets and Liabilities</w:t>
      </w:r>
    </w:p>
    <w:p>
      <w:pPr>
        <w:spacing w:after="0" w:line="225"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Certain derivative financial instruments are subject to agreements with counterparties similar to master netting arrangements and are eligible for offset. The Company has made an accounting policy election not to offset the fair values of these instruments within the statement of financial position. In the table below, the aggregate fair values of the Company's derivative assets and liabilities are presented on both a gross and net basis, where appropriate.</w:t>
      </w:r>
    </w:p>
    <w:p>
      <w:pPr>
        <w:spacing w:after="0" w:line="349"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760" w:type="dxa"/>
            <w:vAlign w:val="bottom"/>
          </w:tcPr>
          <w:p>
            <w:pPr>
              <w:jc w:val="center"/>
              <w:ind w:left="410"/>
              <w:spacing w:after="0"/>
              <w:rPr>
                <w:sz w:val="20"/>
                <w:szCs w:val="20"/>
                <w:color w:val="auto"/>
              </w:rPr>
            </w:pPr>
            <w:r>
              <w:rPr>
                <w:rFonts w:ascii="Arial" w:cs="Arial" w:eastAsia="Arial" w:hAnsi="Arial"/>
                <w:sz w:val="18"/>
                <w:szCs w:val="18"/>
                <w:color w:val="auto"/>
                <w:w w:val="89"/>
              </w:rPr>
              <w:t>Gross amounts recognized in</w:t>
            </w:r>
          </w:p>
        </w:tc>
        <w:tc>
          <w:tcPr>
            <w:tcW w:w="2520" w:type="dxa"/>
            <w:vAlign w:val="bottom"/>
          </w:tcPr>
          <w:p>
            <w:pPr>
              <w:jc w:val="center"/>
              <w:ind w:right="30"/>
              <w:spacing w:after="0"/>
              <w:rPr>
                <w:sz w:val="20"/>
                <w:szCs w:val="20"/>
                <w:color w:val="auto"/>
              </w:rPr>
            </w:pPr>
            <w:r>
              <w:rPr>
                <w:rFonts w:ascii="Arial" w:cs="Arial" w:eastAsia="Arial" w:hAnsi="Arial"/>
                <w:sz w:val="18"/>
                <w:szCs w:val="18"/>
                <w:color w:val="auto"/>
                <w:w w:val="89"/>
              </w:rPr>
              <w:t>Gross amounts not offset in the</w:t>
            </w:r>
          </w:p>
        </w:tc>
        <w:tc>
          <w:tcPr>
            <w:tcW w:w="13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760" w:type="dxa"/>
            <w:vAlign w:val="bottom"/>
          </w:tcPr>
          <w:p>
            <w:pPr>
              <w:jc w:val="center"/>
              <w:ind w:left="410"/>
              <w:spacing w:after="0"/>
              <w:rPr>
                <w:sz w:val="20"/>
                <w:szCs w:val="20"/>
                <w:color w:val="auto"/>
              </w:rPr>
            </w:pPr>
            <w:r>
              <w:rPr>
                <w:rFonts w:ascii="Arial" w:cs="Arial" w:eastAsia="Arial" w:hAnsi="Arial"/>
                <w:sz w:val="18"/>
                <w:szCs w:val="18"/>
                <w:color w:val="auto"/>
                <w:w w:val="88"/>
              </w:rPr>
              <w:t>the Balance Sheet</w:t>
            </w:r>
          </w:p>
        </w:tc>
        <w:tc>
          <w:tcPr>
            <w:tcW w:w="2520" w:type="dxa"/>
            <w:vAlign w:val="bottom"/>
          </w:tcPr>
          <w:p>
            <w:pPr>
              <w:jc w:val="center"/>
              <w:ind w:right="50"/>
              <w:spacing w:after="0"/>
              <w:rPr>
                <w:sz w:val="20"/>
                <w:szCs w:val="20"/>
                <w:color w:val="auto"/>
              </w:rPr>
            </w:pPr>
            <w:r>
              <w:rPr>
                <w:rFonts w:ascii="Arial" w:cs="Arial" w:eastAsia="Arial" w:hAnsi="Arial"/>
                <w:sz w:val="18"/>
                <w:szCs w:val="18"/>
                <w:color w:val="auto"/>
                <w:w w:val="87"/>
              </w:rPr>
              <w:t>Balance Sheet</w:t>
            </w:r>
          </w:p>
        </w:tc>
        <w:tc>
          <w:tcPr>
            <w:tcW w:w="1380" w:type="dxa"/>
            <w:vAlign w:val="bottom"/>
          </w:tcPr>
          <w:p>
            <w:pPr>
              <w:ind w:left="200"/>
              <w:spacing w:after="0"/>
              <w:rPr>
                <w:sz w:val="20"/>
                <w:szCs w:val="20"/>
                <w:color w:val="auto"/>
              </w:rPr>
            </w:pPr>
            <w:r>
              <w:rPr>
                <w:rFonts w:ascii="Arial" w:cs="Arial" w:eastAsia="Arial" w:hAnsi="Arial"/>
                <w:sz w:val="18"/>
                <w:szCs w:val="18"/>
                <w:color w:val="auto"/>
              </w:rPr>
              <w:t>Net amount</w:t>
            </w:r>
          </w:p>
        </w:tc>
      </w:tr>
      <w:tr>
        <w:trPr>
          <w:trHeight w:val="27"/>
        </w:trPr>
        <w:tc>
          <w:tcPr>
            <w:tcW w:w="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2820" w:type="dxa"/>
            <w:vAlign w:val="bottom"/>
            <w:gridSpan w:val="3"/>
          </w:tcPr>
          <w:p>
            <w:pPr>
              <w:spacing w:after="0" w:line="196" w:lineRule="exact"/>
              <w:rPr>
                <w:sz w:val="20"/>
                <w:szCs w:val="20"/>
                <w:color w:val="auto"/>
              </w:rPr>
            </w:pPr>
            <w:r>
              <w:rPr>
                <w:rFonts w:ascii="Arial" w:cs="Arial" w:eastAsia="Arial" w:hAnsi="Arial"/>
                <w:sz w:val="18"/>
                <w:szCs w:val="18"/>
                <w:color w:val="auto"/>
              </w:rPr>
              <w:t>Balance at June 30, 2019</w:t>
            </w:r>
          </w:p>
        </w:tc>
        <w:tc>
          <w:tcPr>
            <w:tcW w:w="27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80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52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Derivative assets</w:t>
            </w:r>
          </w:p>
        </w:tc>
        <w:tc>
          <w:tcPr>
            <w:tcW w:w="2760" w:type="dxa"/>
            <w:vAlign w:val="bottom"/>
            <w:tcBorders>
              <w:bottom w:val="single" w:sz="8" w:color="CCEEFF"/>
            </w:tcBorders>
            <w:shd w:val="clear" w:color="auto" w:fill="CCEEFF"/>
          </w:tcPr>
          <w:p>
            <w:pPr>
              <w:jc w:val="center"/>
              <w:ind w:left="410"/>
              <w:spacing w:after="0"/>
              <w:rPr>
                <w:sz w:val="20"/>
                <w:szCs w:val="20"/>
                <w:color w:val="auto"/>
              </w:rPr>
            </w:pPr>
            <w:r>
              <w:rPr>
                <w:rFonts w:ascii="Arial" w:cs="Arial" w:eastAsia="Arial" w:hAnsi="Arial"/>
                <w:sz w:val="18"/>
                <w:szCs w:val="18"/>
                <w:color w:val="auto"/>
                <w:w w:val="86"/>
              </w:rPr>
              <w:t>$69</w:t>
            </w:r>
          </w:p>
        </w:tc>
        <w:tc>
          <w:tcPr>
            <w:tcW w:w="252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93"/>
              </w:rPr>
              <w:t>$19</w:t>
            </w:r>
          </w:p>
        </w:tc>
        <w:tc>
          <w:tcPr>
            <w:tcW w:w="138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86"/>
              </w:rPr>
              <w:t>$50</w:t>
            </w:r>
          </w:p>
        </w:tc>
      </w:tr>
      <w:tr>
        <w:trPr>
          <w:trHeight w:val="243"/>
        </w:trPr>
        <w:tc>
          <w:tcPr>
            <w:tcW w:w="20" w:type="dxa"/>
            <w:vAlign w:val="bottom"/>
          </w:tcPr>
          <w:p>
            <w:pPr>
              <w:spacing w:after="0"/>
              <w:rPr>
                <w:sz w:val="21"/>
                <w:szCs w:val="21"/>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Derivative liabilities</w:t>
            </w:r>
          </w:p>
        </w:tc>
        <w:tc>
          <w:tcPr>
            <w:tcW w:w="2760" w:type="dxa"/>
            <w:vAlign w:val="bottom"/>
          </w:tcPr>
          <w:p>
            <w:pPr>
              <w:jc w:val="center"/>
              <w:ind w:left="410"/>
              <w:spacing w:after="0"/>
              <w:rPr>
                <w:sz w:val="20"/>
                <w:szCs w:val="20"/>
                <w:color w:val="auto"/>
              </w:rPr>
            </w:pPr>
            <w:r>
              <w:rPr>
                <w:rFonts w:ascii="Arial" w:cs="Arial" w:eastAsia="Arial" w:hAnsi="Arial"/>
                <w:sz w:val="18"/>
                <w:szCs w:val="18"/>
                <w:color w:val="auto"/>
                <w:w w:val="89"/>
              </w:rPr>
              <w:t>67</w:t>
            </w:r>
          </w:p>
        </w:tc>
        <w:tc>
          <w:tcPr>
            <w:tcW w:w="2520" w:type="dxa"/>
            <w:vAlign w:val="bottom"/>
          </w:tcPr>
          <w:p>
            <w:pPr>
              <w:jc w:val="center"/>
              <w:ind w:right="50"/>
              <w:spacing w:after="0"/>
              <w:rPr>
                <w:sz w:val="20"/>
                <w:szCs w:val="20"/>
                <w:color w:val="auto"/>
              </w:rPr>
            </w:pPr>
            <w:r>
              <w:rPr>
                <w:rFonts w:ascii="Arial" w:cs="Arial" w:eastAsia="Arial" w:hAnsi="Arial"/>
                <w:sz w:val="18"/>
                <w:szCs w:val="18"/>
                <w:color w:val="auto"/>
                <w:w w:val="89"/>
              </w:rPr>
              <w:t>19</w:t>
            </w:r>
          </w:p>
        </w:tc>
        <w:tc>
          <w:tcPr>
            <w:tcW w:w="1380" w:type="dxa"/>
            <w:vAlign w:val="bottom"/>
          </w:tcPr>
          <w:p>
            <w:pPr>
              <w:jc w:val="center"/>
              <w:ind w:right="70"/>
              <w:spacing w:after="0"/>
              <w:rPr>
                <w:sz w:val="20"/>
                <w:szCs w:val="20"/>
                <w:color w:val="auto"/>
              </w:rPr>
            </w:pPr>
            <w:r>
              <w:rPr>
                <w:rFonts w:ascii="Arial" w:cs="Arial" w:eastAsia="Arial" w:hAnsi="Arial"/>
                <w:sz w:val="18"/>
                <w:szCs w:val="18"/>
                <w:color w:val="auto"/>
                <w:w w:val="89"/>
              </w:rPr>
              <w:t>48</w:t>
            </w:r>
          </w:p>
        </w:tc>
      </w:tr>
      <w:tr>
        <w:trPr>
          <w:trHeight w:val="27"/>
        </w:trPr>
        <w:tc>
          <w:tcPr>
            <w:tcW w:w="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324"/>
        </w:trPr>
        <w:tc>
          <w:tcPr>
            <w:tcW w:w="2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760" w:type="dxa"/>
            <w:vAlign w:val="bottom"/>
            <w:shd w:val="clear" w:color="auto" w:fill="CCEEFF"/>
          </w:tcPr>
          <w:p>
            <w:pPr>
              <w:spacing w:after="0"/>
              <w:rPr>
                <w:sz w:val="24"/>
                <w:szCs w:val="24"/>
                <w:color w:val="auto"/>
              </w:rPr>
            </w:pPr>
          </w:p>
        </w:tc>
        <w:tc>
          <w:tcPr>
            <w:tcW w:w="25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2820" w:type="dxa"/>
            <w:vAlign w:val="bottom"/>
            <w:gridSpan w:val="3"/>
          </w:tcPr>
          <w:p>
            <w:pPr>
              <w:spacing w:after="0" w:line="202" w:lineRule="exact"/>
              <w:rPr>
                <w:sz w:val="20"/>
                <w:szCs w:val="20"/>
                <w:color w:val="auto"/>
              </w:rPr>
            </w:pPr>
            <w:r>
              <w:rPr>
                <w:rFonts w:ascii="Arial" w:cs="Arial" w:eastAsia="Arial" w:hAnsi="Arial"/>
                <w:sz w:val="18"/>
                <w:szCs w:val="18"/>
                <w:color w:val="auto"/>
              </w:rPr>
              <w:t>Balance at December 31, 2018</w:t>
            </w:r>
          </w:p>
        </w:tc>
        <w:tc>
          <w:tcPr>
            <w:tcW w:w="27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80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60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52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Derivative assets</w:t>
            </w:r>
          </w:p>
        </w:tc>
        <w:tc>
          <w:tcPr>
            <w:tcW w:w="2760" w:type="dxa"/>
            <w:vAlign w:val="bottom"/>
            <w:tcBorders>
              <w:bottom w:val="single" w:sz="8" w:color="CCEEFF"/>
            </w:tcBorders>
            <w:shd w:val="clear" w:color="auto" w:fill="CCEEFF"/>
          </w:tcPr>
          <w:p>
            <w:pPr>
              <w:jc w:val="center"/>
              <w:ind w:left="410"/>
              <w:spacing w:after="0"/>
              <w:rPr>
                <w:sz w:val="20"/>
                <w:szCs w:val="20"/>
                <w:color w:val="auto"/>
              </w:rPr>
            </w:pPr>
            <w:r>
              <w:rPr>
                <w:rFonts w:ascii="Arial" w:cs="Arial" w:eastAsia="Arial" w:hAnsi="Arial"/>
                <w:sz w:val="18"/>
                <w:szCs w:val="18"/>
                <w:color w:val="auto"/>
                <w:w w:val="89"/>
              </w:rPr>
              <w:t>47</w:t>
            </w:r>
          </w:p>
        </w:tc>
        <w:tc>
          <w:tcPr>
            <w:tcW w:w="252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89"/>
              </w:rPr>
              <w:t>19</w:t>
            </w:r>
          </w:p>
        </w:tc>
        <w:tc>
          <w:tcPr>
            <w:tcW w:w="138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89"/>
              </w:rPr>
              <w:t>28</w:t>
            </w:r>
          </w:p>
        </w:tc>
      </w:tr>
      <w:tr>
        <w:trPr>
          <w:trHeight w:val="243"/>
        </w:trPr>
        <w:tc>
          <w:tcPr>
            <w:tcW w:w="20" w:type="dxa"/>
            <w:vAlign w:val="bottom"/>
          </w:tcPr>
          <w:p>
            <w:pPr>
              <w:spacing w:after="0"/>
              <w:rPr>
                <w:sz w:val="21"/>
                <w:szCs w:val="21"/>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Derivative liabilities</w:t>
            </w:r>
          </w:p>
        </w:tc>
        <w:tc>
          <w:tcPr>
            <w:tcW w:w="2760" w:type="dxa"/>
            <w:vAlign w:val="bottom"/>
          </w:tcPr>
          <w:p>
            <w:pPr>
              <w:jc w:val="center"/>
              <w:ind w:left="410"/>
              <w:spacing w:after="0"/>
              <w:rPr>
                <w:sz w:val="20"/>
                <w:szCs w:val="20"/>
                <w:color w:val="auto"/>
              </w:rPr>
            </w:pPr>
            <w:r>
              <w:rPr>
                <w:rFonts w:ascii="Arial" w:cs="Arial" w:eastAsia="Arial" w:hAnsi="Arial"/>
                <w:sz w:val="18"/>
                <w:szCs w:val="18"/>
                <w:color w:val="auto"/>
                <w:w w:val="89"/>
              </w:rPr>
              <w:t>59</w:t>
            </w:r>
          </w:p>
        </w:tc>
        <w:tc>
          <w:tcPr>
            <w:tcW w:w="2520" w:type="dxa"/>
            <w:vAlign w:val="bottom"/>
          </w:tcPr>
          <w:p>
            <w:pPr>
              <w:jc w:val="center"/>
              <w:ind w:right="50"/>
              <w:spacing w:after="0"/>
              <w:rPr>
                <w:sz w:val="20"/>
                <w:szCs w:val="20"/>
                <w:color w:val="auto"/>
              </w:rPr>
            </w:pPr>
            <w:r>
              <w:rPr>
                <w:rFonts w:ascii="Arial" w:cs="Arial" w:eastAsia="Arial" w:hAnsi="Arial"/>
                <w:sz w:val="18"/>
                <w:szCs w:val="18"/>
                <w:color w:val="auto"/>
                <w:w w:val="89"/>
              </w:rPr>
              <w:t>19</w:t>
            </w:r>
          </w:p>
        </w:tc>
        <w:tc>
          <w:tcPr>
            <w:tcW w:w="1380" w:type="dxa"/>
            <w:vAlign w:val="bottom"/>
          </w:tcPr>
          <w:p>
            <w:pPr>
              <w:jc w:val="center"/>
              <w:ind w:right="70"/>
              <w:spacing w:after="0"/>
              <w:rPr>
                <w:sz w:val="20"/>
                <w:szCs w:val="20"/>
                <w:color w:val="auto"/>
              </w:rPr>
            </w:pPr>
            <w:r>
              <w:rPr>
                <w:rFonts w:ascii="Arial" w:cs="Arial" w:eastAsia="Arial" w:hAnsi="Arial"/>
                <w:sz w:val="18"/>
                <w:szCs w:val="18"/>
                <w:color w:val="auto"/>
                <w:w w:val="89"/>
              </w:rPr>
              <w:t>40</w:t>
            </w:r>
          </w:p>
        </w:tc>
      </w:tr>
    </w:tbl>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Notional Values of Outstanding Derivative Instruments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aggregate U.S. dollar-equivalent notional values of outstanding derivative instruments in the Consolidated Balance Sheets at June 30, 2019 and</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December 31, 2018 were:</w:t>
      </w:r>
    </w:p>
    <w:p>
      <w:pPr>
        <w:sectPr>
          <w:pgSz w:w="11900" w:h="16838" w:orient="portrait"/>
          <w:cols w:equalWidth="0" w:num="1">
            <w:col w:w="11420"/>
          </w:cols>
          <w:pgMar w:left="240" w:top="121" w:right="2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1" w:right="239" w:bottom="1440" w:gutter="0" w:footer="0" w:header="0"/>
          <w:type w:val="continuous"/>
        </w:sectPr>
      </w:pPr>
    </w:p>
    <w:bookmarkStart w:id="21" w:name="page22"/>
    <w:bookmarkEnd w:id="21"/>
    <w:tbl>
      <w:tblPr>
        <w:tblLayout w:type="fixed"/>
        <w:tblInd w:w="652"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4300" w:type="dxa"/>
            <w:vAlign w:val="bottom"/>
            <w:gridSpan w:val="4"/>
          </w:tcPr>
          <w:p>
            <w:pPr>
              <w:ind w:left="760"/>
              <w:spacing w:after="0"/>
              <w:rPr>
                <w:sz w:val="20"/>
                <w:szCs w:val="20"/>
                <w:color w:val="auto"/>
              </w:rPr>
            </w:pPr>
            <w:r>
              <w:rPr>
                <w:rFonts w:ascii="Arial" w:cs="Arial" w:eastAsia="Arial" w:hAnsi="Arial"/>
                <w:sz w:val="18"/>
                <w:szCs w:val="18"/>
                <w:b w:val="1"/>
                <w:bCs w:val="1"/>
                <w:color w:val="auto"/>
              </w:rPr>
              <w:t>Crown Holdings, Inc.</w:t>
            </w: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837"/>
        </w:trPr>
        <w:tc>
          <w:tcPr>
            <w:tcW w:w="34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40" w:type="dxa"/>
            <w:vAlign w:val="bottom"/>
            <w:gridSpan w:val="2"/>
          </w:tcPr>
          <w:p>
            <w:pPr>
              <w:ind w:left="120"/>
              <w:spacing w:after="0"/>
              <w:rPr>
                <w:sz w:val="20"/>
                <w:szCs w:val="20"/>
                <w:color w:val="auto"/>
              </w:rPr>
            </w:pPr>
            <w:r>
              <w:rPr>
                <w:rFonts w:ascii="Arial" w:cs="Arial" w:eastAsia="Arial" w:hAnsi="Arial"/>
                <w:sz w:val="18"/>
                <w:szCs w:val="18"/>
                <w:color w:val="auto"/>
              </w:rPr>
              <w:t>June 30, 2019</w:t>
            </w:r>
          </w:p>
        </w:tc>
        <w:tc>
          <w:tcPr>
            <w:tcW w:w="140" w:type="dxa"/>
            <w:vAlign w:val="bottom"/>
          </w:tcPr>
          <w:p>
            <w:pPr>
              <w:spacing w:after="0"/>
              <w:rPr>
                <w:sz w:val="24"/>
                <w:szCs w:val="24"/>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w w:val="88"/>
              </w:rPr>
              <w:t>December 31, 2018</w:t>
            </w:r>
          </w:p>
        </w:tc>
      </w:tr>
      <w:tr>
        <w:trPr>
          <w:trHeight w:val="27"/>
        </w:trPr>
        <w:tc>
          <w:tcPr>
            <w:tcW w:w="348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Derivatives in cash flow hedges:</w:t>
            </w:r>
          </w:p>
        </w:tc>
        <w:tc>
          <w:tcPr>
            <w:tcW w:w="1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3480" w:type="dxa"/>
            <w:vAlign w:val="bottom"/>
          </w:tcPr>
          <w:p>
            <w:pPr>
              <w:ind w:left="380"/>
              <w:spacing w:after="0"/>
              <w:rPr>
                <w:sz w:val="20"/>
                <w:szCs w:val="20"/>
                <w:color w:val="auto"/>
              </w:rPr>
            </w:pPr>
            <w:r>
              <w:rPr>
                <w:rFonts w:ascii="Arial" w:cs="Arial" w:eastAsia="Arial" w:hAnsi="Arial"/>
                <w:sz w:val="18"/>
                <w:szCs w:val="18"/>
                <w:color w:val="auto"/>
              </w:rPr>
              <w:t>Foreign exchange</w:t>
            </w: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568</w:t>
            </w:r>
          </w:p>
        </w:tc>
        <w:tc>
          <w:tcPr>
            <w:tcW w:w="8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820</w:t>
            </w:r>
          </w:p>
        </w:tc>
      </w:tr>
      <w:tr>
        <w:trPr>
          <w:trHeight w:val="27"/>
        </w:trPr>
        <w:tc>
          <w:tcPr>
            <w:tcW w:w="34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Commodities</w:t>
            </w:r>
          </w:p>
        </w:tc>
        <w:tc>
          <w:tcPr>
            <w:tcW w:w="1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w:t>
            </w:r>
          </w:p>
        </w:tc>
      </w:tr>
      <w:tr>
        <w:trPr>
          <w:trHeight w:val="243"/>
        </w:trPr>
        <w:tc>
          <w:tcPr>
            <w:tcW w:w="3480" w:type="dxa"/>
            <w:vAlign w:val="bottom"/>
          </w:tcPr>
          <w:p>
            <w:pPr>
              <w:ind w:left="380"/>
              <w:spacing w:after="0"/>
              <w:rPr>
                <w:sz w:val="20"/>
                <w:szCs w:val="20"/>
                <w:color w:val="auto"/>
              </w:rPr>
            </w:pPr>
            <w:r>
              <w:rPr>
                <w:rFonts w:ascii="Arial" w:cs="Arial" w:eastAsia="Arial" w:hAnsi="Arial"/>
                <w:sz w:val="18"/>
                <w:szCs w:val="18"/>
                <w:color w:val="auto"/>
              </w:rPr>
              <w:t>Interest rate</w:t>
            </w:r>
          </w:p>
        </w:tc>
        <w:tc>
          <w:tcPr>
            <w:tcW w:w="1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200</w:t>
            </w: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4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Derivatives in fair value hedges:</w:t>
            </w:r>
          </w:p>
        </w:tc>
        <w:tc>
          <w:tcPr>
            <w:tcW w:w="1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3480" w:type="dxa"/>
            <w:vAlign w:val="bottom"/>
          </w:tcPr>
          <w:p>
            <w:pPr>
              <w:ind w:left="380"/>
              <w:spacing w:after="0"/>
              <w:rPr>
                <w:sz w:val="20"/>
                <w:szCs w:val="20"/>
                <w:color w:val="auto"/>
              </w:rPr>
            </w:pPr>
            <w:r>
              <w:rPr>
                <w:rFonts w:ascii="Arial" w:cs="Arial" w:eastAsia="Arial" w:hAnsi="Arial"/>
                <w:sz w:val="18"/>
                <w:szCs w:val="18"/>
                <w:color w:val="auto"/>
              </w:rPr>
              <w:t>Foreign exchange</w:t>
            </w:r>
          </w:p>
        </w:tc>
        <w:tc>
          <w:tcPr>
            <w:tcW w:w="1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154</w:t>
            </w: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74</w:t>
            </w:r>
          </w:p>
        </w:tc>
      </w:tr>
      <w:tr>
        <w:trPr>
          <w:trHeight w:val="27"/>
        </w:trPr>
        <w:tc>
          <w:tcPr>
            <w:tcW w:w="34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Derivatives not designated as hedges:</w:t>
            </w:r>
          </w:p>
        </w:tc>
        <w:tc>
          <w:tcPr>
            <w:tcW w:w="1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3480" w:type="dxa"/>
            <w:vAlign w:val="bottom"/>
          </w:tcPr>
          <w:p>
            <w:pPr>
              <w:ind w:left="380"/>
              <w:spacing w:after="0"/>
              <w:rPr>
                <w:sz w:val="20"/>
                <w:szCs w:val="20"/>
                <w:color w:val="auto"/>
              </w:rPr>
            </w:pPr>
            <w:r>
              <w:rPr>
                <w:rFonts w:ascii="Arial" w:cs="Arial" w:eastAsia="Arial" w:hAnsi="Arial"/>
                <w:sz w:val="18"/>
                <w:szCs w:val="18"/>
                <w:color w:val="auto"/>
              </w:rPr>
              <w:t>Foreign exchange</w:t>
            </w:r>
          </w:p>
        </w:tc>
        <w:tc>
          <w:tcPr>
            <w:tcW w:w="1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865</w:t>
            </w: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796</w:t>
            </w:r>
          </w:p>
        </w:tc>
      </w:tr>
    </w:tbl>
    <w:p>
      <w:pPr>
        <w:spacing w:after="0" w:line="200" w:lineRule="exact"/>
        <w:rPr>
          <w:sz w:val="20"/>
          <w:szCs w:val="20"/>
          <w:color w:val="auto"/>
        </w:rPr>
      </w:pPr>
    </w:p>
    <w:p>
      <w:pPr>
        <w:spacing w:after="0" w:line="241" w:lineRule="exact"/>
        <w:rPr>
          <w:sz w:val="20"/>
          <w:szCs w:val="20"/>
          <w:color w:val="auto"/>
        </w:rPr>
      </w:pPr>
    </w:p>
    <w:p>
      <w:pPr>
        <w:ind w:left="652" w:hanging="652"/>
        <w:spacing w:after="0"/>
        <w:tabs>
          <w:tab w:leader="none" w:pos="652"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Debt</w:t>
      </w:r>
    </w:p>
    <w:p>
      <w:pPr>
        <w:spacing w:after="0" w:line="229"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The Company's outstanding debt was as follows:</w:t>
      </w:r>
    </w:p>
    <w:p>
      <w:pPr>
        <w:spacing w:after="0" w:line="171" w:lineRule="exact"/>
        <w:rPr>
          <w:sz w:val="20"/>
          <w:szCs w:val="20"/>
          <w:color w:val="auto"/>
        </w:rPr>
      </w:pPr>
    </w:p>
    <w:tbl>
      <w:tblPr>
        <w:tblLayout w:type="fixed"/>
        <w:tblInd w:w="332"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20" w:type="dxa"/>
            <w:vAlign w:val="bottom"/>
            <w:gridSpan w:val="5"/>
          </w:tcPr>
          <w:p>
            <w:pPr>
              <w:ind w:left="740"/>
              <w:spacing w:after="0"/>
              <w:rPr>
                <w:sz w:val="20"/>
                <w:szCs w:val="20"/>
                <w:color w:val="auto"/>
              </w:rPr>
            </w:pPr>
            <w:r>
              <w:rPr>
                <w:rFonts w:ascii="Arial" w:cs="Arial" w:eastAsia="Arial" w:hAnsi="Arial"/>
                <w:sz w:val="18"/>
                <w:szCs w:val="18"/>
                <w:color w:val="auto"/>
              </w:rPr>
              <w:t>June 30, 2019</w:t>
            </w:r>
          </w:p>
        </w:tc>
        <w:tc>
          <w:tcPr>
            <w:tcW w:w="160" w:type="dxa"/>
            <w:vAlign w:val="bottom"/>
          </w:tcPr>
          <w:p>
            <w:pPr>
              <w:spacing w:after="0"/>
              <w:rPr>
                <w:sz w:val="20"/>
                <w:szCs w:val="20"/>
                <w:color w:val="auto"/>
              </w:rPr>
            </w:pPr>
          </w:p>
        </w:tc>
        <w:tc>
          <w:tcPr>
            <w:tcW w:w="2740" w:type="dxa"/>
            <w:vAlign w:val="bottom"/>
            <w:gridSpan w:val="4"/>
          </w:tcPr>
          <w:p>
            <w:pPr>
              <w:jc w:val="right"/>
              <w:ind w:right="630"/>
              <w:spacing w:after="0"/>
              <w:rPr>
                <w:sz w:val="20"/>
                <w:szCs w:val="20"/>
                <w:color w:val="auto"/>
              </w:rPr>
            </w:pPr>
            <w:r>
              <w:rPr>
                <w:rFonts w:ascii="Arial" w:cs="Arial" w:eastAsia="Arial" w:hAnsi="Arial"/>
                <w:sz w:val="18"/>
                <w:szCs w:val="18"/>
                <w:color w:val="auto"/>
              </w:rPr>
              <w:t>December 31, 2018</w:t>
            </w: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center"/>
              <w:ind w:right="560"/>
              <w:spacing w:after="0"/>
              <w:rPr>
                <w:sz w:val="20"/>
                <w:szCs w:val="20"/>
                <w:color w:val="auto"/>
              </w:rPr>
            </w:pPr>
            <w:r>
              <w:rPr>
                <w:rFonts w:ascii="Arial" w:cs="Arial" w:eastAsia="Arial" w:hAnsi="Arial"/>
                <w:sz w:val="18"/>
                <w:szCs w:val="18"/>
                <w:color w:val="auto"/>
                <w:w w:val="92"/>
              </w:rPr>
              <w:t>Principal</w:t>
            </w:r>
          </w:p>
        </w:tc>
        <w:tc>
          <w:tcPr>
            <w:tcW w:w="180" w:type="dxa"/>
            <w:vAlign w:val="bottom"/>
          </w:tcPr>
          <w:p>
            <w:pPr>
              <w:spacing w:after="0"/>
              <w:rPr>
                <w:sz w:val="20"/>
                <w:szCs w:val="20"/>
                <w:color w:val="auto"/>
              </w:rPr>
            </w:pPr>
          </w:p>
        </w:tc>
        <w:tc>
          <w:tcPr>
            <w:tcW w:w="1360" w:type="dxa"/>
            <w:vAlign w:val="bottom"/>
            <w:gridSpan w:val="2"/>
          </w:tcPr>
          <w:p>
            <w:pPr>
              <w:jc w:val="center"/>
              <w:ind w:right="560"/>
              <w:spacing w:after="0"/>
              <w:rPr>
                <w:sz w:val="20"/>
                <w:szCs w:val="20"/>
                <w:color w:val="auto"/>
              </w:rPr>
            </w:pPr>
            <w:r>
              <w:rPr>
                <w:rFonts w:ascii="Arial" w:cs="Arial" w:eastAsia="Arial" w:hAnsi="Arial"/>
                <w:sz w:val="18"/>
                <w:szCs w:val="18"/>
                <w:color w:val="auto"/>
                <w:w w:val="94"/>
              </w:rPr>
              <w:t>Carrying</w:t>
            </w:r>
          </w:p>
        </w:tc>
        <w:tc>
          <w:tcPr>
            <w:tcW w:w="160" w:type="dxa"/>
            <w:vAlign w:val="bottom"/>
          </w:tcPr>
          <w:p>
            <w:pPr>
              <w:spacing w:after="0"/>
              <w:rPr>
                <w:sz w:val="20"/>
                <w:szCs w:val="20"/>
                <w:color w:val="auto"/>
              </w:rPr>
            </w:pPr>
          </w:p>
        </w:tc>
        <w:tc>
          <w:tcPr>
            <w:tcW w:w="1500" w:type="dxa"/>
            <w:vAlign w:val="bottom"/>
            <w:gridSpan w:val="2"/>
          </w:tcPr>
          <w:p>
            <w:pPr>
              <w:jc w:val="center"/>
              <w:ind w:right="560"/>
              <w:spacing w:after="0"/>
              <w:rPr>
                <w:sz w:val="20"/>
                <w:szCs w:val="20"/>
                <w:color w:val="auto"/>
              </w:rPr>
            </w:pPr>
            <w:r>
              <w:rPr>
                <w:rFonts w:ascii="Arial" w:cs="Arial" w:eastAsia="Arial" w:hAnsi="Arial"/>
                <w:sz w:val="18"/>
                <w:szCs w:val="18"/>
                <w:color w:val="auto"/>
                <w:w w:val="95"/>
              </w:rPr>
              <w:t>Principal</w:t>
            </w:r>
          </w:p>
        </w:tc>
        <w:tc>
          <w:tcPr>
            <w:tcW w:w="200" w:type="dxa"/>
            <w:vAlign w:val="bottom"/>
          </w:tcPr>
          <w:p>
            <w:pPr>
              <w:spacing w:after="0"/>
              <w:rPr>
                <w:sz w:val="20"/>
                <w:szCs w:val="20"/>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Carrying</w:t>
            </w:r>
          </w:p>
        </w:tc>
      </w:tr>
      <w:tr>
        <w:trPr>
          <w:trHeight w:val="270"/>
        </w:trPr>
        <w:tc>
          <w:tcPr>
            <w:tcW w:w="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gridSpan w:val="2"/>
          </w:tcPr>
          <w:p>
            <w:pPr>
              <w:jc w:val="center"/>
              <w:ind w:right="560"/>
              <w:spacing w:after="0"/>
              <w:rPr>
                <w:sz w:val="20"/>
                <w:szCs w:val="20"/>
                <w:color w:val="auto"/>
              </w:rPr>
            </w:pPr>
            <w:r>
              <w:rPr>
                <w:rFonts w:ascii="Arial" w:cs="Arial" w:eastAsia="Arial" w:hAnsi="Arial"/>
                <w:sz w:val="18"/>
                <w:szCs w:val="18"/>
                <w:color w:val="auto"/>
                <w:w w:val="90"/>
              </w:rPr>
              <w:t>outstanding</w:t>
            </w:r>
          </w:p>
        </w:tc>
        <w:tc>
          <w:tcPr>
            <w:tcW w:w="180" w:type="dxa"/>
            <w:vAlign w:val="bottom"/>
          </w:tcPr>
          <w:p>
            <w:pPr>
              <w:spacing w:after="0"/>
              <w:rPr>
                <w:sz w:val="23"/>
                <w:szCs w:val="23"/>
                <w:color w:val="auto"/>
              </w:rPr>
            </w:pPr>
          </w:p>
        </w:tc>
        <w:tc>
          <w:tcPr>
            <w:tcW w:w="1360" w:type="dxa"/>
            <w:vAlign w:val="bottom"/>
            <w:gridSpan w:val="2"/>
          </w:tcPr>
          <w:p>
            <w:pPr>
              <w:jc w:val="center"/>
              <w:ind w:right="580"/>
              <w:spacing w:after="0"/>
              <w:rPr>
                <w:sz w:val="20"/>
                <w:szCs w:val="20"/>
                <w:color w:val="auto"/>
              </w:rPr>
            </w:pPr>
            <w:r>
              <w:rPr>
                <w:rFonts w:ascii="Arial" w:cs="Arial" w:eastAsia="Arial" w:hAnsi="Arial"/>
                <w:sz w:val="18"/>
                <w:szCs w:val="18"/>
                <w:color w:val="auto"/>
                <w:w w:val="89"/>
              </w:rPr>
              <w:t>amount</w:t>
            </w:r>
          </w:p>
        </w:tc>
        <w:tc>
          <w:tcPr>
            <w:tcW w:w="160" w:type="dxa"/>
            <w:vAlign w:val="bottom"/>
          </w:tcPr>
          <w:p>
            <w:pPr>
              <w:spacing w:after="0"/>
              <w:rPr>
                <w:sz w:val="23"/>
                <w:szCs w:val="23"/>
                <w:color w:val="auto"/>
              </w:rPr>
            </w:pPr>
          </w:p>
        </w:tc>
        <w:tc>
          <w:tcPr>
            <w:tcW w:w="1500" w:type="dxa"/>
            <w:vAlign w:val="bottom"/>
            <w:gridSpan w:val="2"/>
          </w:tcPr>
          <w:p>
            <w:pPr>
              <w:jc w:val="center"/>
              <w:ind w:right="580"/>
              <w:spacing w:after="0"/>
              <w:rPr>
                <w:sz w:val="20"/>
                <w:szCs w:val="20"/>
                <w:color w:val="auto"/>
              </w:rPr>
            </w:pPr>
            <w:r>
              <w:rPr>
                <w:rFonts w:ascii="Arial" w:cs="Arial" w:eastAsia="Arial" w:hAnsi="Arial"/>
                <w:sz w:val="18"/>
                <w:szCs w:val="18"/>
                <w:color w:val="auto"/>
                <w:w w:val="90"/>
              </w:rPr>
              <w:t>outstanding</w:t>
            </w:r>
          </w:p>
        </w:tc>
        <w:tc>
          <w:tcPr>
            <w:tcW w:w="200" w:type="dxa"/>
            <w:vAlign w:val="bottom"/>
          </w:tcPr>
          <w:p>
            <w:pPr>
              <w:spacing w:after="0"/>
              <w:rPr>
                <w:sz w:val="23"/>
                <w:szCs w:val="23"/>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amount</w:t>
            </w:r>
          </w:p>
        </w:tc>
      </w:tr>
      <w:tr>
        <w:trPr>
          <w:trHeight w:val="27"/>
        </w:trPr>
        <w:tc>
          <w:tcPr>
            <w:tcW w:w="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3"/>
        </w:trPr>
        <w:tc>
          <w:tcPr>
            <w:tcW w:w="20" w:type="dxa"/>
            <w:vAlign w:val="bottom"/>
            <w:shd w:val="clear" w:color="auto" w:fill="CCEEFF"/>
          </w:tcPr>
          <w:p>
            <w:pPr>
              <w:spacing w:after="0"/>
              <w:rPr>
                <w:sz w:val="15"/>
                <w:szCs w:val="15"/>
                <w:color w:val="auto"/>
              </w:rPr>
            </w:pPr>
          </w:p>
        </w:tc>
        <w:tc>
          <w:tcPr>
            <w:tcW w:w="4160" w:type="dxa"/>
            <w:vAlign w:val="bottom"/>
            <w:gridSpan w:val="3"/>
            <w:shd w:val="clear" w:color="auto" w:fill="CCEEFF"/>
          </w:tcPr>
          <w:p>
            <w:pPr>
              <w:spacing w:after="0" w:line="163" w:lineRule="exact"/>
              <w:rPr>
                <w:sz w:val="20"/>
                <w:szCs w:val="20"/>
                <w:color w:val="auto"/>
              </w:rPr>
            </w:pPr>
            <w:r>
              <w:rPr>
                <w:rFonts w:ascii="Arial" w:cs="Arial" w:eastAsia="Arial" w:hAnsi="Arial"/>
                <w:sz w:val="18"/>
                <w:szCs w:val="18"/>
                <w:color w:val="auto"/>
              </w:rPr>
              <w:t>Short-term debt</w:t>
            </w:r>
          </w:p>
        </w:tc>
        <w:tc>
          <w:tcPr>
            <w:tcW w:w="1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rPr>
              <w:t>135</w:t>
            </w: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rPr>
              <w:t>135</w:t>
            </w: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89</w:t>
            </w: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rPr>
              <w:t>89</w:t>
            </w:r>
          </w:p>
        </w:tc>
      </w:tr>
      <w:tr>
        <w:trPr>
          <w:trHeight w:val="61"/>
        </w:trPr>
        <w:tc>
          <w:tcPr>
            <w:tcW w:w="2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30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r>
      <w:tr>
        <w:trPr>
          <w:trHeight w:val="270"/>
        </w:trPr>
        <w:tc>
          <w:tcPr>
            <w:tcW w:w="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03"/>
        </w:trPr>
        <w:tc>
          <w:tcPr>
            <w:tcW w:w="20" w:type="dxa"/>
            <w:vAlign w:val="bottom"/>
            <w:shd w:val="clear" w:color="auto" w:fill="CCEEFF"/>
          </w:tcPr>
          <w:p>
            <w:pPr>
              <w:spacing w:after="0"/>
              <w:rPr>
                <w:sz w:val="17"/>
                <w:szCs w:val="17"/>
                <w:color w:val="auto"/>
              </w:rPr>
            </w:pPr>
          </w:p>
        </w:tc>
        <w:tc>
          <w:tcPr>
            <w:tcW w:w="41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Long-term debt</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r>
      <w:tr>
        <w:trPr>
          <w:trHeight w:val="243"/>
        </w:trPr>
        <w:tc>
          <w:tcPr>
            <w:tcW w:w="20" w:type="dxa"/>
            <w:vAlign w:val="bottom"/>
          </w:tcPr>
          <w:p>
            <w:pPr>
              <w:spacing w:after="0"/>
              <w:rPr>
                <w:sz w:val="21"/>
                <w:szCs w:val="21"/>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Senior secured borrowings:</w:t>
            </w: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Revolving credit facilities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w:t>
            </w:r>
          </w:p>
        </w:tc>
        <w:tc>
          <w:tcPr>
            <w:tcW w:w="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w:t>
            </w:r>
          </w:p>
        </w:tc>
        <w:tc>
          <w:tcPr>
            <w:tcW w:w="4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4160" w:type="dxa"/>
            <w:vAlign w:val="bottom"/>
            <w:gridSpan w:val="3"/>
          </w:tcPr>
          <w:p>
            <w:pPr>
              <w:ind w:left="360"/>
              <w:spacing w:after="0"/>
              <w:rPr>
                <w:sz w:val="20"/>
                <w:szCs w:val="20"/>
                <w:color w:val="auto"/>
              </w:rPr>
            </w:pPr>
            <w:r>
              <w:rPr>
                <w:rFonts w:ascii="Arial" w:cs="Arial" w:eastAsia="Arial" w:hAnsi="Arial"/>
                <w:sz w:val="18"/>
                <w:szCs w:val="18"/>
                <w:color w:val="auto"/>
              </w:rPr>
              <w:t>Term loan facilities</w:t>
            </w: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8"/>
                <w:szCs w:val="18"/>
                <w:color w:val="auto"/>
              </w:rPr>
              <w:t>U.S. dollar at LIBOR + 1.75% due 2022</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799</w:t>
            </w:r>
          </w:p>
        </w:tc>
        <w:tc>
          <w:tcPr>
            <w:tcW w:w="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795</w:t>
            </w:r>
          </w:p>
        </w:tc>
        <w:tc>
          <w:tcPr>
            <w:tcW w:w="4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810</w:t>
            </w:r>
          </w:p>
        </w:tc>
      </w:tr>
      <w:tr>
        <w:trPr>
          <w:trHeight w:val="243"/>
        </w:trPr>
        <w:tc>
          <w:tcPr>
            <w:tcW w:w="20" w:type="dxa"/>
            <w:vAlign w:val="bottom"/>
          </w:tcPr>
          <w:p>
            <w:pPr>
              <w:spacing w:after="0"/>
              <w:rPr>
                <w:sz w:val="21"/>
                <w:szCs w:val="21"/>
                <w:color w:val="auto"/>
              </w:rPr>
            </w:pPr>
          </w:p>
        </w:tc>
        <w:tc>
          <w:tcPr>
            <w:tcW w:w="4160" w:type="dxa"/>
            <w:vAlign w:val="bottom"/>
            <w:gridSpan w:val="3"/>
          </w:tcPr>
          <w:p>
            <w:pPr>
              <w:ind w:left="680"/>
              <w:spacing w:after="0"/>
              <w:rPr>
                <w:sz w:val="20"/>
                <w:szCs w:val="20"/>
                <w:color w:val="auto"/>
              </w:rPr>
            </w:pPr>
            <w:r>
              <w:rPr>
                <w:rFonts w:ascii="Arial" w:cs="Arial" w:eastAsia="Arial" w:hAnsi="Arial"/>
                <w:sz w:val="18"/>
                <w:szCs w:val="18"/>
                <w:color w:val="auto"/>
              </w:rPr>
              <w:t>U.S. dollar at LIBOR + 2.00% due 2025</w:t>
            </w: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617</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609</w:t>
            </w: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887</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864</w:t>
            </w: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4160" w:type="dxa"/>
            <w:vAlign w:val="bottom"/>
            <w:gridSpan w:val="3"/>
            <w:shd w:val="clear" w:color="auto" w:fill="CCEEFF"/>
          </w:tcPr>
          <w:p>
            <w:pPr>
              <w:ind w:left="680"/>
              <w:spacing w:after="0" w:line="270" w:lineRule="exact"/>
              <w:rPr>
                <w:sz w:val="20"/>
                <w:szCs w:val="20"/>
                <w:color w:val="auto"/>
              </w:rPr>
            </w:pPr>
            <w:r>
              <w:rPr>
                <w:rFonts w:ascii="Arial" w:cs="Arial" w:eastAsia="Arial" w:hAnsi="Arial"/>
                <w:sz w:val="18"/>
                <w:szCs w:val="18"/>
                <w:color w:val="auto"/>
              </w:rPr>
              <w:t>Euro at EURIBOR + 1.75% due 2022</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293</w:t>
            </w:r>
          </w:p>
        </w:tc>
        <w:tc>
          <w:tcPr>
            <w:tcW w:w="4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293</w:t>
            </w:r>
          </w:p>
        </w:tc>
        <w:tc>
          <w:tcPr>
            <w:tcW w:w="4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4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301</w:t>
            </w:r>
          </w:p>
        </w:tc>
      </w:tr>
      <w:tr>
        <w:trPr>
          <w:trHeight w:val="270"/>
        </w:trPr>
        <w:tc>
          <w:tcPr>
            <w:tcW w:w="20" w:type="dxa"/>
            <w:vAlign w:val="bottom"/>
          </w:tcPr>
          <w:p>
            <w:pPr>
              <w:spacing w:after="0"/>
              <w:rPr>
                <w:sz w:val="23"/>
                <w:szCs w:val="23"/>
                <w:color w:val="auto"/>
              </w:rPr>
            </w:pPr>
          </w:p>
        </w:tc>
        <w:tc>
          <w:tcPr>
            <w:tcW w:w="4160" w:type="dxa"/>
            <w:vAlign w:val="bottom"/>
            <w:gridSpan w:val="3"/>
          </w:tcPr>
          <w:p>
            <w:pPr>
              <w:ind w:left="680"/>
              <w:spacing w:after="0" w:line="270" w:lineRule="exact"/>
              <w:rPr>
                <w:sz w:val="20"/>
                <w:szCs w:val="20"/>
                <w:color w:val="auto"/>
              </w:rPr>
            </w:pPr>
            <w:r>
              <w:rPr>
                <w:rFonts w:ascii="Arial" w:cs="Arial" w:eastAsia="Arial" w:hAnsi="Arial"/>
                <w:sz w:val="18"/>
                <w:szCs w:val="18"/>
                <w:color w:val="auto"/>
              </w:rPr>
              <w:t>Euro at EURIBOR + 2.375% due 2025</w:t>
            </w:r>
            <w:r>
              <w:rPr>
                <w:rFonts w:ascii="Arial" w:cs="Arial" w:eastAsia="Arial" w:hAnsi="Arial"/>
                <w:sz w:val="25"/>
                <w:szCs w:val="25"/>
                <w:color w:val="auto"/>
                <w:vertAlign w:val="superscript"/>
              </w:rPr>
              <w:t>2</w:t>
            </w:r>
          </w:p>
        </w:tc>
        <w:tc>
          <w:tcPr>
            <w:tcW w:w="16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845</w:t>
            </w:r>
          </w:p>
        </w:tc>
        <w:tc>
          <w:tcPr>
            <w:tcW w:w="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833</w:t>
            </w:r>
          </w:p>
        </w:tc>
        <w:tc>
          <w:tcPr>
            <w:tcW w:w="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855</w:t>
            </w: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846</w:t>
            </w: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Senior notes and debentures: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160" w:type="dxa"/>
            <w:vAlign w:val="bottom"/>
            <w:gridSpan w:val="3"/>
          </w:tcPr>
          <w:p>
            <w:pPr>
              <w:ind w:left="360"/>
              <w:spacing w:after="0"/>
              <w:rPr>
                <w:sz w:val="20"/>
                <w:szCs w:val="20"/>
                <w:color w:val="auto"/>
              </w:rPr>
            </w:pPr>
            <w:r>
              <w:rPr>
                <w:rFonts w:ascii="Arial" w:cs="Arial" w:eastAsia="Arial" w:hAnsi="Arial"/>
                <w:sz w:val="18"/>
                <w:szCs w:val="18"/>
                <w:color w:val="auto"/>
              </w:rPr>
              <w:t>€650 at 4.0% due 2022</w:t>
            </w: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740</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736</w:t>
            </w: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745</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740</w:t>
            </w: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U. S. dollar at 4.50% due 2023</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995</w:t>
            </w:r>
          </w:p>
        </w:tc>
        <w:tc>
          <w:tcPr>
            <w:tcW w:w="4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993</w:t>
            </w:r>
          </w:p>
        </w:tc>
      </w:tr>
      <w:tr>
        <w:trPr>
          <w:trHeight w:val="243"/>
        </w:trPr>
        <w:tc>
          <w:tcPr>
            <w:tcW w:w="20" w:type="dxa"/>
            <w:vAlign w:val="bottom"/>
          </w:tcPr>
          <w:p>
            <w:pPr>
              <w:spacing w:after="0"/>
              <w:rPr>
                <w:sz w:val="21"/>
                <w:szCs w:val="21"/>
                <w:color w:val="auto"/>
              </w:rPr>
            </w:pPr>
          </w:p>
        </w:tc>
        <w:tc>
          <w:tcPr>
            <w:tcW w:w="4160" w:type="dxa"/>
            <w:vAlign w:val="bottom"/>
            <w:gridSpan w:val="3"/>
          </w:tcPr>
          <w:p>
            <w:pPr>
              <w:ind w:left="360"/>
              <w:spacing w:after="0"/>
              <w:rPr>
                <w:sz w:val="20"/>
                <w:szCs w:val="20"/>
                <w:color w:val="auto"/>
              </w:rPr>
            </w:pPr>
            <w:r>
              <w:rPr>
                <w:rFonts w:ascii="Arial" w:cs="Arial" w:eastAsia="Arial" w:hAnsi="Arial"/>
                <w:sz w:val="18"/>
                <w:szCs w:val="18"/>
                <w:color w:val="auto"/>
              </w:rPr>
              <w:t>€335 at 2.25% due 2023</w:t>
            </w: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381</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376</w:t>
            </w: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384</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380</w:t>
            </w: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€600 at 2.625% due 2024</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682</w:t>
            </w:r>
          </w:p>
        </w:tc>
        <w:tc>
          <w:tcPr>
            <w:tcW w:w="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676</w:t>
            </w:r>
          </w:p>
        </w:tc>
        <w:tc>
          <w:tcPr>
            <w:tcW w:w="4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682</w:t>
            </w:r>
          </w:p>
        </w:tc>
      </w:tr>
      <w:tr>
        <w:trPr>
          <w:trHeight w:val="243"/>
        </w:trPr>
        <w:tc>
          <w:tcPr>
            <w:tcW w:w="20" w:type="dxa"/>
            <w:vAlign w:val="bottom"/>
          </w:tcPr>
          <w:p>
            <w:pPr>
              <w:spacing w:after="0"/>
              <w:rPr>
                <w:sz w:val="21"/>
                <w:szCs w:val="21"/>
                <w:color w:val="auto"/>
              </w:rPr>
            </w:pPr>
          </w:p>
        </w:tc>
        <w:tc>
          <w:tcPr>
            <w:tcW w:w="4160" w:type="dxa"/>
            <w:vAlign w:val="bottom"/>
            <w:gridSpan w:val="3"/>
          </w:tcPr>
          <w:p>
            <w:pPr>
              <w:ind w:left="360"/>
              <w:spacing w:after="0"/>
              <w:rPr>
                <w:sz w:val="20"/>
                <w:szCs w:val="20"/>
                <w:color w:val="auto"/>
              </w:rPr>
            </w:pPr>
            <w:r>
              <w:rPr>
                <w:rFonts w:ascii="Arial" w:cs="Arial" w:eastAsia="Arial" w:hAnsi="Arial"/>
                <w:sz w:val="18"/>
                <w:szCs w:val="18"/>
                <w:color w:val="auto"/>
              </w:rPr>
              <w:t>€600 at 3.375% due 2025</w:t>
            </w: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682</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676</w:t>
            </w: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688</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681</w:t>
            </w: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U.S. dollar at 4.25% due 2026</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c>
          <w:tcPr>
            <w:tcW w:w="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w:t>
            </w:r>
          </w:p>
        </w:tc>
        <w:tc>
          <w:tcPr>
            <w:tcW w:w="4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w:t>
            </w:r>
          </w:p>
        </w:tc>
      </w:tr>
      <w:tr>
        <w:trPr>
          <w:trHeight w:val="243"/>
        </w:trPr>
        <w:tc>
          <w:tcPr>
            <w:tcW w:w="20" w:type="dxa"/>
            <w:vAlign w:val="bottom"/>
          </w:tcPr>
          <w:p>
            <w:pPr>
              <w:spacing w:after="0"/>
              <w:rPr>
                <w:sz w:val="21"/>
                <w:szCs w:val="21"/>
                <w:color w:val="auto"/>
              </w:rPr>
            </w:pPr>
          </w:p>
        </w:tc>
        <w:tc>
          <w:tcPr>
            <w:tcW w:w="4160" w:type="dxa"/>
            <w:vAlign w:val="bottom"/>
            <w:gridSpan w:val="3"/>
          </w:tcPr>
          <w:p>
            <w:pPr>
              <w:ind w:left="360"/>
              <w:spacing w:after="0"/>
              <w:rPr>
                <w:sz w:val="20"/>
                <w:szCs w:val="20"/>
                <w:color w:val="auto"/>
              </w:rPr>
            </w:pPr>
            <w:r>
              <w:rPr>
                <w:rFonts w:ascii="Arial" w:cs="Arial" w:eastAsia="Arial" w:hAnsi="Arial"/>
                <w:sz w:val="18"/>
                <w:szCs w:val="18"/>
                <w:color w:val="auto"/>
              </w:rPr>
              <w:t>U.S. dollar at 4.75% due 2026</w:t>
            </w: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875</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862</w:t>
            </w: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875</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863</w:t>
            </w: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U.S. dollar at 7.375% due 2026</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c>
          <w:tcPr>
            <w:tcW w:w="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w:t>
            </w:r>
          </w:p>
        </w:tc>
        <w:tc>
          <w:tcPr>
            <w:tcW w:w="4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w:t>
            </w:r>
          </w:p>
        </w:tc>
      </w:tr>
      <w:tr>
        <w:trPr>
          <w:trHeight w:val="243"/>
        </w:trPr>
        <w:tc>
          <w:tcPr>
            <w:tcW w:w="20" w:type="dxa"/>
            <w:vAlign w:val="bottom"/>
          </w:tcPr>
          <w:p>
            <w:pPr>
              <w:spacing w:after="0"/>
              <w:rPr>
                <w:sz w:val="21"/>
                <w:szCs w:val="21"/>
                <w:color w:val="auto"/>
              </w:rPr>
            </w:pPr>
          </w:p>
        </w:tc>
        <w:tc>
          <w:tcPr>
            <w:tcW w:w="4160" w:type="dxa"/>
            <w:vAlign w:val="bottom"/>
            <w:gridSpan w:val="3"/>
          </w:tcPr>
          <w:p>
            <w:pPr>
              <w:ind w:left="360"/>
              <w:spacing w:after="0"/>
              <w:rPr>
                <w:sz w:val="20"/>
                <w:szCs w:val="20"/>
                <w:color w:val="auto"/>
              </w:rPr>
            </w:pPr>
            <w:r>
              <w:rPr>
                <w:rFonts w:ascii="Arial" w:cs="Arial" w:eastAsia="Arial" w:hAnsi="Arial"/>
                <w:sz w:val="18"/>
                <w:szCs w:val="18"/>
                <w:color w:val="auto"/>
              </w:rPr>
              <w:t>€500 at 2.875% due 2026</w:t>
            </w: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569</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561</w:t>
            </w: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573</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566</w:t>
            </w: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U.S. dollar at 7.50% due 2096</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4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r>
      <w:tr>
        <w:trPr>
          <w:trHeight w:val="243"/>
        </w:trPr>
        <w:tc>
          <w:tcPr>
            <w:tcW w:w="20" w:type="dxa"/>
            <w:vAlign w:val="bottom"/>
          </w:tcPr>
          <w:p>
            <w:pPr>
              <w:spacing w:after="0"/>
              <w:rPr>
                <w:sz w:val="21"/>
                <w:szCs w:val="21"/>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Other indebtedness in various currencies</w:t>
            </w: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66</w:t>
            </w:r>
          </w:p>
        </w:tc>
      </w:tr>
      <w:tr>
        <w:trPr>
          <w:trHeight w:val="27"/>
        </w:trPr>
        <w:tc>
          <w:tcPr>
            <w:tcW w:w="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8"/>
                <w:szCs w:val="18"/>
                <w:color w:val="auto"/>
              </w:rPr>
              <w:t>Total long-term debt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8,716</w:t>
            </w:r>
          </w:p>
        </w:tc>
        <w:tc>
          <w:tcPr>
            <w:tcW w:w="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8,637</w:t>
            </w:r>
          </w:p>
        </w:tc>
        <w:tc>
          <w:tcPr>
            <w:tcW w:w="4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8,667</w:t>
            </w:r>
          </w:p>
        </w:tc>
        <w:tc>
          <w:tcPr>
            <w:tcW w:w="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8,574</w:t>
            </w:r>
          </w:p>
        </w:tc>
      </w:tr>
      <w:tr>
        <w:trPr>
          <w:trHeight w:val="243"/>
        </w:trPr>
        <w:tc>
          <w:tcPr>
            <w:tcW w:w="20" w:type="dxa"/>
            <w:vAlign w:val="bottom"/>
          </w:tcPr>
          <w:p>
            <w:pPr>
              <w:spacing w:after="0"/>
              <w:rPr>
                <w:sz w:val="21"/>
                <w:szCs w:val="21"/>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Less current maturities</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w:t>
            </w: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7"/>
        </w:trPr>
        <w:tc>
          <w:tcPr>
            <w:tcW w:w="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416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8"/>
                <w:szCs w:val="18"/>
                <w:color w:val="auto"/>
                <w:w w:val="99"/>
              </w:rPr>
              <w:t>Total long-term debt, less current maturities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8,628</w:t>
            </w:r>
          </w:p>
        </w:tc>
        <w:tc>
          <w:tcPr>
            <w:tcW w:w="4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8,549</w:t>
            </w:r>
          </w:p>
        </w:tc>
        <w:tc>
          <w:tcPr>
            <w:tcW w:w="4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8,586</w:t>
            </w:r>
          </w:p>
        </w:tc>
        <w:tc>
          <w:tcPr>
            <w:tcW w:w="4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8,493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912" w:hanging="264"/>
        <w:spacing w:after="0"/>
        <w:tabs>
          <w:tab w:leader="none" w:pos="912" w:val="left"/>
        </w:tabs>
        <w:numPr>
          <w:ilvl w:val="0"/>
          <w:numId w:val="15"/>
        </w:numPr>
        <w:rPr>
          <w:rFonts w:ascii="Arial" w:cs="Arial" w:eastAsia="Arial" w:hAnsi="Arial"/>
          <w:sz w:val="18"/>
          <w:szCs w:val="18"/>
          <w:color w:val="auto"/>
        </w:rPr>
      </w:pPr>
      <w:r>
        <w:rPr>
          <w:rFonts w:ascii="Arial" w:cs="Arial" w:eastAsia="Arial" w:hAnsi="Arial"/>
          <w:sz w:val="18"/>
          <w:szCs w:val="18"/>
          <w:color w:val="auto"/>
        </w:rPr>
        <w:t>€258 and €263 at June 30, 2019 and December 31, 2018</w:t>
      </w:r>
    </w:p>
    <w:p>
      <w:pPr>
        <w:spacing w:after="0" w:line="23" w:lineRule="exact"/>
        <w:rPr>
          <w:rFonts w:ascii="Arial" w:cs="Arial" w:eastAsia="Arial" w:hAnsi="Arial"/>
          <w:sz w:val="18"/>
          <w:szCs w:val="18"/>
          <w:color w:val="auto"/>
        </w:rPr>
      </w:pPr>
    </w:p>
    <w:p>
      <w:pPr>
        <w:ind w:left="912" w:hanging="264"/>
        <w:spacing w:after="0"/>
        <w:tabs>
          <w:tab w:leader="none" w:pos="912" w:val="left"/>
        </w:tabs>
        <w:numPr>
          <w:ilvl w:val="0"/>
          <w:numId w:val="15"/>
        </w:numPr>
        <w:rPr>
          <w:rFonts w:ascii="Arial" w:cs="Arial" w:eastAsia="Arial" w:hAnsi="Arial"/>
          <w:sz w:val="18"/>
          <w:szCs w:val="18"/>
          <w:color w:val="auto"/>
        </w:rPr>
      </w:pPr>
      <w:r>
        <w:rPr>
          <w:rFonts w:ascii="Arial" w:cs="Arial" w:eastAsia="Arial" w:hAnsi="Arial"/>
          <w:sz w:val="18"/>
          <w:szCs w:val="18"/>
          <w:color w:val="auto"/>
        </w:rPr>
        <w:t>€743 and €746 at June 30, 2019 and December 31, 2018</w:t>
      </w:r>
    </w:p>
    <w:p>
      <w:pPr>
        <w:spacing w:after="0" w:line="211" w:lineRule="exact"/>
        <w:rPr>
          <w:sz w:val="20"/>
          <w:szCs w:val="20"/>
          <w:color w:val="auto"/>
        </w:rPr>
      </w:pPr>
    </w:p>
    <w:p>
      <w:pPr>
        <w:ind w:left="652"/>
        <w:spacing w:after="0" w:line="277" w:lineRule="auto"/>
        <w:rPr>
          <w:sz w:val="20"/>
          <w:szCs w:val="20"/>
          <w:color w:val="auto"/>
        </w:rPr>
      </w:pPr>
      <w:r>
        <w:rPr>
          <w:rFonts w:ascii="Arial" w:cs="Arial" w:eastAsia="Arial" w:hAnsi="Arial"/>
          <w:sz w:val="18"/>
          <w:szCs w:val="18"/>
          <w:color w:val="auto"/>
        </w:rPr>
        <w:t>The estimated fair value of the Company’s long-term borrowings, using a market approach incorporating Level 2 inputs such as quoted market prices for the same or similar issues, was $9,199 at June 30, 2019 and $8,735 at December 31, 2018.</w:t>
      </w:r>
    </w:p>
    <w:p>
      <w:pPr>
        <w:sectPr>
          <w:pgSz w:w="11900" w:h="16838" w:orient="portrait"/>
          <w:cols w:equalWidth="0" w:num="1">
            <w:col w:w="11412"/>
          </w:cols>
          <w:pgMar w:left="248" w:top="121" w:right="239" w:bottom="1440" w:gutter="0" w:footer="0" w:header="0"/>
        </w:sectPr>
      </w:pPr>
    </w:p>
    <w:p>
      <w:pPr>
        <w:spacing w:after="0" w:line="197" w:lineRule="exact"/>
        <w:rPr>
          <w:sz w:val="20"/>
          <w:szCs w:val="20"/>
          <w:color w:val="auto"/>
        </w:rPr>
      </w:pPr>
    </w:p>
    <w:p>
      <w:pPr>
        <w:jc w:val="center"/>
        <w:ind w:right="8"/>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12"/>
          </w:cols>
          <w:pgMar w:left="248" w:top="121" w:right="239" w:bottom="1440" w:gutter="0" w:footer="0" w:header="0"/>
          <w:type w:val="continuous"/>
        </w:sectPr>
      </w:pPr>
    </w:p>
    <w:bookmarkStart w:id="22" w:name="page23"/>
    <w:bookmarkEnd w:id="22"/>
    <w:p>
      <w:pPr>
        <w:jc w:val="center"/>
        <w:ind w:right="-11"/>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52" w:hanging="652"/>
        <w:spacing w:after="0"/>
        <w:tabs>
          <w:tab w:leader="none" w:pos="652"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Pension and Other Postretirement Benefits</w:t>
      </w:r>
    </w:p>
    <w:p>
      <w:pPr>
        <w:spacing w:after="0" w:line="229" w:lineRule="exact"/>
        <w:rPr>
          <w:rFonts w:ascii="Arial" w:cs="Arial" w:eastAsia="Arial" w:hAnsi="Arial"/>
          <w:sz w:val="18"/>
          <w:szCs w:val="18"/>
          <w:b w:val="1"/>
          <w:bCs w:val="1"/>
          <w:color w:val="auto"/>
        </w:rPr>
      </w:pPr>
    </w:p>
    <w:p>
      <w:pPr>
        <w:ind w:left="652"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components of net periodic pension and other postretirement benefits costs for the three and six months ended June 30, 2019 and 2018 were as follows:</w:t>
      </w:r>
    </w:p>
    <w:p>
      <w:pPr>
        <w:spacing w:after="0" w:line="197" w:lineRule="exact"/>
        <w:rPr>
          <w:sz w:val="20"/>
          <w:szCs w:val="20"/>
          <w:color w:val="auto"/>
        </w:rPr>
      </w:pPr>
    </w:p>
    <w:tbl>
      <w:tblPr>
        <w:tblLayout w:type="fixed"/>
        <w:tblInd w:w="652"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gridSpan w:val="5"/>
          </w:tcPr>
          <w:p>
            <w:pPr>
              <w:jc w:val="center"/>
              <w:ind w:right="62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20"/>
                <w:szCs w:val="20"/>
                <w:color w:val="auto"/>
              </w:rPr>
            </w:pPr>
          </w:p>
        </w:tc>
        <w:tc>
          <w:tcPr>
            <w:tcW w:w="2120" w:type="dxa"/>
            <w:vAlign w:val="bottom"/>
            <w:gridSpan w:val="4"/>
          </w:tcPr>
          <w:p>
            <w:pPr>
              <w:jc w:val="center"/>
              <w:ind w:right="130"/>
              <w:spacing w:after="0"/>
              <w:rPr>
                <w:sz w:val="20"/>
                <w:szCs w:val="20"/>
                <w:color w:val="auto"/>
              </w:rPr>
            </w:pPr>
            <w:r>
              <w:rPr>
                <w:rFonts w:ascii="Arial" w:cs="Arial" w:eastAsia="Arial" w:hAnsi="Arial"/>
                <w:sz w:val="18"/>
                <w:szCs w:val="18"/>
                <w:color w:val="auto"/>
                <w:w w:val="91"/>
              </w:rPr>
              <w:t>Six Months Ended</w:t>
            </w:r>
          </w:p>
        </w:tc>
      </w:tr>
      <w:tr>
        <w:trPr>
          <w:trHeight w:val="270"/>
        </w:trPr>
        <w:tc>
          <w:tcPr>
            <w:tcW w:w="2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gridSpan w:val="3"/>
          </w:tcPr>
          <w:p>
            <w:pPr>
              <w:jc w:val="center"/>
              <w:ind w:left="490"/>
              <w:spacing w:after="0"/>
              <w:rPr>
                <w:sz w:val="20"/>
                <w:szCs w:val="20"/>
                <w:color w:val="auto"/>
              </w:rPr>
            </w:pPr>
            <w:r>
              <w:rPr>
                <w:rFonts w:ascii="Arial" w:cs="Arial" w:eastAsia="Arial" w:hAnsi="Arial"/>
                <w:sz w:val="18"/>
                <w:szCs w:val="18"/>
                <w:color w:val="auto"/>
                <w:w w:val="86"/>
              </w:rPr>
              <w:t>June 30,</w:t>
            </w: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3"/>
          </w:tcPr>
          <w:p>
            <w:pPr>
              <w:jc w:val="center"/>
              <w:ind w:left="510"/>
              <w:spacing w:after="0"/>
              <w:rPr>
                <w:sz w:val="20"/>
                <w:szCs w:val="20"/>
                <w:color w:val="auto"/>
              </w:rPr>
            </w:pPr>
            <w:r>
              <w:rPr>
                <w:rFonts w:ascii="Arial" w:cs="Arial" w:eastAsia="Arial" w:hAnsi="Arial"/>
                <w:sz w:val="18"/>
                <w:szCs w:val="18"/>
                <w:color w:val="auto"/>
                <w:w w:val="86"/>
              </w:rPr>
              <w:t>June 30,</w:t>
            </w:r>
          </w:p>
        </w:tc>
        <w:tc>
          <w:tcPr>
            <w:tcW w:w="800" w:type="dxa"/>
            <w:vAlign w:val="bottom"/>
          </w:tcPr>
          <w:p>
            <w:pPr>
              <w:spacing w:after="0"/>
              <w:rPr>
                <w:sz w:val="23"/>
                <w:szCs w:val="23"/>
                <w:color w:val="auto"/>
              </w:rPr>
            </w:pP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4700" w:type="dxa"/>
            <w:vAlign w:val="bottom"/>
            <w:gridSpan w:val="3"/>
          </w:tcPr>
          <w:p>
            <w:pPr>
              <w:spacing w:after="0" w:line="196" w:lineRule="exact"/>
              <w:rPr>
                <w:sz w:val="20"/>
                <w:szCs w:val="20"/>
                <w:color w:val="auto"/>
              </w:rPr>
            </w:pPr>
            <w:r>
              <w:rPr>
                <w:rFonts w:ascii="Arial" w:cs="Arial" w:eastAsia="Arial" w:hAnsi="Arial"/>
                <w:sz w:val="18"/>
                <w:szCs w:val="18"/>
                <w:color w:val="auto"/>
              </w:rPr>
              <w:t>Pension benefits – U.S. plans</w:t>
            </w:r>
          </w:p>
        </w:tc>
        <w:tc>
          <w:tcPr>
            <w:tcW w:w="240" w:type="dxa"/>
            <w:vAlign w:val="bottom"/>
          </w:tcPr>
          <w:p>
            <w:pPr>
              <w:spacing w:after="0"/>
              <w:rPr>
                <w:sz w:val="17"/>
                <w:szCs w:val="17"/>
                <w:color w:val="auto"/>
              </w:rPr>
            </w:pPr>
          </w:p>
        </w:tc>
        <w:tc>
          <w:tcPr>
            <w:tcW w:w="86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2019</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2018</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2019</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2018</w:t>
            </w:r>
          </w:p>
        </w:tc>
      </w:tr>
      <w:tr>
        <w:trPr>
          <w:trHeight w:val="48"/>
        </w:trPr>
        <w:tc>
          <w:tcPr>
            <w:tcW w:w="20" w:type="dxa"/>
            <w:vAlign w:val="bottom"/>
            <w:tcBorders>
              <w:bottom w:val="single" w:sz="8" w:color="CCEEFF"/>
            </w:tcBorders>
          </w:tcPr>
          <w:p>
            <w:pPr>
              <w:spacing w:after="0"/>
              <w:rPr>
                <w:sz w:val="4"/>
                <w:szCs w:val="4"/>
                <w:color w:val="auto"/>
              </w:rPr>
            </w:pPr>
          </w:p>
        </w:tc>
        <w:tc>
          <w:tcPr>
            <w:tcW w:w="2120" w:type="dxa"/>
            <w:vAlign w:val="bottom"/>
            <w:tcBorders>
              <w:top w:val="single" w:sz="8" w:color="auto"/>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22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Service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20" w:type="dxa"/>
            <w:vAlign w:val="bottom"/>
          </w:tcPr>
          <w:p>
            <w:pPr>
              <w:spacing w:after="0"/>
              <w:rPr>
                <w:sz w:val="21"/>
                <w:szCs w:val="21"/>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20" w:type="dxa"/>
            <w:vAlign w:val="bottom"/>
          </w:tcPr>
          <w:p>
            <w:pPr>
              <w:spacing w:after="0"/>
              <w:rPr>
                <w:sz w:val="21"/>
                <w:szCs w:val="21"/>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Recognized net loss</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2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47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periodic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4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5"/>
          </w:tcPr>
          <w:p>
            <w:pPr>
              <w:jc w:val="center"/>
              <w:ind w:right="62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24"/>
                <w:szCs w:val="24"/>
                <w:color w:val="auto"/>
              </w:rPr>
            </w:pPr>
          </w:p>
        </w:tc>
        <w:tc>
          <w:tcPr>
            <w:tcW w:w="2120" w:type="dxa"/>
            <w:vAlign w:val="bottom"/>
            <w:gridSpan w:val="4"/>
          </w:tcPr>
          <w:p>
            <w:pPr>
              <w:jc w:val="center"/>
              <w:ind w:right="130"/>
              <w:spacing w:after="0"/>
              <w:rPr>
                <w:sz w:val="20"/>
                <w:szCs w:val="20"/>
                <w:color w:val="auto"/>
              </w:rPr>
            </w:pPr>
            <w:r>
              <w:rPr>
                <w:rFonts w:ascii="Arial" w:cs="Arial" w:eastAsia="Arial" w:hAnsi="Arial"/>
                <w:sz w:val="18"/>
                <w:szCs w:val="18"/>
                <w:color w:val="auto"/>
                <w:w w:val="91"/>
              </w:rPr>
              <w:t>Six Months Ended</w:t>
            </w:r>
          </w:p>
        </w:tc>
      </w:tr>
      <w:tr>
        <w:trPr>
          <w:trHeight w:val="270"/>
        </w:trPr>
        <w:tc>
          <w:tcPr>
            <w:tcW w:w="2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gridSpan w:val="3"/>
          </w:tcPr>
          <w:p>
            <w:pPr>
              <w:jc w:val="center"/>
              <w:ind w:left="490"/>
              <w:spacing w:after="0"/>
              <w:rPr>
                <w:sz w:val="20"/>
                <w:szCs w:val="20"/>
                <w:color w:val="auto"/>
              </w:rPr>
            </w:pPr>
            <w:r>
              <w:rPr>
                <w:rFonts w:ascii="Arial" w:cs="Arial" w:eastAsia="Arial" w:hAnsi="Arial"/>
                <w:sz w:val="18"/>
                <w:szCs w:val="18"/>
                <w:color w:val="auto"/>
                <w:w w:val="86"/>
              </w:rPr>
              <w:t>June 30,</w:t>
            </w: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3"/>
          </w:tcPr>
          <w:p>
            <w:pPr>
              <w:jc w:val="center"/>
              <w:ind w:left="510"/>
              <w:spacing w:after="0"/>
              <w:rPr>
                <w:sz w:val="20"/>
                <w:szCs w:val="20"/>
                <w:color w:val="auto"/>
              </w:rPr>
            </w:pPr>
            <w:r>
              <w:rPr>
                <w:rFonts w:ascii="Arial" w:cs="Arial" w:eastAsia="Arial" w:hAnsi="Arial"/>
                <w:sz w:val="18"/>
                <w:szCs w:val="18"/>
                <w:color w:val="auto"/>
                <w:w w:val="86"/>
              </w:rPr>
              <w:t>June 30,</w:t>
            </w:r>
          </w:p>
        </w:tc>
        <w:tc>
          <w:tcPr>
            <w:tcW w:w="800" w:type="dxa"/>
            <w:vAlign w:val="bottom"/>
          </w:tcPr>
          <w:p>
            <w:pPr>
              <w:spacing w:after="0"/>
              <w:rPr>
                <w:sz w:val="23"/>
                <w:szCs w:val="23"/>
                <w:color w:val="auto"/>
              </w:rPr>
            </w:pP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4700" w:type="dxa"/>
            <w:vAlign w:val="bottom"/>
            <w:gridSpan w:val="3"/>
          </w:tcPr>
          <w:p>
            <w:pPr>
              <w:spacing w:after="0" w:line="196" w:lineRule="exact"/>
              <w:rPr>
                <w:sz w:val="20"/>
                <w:szCs w:val="20"/>
                <w:color w:val="auto"/>
              </w:rPr>
            </w:pPr>
            <w:r>
              <w:rPr>
                <w:rFonts w:ascii="Arial" w:cs="Arial" w:eastAsia="Arial" w:hAnsi="Arial"/>
                <w:sz w:val="18"/>
                <w:szCs w:val="18"/>
                <w:color w:val="auto"/>
              </w:rPr>
              <w:t>Pension benefits – Non-U.S. plans</w:t>
            </w:r>
          </w:p>
        </w:tc>
        <w:tc>
          <w:tcPr>
            <w:tcW w:w="240" w:type="dxa"/>
            <w:vAlign w:val="bottom"/>
          </w:tcPr>
          <w:p>
            <w:pPr>
              <w:spacing w:after="0"/>
              <w:rPr>
                <w:sz w:val="17"/>
                <w:szCs w:val="17"/>
                <w:color w:val="auto"/>
              </w:rPr>
            </w:pPr>
          </w:p>
        </w:tc>
        <w:tc>
          <w:tcPr>
            <w:tcW w:w="86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2019</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2018</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2019</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2018</w:t>
            </w:r>
          </w:p>
        </w:tc>
      </w:tr>
      <w:tr>
        <w:trPr>
          <w:trHeight w:val="48"/>
        </w:trPr>
        <w:tc>
          <w:tcPr>
            <w:tcW w:w="20" w:type="dxa"/>
            <w:vAlign w:val="bottom"/>
            <w:tcBorders>
              <w:bottom w:val="single" w:sz="8" w:color="CCEEFF"/>
            </w:tcBorders>
          </w:tcPr>
          <w:p>
            <w:pPr>
              <w:spacing w:after="0"/>
              <w:rPr>
                <w:sz w:val="4"/>
                <w:szCs w:val="4"/>
                <w:color w:val="auto"/>
              </w:rPr>
            </w:pPr>
          </w:p>
        </w:tc>
        <w:tc>
          <w:tcPr>
            <w:tcW w:w="2120" w:type="dxa"/>
            <w:vAlign w:val="bottom"/>
            <w:tcBorders>
              <w:top w:val="single" w:sz="8" w:color="auto"/>
              <w:bottom w:val="single" w:sz="8" w:color="CCEEFF"/>
            </w:tcBorders>
          </w:tcPr>
          <w:p>
            <w:pPr>
              <w:spacing w:after="0"/>
              <w:rPr>
                <w:sz w:val="4"/>
                <w:szCs w:val="4"/>
                <w:color w:val="auto"/>
              </w:rPr>
            </w:pPr>
          </w:p>
        </w:tc>
        <w:tc>
          <w:tcPr>
            <w:tcW w:w="360" w:type="dxa"/>
            <w:vAlign w:val="bottom"/>
            <w:tcBorders>
              <w:top w:val="single" w:sz="8" w:color="auto"/>
              <w:bottom w:val="single" w:sz="8" w:color="CCEEFF"/>
            </w:tcBorders>
          </w:tcPr>
          <w:p>
            <w:pPr>
              <w:spacing w:after="0"/>
              <w:rPr>
                <w:sz w:val="4"/>
                <w:szCs w:val="4"/>
                <w:color w:val="auto"/>
              </w:rPr>
            </w:pPr>
          </w:p>
        </w:tc>
        <w:tc>
          <w:tcPr>
            <w:tcW w:w="22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Service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20" w:type="dxa"/>
            <w:vAlign w:val="bottom"/>
          </w:tcPr>
          <w:p>
            <w:pPr>
              <w:spacing w:after="0"/>
              <w:rPr>
                <w:sz w:val="21"/>
                <w:szCs w:val="21"/>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43"/>
        </w:trPr>
        <w:tc>
          <w:tcPr>
            <w:tcW w:w="20" w:type="dxa"/>
            <w:vAlign w:val="bottom"/>
          </w:tcPr>
          <w:p>
            <w:pPr>
              <w:spacing w:after="0"/>
              <w:rPr>
                <w:sz w:val="21"/>
                <w:szCs w:val="21"/>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Curtailment gain</w:t>
            </w:r>
          </w:p>
        </w:tc>
        <w:tc>
          <w:tcPr>
            <w:tcW w:w="240" w:type="dxa"/>
            <w:vAlign w:val="bottom"/>
          </w:tcPr>
          <w:p>
            <w:pPr>
              <w:spacing w:after="0"/>
              <w:rPr>
                <w:sz w:val="21"/>
                <w:szCs w:val="21"/>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Settlement loss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Recognized prior service credit</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7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Recognized net loss</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4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7"/>
        </w:trPr>
        <w:tc>
          <w:tcPr>
            <w:tcW w:w="20" w:type="dxa"/>
            <w:vAlign w:val="bottom"/>
          </w:tcPr>
          <w:p>
            <w:pPr>
              <w:spacing w:after="0"/>
              <w:rPr>
                <w:sz w:val="20"/>
                <w:szCs w:val="20"/>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Net periodic cost/(benefit)</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r>
      <w:tr>
        <w:trPr>
          <w:trHeight w:val="791"/>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5"/>
          </w:tcPr>
          <w:p>
            <w:pPr>
              <w:jc w:val="center"/>
              <w:ind w:right="62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24"/>
                <w:szCs w:val="24"/>
                <w:color w:val="auto"/>
              </w:rPr>
            </w:pPr>
          </w:p>
        </w:tc>
        <w:tc>
          <w:tcPr>
            <w:tcW w:w="2120" w:type="dxa"/>
            <w:vAlign w:val="bottom"/>
            <w:gridSpan w:val="4"/>
          </w:tcPr>
          <w:p>
            <w:pPr>
              <w:jc w:val="center"/>
              <w:ind w:right="130"/>
              <w:spacing w:after="0"/>
              <w:rPr>
                <w:sz w:val="20"/>
                <w:szCs w:val="20"/>
                <w:color w:val="auto"/>
              </w:rPr>
            </w:pPr>
            <w:r>
              <w:rPr>
                <w:rFonts w:ascii="Arial" w:cs="Arial" w:eastAsia="Arial" w:hAnsi="Arial"/>
                <w:sz w:val="18"/>
                <w:szCs w:val="18"/>
                <w:color w:val="auto"/>
                <w:w w:val="91"/>
              </w:rPr>
              <w:t>Six Months Ended</w:t>
            </w:r>
          </w:p>
        </w:tc>
      </w:tr>
      <w:tr>
        <w:trPr>
          <w:trHeight w:val="270"/>
        </w:trPr>
        <w:tc>
          <w:tcPr>
            <w:tcW w:w="2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gridSpan w:val="3"/>
          </w:tcPr>
          <w:p>
            <w:pPr>
              <w:jc w:val="center"/>
              <w:ind w:left="490"/>
              <w:spacing w:after="0"/>
              <w:rPr>
                <w:sz w:val="20"/>
                <w:szCs w:val="20"/>
                <w:color w:val="auto"/>
              </w:rPr>
            </w:pPr>
            <w:r>
              <w:rPr>
                <w:rFonts w:ascii="Arial" w:cs="Arial" w:eastAsia="Arial" w:hAnsi="Arial"/>
                <w:sz w:val="18"/>
                <w:szCs w:val="18"/>
                <w:color w:val="auto"/>
                <w:w w:val="86"/>
              </w:rPr>
              <w:t>June 30,</w:t>
            </w: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3"/>
          </w:tcPr>
          <w:p>
            <w:pPr>
              <w:jc w:val="center"/>
              <w:ind w:left="510"/>
              <w:spacing w:after="0"/>
              <w:rPr>
                <w:sz w:val="20"/>
                <w:szCs w:val="20"/>
                <w:color w:val="auto"/>
              </w:rPr>
            </w:pPr>
            <w:r>
              <w:rPr>
                <w:rFonts w:ascii="Arial" w:cs="Arial" w:eastAsia="Arial" w:hAnsi="Arial"/>
                <w:sz w:val="18"/>
                <w:szCs w:val="18"/>
                <w:color w:val="auto"/>
                <w:w w:val="87"/>
              </w:rPr>
              <w:t>June 30</w:t>
            </w:r>
          </w:p>
        </w:tc>
        <w:tc>
          <w:tcPr>
            <w:tcW w:w="800" w:type="dxa"/>
            <w:vAlign w:val="bottom"/>
          </w:tcPr>
          <w:p>
            <w:pPr>
              <w:spacing w:after="0"/>
              <w:rPr>
                <w:sz w:val="23"/>
                <w:szCs w:val="23"/>
                <w:color w:val="auto"/>
              </w:rPr>
            </w:pP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4700" w:type="dxa"/>
            <w:vAlign w:val="bottom"/>
            <w:gridSpan w:val="3"/>
          </w:tcPr>
          <w:p>
            <w:pPr>
              <w:spacing w:after="0" w:line="196" w:lineRule="exact"/>
              <w:rPr>
                <w:sz w:val="20"/>
                <w:szCs w:val="20"/>
                <w:color w:val="auto"/>
              </w:rPr>
            </w:pPr>
            <w:r>
              <w:rPr>
                <w:rFonts w:ascii="Arial" w:cs="Arial" w:eastAsia="Arial" w:hAnsi="Arial"/>
                <w:sz w:val="18"/>
                <w:szCs w:val="18"/>
                <w:color w:val="auto"/>
              </w:rPr>
              <w:t>Other postretirement benefits</w:t>
            </w:r>
          </w:p>
        </w:tc>
        <w:tc>
          <w:tcPr>
            <w:tcW w:w="240" w:type="dxa"/>
            <w:vAlign w:val="bottom"/>
          </w:tcPr>
          <w:p>
            <w:pPr>
              <w:spacing w:after="0"/>
              <w:rPr>
                <w:sz w:val="17"/>
                <w:szCs w:val="17"/>
                <w:color w:val="auto"/>
              </w:rPr>
            </w:pPr>
          </w:p>
        </w:tc>
        <w:tc>
          <w:tcPr>
            <w:tcW w:w="86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2019</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2018</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2019</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2018</w:t>
            </w:r>
          </w:p>
        </w:tc>
      </w:tr>
      <w:tr>
        <w:trPr>
          <w:trHeight w:val="48"/>
        </w:trPr>
        <w:tc>
          <w:tcPr>
            <w:tcW w:w="20" w:type="dxa"/>
            <w:vAlign w:val="bottom"/>
            <w:tcBorders>
              <w:bottom w:val="single" w:sz="8" w:color="CCEEFF"/>
            </w:tcBorders>
          </w:tcPr>
          <w:p>
            <w:pPr>
              <w:spacing w:after="0"/>
              <w:rPr>
                <w:sz w:val="4"/>
                <w:szCs w:val="4"/>
                <w:color w:val="auto"/>
              </w:rPr>
            </w:pPr>
          </w:p>
        </w:tc>
        <w:tc>
          <w:tcPr>
            <w:tcW w:w="2120" w:type="dxa"/>
            <w:vAlign w:val="bottom"/>
            <w:tcBorders>
              <w:top w:val="single" w:sz="8" w:color="auto"/>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22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Interest cost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20" w:type="dxa"/>
            <w:vAlign w:val="bottom"/>
          </w:tcPr>
          <w:p>
            <w:pPr>
              <w:spacing w:after="0"/>
              <w:rPr>
                <w:sz w:val="21"/>
                <w:szCs w:val="21"/>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Recognized prior service credit</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7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Recognized net loss</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4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20" w:type="dxa"/>
            <w:vAlign w:val="bottom"/>
          </w:tcPr>
          <w:p>
            <w:pPr>
              <w:spacing w:after="0"/>
              <w:rPr>
                <w:sz w:val="20"/>
                <w:szCs w:val="20"/>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Net periodic benefit</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52"/>
        <w:spacing w:after="0" w:line="342" w:lineRule="auto"/>
        <w:rPr>
          <w:sz w:val="20"/>
          <w:szCs w:val="20"/>
          <w:color w:val="auto"/>
        </w:rPr>
      </w:pPr>
      <w:r>
        <w:rPr>
          <w:rFonts w:ascii="Arial" w:cs="Arial" w:eastAsia="Arial" w:hAnsi="Arial"/>
          <w:sz w:val="16"/>
          <w:szCs w:val="16"/>
          <w:color w:val="auto"/>
        </w:rPr>
        <w:t>In the three and six months ended June 30, 2019, the Company recorded settlement charges related to the payment of lump sum buy-outs to settle certain non-U.S. pension obligations using plan assets. The Company expects to incur additional settlement charges in the third quarter of 2019.</w:t>
      </w:r>
    </w:p>
    <w:p>
      <w:pPr>
        <w:spacing w:after="0" w:line="124" w:lineRule="exact"/>
        <w:rPr>
          <w:sz w:val="20"/>
          <w:szCs w:val="20"/>
          <w:color w:val="auto"/>
        </w:rPr>
      </w:pPr>
    </w:p>
    <w:p>
      <w:pPr>
        <w:ind w:left="652"/>
        <w:spacing w:after="0" w:line="308" w:lineRule="auto"/>
        <w:rPr>
          <w:sz w:val="20"/>
          <w:szCs w:val="20"/>
          <w:color w:val="auto"/>
        </w:rPr>
      </w:pPr>
      <w:r>
        <w:rPr>
          <w:rFonts w:ascii="Arial" w:cs="Arial" w:eastAsia="Arial" w:hAnsi="Arial"/>
          <w:sz w:val="17"/>
          <w:szCs w:val="17"/>
          <w:color w:val="auto"/>
        </w:rPr>
        <w:t>Additionally, in the six months ended June 30, 2019, the Company recorded a curtailment gain to recognize prior service credits that were previously recorded in accumulated other comprehensive income in connection with the closure of a non-U.S. defined benefit pension plan.</w:t>
      </w:r>
    </w:p>
    <w:p>
      <w:pPr>
        <w:spacing w:after="0" w:line="147" w:lineRule="exact"/>
        <w:rPr>
          <w:sz w:val="20"/>
          <w:szCs w:val="20"/>
          <w:color w:val="auto"/>
        </w:rPr>
      </w:pPr>
    </w:p>
    <w:p>
      <w:pPr>
        <w:ind w:left="652"/>
        <w:spacing w:after="0" w:line="277" w:lineRule="auto"/>
        <w:rPr>
          <w:sz w:val="20"/>
          <w:szCs w:val="20"/>
          <w:color w:val="auto"/>
        </w:rPr>
      </w:pPr>
      <w:r>
        <w:rPr>
          <w:rFonts w:ascii="Arial" w:cs="Arial" w:eastAsia="Arial" w:hAnsi="Arial"/>
          <w:sz w:val="18"/>
          <w:szCs w:val="18"/>
          <w:color w:val="auto"/>
        </w:rPr>
        <w:t>The components of net periodic cost / (benefit) other than the service cost component are included in other pension and postretirement in the Consolidated Statement of Operations.</w:t>
      </w:r>
    </w:p>
    <w:p>
      <w:pPr>
        <w:spacing w:after="0" w:line="170" w:lineRule="exact"/>
        <w:rPr>
          <w:sz w:val="20"/>
          <w:szCs w:val="20"/>
          <w:color w:val="auto"/>
        </w:rPr>
      </w:pPr>
    </w:p>
    <w:p>
      <w:pPr>
        <w:ind w:left="652"/>
        <w:spacing w:after="0"/>
        <w:rPr>
          <w:sz w:val="20"/>
          <w:szCs w:val="20"/>
          <w:color w:val="auto"/>
        </w:rPr>
      </w:pPr>
      <w:r>
        <w:rPr>
          <w:rFonts w:ascii="Arial" w:cs="Arial" w:eastAsia="Arial" w:hAnsi="Arial"/>
          <w:sz w:val="18"/>
          <w:szCs w:val="18"/>
          <w:color w:val="auto"/>
        </w:rPr>
        <w:t>The following table provides information about amounts reclassified from accumulated other comprehensive income.</w:t>
      </w:r>
    </w:p>
    <w:p>
      <w:pPr>
        <w:sectPr>
          <w:pgSz w:w="11900" w:h="16838" w:orient="portrait"/>
          <w:cols w:equalWidth="0" w:num="1">
            <w:col w:w="11412"/>
          </w:cols>
          <w:pgMar w:left="248" w:top="121"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8"/>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12"/>
          </w:cols>
          <w:pgMar w:left="248" w:top="121" w:right="239" w:bottom="1440" w:gutter="0" w:footer="0" w:header="0"/>
          <w:type w:val="continuous"/>
        </w:sectPr>
      </w:pPr>
    </w:p>
    <w:bookmarkStart w:id="23" w:name="page24"/>
    <w:bookmarkEnd w:id="23"/>
    <w:tbl>
      <w:tblPr>
        <w:tblLayout w:type="fixed"/>
        <w:tblInd w:w="652"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360" w:type="dxa"/>
            <w:vAlign w:val="bottom"/>
            <w:gridSpan w:val="7"/>
          </w:tcPr>
          <w:p>
            <w:pPr>
              <w:ind w:left="100"/>
              <w:spacing w:after="0"/>
              <w:rPr>
                <w:sz w:val="20"/>
                <w:szCs w:val="20"/>
                <w:color w:val="auto"/>
              </w:rPr>
            </w:pPr>
            <w:r>
              <w:rPr>
                <w:rFonts w:ascii="Arial" w:cs="Arial" w:eastAsia="Arial" w:hAnsi="Arial"/>
                <w:sz w:val="18"/>
                <w:szCs w:val="18"/>
                <w:b w:val="1"/>
                <w:bCs w:val="1"/>
                <w:color w:val="auto"/>
              </w:rPr>
              <w:t>Crown Holdings, Inc.</w:t>
            </w: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7"/>
        </w:trPr>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gridSpan w:val="5"/>
          </w:tcPr>
          <w:p>
            <w:pPr>
              <w:ind w:left="120"/>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24"/>
                <w:szCs w:val="24"/>
                <w:color w:val="auto"/>
              </w:rPr>
            </w:pPr>
          </w:p>
        </w:tc>
        <w:tc>
          <w:tcPr>
            <w:tcW w:w="1900" w:type="dxa"/>
            <w:vAlign w:val="bottom"/>
            <w:gridSpan w:val="4"/>
          </w:tcPr>
          <w:p>
            <w:pPr>
              <w:jc w:val="right"/>
              <w:ind w:right="290"/>
              <w:spacing w:after="0"/>
              <w:rPr>
                <w:sz w:val="20"/>
                <w:szCs w:val="20"/>
                <w:color w:val="auto"/>
              </w:rPr>
            </w:pPr>
            <w:r>
              <w:rPr>
                <w:rFonts w:ascii="Arial" w:cs="Arial" w:eastAsia="Arial" w:hAnsi="Arial"/>
                <w:sz w:val="18"/>
                <w:szCs w:val="18"/>
                <w:color w:val="auto"/>
              </w:rPr>
              <w:t>Six Months Ended</w:t>
            </w:r>
          </w:p>
        </w:tc>
        <w:tc>
          <w:tcPr>
            <w:tcW w:w="1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120" w:type="dxa"/>
            <w:vAlign w:val="bottom"/>
            <w:gridSpan w:val="2"/>
          </w:tcPr>
          <w:p>
            <w:pPr>
              <w:ind w:left="340"/>
              <w:spacing w:after="0"/>
              <w:rPr>
                <w:sz w:val="20"/>
                <w:szCs w:val="20"/>
                <w:color w:val="auto"/>
              </w:rPr>
            </w:pPr>
            <w:r>
              <w:rPr>
                <w:rFonts w:ascii="Arial" w:cs="Arial" w:eastAsia="Arial" w:hAnsi="Arial"/>
                <w:sz w:val="18"/>
                <w:szCs w:val="18"/>
                <w:color w:val="auto"/>
              </w:rPr>
              <w:t>Details about accumulated other</w:t>
            </w:r>
          </w:p>
        </w:tc>
        <w:tc>
          <w:tcPr>
            <w:tcW w:w="220" w:type="dxa"/>
            <w:vAlign w:val="bottom"/>
          </w:tcPr>
          <w:p>
            <w:pPr>
              <w:spacing w:after="0"/>
              <w:rPr>
                <w:sz w:val="23"/>
                <w:szCs w:val="23"/>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June 30,</w:t>
            </w: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June 30</w:t>
            </w: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380" w:type="dxa"/>
            <w:vAlign w:val="bottom"/>
          </w:tcPr>
          <w:p>
            <w:pPr>
              <w:ind w:left="300"/>
              <w:spacing w:after="0"/>
              <w:rPr>
                <w:sz w:val="20"/>
                <w:szCs w:val="20"/>
                <w:color w:val="auto"/>
              </w:rPr>
            </w:pPr>
            <w:r>
              <w:rPr>
                <w:rFonts w:ascii="Arial" w:cs="Arial" w:eastAsia="Arial" w:hAnsi="Arial"/>
                <w:sz w:val="18"/>
                <w:szCs w:val="18"/>
                <w:color w:val="auto"/>
              </w:rPr>
              <w:t>Affected line item in the</w:t>
            </w:r>
          </w:p>
        </w:tc>
        <w:tc>
          <w:tcPr>
            <w:tcW w:w="0" w:type="dxa"/>
            <w:vAlign w:val="bottom"/>
          </w:tcPr>
          <w:p>
            <w:pPr>
              <w:spacing w:after="0"/>
              <w:rPr>
                <w:sz w:val="1"/>
                <w:szCs w:val="1"/>
                <w:color w:val="auto"/>
              </w:rPr>
            </w:pPr>
          </w:p>
        </w:tc>
      </w:tr>
      <w:tr>
        <w:trPr>
          <w:trHeight w:val="27"/>
        </w:trPr>
        <w:tc>
          <w:tcPr>
            <w:tcW w:w="3120" w:type="dxa"/>
            <w:vAlign w:val="bottom"/>
            <w:gridSpan w:val="2"/>
            <w:vMerge w:val="restart"/>
          </w:tcPr>
          <w:p>
            <w:pPr>
              <w:ind w:left="220"/>
              <w:spacing w:after="0"/>
              <w:rPr>
                <w:sz w:val="20"/>
                <w:szCs w:val="20"/>
                <w:color w:val="auto"/>
              </w:rPr>
            </w:pPr>
            <w:r>
              <w:rPr>
                <w:rFonts w:ascii="Arial" w:cs="Arial" w:eastAsia="Arial" w:hAnsi="Arial"/>
                <w:sz w:val="18"/>
                <w:szCs w:val="18"/>
                <w:color w:val="auto"/>
                <w:w w:val="99"/>
              </w:rPr>
              <w:t>comprehensive income components</w:t>
            </w: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vMerge w:val="restart"/>
          </w:tcPr>
          <w:p>
            <w:pPr>
              <w:ind w:left="340"/>
              <w:spacing w:after="0"/>
              <w:rPr>
                <w:sz w:val="20"/>
                <w:szCs w:val="20"/>
                <w:color w:val="auto"/>
              </w:rPr>
            </w:pPr>
            <w:r>
              <w:rPr>
                <w:rFonts w:ascii="Arial" w:cs="Arial" w:eastAsia="Arial" w:hAnsi="Arial"/>
                <w:sz w:val="18"/>
                <w:szCs w:val="18"/>
                <w:color w:val="auto"/>
              </w:rPr>
              <w:t>statement of operations</w:t>
            </w:r>
          </w:p>
        </w:tc>
        <w:tc>
          <w:tcPr>
            <w:tcW w:w="0" w:type="dxa"/>
            <w:vAlign w:val="bottom"/>
          </w:tcPr>
          <w:p>
            <w:pPr>
              <w:spacing w:after="0"/>
              <w:rPr>
                <w:sz w:val="1"/>
                <w:szCs w:val="1"/>
                <w:color w:val="auto"/>
              </w:rPr>
            </w:pPr>
          </w:p>
        </w:tc>
      </w:tr>
      <w:tr>
        <w:trPr>
          <w:trHeight w:val="237"/>
        </w:trPr>
        <w:tc>
          <w:tcPr>
            <w:tcW w:w="312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230"/>
              <w:spacing w:after="0"/>
              <w:rPr>
                <w:sz w:val="20"/>
                <w:szCs w:val="20"/>
                <w:color w:val="auto"/>
              </w:rPr>
            </w:pPr>
            <w:r>
              <w:rPr>
                <w:rFonts w:ascii="Arial" w:cs="Arial" w:eastAsia="Arial" w:hAnsi="Arial"/>
                <w:sz w:val="18"/>
                <w:szCs w:val="18"/>
                <w:color w:val="auto"/>
                <w:w w:val="94"/>
              </w:rPr>
              <w:t>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230"/>
              <w:spacing w:after="0"/>
              <w:rPr>
                <w:sz w:val="20"/>
                <w:szCs w:val="20"/>
                <w:color w:val="auto"/>
              </w:rPr>
            </w:pPr>
            <w:r>
              <w:rPr>
                <w:rFonts w:ascii="Arial" w:cs="Arial" w:eastAsia="Arial" w:hAnsi="Arial"/>
                <w:sz w:val="18"/>
                <w:szCs w:val="18"/>
                <w:color w:val="auto"/>
                <w:w w:val="94"/>
              </w:rPr>
              <w:t>2018</w:t>
            </w:r>
          </w:p>
        </w:tc>
        <w:tc>
          <w:tcPr>
            <w:tcW w:w="120" w:type="dxa"/>
            <w:vAlign w:val="bottom"/>
          </w:tcPr>
          <w:p>
            <w:pPr>
              <w:spacing w:after="0"/>
              <w:rPr>
                <w:sz w:val="20"/>
                <w:szCs w:val="20"/>
                <w:color w:val="auto"/>
              </w:rPr>
            </w:pPr>
          </w:p>
        </w:tc>
        <w:tc>
          <w:tcPr>
            <w:tcW w:w="2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80" w:type="dxa"/>
            <w:vAlign w:val="bottom"/>
          </w:tcPr>
          <w:p>
            <w:pPr>
              <w:ind w:left="20"/>
              <w:spacing w:after="0"/>
              <w:rPr>
                <w:sz w:val="20"/>
                <w:szCs w:val="20"/>
                <w:color w:val="auto"/>
              </w:rPr>
            </w:pPr>
            <w:r>
              <w:rPr>
                <w:rFonts w:ascii="Arial" w:cs="Arial" w:eastAsia="Arial" w:hAnsi="Arial"/>
                <w:sz w:val="18"/>
                <w:szCs w:val="18"/>
                <w:color w:val="auto"/>
              </w:rPr>
              <w:t>Other pension and</w:t>
            </w:r>
          </w:p>
        </w:tc>
        <w:tc>
          <w:tcPr>
            <w:tcW w:w="0" w:type="dxa"/>
            <w:vAlign w:val="bottom"/>
          </w:tcPr>
          <w:p>
            <w:pPr>
              <w:spacing w:after="0"/>
              <w:rPr>
                <w:sz w:val="1"/>
                <w:szCs w:val="1"/>
                <w:color w:val="auto"/>
              </w:rPr>
            </w:pPr>
          </w:p>
        </w:tc>
      </w:tr>
      <w:tr>
        <w:trPr>
          <w:trHeight w:val="230"/>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Actuarial losses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0"/>
                <w:szCs w:val="20"/>
                <w:color w:val="auto"/>
              </w:rPr>
            </w:pPr>
          </w:p>
        </w:tc>
        <w:tc>
          <w:tcPr>
            <w:tcW w:w="2380" w:type="dxa"/>
            <w:vAlign w:val="bottom"/>
          </w:tcPr>
          <w:p>
            <w:pPr>
              <w:ind w:left="20"/>
              <w:spacing w:after="0"/>
              <w:rPr>
                <w:sz w:val="20"/>
                <w:szCs w:val="20"/>
                <w:color w:val="auto"/>
              </w:rPr>
            </w:pPr>
            <w:r>
              <w:rPr>
                <w:rFonts w:ascii="Arial" w:cs="Arial" w:eastAsia="Arial" w:hAnsi="Arial"/>
                <w:sz w:val="18"/>
                <w:szCs w:val="18"/>
                <w:color w:val="auto"/>
              </w:rPr>
              <w:t>postretirement</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pension and</w:t>
            </w: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Settlements</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postretirement</w:t>
            </w:r>
          </w:p>
        </w:tc>
        <w:tc>
          <w:tcPr>
            <w:tcW w:w="0" w:type="dxa"/>
            <w:vAlign w:val="bottom"/>
          </w:tcPr>
          <w:p>
            <w:pPr>
              <w:spacing w:after="0"/>
              <w:rPr>
                <w:sz w:val="1"/>
                <w:szCs w:val="1"/>
                <w:color w:val="auto"/>
              </w:rPr>
            </w:pPr>
          </w:p>
        </w:tc>
      </w:tr>
      <w:tr>
        <w:trPr>
          <w:trHeight w:val="229"/>
        </w:trPr>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80" w:type="dxa"/>
            <w:vAlign w:val="bottom"/>
          </w:tcPr>
          <w:p>
            <w:pPr>
              <w:ind w:left="20"/>
              <w:spacing w:after="0"/>
              <w:rPr>
                <w:sz w:val="20"/>
                <w:szCs w:val="20"/>
                <w:color w:val="auto"/>
              </w:rPr>
            </w:pPr>
            <w:r>
              <w:rPr>
                <w:rFonts w:ascii="Arial" w:cs="Arial" w:eastAsia="Arial" w:hAnsi="Arial"/>
                <w:sz w:val="18"/>
                <w:szCs w:val="18"/>
                <w:color w:val="auto"/>
              </w:rPr>
              <w:t>Other pension and</w:t>
            </w:r>
          </w:p>
        </w:tc>
        <w:tc>
          <w:tcPr>
            <w:tcW w:w="0" w:type="dxa"/>
            <w:vAlign w:val="bottom"/>
          </w:tcPr>
          <w:p>
            <w:pPr>
              <w:spacing w:after="0"/>
              <w:rPr>
                <w:sz w:val="1"/>
                <w:szCs w:val="1"/>
                <w:color w:val="auto"/>
              </w:rPr>
            </w:pPr>
          </w:p>
        </w:tc>
      </w:tr>
      <w:tr>
        <w:trPr>
          <w:trHeight w:val="230"/>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Prior service credit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0"/>
                <w:szCs w:val="20"/>
                <w:color w:val="auto"/>
              </w:rPr>
            </w:pPr>
          </w:p>
        </w:tc>
        <w:tc>
          <w:tcPr>
            <w:tcW w:w="2380" w:type="dxa"/>
            <w:vAlign w:val="bottom"/>
          </w:tcPr>
          <w:p>
            <w:pPr>
              <w:ind w:left="20"/>
              <w:spacing w:after="0"/>
              <w:rPr>
                <w:sz w:val="20"/>
                <w:szCs w:val="20"/>
                <w:color w:val="auto"/>
              </w:rPr>
            </w:pPr>
            <w:r>
              <w:rPr>
                <w:rFonts w:ascii="Arial" w:cs="Arial" w:eastAsia="Arial" w:hAnsi="Arial"/>
                <w:sz w:val="18"/>
                <w:szCs w:val="18"/>
                <w:color w:val="auto"/>
              </w:rPr>
              <w:t>postretirement</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pension and</w:t>
            </w:r>
          </w:p>
        </w:tc>
        <w:tc>
          <w:tcPr>
            <w:tcW w:w="0" w:type="dxa"/>
            <w:vAlign w:val="bottom"/>
          </w:tcPr>
          <w:p>
            <w:pPr>
              <w:spacing w:after="0"/>
              <w:rPr>
                <w:sz w:val="1"/>
                <w:szCs w:val="1"/>
                <w:color w:val="auto"/>
              </w:rPr>
            </w:pPr>
          </w:p>
        </w:tc>
      </w:tr>
      <w:tr>
        <w:trPr>
          <w:trHeight w:val="257"/>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Curtailments</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postretirement</w:t>
            </w:r>
          </w:p>
        </w:tc>
        <w:tc>
          <w:tcPr>
            <w:tcW w:w="0" w:type="dxa"/>
            <w:vAlign w:val="bottom"/>
          </w:tcPr>
          <w:p>
            <w:pPr>
              <w:spacing w:after="0"/>
              <w:rPr>
                <w:sz w:val="1"/>
                <w:szCs w:val="1"/>
                <w:color w:val="auto"/>
              </w:rPr>
            </w:pPr>
          </w:p>
        </w:tc>
      </w:tr>
      <w:tr>
        <w:trPr>
          <w:trHeight w:val="237"/>
        </w:trPr>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2380" w:type="dxa"/>
            <w:vAlign w:val="bottom"/>
          </w:tcPr>
          <w:p>
            <w:pPr>
              <w:ind w:left="20"/>
              <w:spacing w:after="0"/>
              <w:rPr>
                <w:sz w:val="20"/>
                <w:szCs w:val="20"/>
                <w:color w:val="auto"/>
              </w:rPr>
            </w:pPr>
            <w:r>
              <w:rPr>
                <w:rFonts w:ascii="Arial" w:cs="Arial" w:eastAsia="Arial" w:hAnsi="Arial"/>
                <w:sz w:val="18"/>
                <w:szCs w:val="18"/>
                <w:color w:val="auto"/>
              </w:rPr>
              <w:t>Income before taxes</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57"/>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Total reclassified</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2"/>
                <w:szCs w:val="22"/>
                <w:color w:val="auto"/>
              </w:rPr>
            </w:pPr>
          </w:p>
        </w:tc>
        <w:tc>
          <w:tcPr>
            <w:tcW w:w="23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52" w:hanging="652"/>
        <w:spacing w:after="0"/>
        <w:tabs>
          <w:tab w:leader="none" w:pos="652"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Accumulated Other Comprehensive Income</w:t>
      </w:r>
    </w:p>
    <w:p>
      <w:pPr>
        <w:spacing w:after="0" w:line="229"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provides information about the changes in each component of accumulated other comprehensive income.</w:t>
      </w:r>
    </w:p>
    <w:p>
      <w:pPr>
        <w:spacing w:after="0" w:line="171" w:lineRule="exact"/>
        <w:rPr>
          <w:sz w:val="20"/>
          <w:szCs w:val="20"/>
          <w:color w:val="auto"/>
        </w:rPr>
      </w:pPr>
    </w:p>
    <w:tbl>
      <w:tblPr>
        <w:tblLayout w:type="fixed"/>
        <w:tblInd w:w="652"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Defined</w:t>
            </w:r>
          </w:p>
        </w:tc>
        <w:tc>
          <w:tcPr>
            <w:tcW w:w="16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Foreign</w:t>
            </w:r>
          </w:p>
        </w:tc>
        <w:tc>
          <w:tcPr>
            <w:tcW w:w="12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Gains and</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5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benefit</w:t>
            </w:r>
          </w:p>
        </w:tc>
        <w:tc>
          <w:tcPr>
            <w:tcW w:w="16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currency</w:t>
            </w:r>
          </w:p>
        </w:tc>
        <w:tc>
          <w:tcPr>
            <w:tcW w:w="1300" w:type="dxa"/>
            <w:vAlign w:val="bottom"/>
            <w:gridSpan w:val="3"/>
          </w:tcPr>
          <w:p>
            <w:pPr>
              <w:ind w:left="40"/>
              <w:spacing w:after="0"/>
              <w:rPr>
                <w:sz w:val="20"/>
                <w:szCs w:val="20"/>
                <w:color w:val="auto"/>
              </w:rPr>
            </w:pPr>
            <w:r>
              <w:rPr>
                <w:rFonts w:ascii="Arial" w:cs="Arial" w:eastAsia="Arial" w:hAnsi="Arial"/>
                <w:sz w:val="18"/>
                <w:szCs w:val="18"/>
                <w:color w:val="auto"/>
              </w:rPr>
              <w:t>losses on cash</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0"/>
        </w:trPr>
        <w:tc>
          <w:tcPr>
            <w:tcW w:w="5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plans</w:t>
            </w:r>
          </w:p>
        </w:tc>
        <w:tc>
          <w:tcPr>
            <w:tcW w:w="160" w:type="dxa"/>
            <w:vAlign w:val="bottom"/>
          </w:tcPr>
          <w:p>
            <w:pPr>
              <w:spacing w:after="0"/>
              <w:rPr>
                <w:sz w:val="20"/>
                <w:szCs w:val="20"/>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translation</w:t>
            </w:r>
          </w:p>
        </w:tc>
        <w:tc>
          <w:tcPr>
            <w:tcW w:w="12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flow hedges</w:t>
            </w:r>
          </w:p>
        </w:tc>
        <w:tc>
          <w:tcPr>
            <w:tcW w:w="20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Total</w:t>
            </w:r>
          </w:p>
        </w:tc>
      </w:tr>
      <w:tr>
        <w:trPr>
          <w:trHeight w:val="27"/>
        </w:trPr>
        <w:tc>
          <w:tcPr>
            <w:tcW w:w="5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(3,241)</w:t>
            </w: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rPr>
              <w:t>Cumulative effect of change in accounting principle</w:t>
            </w:r>
          </w:p>
        </w:tc>
        <w:tc>
          <w:tcPr>
            <w:tcW w:w="1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before reclassifications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w w:val="99"/>
              </w:rPr>
              <w:t>Amounts reclassified from accumulated other comprehensive income</w:t>
            </w: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5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4"/>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97"/>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at June 30, 2018</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(1,742)</w:t>
            </w:r>
          </w:p>
        </w:tc>
        <w:tc>
          <w:tcPr>
            <w:tcW w:w="18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(3,294)</w:t>
            </w:r>
          </w:p>
        </w:tc>
      </w:tr>
      <w:tr>
        <w:trPr>
          <w:trHeight w:val="217"/>
        </w:trPr>
        <w:tc>
          <w:tcPr>
            <w:tcW w:w="5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rPr>
              <w:t>Balance at January 1, 2019</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(1,533)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(1,817)</w:t>
            </w:r>
          </w:p>
        </w:tc>
        <w:tc>
          <w:tcPr>
            <w:tcW w:w="18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(3,374)</w:t>
            </w:r>
          </w:p>
        </w:tc>
      </w:tr>
      <w:tr>
        <w:trPr>
          <w:trHeight w:val="27"/>
        </w:trPr>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before reclassifications</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w w:val="99"/>
              </w:rPr>
              <w:t>Amounts reclassified from accumulated other comprehensive income</w:t>
            </w: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53</w:t>
            </w:r>
          </w:p>
        </w:tc>
      </w:tr>
      <w:tr>
        <w:trPr>
          <w:trHeight w:val="27"/>
        </w:trPr>
        <w:tc>
          <w:tcPr>
            <w:tcW w:w="5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4"/>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r>
      <w:tr>
        <w:trPr>
          <w:trHeight w:val="257"/>
        </w:trPr>
        <w:tc>
          <w:tcPr>
            <w:tcW w:w="5500" w:type="dxa"/>
            <w:vAlign w:val="bottom"/>
          </w:tcPr>
          <w:p>
            <w:pPr>
              <w:ind w:left="20"/>
              <w:spacing w:after="0"/>
              <w:rPr>
                <w:sz w:val="20"/>
                <w:szCs w:val="20"/>
                <w:color w:val="auto"/>
              </w:rPr>
            </w:pPr>
            <w:r>
              <w:rPr>
                <w:rFonts w:ascii="Arial" w:cs="Arial" w:eastAsia="Arial" w:hAnsi="Arial"/>
                <w:sz w:val="18"/>
                <w:szCs w:val="18"/>
                <w:color w:val="auto"/>
              </w:rPr>
              <w:t>Balance at June 30, 2019</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(1,767)</w:t>
            </w:r>
          </w:p>
        </w:tc>
        <w:tc>
          <w:tcPr>
            <w:tcW w:w="18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(3,274)</w:t>
            </w:r>
          </w:p>
        </w:tc>
      </w:tr>
      <w:tr>
        <w:trPr>
          <w:trHeight w:val="20"/>
        </w:trPr>
        <w:tc>
          <w:tcPr>
            <w:tcW w:w="5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652"/>
        <w:spacing w:after="0" w:line="235" w:lineRule="auto"/>
        <w:rPr>
          <w:rFonts w:ascii="Arial" w:cs="Arial" w:eastAsia="Arial" w:hAnsi="Arial"/>
          <w:sz w:val="18"/>
          <w:szCs w:val="18"/>
          <w:color w:val="auto"/>
        </w:rPr>
      </w:pPr>
      <w:r>
        <w:rPr>
          <w:rFonts w:ascii="Arial" w:cs="Arial" w:eastAsia="Arial" w:hAnsi="Arial"/>
          <w:sz w:val="18"/>
          <w:szCs w:val="18"/>
          <w:color w:val="auto"/>
        </w:rPr>
        <w:t xml:space="preserve">See </w:t>
      </w:r>
      <w:hyperlink w:anchor="page17">
        <w:r>
          <w:rPr>
            <w:rFonts w:ascii="Arial" w:cs="Arial" w:eastAsia="Arial" w:hAnsi="Arial"/>
            <w:sz w:val="18"/>
            <w:szCs w:val="18"/>
            <w:u w:val="single" w:color="auto"/>
            <w:color w:val="0000EE"/>
          </w:rPr>
          <w:t>Note M</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w:anchor="page23">
        <w:r>
          <w:rPr>
            <w:rFonts w:ascii="Arial" w:cs="Arial" w:eastAsia="Arial" w:hAnsi="Arial"/>
            <w:sz w:val="18"/>
            <w:szCs w:val="18"/>
            <w:u w:val="single" w:color="auto"/>
            <w:color w:val="0000EE"/>
          </w:rPr>
          <w:t>Note O</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details of amounts reclassified from accumulated other comprehensive income related to cash flow hedges and defined benefit plans.</w:t>
      </w:r>
    </w:p>
    <w:p>
      <w:pPr>
        <w:spacing w:after="0" w:line="200" w:lineRule="exact"/>
        <w:rPr>
          <w:sz w:val="20"/>
          <w:szCs w:val="20"/>
          <w:color w:val="auto"/>
        </w:rPr>
      </w:pPr>
    </w:p>
    <w:p>
      <w:pPr>
        <w:spacing w:after="0" w:line="2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92"/>
          </w:cols>
          <w:pgMar w:left="248" w:top="121" w:right="25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Stock-Based Compensation</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A summary of restricted and deferred stock transactions during the six months ended June 30, 2019 is as follows:</w:t>
      </w:r>
    </w:p>
    <w:p>
      <w:pPr>
        <w:spacing w:after="0" w:line="38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8060" w:type="dxa"/>
            <w:vAlign w:val="bottom"/>
          </w:tcPr>
          <w:p>
            <w:pPr>
              <w:spacing w:after="0"/>
              <w:rPr>
                <w:sz w:val="20"/>
                <w:szCs w:val="20"/>
                <w:color w:val="auto"/>
              </w:rPr>
            </w:pP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Number of shares</w:t>
            </w:r>
          </w:p>
        </w:tc>
      </w:tr>
      <w:tr>
        <w:trPr>
          <w:trHeight w:val="27"/>
        </w:trPr>
        <w:tc>
          <w:tcPr>
            <w:tcW w:w="806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stock awards outstanding at January 1, 2019</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2,142,743</w:t>
            </w: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Awarded:</w:t>
            </w:r>
          </w:p>
        </w:tc>
        <w:tc>
          <w:tcPr>
            <w:tcW w:w="1640" w:type="dxa"/>
            <w:vAlign w:val="bottom"/>
          </w:tcPr>
          <w:p>
            <w:pPr>
              <w:spacing w:after="0"/>
              <w:rPr>
                <w:sz w:val="21"/>
                <w:szCs w:val="21"/>
                <w:color w:val="auto"/>
              </w:rPr>
            </w:pPr>
          </w:p>
        </w:tc>
      </w:tr>
      <w:tr>
        <w:trPr>
          <w:trHeight w:val="27"/>
        </w:trPr>
        <w:tc>
          <w:tcPr>
            <w:tcW w:w="80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Time-vesting shares</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260,725</w:t>
            </w:r>
          </w:p>
        </w:tc>
      </w:tr>
      <w:tr>
        <w:trPr>
          <w:trHeight w:val="243"/>
        </w:trPr>
        <w:tc>
          <w:tcPr>
            <w:tcW w:w="8060" w:type="dxa"/>
            <w:vAlign w:val="bottom"/>
          </w:tcPr>
          <w:p>
            <w:pPr>
              <w:ind w:left="380"/>
              <w:spacing w:after="0"/>
              <w:rPr>
                <w:sz w:val="20"/>
                <w:szCs w:val="20"/>
                <w:color w:val="auto"/>
              </w:rPr>
            </w:pPr>
            <w:r>
              <w:rPr>
                <w:rFonts w:ascii="Arial" w:cs="Arial" w:eastAsia="Arial" w:hAnsi="Arial"/>
                <w:sz w:val="18"/>
                <w:szCs w:val="18"/>
                <w:color w:val="auto"/>
              </w:rPr>
              <w:t>Performance-based shares</w:t>
            </w:r>
          </w:p>
        </w:tc>
        <w:tc>
          <w:tcPr>
            <w:tcW w:w="1640" w:type="dxa"/>
            <w:vAlign w:val="bottom"/>
          </w:tcPr>
          <w:p>
            <w:pPr>
              <w:jc w:val="right"/>
              <w:spacing w:after="0"/>
              <w:rPr>
                <w:sz w:val="20"/>
                <w:szCs w:val="20"/>
                <w:color w:val="auto"/>
              </w:rPr>
            </w:pPr>
            <w:r>
              <w:rPr>
                <w:rFonts w:ascii="Arial" w:cs="Arial" w:eastAsia="Arial" w:hAnsi="Arial"/>
                <w:sz w:val="18"/>
                <w:szCs w:val="18"/>
                <w:color w:val="auto"/>
              </w:rPr>
              <w:t>202,876</w:t>
            </w:r>
          </w:p>
        </w:tc>
      </w:tr>
      <w:tr>
        <w:trPr>
          <w:trHeight w:val="27"/>
        </w:trPr>
        <w:tc>
          <w:tcPr>
            <w:tcW w:w="80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Released:</w:t>
            </w: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8060" w:type="dxa"/>
            <w:vAlign w:val="bottom"/>
          </w:tcPr>
          <w:p>
            <w:pPr>
              <w:ind w:left="380"/>
              <w:spacing w:after="0"/>
              <w:rPr>
                <w:sz w:val="20"/>
                <w:szCs w:val="20"/>
                <w:color w:val="auto"/>
              </w:rPr>
            </w:pPr>
            <w:r>
              <w:rPr>
                <w:rFonts w:ascii="Arial" w:cs="Arial" w:eastAsia="Arial" w:hAnsi="Arial"/>
                <w:sz w:val="18"/>
                <w:szCs w:val="18"/>
                <w:color w:val="auto"/>
              </w:rPr>
              <w:t>Time-vesting shares</w:t>
            </w:r>
          </w:p>
        </w:tc>
        <w:tc>
          <w:tcPr>
            <w:tcW w:w="1640" w:type="dxa"/>
            <w:vAlign w:val="bottom"/>
          </w:tcPr>
          <w:p>
            <w:pPr>
              <w:jc w:val="right"/>
              <w:spacing w:after="0"/>
              <w:rPr>
                <w:sz w:val="20"/>
                <w:szCs w:val="20"/>
                <w:color w:val="auto"/>
              </w:rPr>
            </w:pPr>
            <w:r>
              <w:rPr>
                <w:rFonts w:ascii="Arial" w:cs="Arial" w:eastAsia="Arial" w:hAnsi="Arial"/>
                <w:sz w:val="18"/>
                <w:szCs w:val="18"/>
                <w:color w:val="auto"/>
              </w:rPr>
              <w:t>(129,174)</w:t>
            </w:r>
          </w:p>
        </w:tc>
      </w:tr>
      <w:tr>
        <w:trPr>
          <w:trHeight w:val="27"/>
        </w:trPr>
        <w:tc>
          <w:tcPr>
            <w:tcW w:w="80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Forfeitures:</w:t>
            </w: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8060" w:type="dxa"/>
            <w:vAlign w:val="bottom"/>
          </w:tcPr>
          <w:p>
            <w:pPr>
              <w:ind w:left="340"/>
              <w:spacing w:after="0"/>
              <w:rPr>
                <w:sz w:val="20"/>
                <w:szCs w:val="20"/>
                <w:color w:val="auto"/>
              </w:rPr>
            </w:pPr>
            <w:r>
              <w:rPr>
                <w:rFonts w:ascii="Arial" w:cs="Arial" w:eastAsia="Arial" w:hAnsi="Arial"/>
                <w:sz w:val="18"/>
                <w:szCs w:val="18"/>
                <w:color w:val="auto"/>
              </w:rPr>
              <w:t>Time-vesting shares</w:t>
            </w:r>
          </w:p>
        </w:tc>
        <w:tc>
          <w:tcPr>
            <w:tcW w:w="1640" w:type="dxa"/>
            <w:vAlign w:val="bottom"/>
          </w:tcPr>
          <w:p>
            <w:pPr>
              <w:jc w:val="right"/>
              <w:spacing w:after="0"/>
              <w:rPr>
                <w:sz w:val="20"/>
                <w:szCs w:val="20"/>
                <w:color w:val="auto"/>
              </w:rPr>
            </w:pPr>
            <w:r>
              <w:rPr>
                <w:rFonts w:ascii="Arial" w:cs="Arial" w:eastAsia="Arial" w:hAnsi="Arial"/>
                <w:sz w:val="18"/>
                <w:szCs w:val="18"/>
                <w:color w:val="auto"/>
              </w:rPr>
              <w:t>(56,900)</w:t>
            </w:r>
          </w:p>
        </w:tc>
      </w:tr>
      <w:tr>
        <w:trPr>
          <w:trHeight w:val="27"/>
        </w:trPr>
        <w:tc>
          <w:tcPr>
            <w:tcW w:w="80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8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Performance-based shares</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(129,207)</w:t>
            </w:r>
          </w:p>
        </w:tc>
      </w:tr>
      <w:tr>
        <w:trPr>
          <w:trHeight w:val="237"/>
        </w:trPr>
        <w:tc>
          <w:tcPr>
            <w:tcW w:w="8060" w:type="dxa"/>
            <w:vAlign w:val="bottom"/>
          </w:tcPr>
          <w:p>
            <w:pPr>
              <w:ind w:left="20"/>
              <w:spacing w:after="0"/>
              <w:rPr>
                <w:sz w:val="20"/>
                <w:szCs w:val="20"/>
                <w:color w:val="auto"/>
              </w:rPr>
            </w:pPr>
            <w:r>
              <w:rPr>
                <w:rFonts w:ascii="Arial" w:cs="Arial" w:eastAsia="Arial" w:hAnsi="Arial"/>
                <w:sz w:val="18"/>
                <w:szCs w:val="18"/>
                <w:color w:val="auto"/>
              </w:rPr>
              <w:t>Non-vested stock awards outstanding at June 30, 2019</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2,291,063</w:t>
            </w:r>
          </w:p>
        </w:tc>
      </w:tr>
      <w:tr>
        <w:trPr>
          <w:trHeight w:val="27"/>
        </w:trPr>
        <w:tc>
          <w:tcPr>
            <w:tcW w:w="806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
        </w:trPr>
        <w:tc>
          <w:tcPr>
            <w:tcW w:w="80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performance-based share awards are subject to either a market condition or a performance condition. For awards subject to a market condition, the performance metric is the Company's total shareholder return, which includes share price appreciation and dividends paid during the three-year term of the award, measured against a peer group of companies. These awards cliff vest at the end of three years. The number of performance-based shares that will ultimately vest is based on the level of market performance achieved, ranging between 0% and 200% of the shares originally awarded, and are settled in stock.</w:t>
      </w:r>
    </w:p>
    <w:p>
      <w:pPr>
        <w:spacing w:after="0" w:line="188"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For awards subject to a performance condition, the performance metric is the Company's average return on invested capital over the three-year term. These awards cliff vest at the end of three years. The number of performance-based shares that will ultimately vest is based on the level of performance achieved, ranging between 0% and 200% of the shares originally awarded, and are settled in stock.</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time-vesting restricted and deferred stock awards vest ratably over three to five years.</w:t>
      </w:r>
    </w:p>
    <w:p>
      <w:pPr>
        <w:spacing w:after="0" w:line="225"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weighted average grant-date fair values of awards issued during the six months ended June 30, 2019 were $52.55 for the time-vesting stock awards and $46.08 for the performance-based stock awards.</w:t>
      </w:r>
    </w:p>
    <w:p>
      <w:pPr>
        <w:spacing w:after="0" w:line="17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fair value of the performance-based shares subject to a market condition awarded in 2019 was calculated using a Monte Carlo valuation model, including a weighted average stock price volatility of 21.4%, an expected term of three years, and a weighted average risk-free interest rate of 2.45%.</w:t>
      </w:r>
    </w:p>
    <w:p>
      <w:pPr>
        <w:spacing w:after="0" w:line="181"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As of June 30, 2019, unrecognized compensation cost related to outstanding non-vested stock awards was $75. The weighted average period over which the expense is expected to be recognized is 3.1 years. The aggregate market value of the shares released on the vesting dates was $7 for the six months ended June 30, 2019.</w:t>
      </w:r>
    </w:p>
    <w:p>
      <w:pPr>
        <w:spacing w:after="0" w:line="393"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w:t>
      </w:r>
    </w:p>
    <w:p>
      <w:pPr>
        <w:spacing w:after="0" w:line="229" w:lineRule="exact"/>
        <w:rPr>
          <w:rFonts w:ascii="Arial" w:cs="Arial" w:eastAsia="Arial" w:hAnsi="Arial"/>
          <w:sz w:val="18"/>
          <w:szCs w:val="18"/>
          <w:b w:val="1"/>
          <w:bCs w:val="1"/>
          <w:color w:val="auto"/>
        </w:rPr>
      </w:pPr>
    </w:p>
    <w:p>
      <w:pPr>
        <w:jc w:val="both"/>
        <w:ind w:left="66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For the three and six months ended June 30, 2019, the Company's provision for income taxes included a charge of $15 related to the settlement of a pre-acquisition tax contingency during the second quarter of 2019. The contingency arose from a transaction that occurred prior to its acquisition of Signode.</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1" w:right="239" w:bottom="1440" w:gutter="0" w:footer="0" w:header="0"/>
          <w:type w:val="continuous"/>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Share</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the computations of basic and diluted earnings per share attributable to the Company.</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60" w:type="dxa"/>
            <w:vAlign w:val="bottom"/>
            <w:gridSpan w:val="6"/>
          </w:tcPr>
          <w:p>
            <w:pPr>
              <w:ind w:left="30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20"/>
                <w:szCs w:val="20"/>
                <w:color w:val="auto"/>
              </w:rPr>
            </w:pPr>
          </w:p>
        </w:tc>
        <w:tc>
          <w:tcPr>
            <w:tcW w:w="2160" w:type="dxa"/>
            <w:vAlign w:val="bottom"/>
            <w:gridSpan w:val="4"/>
          </w:tcPr>
          <w:p>
            <w:pPr>
              <w:jc w:val="right"/>
              <w:ind w:right="43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70"/>
        </w:trPr>
        <w:tc>
          <w:tcPr>
            <w:tcW w:w="4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w w:val="83"/>
              </w:rPr>
              <w:t>June 30,</w:t>
            </w:r>
          </w:p>
        </w:tc>
        <w:tc>
          <w:tcPr>
            <w:tcW w:w="8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June 30,</w:t>
            </w: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2018</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Crown Holdings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7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c>
          <w:tcPr>
            <w:tcW w:w="3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w:t>
            </w:r>
          </w:p>
        </w:tc>
        <w:tc>
          <w:tcPr>
            <w:tcW w:w="1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shares outstanding:</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133.6</w:t>
            </w:r>
          </w:p>
        </w:tc>
        <w:tc>
          <w:tcPr>
            <w:tcW w:w="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133.8</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43"/>
        </w:trPr>
        <w:tc>
          <w:tcPr>
            <w:tcW w:w="4660" w:type="dxa"/>
            <w:vAlign w:val="bottom"/>
          </w:tcPr>
          <w:p>
            <w:pPr>
              <w:ind w:left="380"/>
              <w:spacing w:after="0"/>
              <w:rPr>
                <w:sz w:val="20"/>
                <w:szCs w:val="20"/>
                <w:color w:val="auto"/>
              </w:rPr>
            </w:pPr>
            <w:r>
              <w:rPr>
                <w:rFonts w:ascii="Arial" w:cs="Arial" w:eastAsia="Arial" w:hAnsi="Arial"/>
                <w:sz w:val="18"/>
                <w:szCs w:val="18"/>
                <w:color w:val="auto"/>
              </w:rPr>
              <w:t>Dilutive restricted stock</w:t>
            </w: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133.8</w:t>
            </w:r>
          </w:p>
        </w:tc>
        <w:tc>
          <w:tcPr>
            <w:tcW w:w="3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134.6</w:t>
            </w:r>
          </w:p>
        </w:tc>
        <w:tc>
          <w:tcPr>
            <w:tcW w:w="1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earnings per share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60" w:type="dxa"/>
            <w:vAlign w:val="bottom"/>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1.02</w:t>
            </w: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0.99</w:t>
            </w:r>
          </w:p>
        </w:tc>
        <w:tc>
          <w:tcPr>
            <w:tcW w:w="3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1.79</w:t>
            </w:r>
          </w:p>
        </w:tc>
        <w:tc>
          <w:tcPr>
            <w:tcW w:w="1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67"/>
        </w:trPr>
        <w:tc>
          <w:tcPr>
            <w:tcW w:w="46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8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3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6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Diluted earnings per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7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0.99</w:t>
            </w:r>
          </w:p>
        </w:tc>
        <w:tc>
          <w:tcPr>
            <w:tcW w:w="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For the three and six months ended June 30, 2019, 0.2 million and 0.4 million contingently issuable common shares were excluded from the computation of diluted earnings per share because the effect would be anti-dilutive. For the three and six months ended June 30, 2018, 0.3 million and 0.5 million contingently issuable common shares were excluded from the computation of diluted earnings per share because the effect would be anti-dilutive.</w:t>
      </w:r>
    </w:p>
    <w:p>
      <w:pPr>
        <w:spacing w:after="0" w:line="399"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Information</w:t>
      </w:r>
    </w:p>
    <w:p>
      <w:pPr>
        <w:spacing w:after="0" w:line="229"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evaluates performance and allocates resources based on segment income, which is not a defined term under GAAP. The Company defines segment income as income from operations adjusted to exclude intangibles amortization charges, provisions for asbestos and restructuring and other and the impact of fair value adjustments related to the sale of inventory acquired in an acquisition.</w:t>
      </w:r>
    </w:p>
    <w:p>
      <w:pPr>
        <w:spacing w:after="0" w:line="181"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Segment income should not be considered in isolation or as a substitute for net income prepared in accordance with GAAP and may not be comparable to calculations of similarly titled measures by other companies.</w:t>
      </w:r>
    </w:p>
    <w:p>
      <w:pPr>
        <w:spacing w:after="0" w:line="17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tables below present information about the Company's operating segments.</w:t>
      </w:r>
    </w:p>
    <w:p>
      <w:pPr>
        <w:spacing w:after="0" w:line="38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gridSpan w:val="5"/>
          </w:tcPr>
          <w:p>
            <w:pPr>
              <w:jc w:val="center"/>
              <w:ind w:right="620"/>
              <w:spacing w:after="0"/>
              <w:rPr>
                <w:sz w:val="20"/>
                <w:szCs w:val="20"/>
                <w:color w:val="auto"/>
              </w:rPr>
            </w:pPr>
            <w:r>
              <w:rPr>
                <w:rFonts w:ascii="Arial" w:cs="Arial" w:eastAsia="Arial" w:hAnsi="Arial"/>
                <w:sz w:val="18"/>
                <w:szCs w:val="18"/>
                <w:color w:val="auto"/>
                <w:w w:val="89"/>
              </w:rPr>
              <w:t>External Sales</w:t>
            </w:r>
          </w:p>
        </w:tc>
        <w:tc>
          <w:tcPr>
            <w:tcW w:w="240" w:type="dxa"/>
            <w:vAlign w:val="bottom"/>
          </w:tcPr>
          <w:p>
            <w:pPr>
              <w:spacing w:after="0"/>
              <w:rPr>
                <w:sz w:val="20"/>
                <w:szCs w:val="20"/>
                <w:color w:val="auto"/>
              </w:rPr>
            </w:pPr>
          </w:p>
        </w:tc>
        <w:tc>
          <w:tcPr>
            <w:tcW w:w="2120" w:type="dxa"/>
            <w:vAlign w:val="bottom"/>
            <w:gridSpan w:val="4"/>
          </w:tcPr>
          <w:p>
            <w:pPr>
              <w:jc w:val="center"/>
              <w:ind w:right="110"/>
              <w:spacing w:after="0"/>
              <w:rPr>
                <w:sz w:val="20"/>
                <w:szCs w:val="20"/>
                <w:color w:val="auto"/>
              </w:rPr>
            </w:pPr>
            <w:r>
              <w:rPr>
                <w:rFonts w:ascii="Arial" w:cs="Arial" w:eastAsia="Arial" w:hAnsi="Arial"/>
                <w:sz w:val="18"/>
                <w:szCs w:val="18"/>
                <w:color w:val="auto"/>
                <w:w w:val="89"/>
              </w:rPr>
              <w:t>External Sales</w:t>
            </w:r>
          </w:p>
        </w:tc>
      </w:tr>
      <w:tr>
        <w:trPr>
          <w:trHeight w:val="27"/>
        </w:trPr>
        <w:tc>
          <w:tcPr>
            <w:tcW w:w="4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4"/>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4"/>
          </w:tcPr>
          <w:p>
            <w:pPr>
              <w:spacing w:after="0"/>
              <w:rPr>
                <w:sz w:val="2"/>
                <w:szCs w:val="2"/>
                <w:color w:val="auto"/>
              </w:rPr>
            </w:pPr>
          </w:p>
        </w:tc>
      </w:tr>
      <w:tr>
        <w:trPr>
          <w:trHeight w:val="237"/>
        </w:trPr>
        <w:tc>
          <w:tcPr>
            <w:tcW w:w="4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gridSpan w:val="5"/>
          </w:tcPr>
          <w:p>
            <w:pPr>
              <w:jc w:val="center"/>
              <w:ind w:right="62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20"/>
                <w:szCs w:val="20"/>
                <w:color w:val="auto"/>
              </w:rPr>
            </w:pPr>
          </w:p>
        </w:tc>
        <w:tc>
          <w:tcPr>
            <w:tcW w:w="2120" w:type="dxa"/>
            <w:vAlign w:val="bottom"/>
            <w:gridSpan w:val="4"/>
          </w:tcPr>
          <w:p>
            <w:pPr>
              <w:jc w:val="center"/>
              <w:ind w:right="130"/>
              <w:spacing w:after="0"/>
              <w:rPr>
                <w:sz w:val="20"/>
                <w:szCs w:val="20"/>
                <w:color w:val="auto"/>
              </w:rPr>
            </w:pPr>
            <w:r>
              <w:rPr>
                <w:rFonts w:ascii="Arial" w:cs="Arial" w:eastAsia="Arial" w:hAnsi="Arial"/>
                <w:sz w:val="18"/>
                <w:szCs w:val="18"/>
                <w:color w:val="auto"/>
                <w:w w:val="91"/>
              </w:rPr>
              <w:t>Six Months Ended</w:t>
            </w:r>
          </w:p>
        </w:tc>
      </w:tr>
      <w:tr>
        <w:trPr>
          <w:trHeight w:val="270"/>
        </w:trPr>
        <w:tc>
          <w:tcPr>
            <w:tcW w:w="4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gridSpan w:val="3"/>
          </w:tcPr>
          <w:p>
            <w:pPr>
              <w:jc w:val="center"/>
              <w:ind w:left="490"/>
              <w:spacing w:after="0"/>
              <w:rPr>
                <w:sz w:val="20"/>
                <w:szCs w:val="20"/>
                <w:color w:val="auto"/>
              </w:rPr>
            </w:pPr>
            <w:r>
              <w:rPr>
                <w:rFonts w:ascii="Arial" w:cs="Arial" w:eastAsia="Arial" w:hAnsi="Arial"/>
                <w:sz w:val="18"/>
                <w:szCs w:val="18"/>
                <w:color w:val="auto"/>
                <w:w w:val="86"/>
              </w:rPr>
              <w:t>June 30,</w:t>
            </w: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3"/>
          </w:tcPr>
          <w:p>
            <w:pPr>
              <w:jc w:val="center"/>
              <w:ind w:left="510"/>
              <w:spacing w:after="0"/>
              <w:rPr>
                <w:sz w:val="20"/>
                <w:szCs w:val="20"/>
                <w:color w:val="auto"/>
              </w:rPr>
            </w:pPr>
            <w:r>
              <w:rPr>
                <w:rFonts w:ascii="Arial" w:cs="Arial" w:eastAsia="Arial" w:hAnsi="Arial"/>
                <w:sz w:val="18"/>
                <w:szCs w:val="18"/>
                <w:color w:val="auto"/>
                <w:w w:val="86"/>
              </w:rPr>
              <w:t>June 30,</w:t>
            </w:r>
          </w:p>
        </w:tc>
        <w:tc>
          <w:tcPr>
            <w:tcW w:w="800" w:type="dxa"/>
            <w:vAlign w:val="bottom"/>
          </w:tcPr>
          <w:p>
            <w:pPr>
              <w:spacing w:after="0"/>
              <w:rPr>
                <w:sz w:val="23"/>
                <w:szCs w:val="23"/>
                <w:color w:val="auto"/>
              </w:rPr>
            </w:pPr>
          </w:p>
        </w:tc>
      </w:tr>
      <w:tr>
        <w:trPr>
          <w:trHeight w:val="27"/>
        </w:trPr>
        <w:tc>
          <w:tcPr>
            <w:tcW w:w="4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ind w:right="270"/>
              <w:spacing w:after="0"/>
              <w:rPr>
                <w:sz w:val="20"/>
                <w:szCs w:val="20"/>
                <w:color w:val="auto"/>
              </w:rPr>
            </w:pPr>
            <w:r>
              <w:rPr>
                <w:rFonts w:ascii="Arial" w:cs="Arial" w:eastAsia="Arial" w:hAnsi="Arial"/>
                <w:sz w:val="18"/>
                <w:szCs w:val="18"/>
                <w:color w:val="auto"/>
              </w:rPr>
              <w:t>2018</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ind w:right="270"/>
              <w:spacing w:after="0"/>
              <w:rPr>
                <w:sz w:val="20"/>
                <w:szCs w:val="20"/>
                <w:color w:val="auto"/>
              </w:rPr>
            </w:pPr>
            <w:r>
              <w:rPr>
                <w:rFonts w:ascii="Arial" w:cs="Arial" w:eastAsia="Arial" w:hAnsi="Arial"/>
                <w:sz w:val="18"/>
                <w:szCs w:val="18"/>
                <w:color w:val="auto"/>
              </w:rPr>
              <w:t>2018</w:t>
            </w:r>
          </w:p>
        </w:tc>
      </w:tr>
      <w:tr>
        <w:trPr>
          <w:trHeight w:val="27"/>
        </w:trPr>
        <w:tc>
          <w:tcPr>
            <w:tcW w:w="4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Americas Beverage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890</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848</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1,606</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European Beverage</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410</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405</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749</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776</w:t>
            </w:r>
          </w:p>
        </w:tc>
      </w:tr>
      <w:tr>
        <w:trPr>
          <w:trHeight w:val="27"/>
        </w:trPr>
        <w:tc>
          <w:tcPr>
            <w:tcW w:w="4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European Food</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942</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Asia Pacific</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319</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332</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640</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669</w:t>
            </w:r>
          </w:p>
        </w:tc>
      </w:tr>
      <w:tr>
        <w:trPr>
          <w:trHeight w:val="27"/>
        </w:trPr>
        <w:tc>
          <w:tcPr>
            <w:tcW w:w="4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Transit Packaging</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592</w:t>
            </w:r>
          </w:p>
        </w:tc>
        <w:tc>
          <w:tcPr>
            <w:tcW w:w="1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620</w:t>
            </w:r>
          </w:p>
        </w:tc>
        <w:tc>
          <w:tcPr>
            <w:tcW w:w="4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2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w:t>
            </w:r>
          </w:p>
        </w:tc>
      </w:tr>
      <w:tr>
        <w:trPr>
          <w:trHeight w:val="237"/>
        </w:trPr>
        <w:tc>
          <w:tcPr>
            <w:tcW w:w="4720" w:type="dxa"/>
            <w:vAlign w:val="bottom"/>
          </w:tcPr>
          <w:p>
            <w:pPr>
              <w:ind w:left="20"/>
              <w:spacing w:after="0"/>
              <w:rPr>
                <w:sz w:val="20"/>
                <w:szCs w:val="20"/>
                <w:color w:val="auto"/>
              </w:rPr>
            </w:pPr>
            <w:r>
              <w:rPr>
                <w:rFonts w:ascii="Arial" w:cs="Arial" w:eastAsia="Arial" w:hAnsi="Arial"/>
                <w:sz w:val="18"/>
                <w:szCs w:val="18"/>
                <w:color w:val="auto"/>
              </w:rPr>
              <w:t>Total reportable segments</w:t>
            </w: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2,694</w:t>
            </w:r>
          </w:p>
        </w:tc>
        <w:tc>
          <w:tcPr>
            <w:tcW w:w="1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2,719</w:t>
            </w:r>
          </w:p>
        </w:tc>
        <w:tc>
          <w:tcPr>
            <w:tcW w:w="4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5,134</w:t>
            </w:r>
          </w:p>
        </w:tc>
        <w:tc>
          <w:tcPr>
            <w:tcW w:w="2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4,613</w:t>
            </w:r>
          </w:p>
        </w:tc>
      </w:tr>
      <w:tr>
        <w:trPr>
          <w:trHeight w:val="27"/>
        </w:trPr>
        <w:tc>
          <w:tcPr>
            <w:tcW w:w="4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Non-reportable segments</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w:t>
            </w:r>
          </w:p>
        </w:tc>
        <w:tc>
          <w:tcPr>
            <w:tcW w:w="1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w:t>
            </w:r>
          </w:p>
        </w:tc>
        <w:tc>
          <w:tcPr>
            <w:tcW w:w="4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2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w:t>
            </w:r>
          </w:p>
        </w:tc>
      </w:tr>
      <w:tr>
        <w:trPr>
          <w:trHeight w:val="237"/>
        </w:trPr>
        <w:tc>
          <w:tcPr>
            <w:tcW w:w="472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3,035</w:t>
            </w:r>
          </w:p>
        </w:tc>
        <w:tc>
          <w:tcPr>
            <w:tcW w:w="18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3,046</w:t>
            </w:r>
          </w:p>
        </w:tc>
        <w:tc>
          <w:tcPr>
            <w:tcW w:w="4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5,790</w:t>
            </w:r>
          </w:p>
        </w:tc>
        <w:tc>
          <w:tcPr>
            <w:tcW w:w="2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5,243</w:t>
            </w:r>
          </w:p>
        </w:tc>
      </w:tr>
      <w:tr>
        <w:trPr>
          <w:trHeight w:val="27"/>
        </w:trPr>
        <w:tc>
          <w:tcPr>
            <w:tcW w:w="4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4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primary sources of revenue included in non-reportable segments are the Company's food can and closures business in North America, aerosol can businesses in North America and Europe, its promotional packaging business in Europe and its tooling and equipment operations in the U.S. and U.K.</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1" w:right="239" w:bottom="1440" w:gutter="0" w:footer="0" w:header="0"/>
          <w:type w:val="continuous"/>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2940" w:type="dxa"/>
            <w:vAlign w:val="bottom"/>
            <w:gridSpan w:val="4"/>
          </w:tcPr>
          <w:p>
            <w:pPr>
              <w:ind w:left="1180"/>
              <w:spacing w:after="0"/>
              <w:rPr>
                <w:sz w:val="20"/>
                <w:szCs w:val="20"/>
                <w:color w:val="auto"/>
              </w:rPr>
            </w:pPr>
            <w:r>
              <w:rPr>
                <w:rFonts w:ascii="Arial" w:cs="Arial" w:eastAsia="Arial" w:hAnsi="Arial"/>
                <w:sz w:val="18"/>
                <w:szCs w:val="18"/>
                <w:b w:val="1"/>
                <w:bCs w:val="1"/>
                <w:color w:val="auto"/>
                <w:w w:val="97"/>
              </w:rPr>
              <w:t>Crown Holdings, Inc.</w:t>
            </w: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837"/>
        </w:trPr>
        <w:tc>
          <w:tcPr>
            <w:tcW w:w="30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5"/>
          </w:tcPr>
          <w:p>
            <w:pPr>
              <w:jc w:val="center"/>
              <w:ind w:right="620"/>
              <w:spacing w:after="0"/>
              <w:rPr>
                <w:sz w:val="20"/>
                <w:szCs w:val="20"/>
                <w:color w:val="auto"/>
              </w:rPr>
            </w:pPr>
            <w:r>
              <w:rPr>
                <w:rFonts w:ascii="Arial" w:cs="Arial" w:eastAsia="Arial" w:hAnsi="Arial"/>
                <w:sz w:val="18"/>
                <w:szCs w:val="18"/>
                <w:color w:val="auto"/>
                <w:w w:val="87"/>
              </w:rPr>
              <w:t>Intersegment Sales</w:t>
            </w:r>
          </w:p>
        </w:tc>
        <w:tc>
          <w:tcPr>
            <w:tcW w:w="240" w:type="dxa"/>
            <w:vAlign w:val="bottom"/>
          </w:tcPr>
          <w:p>
            <w:pPr>
              <w:spacing w:after="0"/>
              <w:rPr>
                <w:sz w:val="24"/>
                <w:szCs w:val="24"/>
                <w:color w:val="auto"/>
              </w:rPr>
            </w:pPr>
          </w:p>
        </w:tc>
        <w:tc>
          <w:tcPr>
            <w:tcW w:w="2120" w:type="dxa"/>
            <w:vAlign w:val="bottom"/>
            <w:gridSpan w:val="4"/>
          </w:tcPr>
          <w:p>
            <w:pPr>
              <w:jc w:val="center"/>
              <w:ind w:right="110"/>
              <w:spacing w:after="0"/>
              <w:rPr>
                <w:sz w:val="20"/>
                <w:szCs w:val="20"/>
                <w:color w:val="auto"/>
              </w:rPr>
            </w:pPr>
            <w:r>
              <w:rPr>
                <w:rFonts w:ascii="Arial" w:cs="Arial" w:eastAsia="Arial" w:hAnsi="Arial"/>
                <w:sz w:val="18"/>
                <w:szCs w:val="18"/>
                <w:color w:val="auto"/>
                <w:w w:val="87"/>
              </w:rPr>
              <w:t>Intersegment Sales</w:t>
            </w:r>
          </w:p>
        </w:tc>
      </w:tr>
      <w:tr>
        <w:trPr>
          <w:trHeight w:val="27"/>
        </w:trPr>
        <w:tc>
          <w:tcPr>
            <w:tcW w:w="30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4"/>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4"/>
          </w:tcPr>
          <w:p>
            <w:pPr>
              <w:spacing w:after="0"/>
              <w:rPr>
                <w:sz w:val="2"/>
                <w:szCs w:val="2"/>
                <w:color w:val="auto"/>
              </w:rPr>
            </w:pPr>
          </w:p>
        </w:tc>
      </w:tr>
      <w:tr>
        <w:trPr>
          <w:trHeight w:val="237"/>
        </w:trPr>
        <w:tc>
          <w:tcPr>
            <w:tcW w:w="30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gridSpan w:val="5"/>
          </w:tcPr>
          <w:p>
            <w:pPr>
              <w:jc w:val="center"/>
              <w:ind w:right="62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20"/>
                <w:szCs w:val="20"/>
                <w:color w:val="auto"/>
              </w:rPr>
            </w:pPr>
          </w:p>
        </w:tc>
        <w:tc>
          <w:tcPr>
            <w:tcW w:w="2120" w:type="dxa"/>
            <w:vAlign w:val="bottom"/>
            <w:gridSpan w:val="4"/>
          </w:tcPr>
          <w:p>
            <w:pPr>
              <w:jc w:val="center"/>
              <w:ind w:right="130"/>
              <w:spacing w:after="0"/>
              <w:rPr>
                <w:sz w:val="20"/>
                <w:szCs w:val="20"/>
                <w:color w:val="auto"/>
              </w:rPr>
            </w:pPr>
            <w:r>
              <w:rPr>
                <w:rFonts w:ascii="Arial" w:cs="Arial" w:eastAsia="Arial" w:hAnsi="Arial"/>
                <w:sz w:val="18"/>
                <w:szCs w:val="18"/>
                <w:color w:val="auto"/>
                <w:w w:val="91"/>
              </w:rPr>
              <w:t>Six Months Ended</w:t>
            </w:r>
          </w:p>
        </w:tc>
      </w:tr>
      <w:tr>
        <w:trPr>
          <w:trHeight w:val="270"/>
        </w:trPr>
        <w:tc>
          <w:tcPr>
            <w:tcW w:w="30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gridSpan w:val="3"/>
          </w:tcPr>
          <w:p>
            <w:pPr>
              <w:jc w:val="center"/>
              <w:ind w:left="490"/>
              <w:spacing w:after="0"/>
              <w:rPr>
                <w:sz w:val="20"/>
                <w:szCs w:val="20"/>
                <w:color w:val="auto"/>
              </w:rPr>
            </w:pPr>
            <w:r>
              <w:rPr>
                <w:rFonts w:ascii="Arial" w:cs="Arial" w:eastAsia="Arial" w:hAnsi="Arial"/>
                <w:sz w:val="18"/>
                <w:szCs w:val="18"/>
                <w:color w:val="auto"/>
                <w:w w:val="86"/>
              </w:rPr>
              <w:t>June 30,</w:t>
            </w: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3"/>
          </w:tcPr>
          <w:p>
            <w:pPr>
              <w:jc w:val="center"/>
              <w:ind w:left="510"/>
              <w:spacing w:after="0"/>
              <w:rPr>
                <w:sz w:val="20"/>
                <w:szCs w:val="20"/>
                <w:color w:val="auto"/>
              </w:rPr>
            </w:pPr>
            <w:r>
              <w:rPr>
                <w:rFonts w:ascii="Arial" w:cs="Arial" w:eastAsia="Arial" w:hAnsi="Arial"/>
                <w:sz w:val="18"/>
                <w:szCs w:val="18"/>
                <w:color w:val="auto"/>
                <w:w w:val="86"/>
              </w:rPr>
              <w:t>June 30,</w:t>
            </w:r>
          </w:p>
        </w:tc>
        <w:tc>
          <w:tcPr>
            <w:tcW w:w="800" w:type="dxa"/>
            <w:vAlign w:val="bottom"/>
          </w:tcPr>
          <w:p>
            <w:pPr>
              <w:spacing w:after="0"/>
              <w:rPr>
                <w:sz w:val="23"/>
                <w:szCs w:val="23"/>
                <w:color w:val="auto"/>
              </w:rPr>
            </w:pPr>
          </w:p>
        </w:tc>
      </w:tr>
      <w:tr>
        <w:trPr>
          <w:trHeight w:val="27"/>
        </w:trPr>
        <w:tc>
          <w:tcPr>
            <w:tcW w:w="30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30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ind w:right="270"/>
              <w:spacing w:after="0"/>
              <w:rPr>
                <w:sz w:val="20"/>
                <w:szCs w:val="20"/>
                <w:color w:val="auto"/>
              </w:rPr>
            </w:pPr>
            <w:r>
              <w:rPr>
                <w:rFonts w:ascii="Arial" w:cs="Arial" w:eastAsia="Arial" w:hAnsi="Arial"/>
                <w:sz w:val="18"/>
                <w:szCs w:val="18"/>
                <w:color w:val="auto"/>
              </w:rPr>
              <w:t>2018</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ind w:right="270"/>
              <w:spacing w:after="0"/>
              <w:rPr>
                <w:sz w:val="20"/>
                <w:szCs w:val="20"/>
                <w:color w:val="auto"/>
              </w:rPr>
            </w:pPr>
            <w:r>
              <w:rPr>
                <w:rFonts w:ascii="Arial" w:cs="Arial" w:eastAsia="Arial" w:hAnsi="Arial"/>
                <w:sz w:val="18"/>
                <w:szCs w:val="18"/>
                <w:color w:val="auto"/>
              </w:rPr>
              <w:t>2018</w:t>
            </w:r>
          </w:p>
        </w:tc>
      </w:tr>
      <w:tr>
        <w:trPr>
          <w:trHeight w:val="27"/>
        </w:trPr>
        <w:tc>
          <w:tcPr>
            <w:tcW w:w="306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Americas Beverage</w:t>
            </w:r>
          </w:p>
        </w:tc>
        <w:tc>
          <w:tcPr>
            <w:tcW w:w="1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3060" w:type="dxa"/>
            <w:vAlign w:val="bottom"/>
          </w:tcPr>
          <w:p>
            <w:pPr>
              <w:ind w:left="20"/>
              <w:spacing w:after="0"/>
              <w:rPr>
                <w:sz w:val="20"/>
                <w:szCs w:val="20"/>
                <w:color w:val="auto"/>
              </w:rPr>
            </w:pPr>
            <w:r>
              <w:rPr>
                <w:rFonts w:ascii="Arial" w:cs="Arial" w:eastAsia="Arial" w:hAnsi="Arial"/>
                <w:sz w:val="18"/>
                <w:szCs w:val="18"/>
                <w:color w:val="auto"/>
              </w:rPr>
              <w:t>European Beverage</w:t>
            </w:r>
          </w:p>
        </w:tc>
        <w:tc>
          <w:tcPr>
            <w:tcW w:w="1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30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European Food</w:t>
            </w:r>
          </w:p>
        </w:tc>
        <w:tc>
          <w:tcPr>
            <w:tcW w:w="16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3060" w:type="dxa"/>
            <w:vAlign w:val="bottom"/>
          </w:tcPr>
          <w:p>
            <w:pPr>
              <w:ind w:left="20"/>
              <w:spacing w:after="0"/>
              <w:rPr>
                <w:sz w:val="20"/>
                <w:szCs w:val="20"/>
                <w:color w:val="auto"/>
              </w:rPr>
            </w:pPr>
            <w:r>
              <w:rPr>
                <w:rFonts w:ascii="Arial" w:cs="Arial" w:eastAsia="Arial" w:hAnsi="Arial"/>
                <w:sz w:val="18"/>
                <w:szCs w:val="18"/>
                <w:color w:val="auto"/>
              </w:rPr>
              <w:t>Transit Packaging</w:t>
            </w:r>
          </w:p>
        </w:tc>
        <w:tc>
          <w:tcPr>
            <w:tcW w:w="1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306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reportable segments</w:t>
            </w:r>
          </w:p>
        </w:tc>
        <w:tc>
          <w:tcPr>
            <w:tcW w:w="16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43"/>
        </w:trPr>
        <w:tc>
          <w:tcPr>
            <w:tcW w:w="3060" w:type="dxa"/>
            <w:vAlign w:val="bottom"/>
          </w:tcPr>
          <w:p>
            <w:pPr>
              <w:ind w:left="20"/>
              <w:spacing w:after="0"/>
              <w:rPr>
                <w:sz w:val="20"/>
                <w:szCs w:val="20"/>
                <w:color w:val="auto"/>
              </w:rPr>
            </w:pPr>
            <w:r>
              <w:rPr>
                <w:rFonts w:ascii="Arial" w:cs="Arial" w:eastAsia="Arial" w:hAnsi="Arial"/>
                <w:sz w:val="18"/>
                <w:szCs w:val="18"/>
                <w:color w:val="auto"/>
              </w:rPr>
              <w:t>Non-reportable segments</w:t>
            </w:r>
          </w:p>
        </w:tc>
        <w:tc>
          <w:tcPr>
            <w:tcW w:w="1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
        </w:trPr>
        <w:tc>
          <w:tcPr>
            <w:tcW w:w="306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1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c>
          <w:tcPr>
            <w:tcW w:w="4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Intersegment sales primarily include sales of ends and components used to manufacture cans, such as printed and coated metal, as well as parts and equipment used in the manufacturing process.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20" w:type="dxa"/>
            <w:vAlign w:val="bottom"/>
          </w:tcPr>
          <w:p>
            <w:pPr>
              <w:spacing w:after="0"/>
              <w:rPr>
                <w:sz w:val="20"/>
                <w:szCs w:val="20"/>
                <w:color w:val="auto"/>
              </w:rPr>
            </w:pPr>
          </w:p>
        </w:tc>
        <w:tc>
          <w:tcPr>
            <w:tcW w:w="2020" w:type="dxa"/>
            <w:vAlign w:val="bottom"/>
            <w:gridSpan w:val="4"/>
          </w:tcPr>
          <w:p>
            <w:pPr>
              <w:jc w:val="center"/>
              <w:ind w:left="310"/>
              <w:spacing w:after="0"/>
              <w:rPr>
                <w:sz w:val="20"/>
                <w:szCs w:val="20"/>
                <w:color w:val="auto"/>
              </w:rPr>
            </w:pPr>
            <w:r>
              <w:rPr>
                <w:rFonts w:ascii="Arial" w:cs="Arial" w:eastAsia="Arial" w:hAnsi="Arial"/>
                <w:sz w:val="18"/>
                <w:szCs w:val="18"/>
                <w:color w:val="auto"/>
                <w:w w:val="89"/>
              </w:rPr>
              <w:t>Segment Income</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20" w:type="dxa"/>
            <w:vAlign w:val="bottom"/>
            <w:gridSpan w:val="4"/>
          </w:tcPr>
          <w:p>
            <w:pPr>
              <w:jc w:val="center"/>
              <w:ind w:right="130"/>
              <w:spacing w:after="0"/>
              <w:rPr>
                <w:sz w:val="20"/>
                <w:szCs w:val="20"/>
                <w:color w:val="auto"/>
              </w:rPr>
            </w:pPr>
            <w:r>
              <w:rPr>
                <w:rFonts w:ascii="Arial" w:cs="Arial" w:eastAsia="Arial" w:hAnsi="Arial"/>
                <w:sz w:val="18"/>
                <w:szCs w:val="18"/>
                <w:color w:val="auto"/>
                <w:w w:val="89"/>
              </w:rPr>
              <w:t>Segment Income</w:t>
            </w:r>
          </w:p>
        </w:tc>
      </w:tr>
      <w:tr>
        <w:trPr>
          <w:trHeight w:val="27"/>
        </w:trPr>
        <w:tc>
          <w:tcPr>
            <w:tcW w:w="4720" w:type="dxa"/>
            <w:vAlign w:val="bottom"/>
          </w:tcPr>
          <w:p>
            <w:pPr>
              <w:spacing w:after="0"/>
              <w:rPr>
                <w:sz w:val="2"/>
                <w:szCs w:val="2"/>
                <w:color w:val="auto"/>
              </w:rPr>
            </w:pPr>
          </w:p>
        </w:tc>
        <w:tc>
          <w:tcPr>
            <w:tcW w:w="2020" w:type="dxa"/>
            <w:vAlign w:val="bottom"/>
            <w:tcBorders>
              <w:bottom w:val="single" w:sz="8" w:color="auto"/>
            </w:tcBorders>
            <w:gridSpan w:val="4"/>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4"/>
          </w:tcPr>
          <w:p>
            <w:pPr>
              <w:spacing w:after="0"/>
              <w:rPr>
                <w:sz w:val="2"/>
                <w:szCs w:val="2"/>
                <w:color w:val="auto"/>
              </w:rPr>
            </w:pPr>
          </w:p>
        </w:tc>
      </w:tr>
      <w:tr>
        <w:trPr>
          <w:trHeight w:val="237"/>
        </w:trPr>
        <w:tc>
          <w:tcPr>
            <w:tcW w:w="4720" w:type="dxa"/>
            <w:vAlign w:val="bottom"/>
          </w:tcPr>
          <w:p>
            <w:pPr>
              <w:spacing w:after="0"/>
              <w:rPr>
                <w:sz w:val="20"/>
                <w:szCs w:val="20"/>
                <w:color w:val="auto"/>
              </w:rPr>
            </w:pPr>
          </w:p>
        </w:tc>
        <w:tc>
          <w:tcPr>
            <w:tcW w:w="2020" w:type="dxa"/>
            <w:vAlign w:val="bottom"/>
            <w:gridSpan w:val="4"/>
          </w:tcPr>
          <w:p>
            <w:pPr>
              <w:jc w:val="center"/>
              <w:ind w:left="290"/>
              <w:spacing w:after="0"/>
              <w:rPr>
                <w:sz w:val="20"/>
                <w:szCs w:val="20"/>
                <w:color w:val="auto"/>
              </w:rPr>
            </w:pPr>
            <w:r>
              <w:rPr>
                <w:rFonts w:ascii="Arial" w:cs="Arial" w:eastAsia="Arial" w:hAnsi="Arial"/>
                <w:sz w:val="18"/>
                <w:szCs w:val="18"/>
                <w:color w:val="auto"/>
                <w:w w:val="90"/>
              </w:rPr>
              <w:t>Three Months Ended</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20" w:type="dxa"/>
            <w:vAlign w:val="bottom"/>
            <w:gridSpan w:val="4"/>
          </w:tcPr>
          <w:p>
            <w:pPr>
              <w:jc w:val="center"/>
              <w:ind w:right="130"/>
              <w:spacing w:after="0"/>
              <w:rPr>
                <w:sz w:val="20"/>
                <w:szCs w:val="20"/>
                <w:color w:val="auto"/>
              </w:rPr>
            </w:pPr>
            <w:r>
              <w:rPr>
                <w:rFonts w:ascii="Arial" w:cs="Arial" w:eastAsia="Arial" w:hAnsi="Arial"/>
                <w:sz w:val="18"/>
                <w:szCs w:val="18"/>
                <w:color w:val="auto"/>
                <w:w w:val="91"/>
              </w:rPr>
              <w:t>Six Months Ended</w:t>
            </w:r>
          </w:p>
        </w:tc>
      </w:tr>
      <w:tr>
        <w:trPr>
          <w:trHeight w:val="270"/>
        </w:trPr>
        <w:tc>
          <w:tcPr>
            <w:tcW w:w="47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80" w:type="dxa"/>
            <w:vAlign w:val="bottom"/>
            <w:gridSpan w:val="3"/>
          </w:tcPr>
          <w:p>
            <w:pPr>
              <w:jc w:val="center"/>
              <w:ind w:right="270"/>
              <w:spacing w:after="0"/>
              <w:rPr>
                <w:sz w:val="20"/>
                <w:szCs w:val="20"/>
                <w:color w:val="auto"/>
              </w:rPr>
            </w:pPr>
            <w:r>
              <w:rPr>
                <w:rFonts w:ascii="Arial" w:cs="Arial" w:eastAsia="Arial" w:hAnsi="Arial"/>
                <w:sz w:val="18"/>
                <w:szCs w:val="18"/>
                <w:color w:val="auto"/>
                <w:w w:val="86"/>
              </w:rPr>
              <w:t>June 30,</w:t>
            </w: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3"/>
          </w:tcPr>
          <w:p>
            <w:pPr>
              <w:jc w:val="center"/>
              <w:ind w:left="510"/>
              <w:spacing w:after="0"/>
              <w:rPr>
                <w:sz w:val="20"/>
                <w:szCs w:val="20"/>
                <w:color w:val="auto"/>
              </w:rPr>
            </w:pPr>
            <w:r>
              <w:rPr>
                <w:rFonts w:ascii="Arial" w:cs="Arial" w:eastAsia="Arial" w:hAnsi="Arial"/>
                <w:sz w:val="18"/>
                <w:szCs w:val="18"/>
                <w:color w:val="auto"/>
                <w:w w:val="86"/>
              </w:rPr>
              <w:t>June 30,</w:t>
            </w:r>
          </w:p>
        </w:tc>
        <w:tc>
          <w:tcPr>
            <w:tcW w:w="800" w:type="dxa"/>
            <w:vAlign w:val="bottom"/>
          </w:tcPr>
          <w:p>
            <w:pPr>
              <w:spacing w:after="0"/>
              <w:rPr>
                <w:sz w:val="23"/>
                <w:szCs w:val="23"/>
                <w:color w:val="auto"/>
              </w:rPr>
            </w:pPr>
          </w:p>
        </w:tc>
      </w:tr>
      <w:tr>
        <w:trPr>
          <w:trHeight w:val="27"/>
        </w:trPr>
        <w:tc>
          <w:tcPr>
            <w:tcW w:w="47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7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2019</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2018</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ind w:right="270"/>
              <w:spacing w:after="0"/>
              <w:rPr>
                <w:sz w:val="20"/>
                <w:szCs w:val="20"/>
                <w:color w:val="auto"/>
              </w:rPr>
            </w:pPr>
            <w:r>
              <w:rPr>
                <w:rFonts w:ascii="Arial" w:cs="Arial" w:eastAsia="Arial" w:hAnsi="Arial"/>
                <w:sz w:val="18"/>
                <w:szCs w:val="18"/>
                <w:color w:val="auto"/>
              </w:rPr>
              <w:t>2018</w:t>
            </w:r>
          </w:p>
        </w:tc>
      </w:tr>
      <w:tr>
        <w:trPr>
          <w:trHeight w:val="27"/>
        </w:trPr>
        <w:tc>
          <w:tcPr>
            <w:tcW w:w="47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Americas Beverage</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139</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113</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European Beverage</w:t>
            </w:r>
          </w:p>
        </w:tc>
        <w:tc>
          <w:tcPr>
            <w:tcW w:w="74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99</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7"/>
        </w:trPr>
        <w:tc>
          <w:tcPr>
            <w:tcW w:w="4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European Food</w:t>
            </w:r>
          </w:p>
        </w:tc>
        <w:tc>
          <w:tcPr>
            <w:tcW w:w="7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Asia Pacific</w:t>
            </w:r>
          </w:p>
        </w:tc>
        <w:tc>
          <w:tcPr>
            <w:tcW w:w="74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96</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7"/>
        </w:trPr>
        <w:tc>
          <w:tcPr>
            <w:tcW w:w="4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Transit Packaging</w:t>
            </w:r>
          </w:p>
        </w:tc>
        <w:tc>
          <w:tcPr>
            <w:tcW w:w="7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c>
          <w:tcPr>
            <w:tcW w:w="4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37"/>
        </w:trPr>
        <w:tc>
          <w:tcPr>
            <w:tcW w:w="4720" w:type="dxa"/>
            <w:vAlign w:val="bottom"/>
          </w:tcPr>
          <w:p>
            <w:pPr>
              <w:ind w:left="20"/>
              <w:spacing w:after="0"/>
              <w:rPr>
                <w:sz w:val="20"/>
                <w:szCs w:val="20"/>
                <w:color w:val="auto"/>
              </w:rPr>
            </w:pPr>
            <w:r>
              <w:rPr>
                <w:rFonts w:ascii="Arial" w:cs="Arial" w:eastAsia="Arial" w:hAnsi="Arial"/>
                <w:sz w:val="18"/>
                <w:szCs w:val="18"/>
                <w:color w:val="auto"/>
              </w:rPr>
              <w:t>Total reportable segments</w:t>
            </w:r>
          </w:p>
        </w:tc>
        <w:tc>
          <w:tcPr>
            <w:tcW w:w="74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392</w:t>
            </w:r>
          </w:p>
        </w:tc>
        <w:tc>
          <w:tcPr>
            <w:tcW w:w="180" w:type="dxa"/>
            <w:vAlign w:val="bottom"/>
          </w:tcPr>
          <w:p>
            <w:pPr>
              <w:spacing w:after="0"/>
              <w:rPr>
                <w:sz w:val="20"/>
                <w:szCs w:val="20"/>
                <w:color w:val="auto"/>
              </w:rPr>
            </w:pPr>
          </w:p>
        </w:tc>
        <w:tc>
          <w:tcPr>
            <w:tcW w:w="74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398</w:t>
            </w:r>
          </w:p>
        </w:tc>
        <w:tc>
          <w:tcPr>
            <w:tcW w:w="4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2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651</w:t>
            </w:r>
          </w:p>
        </w:tc>
      </w:tr>
      <w:tr>
        <w:trPr>
          <w:trHeight w:val="27"/>
        </w:trPr>
        <w:tc>
          <w:tcPr>
            <w:tcW w:w="47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47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segment income of reportable segments to income before income taxes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20" w:type="dxa"/>
            <w:vAlign w:val="bottom"/>
          </w:tcPr>
          <w:p>
            <w:pPr>
              <w:spacing w:after="0"/>
              <w:rPr>
                <w:sz w:val="20"/>
                <w:szCs w:val="20"/>
                <w:color w:val="auto"/>
              </w:rPr>
            </w:pPr>
          </w:p>
        </w:tc>
        <w:tc>
          <w:tcPr>
            <w:tcW w:w="2780" w:type="dxa"/>
            <w:vAlign w:val="bottom"/>
            <w:gridSpan w:val="6"/>
          </w:tcPr>
          <w:p>
            <w:pPr>
              <w:ind w:left="44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20"/>
                <w:szCs w:val="20"/>
                <w:color w:val="auto"/>
              </w:rPr>
            </w:pPr>
          </w:p>
        </w:tc>
        <w:tc>
          <w:tcPr>
            <w:tcW w:w="2120" w:type="dxa"/>
            <w:vAlign w:val="bottom"/>
            <w:gridSpan w:val="4"/>
          </w:tcPr>
          <w:p>
            <w:pPr>
              <w:jc w:val="right"/>
              <w:ind w:right="410"/>
              <w:spacing w:after="0"/>
              <w:rPr>
                <w:sz w:val="20"/>
                <w:szCs w:val="20"/>
                <w:color w:val="auto"/>
              </w:rPr>
            </w:pPr>
            <w:r>
              <w:rPr>
                <w:rFonts w:ascii="Arial" w:cs="Arial" w:eastAsia="Arial" w:hAnsi="Arial"/>
                <w:sz w:val="18"/>
                <w:szCs w:val="18"/>
                <w:color w:val="auto"/>
              </w:rPr>
              <w:t>Six Months Ended</w:t>
            </w:r>
          </w:p>
        </w:tc>
      </w:tr>
      <w:tr>
        <w:trPr>
          <w:trHeight w:val="270"/>
        </w:trPr>
        <w:tc>
          <w:tcPr>
            <w:tcW w:w="47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June 30,</w:t>
            </w: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June 30,</w:t>
            </w:r>
          </w:p>
        </w:tc>
        <w:tc>
          <w:tcPr>
            <w:tcW w:w="800" w:type="dxa"/>
            <w:vAlign w:val="bottom"/>
          </w:tcPr>
          <w:p>
            <w:pPr>
              <w:spacing w:after="0"/>
              <w:rPr>
                <w:sz w:val="23"/>
                <w:szCs w:val="23"/>
                <w:color w:val="auto"/>
              </w:rPr>
            </w:pPr>
          </w:p>
        </w:tc>
      </w:tr>
      <w:tr>
        <w:trPr>
          <w:trHeight w:val="27"/>
        </w:trPr>
        <w:tc>
          <w:tcPr>
            <w:tcW w:w="47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7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2019</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ind w:right="270"/>
              <w:spacing w:after="0"/>
              <w:rPr>
                <w:sz w:val="20"/>
                <w:szCs w:val="20"/>
                <w:color w:val="auto"/>
              </w:rPr>
            </w:pPr>
            <w:r>
              <w:rPr>
                <w:rFonts w:ascii="Arial" w:cs="Arial" w:eastAsia="Arial" w:hAnsi="Arial"/>
                <w:sz w:val="18"/>
                <w:szCs w:val="18"/>
                <w:color w:val="auto"/>
              </w:rPr>
              <w:t>2018</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ind w:right="270"/>
              <w:spacing w:after="0"/>
              <w:rPr>
                <w:sz w:val="20"/>
                <w:szCs w:val="20"/>
                <w:color w:val="auto"/>
              </w:rPr>
            </w:pPr>
            <w:r>
              <w:rPr>
                <w:rFonts w:ascii="Arial" w:cs="Arial" w:eastAsia="Arial" w:hAnsi="Arial"/>
                <w:sz w:val="18"/>
                <w:szCs w:val="18"/>
                <w:color w:val="auto"/>
              </w:rPr>
              <w:t>2018</w:t>
            </w:r>
          </w:p>
        </w:tc>
      </w:tr>
      <w:tr>
        <w:trPr>
          <w:trHeight w:val="27"/>
        </w:trPr>
        <w:tc>
          <w:tcPr>
            <w:tcW w:w="47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income of reportable segments</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392</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Segment income of non-reportable segments</w:t>
            </w:r>
          </w:p>
        </w:tc>
        <w:tc>
          <w:tcPr>
            <w:tcW w:w="74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
        </w:trPr>
        <w:tc>
          <w:tcPr>
            <w:tcW w:w="4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and unallocated items</w:t>
            </w:r>
          </w:p>
        </w:tc>
        <w:tc>
          <w:tcPr>
            <w:tcW w:w="7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(39)</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Restructuring and other</w:t>
            </w:r>
          </w:p>
        </w:tc>
        <w:tc>
          <w:tcPr>
            <w:tcW w:w="74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4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7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(47)</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Accelerated depreciation</w:t>
            </w:r>
          </w:p>
        </w:tc>
        <w:tc>
          <w:tcPr>
            <w:tcW w:w="74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Fair value adjustment to inventory</w:t>
            </w:r>
          </w:p>
        </w:tc>
        <w:tc>
          <w:tcPr>
            <w:tcW w:w="7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Other pension and postretirement</w:t>
            </w:r>
          </w:p>
        </w:tc>
        <w:tc>
          <w:tcPr>
            <w:tcW w:w="74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(29)</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4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early extinguishments of debt</w:t>
            </w:r>
          </w:p>
        </w:tc>
        <w:tc>
          <w:tcPr>
            <w:tcW w:w="7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74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(97)</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(195)</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7"/>
        </w:trPr>
        <w:tc>
          <w:tcPr>
            <w:tcW w:w="4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7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Foreign exchange</w:t>
            </w:r>
          </w:p>
        </w:tc>
        <w:tc>
          <w:tcPr>
            <w:tcW w:w="74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47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260</w:t>
            </w:r>
          </w:p>
        </w:tc>
        <w:tc>
          <w:tcPr>
            <w:tcW w:w="1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w:t>
            </w:r>
          </w:p>
        </w:tc>
        <w:tc>
          <w:tcPr>
            <w:tcW w:w="4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2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three and six months ended June 30, 2019 and 2018, intercompany profits of $3 and $4 were eliminated within segment income of non-reportable segments.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Corporate and unallocated items includes corporate and division administrative costs, technology costs and fair value adjustments for the sale of inventory acquired in an acquisition.</w:t>
      </w:r>
    </w:p>
    <w:p>
      <w:pPr>
        <w:sectPr>
          <w:pgSz w:w="11900" w:h="16838" w:orient="portrait"/>
          <w:cols w:equalWidth="0" w:num="1">
            <w:col w:w="10760"/>
          </w:cols>
          <w:pgMar w:left="900" w:top="121" w:right="239" w:bottom="90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0760"/>
          </w:cols>
          <w:pgMar w:left="900" w:top="121" w:right="239" w:bottom="906" w:gutter="0" w:footer="0" w:header="0"/>
          <w:type w:val="continuous"/>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ind w:left="660" w:hanging="571"/>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Condensed Combining Financial Information</w:t>
      </w:r>
    </w:p>
    <w:p>
      <w:pPr>
        <w:spacing w:after="0" w:line="310"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Crown Cork &amp; Seal Company, Inc. (Issuer), a 100% owned subsidiary of the Company, has $350 principal amount of 7.375% senior notes due 2026 and $40 principal amount of 7.5% senior notes due 2096 outstanding that are fully and unconditionally guaranteed by Crown Holdings, Inc. (Parent). No other subsidiary guarantees the debt and the guarantees are made on a joint and several basis.</w:t>
      </w:r>
    </w:p>
    <w:p>
      <w:pPr>
        <w:spacing w:after="0" w:line="18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condensed combining financial statements:</w:t>
      </w:r>
    </w:p>
    <w:p>
      <w:pPr>
        <w:spacing w:after="0" w:line="36" w:lineRule="exact"/>
        <w:rPr>
          <w:rFonts w:ascii="Arial" w:cs="Arial" w:eastAsia="Arial" w:hAnsi="Arial"/>
          <w:sz w:val="18"/>
          <w:szCs w:val="18"/>
          <w:b w:val="1"/>
          <w:bCs w:val="1"/>
          <w:color w:val="auto"/>
        </w:rPr>
      </w:pPr>
    </w:p>
    <w:p>
      <w:pPr>
        <w:ind w:left="1360" w:hanging="704"/>
        <w:spacing w:after="0"/>
        <w:tabs>
          <w:tab w:leader="none" w:pos="13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statements of comprehensive income for the three and six months ended June 30, 2019 and 2018,</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balance sheets as of June 30, 2019 and December 31, 2018, and</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statements of cash flows for the six months ended June 30, 2019 and 2018</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are presented on the following pages to comply with the Company’s requirements under Rule 3-10 of Regulation S-X.</w:t>
      </w:r>
    </w:p>
    <w:p>
      <w:pPr>
        <w:spacing w:after="0" w:line="200" w:lineRule="exact"/>
        <w:rPr>
          <w:sz w:val="20"/>
          <w:szCs w:val="20"/>
          <w:color w:val="auto"/>
        </w:rPr>
      </w:pPr>
    </w:p>
    <w:p>
      <w:pPr>
        <w:spacing w:after="0" w:line="237"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CONDENSED COMBINING STATEMENT OF COMPREHENSIVE INCOME</w:t>
      </w:r>
    </w:p>
    <w:p>
      <w:pPr>
        <w:spacing w:after="0" w:line="17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For the three months ended June 30, 2019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Parent</w:t>
            </w:r>
          </w:p>
        </w:tc>
        <w:tc>
          <w:tcPr>
            <w:tcW w:w="240" w:type="dxa"/>
            <w:vAlign w:val="bottom"/>
          </w:tcPr>
          <w:p>
            <w:pPr>
              <w:spacing w:after="0"/>
              <w:rPr>
                <w:sz w:val="14"/>
                <w:szCs w:val="14"/>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Issuer</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4"/>
                <w:szCs w:val="14"/>
                <w:color w:val="auto"/>
              </w:rPr>
            </w:pPr>
          </w:p>
        </w:tc>
        <w:tc>
          <w:tcPr>
            <w:tcW w:w="940" w:type="dxa"/>
            <w:vAlign w:val="bottom"/>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2"/>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3,035</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w w:val="97"/>
              </w:rPr>
              <w:t>Cost of products sold, excluding depreciation and amortization</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2,417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2,417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Selling and administrative expense</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and other</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pension and postretirement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Net interest expense</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Income/(loss) before income taxes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 (benefit from)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Equity earnings / (loss) in affiliates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Crown Holdings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w w:val="98"/>
              </w:rPr>
              <w:t>Comprehensive income attributable to noncontrolling interests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attributable to Crown Holdings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2"/>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CONDENSED COMBINING STATEMENT OF COMPREHENSIVE INCOME</w:t>
      </w:r>
    </w:p>
    <w:p>
      <w:pPr>
        <w:spacing w:after="0" w:line="17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For the three months ended June 30, 2018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Parent</w:t>
            </w:r>
          </w:p>
        </w:tc>
        <w:tc>
          <w:tcPr>
            <w:tcW w:w="240" w:type="dxa"/>
            <w:vAlign w:val="bottom"/>
          </w:tcPr>
          <w:p>
            <w:pPr>
              <w:spacing w:after="0"/>
              <w:rPr>
                <w:sz w:val="14"/>
                <w:szCs w:val="14"/>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Issuer</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4"/>
                <w:szCs w:val="14"/>
                <w:color w:val="auto"/>
              </w:rPr>
            </w:pPr>
          </w:p>
        </w:tc>
        <w:tc>
          <w:tcPr>
            <w:tcW w:w="940" w:type="dxa"/>
            <w:vAlign w:val="bottom"/>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2"/>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3,046</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w w:val="97"/>
              </w:rPr>
              <w:t>Cost of products sold, excluding depreciation and amortization</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2,466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2,466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Selling and administrative expense</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and other</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pension and postretirement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Net interest expense</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Income/(loss) before income taxes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 (benefit from)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Equity earnings / (loss) in affiliates</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Crown Holdings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w w:val="98"/>
              </w:rPr>
              <w:t>Comprehensive income attributable to noncontrolling interests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attributable to Crown Holdings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2"/>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CONDENSED COMBINING STATEMENT OF COMPREHENSIVE INCOME</w:t>
      </w:r>
    </w:p>
    <w:p>
      <w:pPr>
        <w:spacing w:after="0" w:line="171"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For the six months ended June 30, 2019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Parent</w:t>
            </w:r>
          </w:p>
        </w:tc>
        <w:tc>
          <w:tcPr>
            <w:tcW w:w="260" w:type="dxa"/>
            <w:vAlign w:val="bottom"/>
          </w:tcPr>
          <w:p>
            <w:pPr>
              <w:spacing w:after="0"/>
              <w:rPr>
                <w:sz w:val="14"/>
                <w:szCs w:val="14"/>
                <w:color w:val="auto"/>
              </w:rPr>
            </w:pPr>
          </w:p>
        </w:tc>
        <w:tc>
          <w:tcPr>
            <w:tcW w:w="9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Issuer</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4"/>
                <w:szCs w:val="14"/>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940" w:type="dxa"/>
            <w:vAlign w:val="bottom"/>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Guarantors</w:t>
            </w:r>
          </w:p>
        </w:tc>
        <w:tc>
          <w:tcPr>
            <w:tcW w:w="1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172"/>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5,790</w:t>
            </w:r>
          </w:p>
        </w:tc>
        <w:tc>
          <w:tcPr>
            <w:tcW w:w="0" w:type="dxa"/>
            <w:vAlign w:val="bottom"/>
          </w:tcPr>
          <w:p>
            <w:pPr>
              <w:spacing w:after="0"/>
              <w:rPr>
                <w:sz w:val="1"/>
                <w:szCs w:val="1"/>
                <w:color w:val="auto"/>
              </w:rPr>
            </w:pPr>
          </w:p>
        </w:tc>
      </w:tr>
      <w:tr>
        <w:trPr>
          <w:trHeight w:val="243"/>
        </w:trPr>
        <w:tc>
          <w:tcPr>
            <w:tcW w:w="5240" w:type="dxa"/>
            <w:vAlign w:val="bottom"/>
          </w:tcPr>
          <w:p>
            <w:pPr>
              <w:ind w:left="380"/>
              <w:spacing w:after="0"/>
              <w:rPr>
                <w:sz w:val="20"/>
                <w:szCs w:val="20"/>
                <w:color w:val="auto"/>
              </w:rPr>
            </w:pPr>
            <w:r>
              <w:rPr>
                <w:rFonts w:ascii="Arial" w:cs="Arial" w:eastAsia="Arial" w:hAnsi="Arial"/>
                <w:sz w:val="18"/>
                <w:szCs w:val="18"/>
                <w:color w:val="auto"/>
                <w:w w:val="97"/>
              </w:rPr>
              <w:t>Cost of products sold, excluding depreciation and amortization</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4,627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4,627</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43"/>
        </w:trPr>
        <w:tc>
          <w:tcPr>
            <w:tcW w:w="5240" w:type="dxa"/>
            <w:vAlign w:val="bottom"/>
          </w:tcPr>
          <w:p>
            <w:pPr>
              <w:ind w:left="380"/>
              <w:spacing w:after="0"/>
              <w:rPr>
                <w:sz w:val="20"/>
                <w:szCs w:val="20"/>
                <w:color w:val="auto"/>
              </w:rPr>
            </w:pPr>
            <w:r>
              <w:rPr>
                <w:rFonts w:ascii="Arial" w:cs="Arial" w:eastAsia="Arial" w:hAnsi="Arial"/>
                <w:sz w:val="18"/>
                <w:szCs w:val="18"/>
                <w:color w:val="auto"/>
              </w:rPr>
              <w:t>Selling and administrative expense</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and other</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7"/>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from early extinguishments of debt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5240" w:type="dxa"/>
            <w:vAlign w:val="bottom"/>
          </w:tcPr>
          <w:p>
            <w:pPr>
              <w:ind w:left="380"/>
              <w:spacing w:after="0"/>
              <w:rPr>
                <w:sz w:val="20"/>
                <w:szCs w:val="20"/>
                <w:color w:val="auto"/>
              </w:rPr>
            </w:pPr>
            <w:r>
              <w:rPr>
                <w:rFonts w:ascii="Arial" w:cs="Arial" w:eastAsia="Arial" w:hAnsi="Arial"/>
                <w:sz w:val="18"/>
                <w:szCs w:val="18"/>
                <w:color w:val="auto"/>
              </w:rPr>
              <w:t>Other pension and postretirement</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43"/>
        </w:trPr>
        <w:tc>
          <w:tcPr>
            <w:tcW w:w="5240" w:type="dxa"/>
            <w:vAlign w:val="bottom"/>
          </w:tcPr>
          <w:p>
            <w:pPr>
              <w:ind w:left="380"/>
              <w:spacing w:after="0"/>
              <w:rPr>
                <w:sz w:val="20"/>
                <w:szCs w:val="20"/>
                <w:color w:val="auto"/>
              </w:rPr>
            </w:pPr>
            <w:r>
              <w:rPr>
                <w:rFonts w:ascii="Arial" w:cs="Arial" w:eastAsia="Arial" w:hAnsi="Arial"/>
                <w:sz w:val="18"/>
                <w:szCs w:val="18"/>
                <w:color w:val="auto"/>
              </w:rPr>
              <w:t>Foreign exchange</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Income/(loss)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43"/>
        </w:trPr>
        <w:tc>
          <w:tcPr>
            <w:tcW w:w="5240" w:type="dxa"/>
            <w:vAlign w:val="bottom"/>
          </w:tcPr>
          <w:p>
            <w:pPr>
              <w:ind w:left="380"/>
              <w:spacing w:after="0"/>
              <w:rPr>
                <w:sz w:val="20"/>
                <w:szCs w:val="20"/>
                <w:color w:val="auto"/>
              </w:rPr>
            </w:pPr>
            <w:r>
              <w:rPr>
                <w:rFonts w:ascii="Arial" w:cs="Arial" w:eastAsia="Arial" w:hAnsi="Arial"/>
                <w:sz w:val="18"/>
                <w:szCs w:val="18"/>
                <w:color w:val="auto"/>
              </w:rPr>
              <w:t>Provision for / (benefit from) income taxes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earnings / (loss) in affiliates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97"/>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income attributable to Crown Holdings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311"/>
        </w:trPr>
        <w:tc>
          <w:tcPr>
            <w:tcW w:w="52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(651)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8"/>
              </w:rPr>
              <w:t>Comprehensive income attributable to noncontrolling interests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57"/>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 attributable to Crown Holdings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60" w:top="121" w:right="25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CONDENSED COMBINING STATEMENT OF COMPREHENSIVE INCOME</w:t>
      </w:r>
    </w:p>
    <w:p>
      <w:pPr>
        <w:spacing w:after="0" w:line="171"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For the six months ended June 30, 2018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Parent</w:t>
            </w:r>
          </w:p>
        </w:tc>
        <w:tc>
          <w:tcPr>
            <w:tcW w:w="260" w:type="dxa"/>
            <w:vAlign w:val="bottom"/>
          </w:tcPr>
          <w:p>
            <w:pPr>
              <w:spacing w:after="0"/>
              <w:rPr>
                <w:sz w:val="14"/>
                <w:szCs w:val="14"/>
                <w:color w:val="auto"/>
              </w:rPr>
            </w:pPr>
          </w:p>
        </w:tc>
        <w:tc>
          <w:tcPr>
            <w:tcW w:w="9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Issuer</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4"/>
                <w:szCs w:val="14"/>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940" w:type="dxa"/>
            <w:vAlign w:val="bottom"/>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Guarantors</w:t>
            </w:r>
          </w:p>
        </w:tc>
        <w:tc>
          <w:tcPr>
            <w:tcW w:w="1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172"/>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5,243</w:t>
            </w:r>
          </w:p>
        </w:tc>
        <w:tc>
          <w:tcPr>
            <w:tcW w:w="0" w:type="dxa"/>
            <w:vAlign w:val="bottom"/>
          </w:tcPr>
          <w:p>
            <w:pPr>
              <w:spacing w:after="0"/>
              <w:rPr>
                <w:sz w:val="1"/>
                <w:szCs w:val="1"/>
                <w:color w:val="auto"/>
              </w:rPr>
            </w:pPr>
          </w:p>
        </w:tc>
      </w:tr>
      <w:tr>
        <w:trPr>
          <w:trHeight w:val="243"/>
        </w:trPr>
        <w:tc>
          <w:tcPr>
            <w:tcW w:w="5240" w:type="dxa"/>
            <w:vAlign w:val="bottom"/>
          </w:tcPr>
          <w:p>
            <w:pPr>
              <w:ind w:left="380"/>
              <w:spacing w:after="0"/>
              <w:rPr>
                <w:sz w:val="20"/>
                <w:szCs w:val="20"/>
                <w:color w:val="auto"/>
              </w:rPr>
            </w:pPr>
            <w:r>
              <w:rPr>
                <w:rFonts w:ascii="Arial" w:cs="Arial" w:eastAsia="Arial" w:hAnsi="Arial"/>
                <w:sz w:val="18"/>
                <w:szCs w:val="18"/>
                <w:color w:val="auto"/>
                <w:w w:val="97"/>
              </w:rPr>
              <w:t>Cost of products sold, excluding depreciation and amortization</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4,274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4,274</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43"/>
        </w:trPr>
        <w:tc>
          <w:tcPr>
            <w:tcW w:w="5240" w:type="dxa"/>
            <w:vAlign w:val="bottom"/>
          </w:tcPr>
          <w:p>
            <w:pPr>
              <w:ind w:left="380"/>
              <w:spacing w:after="0"/>
              <w:rPr>
                <w:sz w:val="20"/>
                <w:szCs w:val="20"/>
                <w:color w:val="auto"/>
              </w:rPr>
            </w:pPr>
            <w:r>
              <w:rPr>
                <w:rFonts w:ascii="Arial" w:cs="Arial" w:eastAsia="Arial" w:hAnsi="Arial"/>
                <w:sz w:val="18"/>
                <w:szCs w:val="18"/>
                <w:color w:val="auto"/>
              </w:rPr>
              <w:t>Selling and administrative expense</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and other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7"/>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pension and postretirement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5240" w:type="dxa"/>
            <w:vAlign w:val="bottom"/>
          </w:tcPr>
          <w:p>
            <w:pPr>
              <w:ind w:left="380"/>
              <w:spacing w:after="0"/>
              <w:rPr>
                <w:sz w:val="20"/>
                <w:szCs w:val="20"/>
                <w:color w:val="auto"/>
              </w:rPr>
            </w:pPr>
            <w:r>
              <w:rPr>
                <w:rFonts w:ascii="Arial" w:cs="Arial" w:eastAsia="Arial" w:hAnsi="Arial"/>
                <w:sz w:val="18"/>
                <w:szCs w:val="18"/>
                <w:color w:val="auto"/>
              </w:rPr>
              <w:t>Net interest expense</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7"/>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Income/(loss) before income taxes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 (benefit from)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43"/>
        </w:trPr>
        <w:tc>
          <w:tcPr>
            <w:tcW w:w="5240" w:type="dxa"/>
            <w:vAlign w:val="bottom"/>
          </w:tcPr>
          <w:p>
            <w:pPr>
              <w:ind w:left="380"/>
              <w:spacing w:after="0"/>
              <w:rPr>
                <w:sz w:val="20"/>
                <w:szCs w:val="20"/>
                <w:color w:val="auto"/>
              </w:rPr>
            </w:pPr>
            <w:r>
              <w:rPr>
                <w:rFonts w:ascii="Arial" w:cs="Arial" w:eastAsia="Arial" w:hAnsi="Arial"/>
                <w:sz w:val="18"/>
                <w:szCs w:val="18"/>
                <w:color w:val="auto"/>
              </w:rPr>
              <w:t>Equity earnings / (loss) in affiliates</w:t>
            </w:r>
          </w:p>
        </w:tc>
        <w:tc>
          <w:tcPr>
            <w:tcW w:w="2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43"/>
        </w:trPr>
        <w:tc>
          <w:tcPr>
            <w:tcW w:w="5240" w:type="dxa"/>
            <w:vAlign w:val="bottom"/>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Crown Holdings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43"/>
        </w:trPr>
        <w:tc>
          <w:tcPr>
            <w:tcW w:w="5240" w:type="dxa"/>
            <w:vAlign w:val="bottom"/>
          </w:tcPr>
          <w:p>
            <w:pPr>
              <w:ind w:left="380"/>
              <w:spacing w:after="0"/>
              <w:rPr>
                <w:sz w:val="20"/>
                <w:szCs w:val="20"/>
                <w:color w:val="auto"/>
              </w:rPr>
            </w:pPr>
            <w:r>
              <w:rPr>
                <w:rFonts w:ascii="Arial" w:cs="Arial" w:eastAsia="Arial" w:hAnsi="Arial"/>
                <w:sz w:val="18"/>
                <w:szCs w:val="18"/>
                <w:color w:val="auto"/>
                <w:w w:val="98"/>
              </w:rPr>
              <w:t>Comprehensive income attributable to noncontrolling interests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attributable to Crown Holdings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60" w:top="121" w:right="25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CONDENSED COMBINING BALANCE SHEET</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As of June 30, 2019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Parent</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Issuer</w:t>
            </w:r>
          </w:p>
        </w:tc>
        <w:tc>
          <w:tcPr>
            <w:tcW w:w="22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4"/>
                <w:szCs w:val="14"/>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4"/>
                <w:szCs w:val="14"/>
                <w:color w:val="auto"/>
              </w:rPr>
            </w:pPr>
          </w:p>
        </w:tc>
        <w:tc>
          <w:tcPr>
            <w:tcW w:w="1120" w:type="dxa"/>
            <w:vAlign w:val="bottom"/>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Guarantors</w:t>
            </w: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291"/>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Receivables, net</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1,821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1,830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1,837</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4,204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4,214</w:t>
            </w:r>
          </w:p>
        </w:tc>
        <w:tc>
          <w:tcPr>
            <w:tcW w:w="0" w:type="dxa"/>
            <w:vAlign w:val="bottom"/>
          </w:tcPr>
          <w:p>
            <w:pPr>
              <w:spacing w:after="0"/>
              <w:rPr>
                <w:sz w:val="1"/>
                <w:szCs w:val="1"/>
                <w:color w:val="auto"/>
              </w:rPr>
            </w:pPr>
          </w:p>
        </w:tc>
      </w:tr>
      <w:tr>
        <w:trPr>
          <w:trHeight w:val="318"/>
        </w:trPr>
        <w:tc>
          <w:tcPr>
            <w:tcW w:w="4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debt receivables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32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3,799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4,072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(7,871)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4,448</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2,106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2,106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3,761</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Operating lease right-of-use assets, net</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37"/>
        </w:trPr>
        <w:tc>
          <w:tcPr>
            <w:tcW w:w="4120" w:type="dxa"/>
            <w:vAlign w:val="bottom"/>
          </w:tcPr>
          <w:p>
            <w:pPr>
              <w:ind w:left="72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3,800</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center"/>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4,206</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18,974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(11,415)</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15,565</w:t>
            </w:r>
          </w:p>
        </w:tc>
        <w:tc>
          <w:tcPr>
            <w:tcW w:w="0" w:type="dxa"/>
            <w:vAlign w:val="bottom"/>
          </w:tcPr>
          <w:p>
            <w:pPr>
              <w:spacing w:after="0"/>
              <w:rPr>
                <w:sz w:val="1"/>
                <w:szCs w:val="1"/>
                <w:color w:val="auto"/>
              </w:rPr>
            </w:pPr>
          </w:p>
        </w:tc>
      </w:tr>
      <w:tr>
        <w:trPr>
          <w:trHeight w:val="67"/>
        </w:trPr>
        <w:tc>
          <w:tcPr>
            <w:tcW w:w="4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Short-term debt</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maturities of long-term debt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Current portion of operating lease liabilities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2,355</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Accrued liabilities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4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3,564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3,608</w:t>
            </w:r>
          </w:p>
        </w:tc>
        <w:tc>
          <w:tcPr>
            <w:tcW w:w="0" w:type="dxa"/>
            <w:vAlign w:val="bottom"/>
          </w:tcPr>
          <w:p>
            <w:pPr>
              <w:spacing w:after="0"/>
              <w:rPr>
                <w:sz w:val="1"/>
                <w:szCs w:val="1"/>
                <w:color w:val="auto"/>
              </w:rPr>
            </w:pPr>
          </w:p>
        </w:tc>
      </w:tr>
      <w:tr>
        <w:trPr>
          <w:trHeight w:val="318"/>
        </w:trPr>
        <w:tc>
          <w:tcPr>
            <w:tcW w:w="4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excluding current maturities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8,549</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Long-term intercompany debt</w:t>
            </w:r>
          </w:p>
        </w:tc>
        <w:tc>
          <w:tcPr>
            <w:tcW w:w="32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2,495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1,049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(3,544)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portion of operating lease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Postretirement and pension liabilities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Commitments and contingent liabilities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Crown Holdings shareholders’ equity/(deficit)</w:t>
            </w:r>
          </w:p>
        </w:tc>
        <w:tc>
          <w:tcPr>
            <w:tcW w:w="32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1,294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5,458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(7,871)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1,294</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equity/(deficit)</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5,864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(7,871)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37"/>
        </w:trPr>
        <w:tc>
          <w:tcPr>
            <w:tcW w:w="4120" w:type="dxa"/>
            <w:vAlign w:val="bottom"/>
          </w:tcPr>
          <w:p>
            <w:pPr>
              <w:ind w:left="72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3,800</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center"/>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4,206</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18,974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(11,415)</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15,565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gridSpan w:val="2"/>
          </w:tcPr>
          <w:p>
            <w:pPr>
              <w:jc w:val="center"/>
              <w:spacing w:after="0"/>
              <w:rPr>
                <w:sz w:val="20"/>
                <w:szCs w:val="20"/>
                <w:color w:val="auto"/>
              </w:rPr>
            </w:pPr>
            <w:r>
              <w:rPr>
                <w:rFonts w:ascii="Arial" w:cs="Arial" w:eastAsia="Arial" w:hAnsi="Arial"/>
                <w:sz w:val="18"/>
                <w:szCs w:val="18"/>
                <w:color w:val="auto"/>
                <w:w w:val="89"/>
              </w:rPr>
              <w:t>32</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CONDENSED COMBINING BALANCE SHEET</w:t>
      </w:r>
    </w:p>
    <w:p>
      <w:pPr>
        <w:spacing w:after="0" w:line="171"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As of December 31, 2018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Parent</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Issuer</w:t>
            </w:r>
          </w:p>
        </w:tc>
        <w:tc>
          <w:tcPr>
            <w:tcW w:w="22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4"/>
                <w:szCs w:val="14"/>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4"/>
                <w:szCs w:val="14"/>
                <w:color w:val="auto"/>
              </w:rPr>
            </w:pPr>
          </w:p>
        </w:tc>
        <w:tc>
          <w:tcPr>
            <w:tcW w:w="1120" w:type="dxa"/>
            <w:vAlign w:val="bottom"/>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Guarantors</w:t>
            </w: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291"/>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Receivables, net</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1,593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1,690</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4,068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4,079</w:t>
            </w:r>
          </w:p>
        </w:tc>
        <w:tc>
          <w:tcPr>
            <w:tcW w:w="0" w:type="dxa"/>
            <w:vAlign w:val="bottom"/>
          </w:tcPr>
          <w:p>
            <w:pPr>
              <w:spacing w:after="0"/>
              <w:rPr>
                <w:sz w:val="1"/>
                <w:szCs w:val="1"/>
                <w:color w:val="auto"/>
              </w:rPr>
            </w:pPr>
          </w:p>
        </w:tc>
      </w:tr>
      <w:tr>
        <w:trPr>
          <w:trHeight w:val="318"/>
        </w:trPr>
        <w:tc>
          <w:tcPr>
            <w:tcW w:w="4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debt receivables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32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3,458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3,764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4,442</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2,193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2,193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3,745</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3,459</w:t>
            </w:r>
          </w:p>
        </w:tc>
        <w:tc>
          <w:tcPr>
            <w:tcW w:w="4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3,930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18,656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(10,783)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15,262</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Short-term debt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Current maturities of long-term debt</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2,732</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Accrued liabilities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4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3,869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3,913</w:t>
            </w:r>
          </w:p>
        </w:tc>
        <w:tc>
          <w:tcPr>
            <w:tcW w:w="0" w:type="dxa"/>
            <w:vAlign w:val="bottom"/>
          </w:tcPr>
          <w:p>
            <w:pPr>
              <w:spacing w:after="0"/>
              <w:rPr>
                <w:sz w:val="1"/>
                <w:szCs w:val="1"/>
                <w:color w:val="auto"/>
              </w:rPr>
            </w:pPr>
          </w:p>
        </w:tc>
      </w:tr>
      <w:tr>
        <w:trPr>
          <w:trHeight w:val="291"/>
        </w:trPr>
        <w:tc>
          <w:tcPr>
            <w:tcW w:w="4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excluding current maturities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8,493</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Long-term intercompany debt</w:t>
            </w:r>
          </w:p>
        </w:tc>
        <w:tc>
          <w:tcPr>
            <w:tcW w:w="32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2,508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(3,561)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Postretirement and pension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Crown Holdings shareholders’ equity/(deficit)</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5,088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Total equity/(deficit)</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2,134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5,437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(7,222)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3,459</w:t>
            </w:r>
          </w:p>
        </w:tc>
        <w:tc>
          <w:tcPr>
            <w:tcW w:w="4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3,930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18,656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(10,783)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15,262</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33</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CONDENSED COMBINING STATEMENT OF CASH FLOWS</w:t>
      </w:r>
    </w:p>
    <w:p>
      <w:pPr>
        <w:spacing w:after="0" w:line="171"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For the six months ended June 30, 2019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Issuer</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ind w:left="300"/>
              <w:spacing w:after="0"/>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4"/>
                <w:szCs w:val="14"/>
                <w:color w:val="auto"/>
              </w:rPr>
            </w:pPr>
          </w:p>
        </w:tc>
        <w:tc>
          <w:tcPr>
            <w:tcW w:w="11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Eliminations</w:t>
            </w:r>
          </w:p>
        </w:tc>
        <w:tc>
          <w:tcPr>
            <w:tcW w:w="1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2"/>
              </w:rPr>
              <w:t>Net cash provided by/(used for) operating activities</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80" w:type="dxa"/>
            <w:vAlign w:val="bottom"/>
            <w:tcBorders>
              <w:bottom w:val="single" w:sz="8" w:color="CCEEFF"/>
            </w:tcBorders>
            <w:gridSpan w:val="2"/>
            <w:shd w:val="clear" w:color="auto" w:fill="CCEEFF"/>
          </w:tcPr>
          <w:p>
            <w:pPr>
              <w:jc w:val="center"/>
              <w:ind w:right="659"/>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23"/>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9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w:t>
            </w: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9"/>
        </w:trPr>
        <w:tc>
          <w:tcPr>
            <w:tcW w:w="4120" w:type="dxa"/>
            <w:vAlign w:val="bottom"/>
          </w:tcPr>
          <w:p>
            <w:pPr>
              <w:ind w:left="380"/>
              <w:spacing w:after="0"/>
              <w:rPr>
                <w:sz w:val="20"/>
                <w:szCs w:val="20"/>
                <w:color w:val="auto"/>
              </w:rPr>
            </w:pPr>
            <w:r>
              <w:rPr>
                <w:rFonts w:ascii="Arial" w:cs="Arial" w:eastAsia="Arial" w:hAnsi="Arial"/>
                <w:sz w:val="18"/>
                <w:szCs w:val="18"/>
                <w:color w:val="auto"/>
              </w:rPr>
              <w:t>Proceeds from sale of property, plant and</w:t>
            </w: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380"/>
              <w:spacing w:after="0"/>
              <w:rPr>
                <w:sz w:val="20"/>
                <w:szCs w:val="20"/>
                <w:color w:val="auto"/>
              </w:rPr>
            </w:pPr>
            <w:r>
              <w:rPr>
                <w:rFonts w:ascii="Arial" w:cs="Arial" w:eastAsia="Arial" w:hAnsi="Arial"/>
                <w:sz w:val="18"/>
                <w:szCs w:val="18"/>
                <w:color w:val="auto"/>
              </w:rPr>
              <w:t>equipment</w:t>
            </w: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investment hedge</w:t>
            </w:r>
          </w:p>
        </w:tc>
        <w:tc>
          <w:tcPr>
            <w:tcW w:w="9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5"/>
        </w:trPr>
        <w:tc>
          <w:tcPr>
            <w:tcW w:w="4120" w:type="dxa"/>
            <w:vAlign w:val="bottom"/>
          </w:tcPr>
          <w:p>
            <w:pPr>
              <w:ind w:left="720"/>
              <w:spacing w:after="0" w:line="205" w:lineRule="exact"/>
              <w:rPr>
                <w:sz w:val="20"/>
                <w:szCs w:val="20"/>
                <w:color w:val="auto"/>
              </w:rPr>
            </w:pPr>
            <w:r>
              <w:rPr>
                <w:rFonts w:ascii="Arial" w:cs="Arial" w:eastAsia="Arial" w:hAnsi="Arial"/>
                <w:sz w:val="18"/>
                <w:szCs w:val="18"/>
                <w:b w:val="1"/>
                <w:bCs w:val="1"/>
                <w:color w:val="auto"/>
                <w:w w:val="95"/>
              </w:rPr>
              <w:t>Net cash provided by/(used for) investing</w:t>
            </w:r>
          </w:p>
        </w:tc>
        <w:tc>
          <w:tcPr>
            <w:tcW w:w="9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tcPr>
          <w:p>
            <w:pPr>
              <w:ind w:left="720"/>
              <w:spacing w:after="0"/>
              <w:rPr>
                <w:sz w:val="20"/>
                <w:szCs w:val="20"/>
                <w:color w:val="auto"/>
              </w:rPr>
            </w:pPr>
            <w:r>
              <w:rPr>
                <w:rFonts w:ascii="Arial" w:cs="Arial" w:eastAsia="Arial" w:hAnsi="Arial"/>
                <w:sz w:val="18"/>
                <w:szCs w:val="18"/>
                <w:b w:val="1"/>
                <w:bCs w:val="1"/>
                <w:color w:val="auto"/>
              </w:rPr>
              <w:t>activities</w:t>
            </w:r>
          </w:p>
        </w:tc>
        <w:tc>
          <w:tcPr>
            <w:tcW w:w="980" w:type="dxa"/>
            <w:vAlign w:val="bottom"/>
          </w:tcPr>
          <w:p>
            <w:pPr>
              <w:spacing w:after="0"/>
              <w:rPr>
                <w:sz w:val="20"/>
                <w:szCs w:val="20"/>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Payments of long-term debt</w:t>
            </w:r>
          </w:p>
        </w:tc>
        <w:tc>
          <w:tcPr>
            <w:tcW w:w="9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8"/>
              </w:rPr>
              <w:t>Net change in revolving credit facility and short-</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term debt</w:t>
            </w:r>
          </w:p>
        </w:tc>
        <w:tc>
          <w:tcPr>
            <w:tcW w:w="9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w w:val="97"/>
              </w:rPr>
              <w:t>Net change in long-term intercompany balances</w:t>
            </w:r>
          </w:p>
        </w:tc>
        <w:tc>
          <w:tcPr>
            <w:tcW w:w="9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of finance leases</w:t>
            </w: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Common stock issued</w:t>
            </w:r>
          </w:p>
        </w:tc>
        <w:tc>
          <w:tcPr>
            <w:tcW w:w="98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 repurchased</w:t>
            </w: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Dividends paid</w:t>
            </w:r>
          </w:p>
        </w:tc>
        <w:tc>
          <w:tcPr>
            <w:tcW w:w="9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 paid to noncontrolling interests</w:t>
            </w: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Contribution from noncontrolling interests</w:t>
            </w:r>
          </w:p>
        </w:tc>
        <w:tc>
          <w:tcPr>
            <w:tcW w:w="9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 derivatives related to debt</w:t>
            </w:r>
          </w:p>
        </w:tc>
        <w:tc>
          <w:tcPr>
            <w:tcW w:w="9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5"/>
        </w:trPr>
        <w:tc>
          <w:tcPr>
            <w:tcW w:w="4120" w:type="dxa"/>
            <w:vAlign w:val="bottom"/>
          </w:tcPr>
          <w:p>
            <w:pPr>
              <w:ind w:left="720"/>
              <w:spacing w:after="0" w:line="205" w:lineRule="exact"/>
              <w:rPr>
                <w:sz w:val="20"/>
                <w:szCs w:val="20"/>
                <w:color w:val="auto"/>
              </w:rPr>
            </w:pPr>
            <w:r>
              <w:rPr>
                <w:rFonts w:ascii="Arial" w:cs="Arial" w:eastAsia="Arial" w:hAnsi="Arial"/>
                <w:sz w:val="18"/>
                <w:szCs w:val="18"/>
                <w:b w:val="1"/>
                <w:bCs w:val="1"/>
                <w:color w:val="auto"/>
                <w:w w:val="95"/>
              </w:rPr>
              <w:t>Net cash provided by/(used for) financing</w:t>
            </w:r>
          </w:p>
        </w:tc>
        <w:tc>
          <w:tcPr>
            <w:tcW w:w="9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tcPr>
          <w:p>
            <w:pPr>
              <w:ind w:left="720"/>
              <w:spacing w:after="0"/>
              <w:rPr>
                <w:sz w:val="20"/>
                <w:szCs w:val="20"/>
                <w:color w:val="auto"/>
              </w:rPr>
            </w:pPr>
            <w:r>
              <w:rPr>
                <w:rFonts w:ascii="Arial" w:cs="Arial" w:eastAsia="Arial" w:hAnsi="Arial"/>
                <w:sz w:val="18"/>
                <w:szCs w:val="18"/>
                <w:b w:val="1"/>
                <w:bCs w:val="1"/>
                <w:color w:val="auto"/>
              </w:rPr>
              <w:t>activities</w:t>
            </w:r>
          </w:p>
        </w:tc>
        <w:tc>
          <w:tcPr>
            <w:tcW w:w="9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cash</w:t>
            </w: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equivalents and restricted cash</w:t>
            </w:r>
          </w:p>
        </w:tc>
        <w:tc>
          <w:tcPr>
            <w:tcW w:w="9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w w:val="89"/>
              </w:rPr>
              <w:t>Net change in cash, cash equivalents and restricted cash</w:t>
            </w:r>
          </w:p>
        </w:tc>
        <w:tc>
          <w:tcPr>
            <w:tcW w:w="9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Cash, cash equivalents and restricted cash at January 1</w:t>
            </w:r>
          </w:p>
        </w:tc>
        <w:tc>
          <w:tcPr>
            <w:tcW w:w="9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05"/>
        </w:trPr>
        <w:tc>
          <w:tcPr>
            <w:tcW w:w="4120" w:type="dxa"/>
            <w:vAlign w:val="bottom"/>
          </w:tcPr>
          <w:p>
            <w:pPr>
              <w:ind w:left="40"/>
              <w:spacing w:after="0" w:line="205" w:lineRule="exact"/>
              <w:rPr>
                <w:sz w:val="20"/>
                <w:szCs w:val="20"/>
                <w:color w:val="auto"/>
              </w:rPr>
            </w:pPr>
            <w:r>
              <w:rPr>
                <w:rFonts w:ascii="Arial" w:cs="Arial" w:eastAsia="Arial" w:hAnsi="Arial"/>
                <w:sz w:val="18"/>
                <w:szCs w:val="18"/>
                <w:b w:val="1"/>
                <w:bCs w:val="1"/>
                <w:color w:val="auto"/>
                <w:w w:val="92"/>
              </w:rPr>
              <w:t>Cash, cash equivalents and restricted cash at June</w:t>
            </w:r>
          </w:p>
        </w:tc>
        <w:tc>
          <w:tcPr>
            <w:tcW w:w="980" w:type="dxa"/>
            <w:vAlign w:val="bottom"/>
            <w:tcBorders>
              <w:top w:val="single" w:sz="8" w:color="auto"/>
            </w:tcBorders>
            <w:vMerge w:val="restart"/>
          </w:tcPr>
          <w:p>
            <w:pPr>
              <w:jc w:val="right"/>
              <w:ind w:right="776"/>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7"/>
                <w:szCs w:val="17"/>
                <w:color w:val="auto"/>
              </w:rPr>
            </w:pPr>
          </w:p>
        </w:tc>
        <w:tc>
          <w:tcPr>
            <w:tcW w:w="980" w:type="dxa"/>
            <w:vAlign w:val="bottom"/>
            <w:tcBorders>
              <w:top w:val="single" w:sz="8" w:color="auto"/>
            </w:tcBorders>
            <w:vMerge w:val="restart"/>
          </w:tcPr>
          <w:p>
            <w:pPr>
              <w:jc w:val="center"/>
              <w:ind w:right="759"/>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7"/>
                <w:szCs w:val="17"/>
                <w:color w:val="auto"/>
              </w:rPr>
            </w:pPr>
          </w:p>
        </w:tc>
        <w:tc>
          <w:tcPr>
            <w:tcW w:w="2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7"/>
                <w:szCs w:val="17"/>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46"/>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30</w:t>
            </w:r>
          </w:p>
        </w:tc>
        <w:tc>
          <w:tcPr>
            <w:tcW w:w="980" w:type="dxa"/>
            <w:vAlign w:val="bottom"/>
            <w:tcBorders>
              <w:bottom w:val="single" w:sz="8" w:color="auto"/>
            </w:tcBorders>
            <w:vMerge w:val="continue"/>
          </w:tcPr>
          <w:p>
            <w:pPr>
              <w:spacing w:after="0"/>
              <w:rPr>
                <w:sz w:val="20"/>
                <w:szCs w:val="20"/>
                <w:color w:val="auto"/>
              </w:rPr>
            </w:pPr>
          </w:p>
        </w:tc>
        <w:tc>
          <w:tcPr>
            <w:tcW w:w="44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38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gridSpan w:val="2"/>
          </w:tcPr>
          <w:p>
            <w:pPr>
              <w:jc w:val="center"/>
              <w:ind w:right="659"/>
              <w:spacing w:after="0"/>
              <w:rPr>
                <w:sz w:val="20"/>
                <w:szCs w:val="20"/>
                <w:color w:val="auto"/>
              </w:rPr>
            </w:pPr>
            <w:r>
              <w:rPr>
                <w:rFonts w:ascii="Arial" w:cs="Arial" w:eastAsia="Arial" w:hAnsi="Arial"/>
                <w:sz w:val="18"/>
                <w:szCs w:val="18"/>
                <w:color w:val="auto"/>
                <w:w w:val="89"/>
              </w:rPr>
              <w:t>34</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CONDENSED COMBINING STATEMENT OF CASH FLOWS</w:t>
      </w:r>
    </w:p>
    <w:p>
      <w:pPr>
        <w:spacing w:after="0" w:line="171"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For the six months ended June 30, 2018</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Issuer</w:t>
            </w:r>
          </w:p>
        </w:tc>
        <w:tc>
          <w:tcPr>
            <w:tcW w:w="22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4"/>
                <w:szCs w:val="14"/>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20" w:type="dxa"/>
            <w:vAlign w:val="bottom"/>
          </w:tcPr>
          <w:p>
            <w:pPr>
              <w:jc w:val="right"/>
              <w:ind w:right="4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Guarantors</w:t>
            </w:r>
          </w:p>
        </w:tc>
        <w:tc>
          <w:tcPr>
            <w:tcW w:w="2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291"/>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7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2"/>
              </w:rPr>
              <w:t>Net cash provided by/(used for) operating activities</w:t>
            </w:r>
          </w:p>
        </w:tc>
        <w:tc>
          <w:tcPr>
            <w:tcW w:w="960" w:type="dxa"/>
            <w:vAlign w:val="bottom"/>
            <w:tcBorders>
              <w:top w:val="single" w:sz="8" w:color="auto"/>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23"/>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9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w:t>
            </w: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Beneficial interests in transferred receivables</w:t>
            </w: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9"/>
              </w:rPr>
              <w:t>Acquisition of businesses, net of cash acquired</w:t>
            </w: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(3,907)</w:t>
            </w:r>
          </w:p>
        </w:tc>
        <w:tc>
          <w:tcPr>
            <w:tcW w:w="0" w:type="dxa"/>
            <w:vAlign w:val="bottom"/>
          </w:tcPr>
          <w:p>
            <w:pPr>
              <w:spacing w:after="0"/>
              <w:rPr>
                <w:sz w:val="1"/>
                <w:szCs w:val="1"/>
                <w:color w:val="auto"/>
              </w:rPr>
            </w:pPr>
          </w:p>
        </w:tc>
      </w:tr>
      <w:tr>
        <w:trPr>
          <w:trHeight w:val="229"/>
        </w:trPr>
        <w:tc>
          <w:tcPr>
            <w:tcW w:w="4120" w:type="dxa"/>
            <w:vAlign w:val="bottom"/>
          </w:tcPr>
          <w:p>
            <w:pPr>
              <w:ind w:left="380"/>
              <w:spacing w:after="0"/>
              <w:rPr>
                <w:sz w:val="20"/>
                <w:szCs w:val="20"/>
                <w:color w:val="auto"/>
              </w:rPr>
            </w:pPr>
            <w:r>
              <w:rPr>
                <w:rFonts w:ascii="Arial" w:cs="Arial" w:eastAsia="Arial" w:hAnsi="Arial"/>
                <w:sz w:val="18"/>
                <w:szCs w:val="18"/>
                <w:color w:val="auto"/>
              </w:rPr>
              <w:t>Proceeds from sale of property, plant and</w:t>
            </w: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380"/>
              <w:spacing w:after="0"/>
              <w:rPr>
                <w:sz w:val="20"/>
                <w:szCs w:val="20"/>
                <w:color w:val="auto"/>
              </w:rPr>
            </w:pPr>
            <w:r>
              <w:rPr>
                <w:rFonts w:ascii="Arial" w:cs="Arial" w:eastAsia="Arial" w:hAnsi="Arial"/>
                <w:sz w:val="18"/>
                <w:szCs w:val="18"/>
                <w:color w:val="auto"/>
              </w:rPr>
              <w:t>equipment</w:t>
            </w: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Foreign exchange derivatives related to</w:t>
            </w: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acquisitions</w:t>
            </w:r>
          </w:p>
        </w:tc>
        <w:tc>
          <w:tcPr>
            <w:tcW w:w="9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5"/>
        </w:trPr>
        <w:tc>
          <w:tcPr>
            <w:tcW w:w="4120" w:type="dxa"/>
            <w:vAlign w:val="bottom"/>
          </w:tcPr>
          <w:p>
            <w:pPr>
              <w:ind w:left="720"/>
              <w:spacing w:after="0" w:line="205" w:lineRule="exact"/>
              <w:rPr>
                <w:sz w:val="20"/>
                <w:szCs w:val="20"/>
                <w:color w:val="auto"/>
              </w:rPr>
            </w:pPr>
            <w:r>
              <w:rPr>
                <w:rFonts w:ascii="Arial" w:cs="Arial" w:eastAsia="Arial" w:hAnsi="Arial"/>
                <w:sz w:val="18"/>
                <w:szCs w:val="18"/>
                <w:b w:val="1"/>
                <w:bCs w:val="1"/>
                <w:color w:val="auto"/>
                <w:w w:val="95"/>
              </w:rPr>
              <w:t>Net cash provided by/(used for) investing</w:t>
            </w:r>
          </w:p>
        </w:tc>
        <w:tc>
          <w:tcPr>
            <w:tcW w:w="96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tcPr>
          <w:p>
            <w:pPr>
              <w:ind w:left="720"/>
              <w:spacing w:after="0"/>
              <w:rPr>
                <w:sz w:val="20"/>
                <w:szCs w:val="20"/>
                <w:color w:val="auto"/>
              </w:rPr>
            </w:pPr>
            <w:r>
              <w:rPr>
                <w:rFonts w:ascii="Arial" w:cs="Arial" w:eastAsia="Arial" w:hAnsi="Arial"/>
                <w:sz w:val="18"/>
                <w:szCs w:val="18"/>
                <w:b w:val="1"/>
                <w:bCs w:val="1"/>
                <w:color w:val="auto"/>
              </w:rPr>
              <w:t>activities</w:t>
            </w:r>
          </w:p>
        </w:tc>
        <w:tc>
          <w:tcPr>
            <w:tcW w:w="96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(3,792)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(3,792)</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Proceeds from long-term debt</w:t>
            </w: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4,082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4,082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of long-term debt</w:t>
            </w: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4120" w:type="dxa"/>
            <w:vAlign w:val="bottom"/>
          </w:tcPr>
          <w:p>
            <w:pPr>
              <w:ind w:left="380"/>
              <w:spacing w:after="0"/>
              <w:rPr>
                <w:sz w:val="20"/>
                <w:szCs w:val="20"/>
                <w:color w:val="auto"/>
              </w:rPr>
            </w:pPr>
            <w:r>
              <w:rPr>
                <w:rFonts w:ascii="Arial" w:cs="Arial" w:eastAsia="Arial" w:hAnsi="Arial"/>
                <w:sz w:val="18"/>
                <w:szCs w:val="18"/>
                <w:color w:val="auto"/>
                <w:w w:val="98"/>
              </w:rPr>
              <w:t>Net change in revolving credit facility and short-</w:t>
            </w: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380"/>
              <w:spacing w:after="0"/>
              <w:rPr>
                <w:sz w:val="20"/>
                <w:szCs w:val="20"/>
                <w:color w:val="auto"/>
              </w:rPr>
            </w:pPr>
            <w:r>
              <w:rPr>
                <w:rFonts w:ascii="Arial" w:cs="Arial" w:eastAsia="Arial" w:hAnsi="Arial"/>
                <w:sz w:val="18"/>
                <w:szCs w:val="18"/>
                <w:color w:val="auto"/>
              </w:rPr>
              <w:t>term debt</w:t>
            </w: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7"/>
              </w:rPr>
              <w:t>Net change in long-term intercompany balances</w:t>
            </w: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Debt issue costs</w:t>
            </w: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 issued</w:t>
            </w: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Common stock repurchased</w:t>
            </w:r>
          </w:p>
        </w:tc>
        <w:tc>
          <w:tcPr>
            <w:tcW w:w="9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w:t>
            </w: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Dividend paid to noncontrolling interests</w:t>
            </w: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 derivatives related to debt</w:t>
            </w:r>
          </w:p>
        </w:tc>
        <w:tc>
          <w:tcPr>
            <w:tcW w:w="9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5"/>
        </w:trPr>
        <w:tc>
          <w:tcPr>
            <w:tcW w:w="4120" w:type="dxa"/>
            <w:vAlign w:val="bottom"/>
          </w:tcPr>
          <w:p>
            <w:pPr>
              <w:ind w:left="720"/>
              <w:spacing w:after="0" w:line="205" w:lineRule="exact"/>
              <w:rPr>
                <w:sz w:val="20"/>
                <w:szCs w:val="20"/>
                <w:color w:val="auto"/>
              </w:rPr>
            </w:pPr>
            <w:r>
              <w:rPr>
                <w:rFonts w:ascii="Arial" w:cs="Arial" w:eastAsia="Arial" w:hAnsi="Arial"/>
                <w:sz w:val="18"/>
                <w:szCs w:val="18"/>
                <w:b w:val="1"/>
                <w:bCs w:val="1"/>
                <w:color w:val="auto"/>
                <w:w w:val="95"/>
              </w:rPr>
              <w:t>Net cash provided by/(used for) financing</w:t>
            </w:r>
          </w:p>
        </w:tc>
        <w:tc>
          <w:tcPr>
            <w:tcW w:w="96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tcPr>
          <w:p>
            <w:pPr>
              <w:ind w:left="720"/>
              <w:spacing w:after="0"/>
              <w:rPr>
                <w:sz w:val="20"/>
                <w:szCs w:val="20"/>
                <w:color w:val="auto"/>
              </w:rPr>
            </w:pPr>
            <w:r>
              <w:rPr>
                <w:rFonts w:ascii="Arial" w:cs="Arial" w:eastAsia="Arial" w:hAnsi="Arial"/>
                <w:sz w:val="18"/>
                <w:szCs w:val="18"/>
                <w:b w:val="1"/>
                <w:bCs w:val="1"/>
                <w:color w:val="auto"/>
              </w:rPr>
              <w:t>activities</w:t>
            </w:r>
          </w:p>
        </w:tc>
        <w:tc>
          <w:tcPr>
            <w:tcW w:w="960" w:type="dxa"/>
            <w:vAlign w:val="bottom"/>
          </w:tcPr>
          <w:p>
            <w:pPr>
              <w:spacing w:after="0"/>
              <w:rPr>
                <w:sz w:val="20"/>
                <w:szCs w:val="20"/>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4,093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4,162</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cash</w:t>
            </w: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equivalents and restricted cash</w:t>
            </w:r>
          </w:p>
        </w:tc>
        <w:tc>
          <w:tcPr>
            <w:tcW w:w="9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w w:val="89"/>
              </w:rPr>
              <w:t>Net change in cash, cash equivalents and restricted cash</w:t>
            </w:r>
          </w:p>
        </w:tc>
        <w:tc>
          <w:tcPr>
            <w:tcW w:w="9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Cash, cash equivalents and restricted cash at January 1</w:t>
            </w:r>
          </w:p>
        </w:tc>
        <w:tc>
          <w:tcPr>
            <w:tcW w:w="9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05"/>
        </w:trPr>
        <w:tc>
          <w:tcPr>
            <w:tcW w:w="4120" w:type="dxa"/>
            <w:vAlign w:val="bottom"/>
          </w:tcPr>
          <w:p>
            <w:pPr>
              <w:ind w:left="40"/>
              <w:spacing w:after="0" w:line="205" w:lineRule="exact"/>
              <w:rPr>
                <w:sz w:val="20"/>
                <w:szCs w:val="20"/>
                <w:color w:val="auto"/>
              </w:rPr>
            </w:pPr>
            <w:r>
              <w:rPr>
                <w:rFonts w:ascii="Arial" w:cs="Arial" w:eastAsia="Arial" w:hAnsi="Arial"/>
                <w:sz w:val="18"/>
                <w:szCs w:val="18"/>
                <w:b w:val="1"/>
                <w:bCs w:val="1"/>
                <w:color w:val="auto"/>
                <w:w w:val="92"/>
              </w:rPr>
              <w:t>Cash, cash equivalents and restricted cash at June</w:t>
            </w:r>
          </w:p>
        </w:tc>
        <w:tc>
          <w:tcPr>
            <w:tcW w:w="960" w:type="dxa"/>
            <w:vAlign w:val="bottom"/>
            <w:tcBorders>
              <w:top w:val="single" w:sz="8" w:color="auto"/>
            </w:tcBorders>
            <w:vMerge w:val="restart"/>
          </w:tcPr>
          <w:p>
            <w:pPr>
              <w:jc w:val="right"/>
              <w:ind w:right="75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7"/>
                <w:szCs w:val="17"/>
                <w:color w:val="auto"/>
              </w:rPr>
            </w:pPr>
          </w:p>
        </w:tc>
        <w:tc>
          <w:tcPr>
            <w:tcW w:w="34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7"/>
                <w:szCs w:val="17"/>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7"/>
                <w:szCs w:val="17"/>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46"/>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30</w:t>
            </w:r>
          </w:p>
        </w:tc>
        <w:tc>
          <w:tcPr>
            <w:tcW w:w="960" w:type="dxa"/>
            <w:vAlign w:val="bottom"/>
            <w:tcBorders>
              <w:bottom w:val="single" w:sz="8" w:color="auto"/>
            </w:tcBorders>
            <w:vMerge w:val="continue"/>
          </w:tcPr>
          <w:p>
            <w:pPr>
              <w:spacing w:after="0"/>
              <w:rPr>
                <w:sz w:val="20"/>
                <w:szCs w:val="20"/>
                <w:color w:val="auto"/>
              </w:rPr>
            </w:pPr>
          </w:p>
        </w:tc>
        <w:tc>
          <w:tcPr>
            <w:tcW w:w="42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35</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Crown Americas, LLC, Crown Americas Capital Corp. IV, Crown Americas Capital Corp. V and Crown Americas Capital Corp. VI (collectively, the Issuer), 100% owned subsidiaries of the Company, have outstanding $1,000 principal amount of 4.5% senior notes due 2023, $400 principal amount of 4.25% senior notes due 2026, and $875 principal amount of 4.75% senior notes due 2026, which are fully and unconditionally guaranteed by Crown Holdings, Inc. (Parent) and substantially all of its subsidiaries in the United States. The guarantors are 100% owned by the Company and the guarantees are made on a joint and several basis.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condensed combining financial statements:</w:t>
      </w:r>
    </w:p>
    <w:p>
      <w:pPr>
        <w:spacing w:after="0" w:line="23"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statements of comprehensive income for the three and six months ended June 30, 2019 and 2018,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balance sheets as of June 30, 2019 and December 31, 2018,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statements of cash flows for the six months ended June 30, 2019 and 2018</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are presented on the following pages to comply with the Company’s requirements under Rule 3-10 of Regulation S-X.</w:t>
      </w:r>
    </w:p>
    <w:p>
      <w:pPr>
        <w:spacing w:after="0" w:line="200" w:lineRule="exact"/>
        <w:rPr>
          <w:sz w:val="20"/>
          <w:szCs w:val="20"/>
          <w:color w:val="auto"/>
        </w:rPr>
      </w:pPr>
    </w:p>
    <w:p>
      <w:pPr>
        <w:spacing w:after="0" w:line="318"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CONDENSED COMBINING STATEMENT OF COMPREHENSIVE INCOME</w:t>
      </w:r>
    </w:p>
    <w:p>
      <w:pPr>
        <w:spacing w:after="0" w:line="17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For the three months ended June 30, 2019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Parent</w:t>
            </w:r>
          </w:p>
        </w:tc>
        <w:tc>
          <w:tcPr>
            <w:tcW w:w="300" w:type="dxa"/>
            <w:vAlign w:val="bottom"/>
          </w:tcPr>
          <w:p>
            <w:pPr>
              <w:spacing w:after="0"/>
              <w:rPr>
                <w:sz w:val="14"/>
                <w:szCs w:val="14"/>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Issuer</w:t>
            </w:r>
          </w:p>
        </w:tc>
        <w:tc>
          <w:tcPr>
            <w:tcW w:w="140" w:type="dxa"/>
            <w:vAlign w:val="bottom"/>
          </w:tcPr>
          <w:p>
            <w:pPr>
              <w:spacing w:after="0"/>
              <w:rPr>
                <w:sz w:val="14"/>
                <w:szCs w:val="14"/>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Guarantors</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4"/>
                <w:szCs w:val="14"/>
                <w:color w:val="auto"/>
              </w:rPr>
            </w:pPr>
          </w:p>
        </w:tc>
        <w:tc>
          <w:tcPr>
            <w:tcW w:w="940" w:type="dxa"/>
            <w:vAlign w:val="bottom"/>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2"/>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3,035</w:t>
            </w:r>
          </w:p>
        </w:tc>
        <w:tc>
          <w:tcPr>
            <w:tcW w:w="0" w:type="dxa"/>
            <w:vAlign w:val="bottom"/>
          </w:tcPr>
          <w:p>
            <w:pPr>
              <w:spacing w:after="0"/>
              <w:rPr>
                <w:sz w:val="1"/>
                <w:szCs w:val="1"/>
                <w:color w:val="auto"/>
              </w:rPr>
            </w:pPr>
          </w:p>
        </w:tc>
      </w:tr>
      <w:tr>
        <w:trPr>
          <w:trHeight w:val="229"/>
        </w:trPr>
        <w:tc>
          <w:tcPr>
            <w:tcW w:w="4360" w:type="dxa"/>
            <w:vAlign w:val="bottom"/>
          </w:tcPr>
          <w:p>
            <w:pPr>
              <w:ind w:left="380"/>
              <w:spacing w:after="0"/>
              <w:rPr>
                <w:sz w:val="20"/>
                <w:szCs w:val="20"/>
                <w:color w:val="auto"/>
              </w:rPr>
            </w:pPr>
            <w:r>
              <w:rPr>
                <w:rFonts w:ascii="Arial" w:cs="Arial" w:eastAsia="Arial" w:hAnsi="Arial"/>
                <w:sz w:val="18"/>
                <w:szCs w:val="18"/>
                <w:color w:val="auto"/>
              </w:rPr>
              <w:t>Cost of products sold, excluding depreciation and</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1,721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2,417</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43"/>
        </w:trPr>
        <w:tc>
          <w:tcPr>
            <w:tcW w:w="4360" w:type="dxa"/>
            <w:vAlign w:val="bottom"/>
          </w:tcPr>
          <w:p>
            <w:pPr>
              <w:ind w:left="380"/>
              <w:spacing w:after="0"/>
              <w:rPr>
                <w:sz w:val="20"/>
                <w:szCs w:val="20"/>
                <w:color w:val="auto"/>
              </w:rPr>
            </w:pPr>
            <w:r>
              <w:rPr>
                <w:rFonts w:ascii="Arial" w:cs="Arial" w:eastAsia="Arial" w:hAnsi="Arial"/>
                <w:sz w:val="18"/>
                <w:szCs w:val="18"/>
                <w:color w:val="auto"/>
              </w:rPr>
              <w:t>Selling and administrative expense</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and other</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pension and postretirement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4360" w:type="dxa"/>
            <w:vAlign w:val="bottom"/>
          </w:tcPr>
          <w:p>
            <w:pPr>
              <w:ind w:left="380"/>
              <w:spacing w:after="0"/>
              <w:rPr>
                <w:sz w:val="20"/>
                <w:szCs w:val="20"/>
                <w:color w:val="auto"/>
              </w:rPr>
            </w:pPr>
            <w:r>
              <w:rPr>
                <w:rFonts w:ascii="Arial" w:cs="Arial" w:eastAsia="Arial" w:hAnsi="Arial"/>
                <w:sz w:val="18"/>
                <w:szCs w:val="18"/>
                <w:color w:val="auto"/>
              </w:rPr>
              <w:t>Net interest expense</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Technology royalty</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360" w:type="dxa"/>
            <w:vAlign w:val="bottom"/>
          </w:tcPr>
          <w:p>
            <w:pPr>
              <w:ind w:left="380"/>
              <w:spacing w:after="0"/>
              <w:rPr>
                <w:sz w:val="20"/>
                <w:szCs w:val="20"/>
                <w:color w:val="auto"/>
              </w:rPr>
            </w:pPr>
            <w:r>
              <w:rPr>
                <w:rFonts w:ascii="Arial" w:cs="Arial" w:eastAsia="Arial" w:hAnsi="Arial"/>
                <w:sz w:val="18"/>
                <w:szCs w:val="18"/>
                <w:color w:val="auto"/>
              </w:rPr>
              <w:t>Foreign exchange</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Income/(loss)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43"/>
        </w:trPr>
        <w:tc>
          <w:tcPr>
            <w:tcW w:w="4360" w:type="dxa"/>
            <w:vAlign w:val="bottom"/>
          </w:tcPr>
          <w:p>
            <w:pPr>
              <w:ind w:left="380"/>
              <w:spacing w:after="0"/>
              <w:rPr>
                <w:sz w:val="20"/>
                <w:szCs w:val="20"/>
                <w:color w:val="auto"/>
              </w:rPr>
            </w:pPr>
            <w:r>
              <w:rPr>
                <w:rFonts w:ascii="Arial" w:cs="Arial" w:eastAsia="Arial" w:hAnsi="Arial"/>
                <w:sz w:val="18"/>
                <w:szCs w:val="18"/>
                <w:color w:val="auto"/>
              </w:rPr>
              <w:t>Provision for / (benefit from) income taxes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earnings / (loss) in affiliates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Crown Holdings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67"/>
        </w:trPr>
        <w:tc>
          <w:tcPr>
            <w:tcW w:w="43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43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4"/>
              </w:rPr>
              <w:t>Comprehensive income attributable to noncontrolling</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interests</w:t>
            </w: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w w:val="91"/>
              </w:rPr>
              <w:t>Comprehensive income attributable to Crown Holdings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36</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CONDENSED COMBINING STATEMENT OF COMPREHENSIVE INCOME</w:t>
      </w:r>
    </w:p>
    <w:p>
      <w:pPr>
        <w:spacing w:after="0" w:line="17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For the three months ended June 30, 2018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Parent</w:t>
            </w:r>
          </w:p>
        </w:tc>
        <w:tc>
          <w:tcPr>
            <w:tcW w:w="300" w:type="dxa"/>
            <w:vAlign w:val="bottom"/>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Issuer</w:t>
            </w:r>
          </w:p>
        </w:tc>
        <w:tc>
          <w:tcPr>
            <w:tcW w:w="120" w:type="dxa"/>
            <w:vAlign w:val="bottom"/>
          </w:tcPr>
          <w:p>
            <w:pPr>
              <w:spacing w:after="0"/>
              <w:rPr>
                <w:sz w:val="14"/>
                <w:szCs w:val="14"/>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Guarantors</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220" w:type="dxa"/>
            <w:vAlign w:val="bottom"/>
          </w:tcPr>
          <w:p>
            <w:pPr>
              <w:spacing w:after="0"/>
              <w:rPr>
                <w:sz w:val="14"/>
                <w:szCs w:val="14"/>
                <w:color w:val="auto"/>
              </w:rPr>
            </w:pPr>
          </w:p>
        </w:tc>
        <w:tc>
          <w:tcPr>
            <w:tcW w:w="1040" w:type="dxa"/>
            <w:vAlign w:val="bottom"/>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32"/>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3,046</w:t>
            </w:r>
          </w:p>
        </w:tc>
        <w:tc>
          <w:tcPr>
            <w:tcW w:w="0" w:type="dxa"/>
            <w:vAlign w:val="bottom"/>
          </w:tcPr>
          <w:p>
            <w:pPr>
              <w:spacing w:after="0"/>
              <w:rPr>
                <w:sz w:val="1"/>
                <w:szCs w:val="1"/>
                <w:color w:val="auto"/>
              </w:rPr>
            </w:pPr>
          </w:p>
        </w:tc>
      </w:tr>
      <w:tr>
        <w:trPr>
          <w:trHeight w:val="229"/>
        </w:trPr>
        <w:tc>
          <w:tcPr>
            <w:tcW w:w="4360" w:type="dxa"/>
            <w:vAlign w:val="bottom"/>
          </w:tcPr>
          <w:p>
            <w:pPr>
              <w:ind w:left="380"/>
              <w:spacing w:after="0"/>
              <w:rPr>
                <w:sz w:val="20"/>
                <w:szCs w:val="20"/>
                <w:color w:val="auto"/>
              </w:rPr>
            </w:pPr>
            <w:r>
              <w:rPr>
                <w:rFonts w:ascii="Arial" w:cs="Arial" w:eastAsia="Arial" w:hAnsi="Arial"/>
                <w:sz w:val="18"/>
                <w:szCs w:val="18"/>
                <w:color w:val="auto"/>
              </w:rPr>
              <w:t>Cost of products sold, excluding depreciation and</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834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1,785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2,466</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43"/>
        </w:trPr>
        <w:tc>
          <w:tcPr>
            <w:tcW w:w="4360" w:type="dxa"/>
            <w:vAlign w:val="bottom"/>
          </w:tcPr>
          <w:p>
            <w:pPr>
              <w:ind w:left="380"/>
              <w:spacing w:after="0"/>
              <w:rPr>
                <w:sz w:val="20"/>
                <w:szCs w:val="20"/>
                <w:color w:val="auto"/>
              </w:rPr>
            </w:pPr>
            <w:r>
              <w:rPr>
                <w:rFonts w:ascii="Arial" w:cs="Arial" w:eastAsia="Arial" w:hAnsi="Arial"/>
                <w:sz w:val="18"/>
                <w:szCs w:val="18"/>
                <w:color w:val="auto"/>
              </w:rPr>
              <w:t>Selling and administrative expense</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and other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pension and postretirement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4360" w:type="dxa"/>
            <w:vAlign w:val="bottom"/>
          </w:tcPr>
          <w:p>
            <w:pPr>
              <w:ind w:left="380"/>
              <w:spacing w:after="0"/>
              <w:rPr>
                <w:sz w:val="20"/>
                <w:szCs w:val="20"/>
                <w:color w:val="auto"/>
              </w:rPr>
            </w:pPr>
            <w:r>
              <w:rPr>
                <w:rFonts w:ascii="Arial" w:cs="Arial" w:eastAsia="Arial" w:hAnsi="Arial"/>
                <w:sz w:val="18"/>
                <w:szCs w:val="18"/>
                <w:color w:val="auto"/>
              </w:rPr>
              <w:t>Net interest expense</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Technology royalty</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360" w:type="dxa"/>
            <w:vAlign w:val="bottom"/>
          </w:tcPr>
          <w:p>
            <w:pPr>
              <w:ind w:left="380"/>
              <w:spacing w:after="0"/>
              <w:rPr>
                <w:sz w:val="20"/>
                <w:szCs w:val="20"/>
                <w:color w:val="auto"/>
              </w:rPr>
            </w:pPr>
            <w:r>
              <w:rPr>
                <w:rFonts w:ascii="Arial" w:cs="Arial" w:eastAsia="Arial" w:hAnsi="Arial"/>
                <w:sz w:val="18"/>
                <w:szCs w:val="18"/>
                <w:color w:val="auto"/>
              </w:rPr>
              <w:t>Foreign exchange</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Income/(loss)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43"/>
        </w:trPr>
        <w:tc>
          <w:tcPr>
            <w:tcW w:w="4360" w:type="dxa"/>
            <w:vAlign w:val="bottom"/>
          </w:tcPr>
          <w:p>
            <w:pPr>
              <w:ind w:left="380"/>
              <w:spacing w:after="0"/>
              <w:rPr>
                <w:sz w:val="20"/>
                <w:szCs w:val="20"/>
                <w:color w:val="auto"/>
              </w:rPr>
            </w:pPr>
            <w:r>
              <w:rPr>
                <w:rFonts w:ascii="Arial" w:cs="Arial" w:eastAsia="Arial" w:hAnsi="Arial"/>
                <w:sz w:val="18"/>
                <w:szCs w:val="18"/>
                <w:color w:val="auto"/>
              </w:rPr>
              <w:t>Provision for / (benefit from) income taxes</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earnings / (loss) in affiliates</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Crown Holdings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67"/>
        </w:trPr>
        <w:tc>
          <w:tcPr>
            <w:tcW w:w="43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3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4"/>
              </w:rPr>
              <w:t>Comprehensive income attributable to noncontrolling</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interests</w:t>
            </w: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w w:val="91"/>
              </w:rPr>
              <w:t>Comprehensive income attributable to Crown Holdings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37</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7" w:name="page38"/>
    <w:bookmarkEnd w:id="37"/>
    <w:p>
      <w:pPr>
        <w:jc w:val="center"/>
        <w:ind w:right="2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CONDENSED COMBINING STATEMENT OF COMPREHENSIVE INCOME</w:t>
      </w:r>
    </w:p>
    <w:p>
      <w:pPr>
        <w:spacing w:after="0" w:line="171"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For the six months ended June 30, 2019</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464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rPr>
              <w:t>Parent</w:t>
            </w:r>
          </w:p>
        </w:tc>
        <w:tc>
          <w:tcPr>
            <w:tcW w:w="106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Issuer</w:t>
            </w:r>
          </w:p>
        </w:tc>
        <w:tc>
          <w:tcPr>
            <w:tcW w:w="12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Guarantors</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3"/>
              </w:rPr>
              <w:t>Non-</w:t>
            </w:r>
          </w:p>
        </w:tc>
        <w:tc>
          <w:tcPr>
            <w:tcW w:w="130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Eliminations</w:t>
            </w:r>
          </w:p>
        </w:tc>
        <w:tc>
          <w:tcPr>
            <w:tcW w:w="880" w:type="dxa"/>
            <w:vAlign w:val="bottom"/>
          </w:tcPr>
          <w:p>
            <w:pPr>
              <w:jc w:val="center"/>
              <w:ind w:left="20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6"/>
        </w:trPr>
        <w:tc>
          <w:tcPr>
            <w:tcW w:w="78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5"/>
              </w:rPr>
              <w:t>Guarantors</w:t>
            </w:r>
          </w:p>
        </w:tc>
        <w:tc>
          <w:tcPr>
            <w:tcW w:w="1300" w:type="dxa"/>
            <w:vAlign w:val="bottom"/>
            <w:vMerge w:val="continue"/>
          </w:tcPr>
          <w:p>
            <w:pPr>
              <w:spacing w:after="0"/>
              <w:rPr>
                <w:sz w:val="16"/>
                <w:szCs w:val="16"/>
                <w:color w:val="auto"/>
              </w:rPr>
            </w:pPr>
          </w:p>
        </w:tc>
        <w:tc>
          <w:tcPr>
            <w:tcW w:w="880" w:type="dxa"/>
            <w:vAlign w:val="bottom"/>
          </w:tcPr>
          <w:p>
            <w:pPr>
              <w:jc w:val="center"/>
              <w:ind w:left="208"/>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7620</wp:posOffset>
            </wp:positionV>
            <wp:extent cx="7229475"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ectPr>
          <w:pgSz w:w="11900" w:h="16838" w:orient="portrait"/>
          <w:cols w:equalWidth="0" w:num="1">
            <w:col w:w="11360"/>
          </w:cols>
          <w:pgMar w:left="280" w:top="121" w:right="259" w:bottom="1440" w:gutter="0" w:footer="0" w:header="0"/>
        </w:sectPr>
      </w:pP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r>
              <w:rPr>
                <w:rFonts w:ascii="Arial" w:cs="Arial" w:eastAsia="Arial" w:hAnsi="Arial"/>
                <w:sz w:val="18"/>
                <w:szCs w:val="18"/>
                <w:b w:val="1"/>
                <w:bCs w:val="1"/>
                <w:color w:val="auto"/>
              </w:rPr>
              <w:t>Net sales</w:t>
            </w: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320" w:type="dxa"/>
            <w:vAlign w:val="bottom"/>
          </w:tcPr>
          <w:p>
            <w:pPr>
              <w:ind w:left="360"/>
              <w:spacing w:after="0"/>
              <w:rPr>
                <w:sz w:val="20"/>
                <w:szCs w:val="20"/>
                <w:color w:val="auto"/>
              </w:rPr>
            </w:pPr>
            <w:r>
              <w:rPr>
                <w:rFonts w:ascii="Arial" w:cs="Arial" w:eastAsia="Arial" w:hAnsi="Arial"/>
                <w:sz w:val="18"/>
                <w:szCs w:val="18"/>
                <w:color w:val="auto"/>
              </w:rPr>
              <w:t>Cost of products sold, excluding depreciation and</w:t>
            </w:r>
          </w:p>
        </w:tc>
        <w:tc>
          <w:tcPr>
            <w:tcW w:w="4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360"/>
              <w:spacing w:after="0"/>
              <w:rPr>
                <w:sz w:val="20"/>
                <w:szCs w:val="20"/>
                <w:color w:val="auto"/>
              </w:rPr>
            </w:pPr>
            <w:r>
              <w:rPr>
                <w:rFonts w:ascii="Arial" w:cs="Arial" w:eastAsia="Arial" w:hAnsi="Arial"/>
                <w:sz w:val="18"/>
                <w:szCs w:val="18"/>
                <w:color w:val="auto"/>
              </w:rPr>
              <w:t>amortization</w:t>
            </w: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3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20" w:type="dxa"/>
            <w:vAlign w:val="bottom"/>
          </w:tcPr>
          <w:p>
            <w:pPr>
              <w:ind w:left="360"/>
              <w:spacing w:after="0"/>
              <w:rPr>
                <w:sz w:val="20"/>
                <w:szCs w:val="20"/>
                <w:color w:val="auto"/>
              </w:rPr>
            </w:pPr>
            <w:r>
              <w:rPr>
                <w:rFonts w:ascii="Arial" w:cs="Arial" w:eastAsia="Arial" w:hAnsi="Arial"/>
                <w:sz w:val="18"/>
                <w:szCs w:val="18"/>
                <w:color w:val="auto"/>
              </w:rPr>
              <w:t>Selling and administrative expense</w:t>
            </w:r>
          </w:p>
        </w:tc>
        <w:tc>
          <w:tcPr>
            <w:tcW w:w="4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320" w:type="dxa"/>
            <w:vAlign w:val="bottom"/>
          </w:tcPr>
          <w:p>
            <w:pPr>
              <w:ind w:left="360"/>
              <w:spacing w:after="0"/>
              <w:rPr>
                <w:sz w:val="20"/>
                <w:szCs w:val="20"/>
                <w:color w:val="auto"/>
              </w:rPr>
            </w:pPr>
            <w:r>
              <w:rPr>
                <w:rFonts w:ascii="Arial" w:cs="Arial" w:eastAsia="Arial" w:hAnsi="Arial"/>
                <w:sz w:val="18"/>
                <w:szCs w:val="18"/>
                <w:color w:val="auto"/>
              </w:rPr>
              <w:t>Restructuring and other</w:t>
            </w:r>
          </w:p>
        </w:tc>
        <w:tc>
          <w:tcPr>
            <w:tcW w:w="4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320" w:type="dxa"/>
            <w:vAlign w:val="bottom"/>
            <w:vMerge w:val="restart"/>
          </w:tcPr>
          <w:p>
            <w:pPr>
              <w:spacing w:after="0"/>
              <w:rPr>
                <w:sz w:val="20"/>
                <w:szCs w:val="20"/>
                <w:color w:val="auto"/>
              </w:rPr>
            </w:pPr>
            <w:r>
              <w:rPr>
                <w:rFonts w:ascii="Arial" w:cs="Arial" w:eastAsia="Arial" w:hAnsi="Arial"/>
                <w:sz w:val="18"/>
                <w:szCs w:val="18"/>
                <w:b w:val="1"/>
                <w:bCs w:val="1"/>
                <w:color w:val="auto"/>
              </w:rPr>
              <w:t>Income from operations</w:t>
            </w:r>
          </w:p>
        </w:tc>
        <w:tc>
          <w:tcPr>
            <w:tcW w:w="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2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320" w:type="dxa"/>
            <w:vAlign w:val="bottom"/>
          </w:tcPr>
          <w:p>
            <w:pPr>
              <w:ind w:left="360"/>
              <w:spacing w:after="0"/>
              <w:rPr>
                <w:sz w:val="20"/>
                <w:szCs w:val="20"/>
                <w:color w:val="auto"/>
              </w:rPr>
            </w:pPr>
            <w:r>
              <w:rPr>
                <w:rFonts w:ascii="Arial" w:cs="Arial" w:eastAsia="Arial" w:hAnsi="Arial"/>
                <w:sz w:val="18"/>
                <w:szCs w:val="18"/>
                <w:color w:val="auto"/>
              </w:rPr>
              <w:t>Loss from early extinguishments of debt</w:t>
            </w:r>
          </w:p>
        </w:tc>
        <w:tc>
          <w:tcPr>
            <w:tcW w:w="4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20" w:type="dxa"/>
            <w:vAlign w:val="bottom"/>
          </w:tcPr>
          <w:p>
            <w:pPr>
              <w:ind w:left="360"/>
              <w:spacing w:after="0"/>
              <w:rPr>
                <w:sz w:val="20"/>
                <w:szCs w:val="20"/>
                <w:color w:val="auto"/>
              </w:rPr>
            </w:pPr>
            <w:r>
              <w:rPr>
                <w:rFonts w:ascii="Arial" w:cs="Arial" w:eastAsia="Arial" w:hAnsi="Arial"/>
                <w:sz w:val="18"/>
                <w:szCs w:val="18"/>
                <w:color w:val="auto"/>
              </w:rPr>
              <w:t>Other pension and postretirement</w:t>
            </w:r>
          </w:p>
        </w:tc>
        <w:tc>
          <w:tcPr>
            <w:tcW w:w="4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20" w:type="dxa"/>
            <w:vAlign w:val="bottom"/>
          </w:tcPr>
          <w:p>
            <w:pPr>
              <w:ind w:left="360"/>
              <w:spacing w:after="0"/>
              <w:rPr>
                <w:sz w:val="20"/>
                <w:szCs w:val="20"/>
                <w:color w:val="auto"/>
              </w:rPr>
            </w:pPr>
            <w:r>
              <w:rPr>
                <w:rFonts w:ascii="Arial" w:cs="Arial" w:eastAsia="Arial" w:hAnsi="Arial"/>
                <w:sz w:val="18"/>
                <w:szCs w:val="18"/>
                <w:color w:val="auto"/>
              </w:rPr>
              <w:t>Net interest expense</w:t>
            </w:r>
          </w:p>
        </w:tc>
        <w:tc>
          <w:tcPr>
            <w:tcW w:w="4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20" w:type="dxa"/>
            <w:vAlign w:val="bottom"/>
          </w:tcPr>
          <w:p>
            <w:pPr>
              <w:ind w:left="360"/>
              <w:spacing w:after="0"/>
              <w:rPr>
                <w:sz w:val="20"/>
                <w:szCs w:val="20"/>
                <w:color w:val="auto"/>
              </w:rPr>
            </w:pPr>
            <w:r>
              <w:rPr>
                <w:rFonts w:ascii="Arial" w:cs="Arial" w:eastAsia="Arial" w:hAnsi="Arial"/>
                <w:sz w:val="18"/>
                <w:szCs w:val="18"/>
                <w:color w:val="auto"/>
              </w:rPr>
              <w:t>Technology royalty</w:t>
            </w:r>
          </w:p>
        </w:tc>
        <w:tc>
          <w:tcPr>
            <w:tcW w:w="4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20" w:type="dxa"/>
            <w:vAlign w:val="bottom"/>
          </w:tcPr>
          <w:p>
            <w:pPr>
              <w:ind w:left="360"/>
              <w:spacing w:after="0"/>
              <w:rPr>
                <w:sz w:val="20"/>
                <w:szCs w:val="20"/>
                <w:color w:val="auto"/>
              </w:rPr>
            </w:pPr>
            <w:r>
              <w:rPr>
                <w:rFonts w:ascii="Arial" w:cs="Arial" w:eastAsia="Arial" w:hAnsi="Arial"/>
                <w:sz w:val="18"/>
                <w:szCs w:val="18"/>
                <w:color w:val="auto"/>
              </w:rPr>
              <w:t>Foreign exchange</w:t>
            </w:r>
          </w:p>
        </w:tc>
        <w:tc>
          <w:tcPr>
            <w:tcW w:w="4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320" w:type="dxa"/>
            <w:vAlign w:val="bottom"/>
            <w:vMerge w:val="restart"/>
          </w:tcPr>
          <w:p>
            <w:pPr>
              <w:spacing w:after="0"/>
              <w:rPr>
                <w:sz w:val="20"/>
                <w:szCs w:val="20"/>
                <w:color w:val="auto"/>
              </w:rPr>
            </w:pPr>
            <w:r>
              <w:rPr>
                <w:rFonts w:ascii="Arial" w:cs="Arial" w:eastAsia="Arial" w:hAnsi="Arial"/>
                <w:sz w:val="18"/>
                <w:szCs w:val="18"/>
                <w:b w:val="1"/>
                <w:bCs w:val="1"/>
                <w:color w:val="auto"/>
              </w:rPr>
              <w:t>Income/(loss) before income taxes</w:t>
            </w:r>
          </w:p>
        </w:tc>
        <w:tc>
          <w:tcPr>
            <w:tcW w:w="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2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320" w:type="dxa"/>
            <w:vAlign w:val="bottom"/>
          </w:tcPr>
          <w:p>
            <w:pPr>
              <w:ind w:left="360"/>
              <w:spacing w:after="0"/>
              <w:rPr>
                <w:sz w:val="20"/>
                <w:szCs w:val="20"/>
                <w:color w:val="auto"/>
              </w:rPr>
            </w:pPr>
            <w:r>
              <w:rPr>
                <w:rFonts w:ascii="Arial" w:cs="Arial" w:eastAsia="Arial" w:hAnsi="Arial"/>
                <w:sz w:val="18"/>
                <w:szCs w:val="18"/>
                <w:color w:val="auto"/>
              </w:rPr>
              <w:t>Provision for / (benefit from) income taxes</w:t>
            </w:r>
          </w:p>
        </w:tc>
        <w:tc>
          <w:tcPr>
            <w:tcW w:w="4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20" w:type="dxa"/>
            <w:vAlign w:val="bottom"/>
          </w:tcPr>
          <w:p>
            <w:pPr>
              <w:ind w:left="360"/>
              <w:spacing w:after="0"/>
              <w:rPr>
                <w:sz w:val="20"/>
                <w:szCs w:val="20"/>
                <w:color w:val="auto"/>
              </w:rPr>
            </w:pPr>
            <w:r>
              <w:rPr>
                <w:rFonts w:ascii="Arial" w:cs="Arial" w:eastAsia="Arial" w:hAnsi="Arial"/>
                <w:sz w:val="18"/>
                <w:szCs w:val="18"/>
                <w:color w:val="auto"/>
              </w:rPr>
              <w:t>Equity earnings / (loss) in affiliates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240</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320" w:type="dxa"/>
            <w:vAlign w:val="bottom"/>
            <w:vMerge w:val="restart"/>
          </w:tcPr>
          <w:p>
            <w:pPr>
              <w:spacing w:after="0"/>
              <w:rPr>
                <w:sz w:val="20"/>
                <w:szCs w:val="20"/>
                <w:color w:val="auto"/>
              </w:rPr>
            </w:pPr>
            <w:r>
              <w:rPr>
                <w:rFonts w:ascii="Arial" w:cs="Arial" w:eastAsia="Arial" w:hAnsi="Arial"/>
                <w:sz w:val="18"/>
                <w:szCs w:val="18"/>
                <w:b w:val="1"/>
                <w:bCs w:val="1"/>
                <w:color w:val="auto"/>
              </w:rPr>
              <w:t>Net income</w:t>
            </w:r>
          </w:p>
        </w:tc>
        <w:tc>
          <w:tcPr>
            <w:tcW w:w="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2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240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320" w:type="dxa"/>
            <w:vAlign w:val="bottom"/>
          </w:tcPr>
          <w:p>
            <w:pPr>
              <w:ind w:left="360"/>
              <w:spacing w:after="0"/>
              <w:rPr>
                <w:sz w:val="20"/>
                <w:szCs w:val="20"/>
                <w:color w:val="auto"/>
              </w:rPr>
            </w:pPr>
            <w:r>
              <w:rPr>
                <w:rFonts w:ascii="Arial" w:cs="Arial" w:eastAsia="Arial" w:hAnsi="Arial"/>
                <w:sz w:val="18"/>
                <w:szCs w:val="18"/>
                <w:color w:val="auto"/>
                <w:w w:val="99"/>
              </w:rPr>
              <w:t>Net income attributable to noncontrolling interests</w:t>
            </w:r>
          </w:p>
        </w:tc>
        <w:tc>
          <w:tcPr>
            <w:tcW w:w="4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20" w:type="dxa"/>
            <w:vAlign w:val="bottom"/>
          </w:tcPr>
          <w:p>
            <w:pPr>
              <w:spacing w:after="0"/>
              <w:rPr>
                <w:sz w:val="20"/>
                <w:szCs w:val="20"/>
                <w:color w:val="auto"/>
              </w:rPr>
            </w:pPr>
            <w:r>
              <w:rPr>
                <w:rFonts w:ascii="Arial" w:cs="Arial" w:eastAsia="Arial" w:hAnsi="Arial"/>
                <w:sz w:val="18"/>
                <w:szCs w:val="18"/>
                <w:b w:val="1"/>
                <w:bCs w:val="1"/>
                <w:color w:val="auto"/>
              </w:rPr>
              <w:t>Net income attributable to Crown Holdings</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8"/>
                <w:szCs w:val="18"/>
                <w:b w:val="1"/>
                <w:bCs w:val="1"/>
                <w:color w:val="auto"/>
              </w:rPr>
              <w:t>Total comprehensive Income</w:t>
            </w: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320" w:type="dxa"/>
            <w:vAlign w:val="bottom"/>
            <w:vMerge w:val="continue"/>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340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4320" w:type="dxa"/>
            <w:vAlign w:val="bottom"/>
          </w:tcPr>
          <w:p>
            <w:pPr>
              <w:ind w:left="360"/>
              <w:spacing w:after="0"/>
              <w:rPr>
                <w:sz w:val="20"/>
                <w:szCs w:val="20"/>
                <w:color w:val="auto"/>
              </w:rPr>
            </w:pPr>
            <w:r>
              <w:rPr>
                <w:rFonts w:ascii="Arial" w:cs="Arial" w:eastAsia="Arial" w:hAnsi="Arial"/>
                <w:sz w:val="18"/>
                <w:szCs w:val="18"/>
                <w:color w:val="auto"/>
                <w:w w:val="93"/>
              </w:rPr>
              <w:t>Comprehensive income attributable to noncontrolling</w:t>
            </w:r>
          </w:p>
        </w:tc>
        <w:tc>
          <w:tcPr>
            <w:tcW w:w="4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360"/>
              <w:spacing w:after="0"/>
              <w:rPr>
                <w:sz w:val="20"/>
                <w:szCs w:val="20"/>
                <w:color w:val="auto"/>
              </w:rPr>
            </w:pPr>
            <w:r>
              <w:rPr>
                <w:rFonts w:ascii="Arial" w:cs="Arial" w:eastAsia="Arial" w:hAnsi="Arial"/>
                <w:sz w:val="18"/>
                <w:szCs w:val="18"/>
                <w:color w:val="auto"/>
              </w:rPr>
              <w:t>interests</w:t>
            </w: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20" w:type="dxa"/>
            <w:vAlign w:val="bottom"/>
            <w:gridSpan w:val="2"/>
          </w:tcPr>
          <w:p>
            <w:pPr>
              <w:spacing w:after="0"/>
              <w:rPr>
                <w:sz w:val="20"/>
                <w:szCs w:val="20"/>
                <w:color w:val="auto"/>
              </w:rPr>
            </w:pPr>
            <w:r>
              <w:rPr>
                <w:rFonts w:ascii="Arial" w:cs="Arial" w:eastAsia="Arial" w:hAnsi="Arial"/>
                <w:sz w:val="18"/>
                <w:szCs w:val="18"/>
                <w:b w:val="1"/>
                <w:bCs w:val="1"/>
                <w:color w:val="auto"/>
                <w:w w:val="96"/>
              </w:rPr>
              <w:t xml:space="preserve">Comprehensive income attributable to Crown Holdings </w:t>
            </w:r>
            <w:r>
              <w:rPr>
                <w:rFonts w:ascii="Arial" w:cs="Arial" w:eastAsia="Arial" w:hAnsi="Arial"/>
                <w:sz w:val="18"/>
                <w:szCs w:val="18"/>
                <w:color w:val="auto"/>
                <w:w w:val="96"/>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340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-3524250</wp:posOffset>
            </wp:positionV>
            <wp:extent cx="7229475"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-3180715</wp:posOffset>
            </wp:positionV>
            <wp:extent cx="722947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-2829560</wp:posOffset>
            </wp:positionV>
            <wp:extent cx="722947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-2486660</wp:posOffset>
            </wp:positionV>
            <wp:extent cx="722947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-2143125</wp:posOffset>
            </wp:positionV>
            <wp:extent cx="722947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-1791970</wp:posOffset>
            </wp:positionV>
            <wp:extent cx="722947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-685165</wp:posOffset>
            </wp:positionV>
            <wp:extent cx="722947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-205105</wp:posOffset>
            </wp:positionV>
            <wp:extent cx="7229475"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9475" cy="18859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-1097280</wp:posOffset>
            </wp:positionV>
            <wp:extent cx="7229475"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18859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-1448435</wp:posOffset>
            </wp:positionV>
            <wp:extent cx="7229475"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1,886</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4,143</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5,790</w:t>
            </w:r>
          </w:p>
        </w:tc>
      </w:tr>
      <w:tr>
        <w:trPr>
          <w:trHeight w:val="486"/>
        </w:trPr>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1,559</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3,307</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4,627</w:t>
            </w:r>
          </w:p>
        </w:tc>
      </w:tr>
      <w:tr>
        <w:trPr>
          <w:trHeight w:val="270"/>
        </w:trPr>
        <w:tc>
          <w:tcPr>
            <w:tcW w:w="5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245</w:t>
            </w:r>
          </w:p>
        </w:tc>
      </w:tr>
      <w:tr>
        <w:trPr>
          <w:trHeight w:val="270"/>
        </w:trPr>
        <w:tc>
          <w:tcPr>
            <w:tcW w:w="500" w:type="dxa"/>
            <w:vAlign w:val="bottom"/>
          </w:tcPr>
          <w:p>
            <w:pPr>
              <w:jc w:val="right"/>
              <w:ind w:right="13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314</w:t>
            </w:r>
          </w:p>
        </w:tc>
      </w:tr>
      <w:tr>
        <w:trPr>
          <w:trHeight w:val="270"/>
        </w:trPr>
        <w:tc>
          <w:tcPr>
            <w:tcW w:w="5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50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645</w:t>
            </w:r>
          </w:p>
        </w:tc>
      </w:tr>
      <w:tr>
        <w:trPr>
          <w:trHeight w:val="270"/>
        </w:trPr>
        <w:tc>
          <w:tcPr>
            <w:tcW w:w="500" w:type="dxa"/>
            <w:vAlign w:val="bottom"/>
          </w:tcPr>
          <w:p>
            <w:pPr>
              <w:jc w:val="right"/>
              <w:ind w:right="130"/>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0"/>
        </w:trPr>
        <w:tc>
          <w:tcPr>
            <w:tcW w:w="5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0"/>
        </w:trPr>
        <w:tc>
          <w:tcPr>
            <w:tcW w:w="500" w:type="dxa"/>
            <w:vAlign w:val="bottom"/>
          </w:tcPr>
          <w:p>
            <w:pPr>
              <w:jc w:val="right"/>
              <w:ind w:right="130"/>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188</w:t>
            </w:r>
          </w:p>
        </w:tc>
      </w:tr>
      <w:tr>
        <w:trPr>
          <w:trHeight w:val="270"/>
        </w:trPr>
        <w:tc>
          <w:tcPr>
            <w:tcW w:w="5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500" w:type="dxa"/>
            <w:vAlign w:val="bottom"/>
          </w:tcPr>
          <w:p>
            <w:pPr>
              <w:jc w:val="right"/>
              <w:ind w:right="70"/>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500" w:type="dxa"/>
            <w:vAlign w:val="bottom"/>
          </w:tcPr>
          <w:p>
            <w:pPr>
              <w:jc w:val="right"/>
              <w:ind w:right="70"/>
              <w:spacing w:after="0"/>
              <w:rPr>
                <w:sz w:val="20"/>
                <w:szCs w:val="20"/>
                <w:color w:val="auto"/>
              </w:rPr>
            </w:pPr>
            <w:r>
              <w:rPr>
                <w:rFonts w:ascii="Arial" w:cs="Arial" w:eastAsia="Arial" w:hAnsi="Arial"/>
                <w:sz w:val="18"/>
                <w:szCs w:val="18"/>
                <w:color w:val="auto"/>
                <w:w w:val="99"/>
              </w:rPr>
              <w:t>(43)</w:t>
            </w:r>
          </w:p>
        </w:tc>
        <w:tc>
          <w:tcPr>
            <w:tcW w:w="30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438</w:t>
            </w:r>
          </w:p>
        </w:tc>
      </w:tr>
      <w:tr>
        <w:trPr>
          <w:trHeight w:val="270"/>
        </w:trPr>
        <w:tc>
          <w:tcPr>
            <w:tcW w:w="500" w:type="dxa"/>
            <w:vAlign w:val="bottom"/>
          </w:tcPr>
          <w:p>
            <w:pPr>
              <w:jc w:val="right"/>
              <w:ind w:right="70"/>
              <w:spacing w:after="0"/>
              <w:rPr>
                <w:sz w:val="20"/>
                <w:szCs w:val="20"/>
                <w:color w:val="auto"/>
              </w:rPr>
            </w:pPr>
            <w:r>
              <w:rPr>
                <w:rFonts w:ascii="Arial" w:cs="Arial" w:eastAsia="Arial" w:hAnsi="Arial"/>
                <w:sz w:val="18"/>
                <w:szCs w:val="18"/>
                <w:color w:val="auto"/>
                <w:w w:val="99"/>
              </w:rPr>
              <w:t>(10)</w:t>
            </w:r>
          </w:p>
        </w:tc>
        <w:tc>
          <w:tcPr>
            <w:tcW w:w="3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136</w:t>
            </w:r>
          </w:p>
        </w:tc>
      </w:tr>
      <w:tr>
        <w:trPr>
          <w:trHeight w:val="270"/>
        </w:trPr>
        <w:tc>
          <w:tcPr>
            <w:tcW w:w="500" w:type="dxa"/>
            <w:vAlign w:val="bottom"/>
          </w:tcPr>
          <w:p>
            <w:pPr>
              <w:jc w:val="right"/>
              <w:ind w:right="130"/>
              <w:spacing w:after="0"/>
              <w:rPr>
                <w:sz w:val="20"/>
                <w:szCs w:val="20"/>
                <w:color w:val="auto"/>
              </w:rPr>
            </w:pPr>
            <w:r>
              <w:rPr>
                <w:rFonts w:ascii="Arial" w:cs="Arial" w:eastAsia="Arial" w:hAnsi="Arial"/>
                <w:sz w:val="18"/>
                <w:szCs w:val="18"/>
                <w:color w:val="auto"/>
                <w:w w:val="86"/>
              </w:rPr>
              <w:t>140</w:t>
            </w:r>
          </w:p>
        </w:tc>
        <w:tc>
          <w:tcPr>
            <w:tcW w:w="3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500" w:type="dxa"/>
            <w:vAlign w:val="bottom"/>
          </w:tcPr>
          <w:p>
            <w:pPr>
              <w:jc w:val="right"/>
              <w:ind w:right="130"/>
              <w:spacing w:after="0"/>
              <w:rPr>
                <w:sz w:val="20"/>
                <w:szCs w:val="20"/>
                <w:color w:val="auto"/>
              </w:rPr>
            </w:pPr>
            <w:r>
              <w:rPr>
                <w:rFonts w:ascii="Arial" w:cs="Arial" w:eastAsia="Arial" w:hAnsi="Arial"/>
                <w:sz w:val="18"/>
                <w:szCs w:val="18"/>
                <w:color w:val="auto"/>
                <w:w w:val="86"/>
              </w:rPr>
              <w:t>107</w:t>
            </w:r>
          </w:p>
        </w:tc>
        <w:tc>
          <w:tcPr>
            <w:tcW w:w="30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305</w:t>
            </w:r>
          </w:p>
        </w:tc>
      </w:tr>
      <w:tr>
        <w:trPr>
          <w:trHeight w:val="270"/>
        </w:trPr>
        <w:tc>
          <w:tcPr>
            <w:tcW w:w="5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
        </w:trPr>
        <w:tc>
          <w:tcPr>
            <w:tcW w:w="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500" w:type="dxa"/>
            <w:vAlign w:val="bottom"/>
          </w:tcPr>
          <w:p>
            <w:pPr>
              <w:jc w:val="right"/>
              <w:ind w:right="130"/>
              <w:spacing w:after="0"/>
              <w:rPr>
                <w:sz w:val="20"/>
                <w:szCs w:val="20"/>
                <w:color w:val="auto"/>
              </w:rPr>
            </w:pPr>
            <w:r>
              <w:rPr>
                <w:rFonts w:ascii="Arial" w:cs="Arial" w:eastAsia="Arial" w:hAnsi="Arial"/>
                <w:sz w:val="18"/>
                <w:szCs w:val="18"/>
                <w:color w:val="auto"/>
                <w:w w:val="86"/>
              </w:rPr>
              <w:t>107</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(525)</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240</w:t>
            </w:r>
          </w:p>
        </w:tc>
      </w:tr>
      <w:tr>
        <w:trPr>
          <w:trHeight w:val="27"/>
        </w:trPr>
        <w:tc>
          <w:tcPr>
            <w:tcW w:w="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
        </w:trPr>
        <w:tc>
          <w:tcPr>
            <w:tcW w:w="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548"/>
        </w:trPr>
        <w:tc>
          <w:tcPr>
            <w:tcW w:w="500" w:type="dxa"/>
            <w:vAlign w:val="bottom"/>
          </w:tcPr>
          <w:p>
            <w:pPr>
              <w:jc w:val="right"/>
              <w:ind w:right="130"/>
              <w:spacing w:after="0"/>
              <w:rPr>
                <w:sz w:val="20"/>
                <w:szCs w:val="20"/>
                <w:color w:val="auto"/>
              </w:rPr>
            </w:pPr>
            <w:r>
              <w:rPr>
                <w:rFonts w:ascii="Arial" w:cs="Arial" w:eastAsia="Arial" w:hAnsi="Arial"/>
                <w:sz w:val="18"/>
                <w:szCs w:val="18"/>
                <w:color w:val="auto"/>
                <w:w w:val="86"/>
              </w:rPr>
              <w:t>115</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(697)</w:t>
            </w:r>
          </w:p>
        </w:tc>
        <w:tc>
          <w:tcPr>
            <w:tcW w:w="12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405</w:t>
            </w:r>
          </w:p>
        </w:tc>
      </w:tr>
      <w:tr>
        <w:trPr>
          <w:trHeight w:val="486"/>
        </w:trPr>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
        </w:trPr>
        <w:tc>
          <w:tcPr>
            <w:tcW w:w="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500" w:type="dxa"/>
            <w:vAlign w:val="bottom"/>
          </w:tcPr>
          <w:p>
            <w:pPr>
              <w:jc w:val="right"/>
              <w:ind w:right="130"/>
              <w:spacing w:after="0"/>
              <w:rPr>
                <w:sz w:val="20"/>
                <w:szCs w:val="20"/>
                <w:color w:val="auto"/>
              </w:rPr>
            </w:pPr>
            <w:r>
              <w:rPr>
                <w:rFonts w:ascii="Arial" w:cs="Arial" w:eastAsia="Arial" w:hAnsi="Arial"/>
                <w:sz w:val="18"/>
                <w:szCs w:val="18"/>
                <w:color w:val="auto"/>
                <w:w w:val="86"/>
              </w:rPr>
              <w:t>115</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(697)</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340</w:t>
            </w:r>
          </w:p>
        </w:tc>
      </w:tr>
      <w:tr>
        <w:trPr>
          <w:trHeight w:val="27"/>
        </w:trPr>
        <w:tc>
          <w:tcPr>
            <w:tcW w:w="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
        </w:trPr>
        <w:tc>
          <w:tcPr>
            <w:tcW w:w="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-8255</wp:posOffset>
            </wp:positionV>
            <wp:extent cx="6515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-899795</wp:posOffset>
            </wp:positionV>
            <wp:extent cx="6515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-1971675</wp:posOffset>
            </wp:positionV>
            <wp:extent cx="6515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-3009265</wp:posOffset>
            </wp:positionV>
            <wp:extent cx="6515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00" w:space="520"/>
            <w:col w:w="5240"/>
          </w:cols>
          <w:pgMar w:left="280" w:top="121" w:right="259"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360"/>
          </w:cols>
          <w:pgMar w:left="280" w:top="121" w:right="259" w:bottom="1440" w:gutter="0" w:footer="0" w:header="0"/>
          <w:type w:val="continuous"/>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CONDENSED COMBINING STATEMENT OF COMPREHENSIVE INCOME</w:t>
      </w:r>
    </w:p>
    <w:p>
      <w:pPr>
        <w:spacing w:after="0" w:line="171"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For the six months ended June 30, 2018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Parent</w:t>
            </w:r>
          </w:p>
        </w:tc>
        <w:tc>
          <w:tcPr>
            <w:tcW w:w="300" w:type="dxa"/>
            <w:vAlign w:val="bottom"/>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Issuer</w:t>
            </w:r>
          </w:p>
        </w:tc>
        <w:tc>
          <w:tcPr>
            <w:tcW w:w="120" w:type="dxa"/>
            <w:vAlign w:val="bottom"/>
          </w:tcPr>
          <w:p>
            <w:pPr>
              <w:spacing w:after="0"/>
              <w:rPr>
                <w:sz w:val="14"/>
                <w:szCs w:val="14"/>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Guarantors</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4"/>
                <w:szCs w:val="14"/>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940" w:type="dxa"/>
            <w:vAlign w:val="bottom"/>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Guarantors</w:t>
            </w:r>
          </w:p>
        </w:tc>
        <w:tc>
          <w:tcPr>
            <w:tcW w:w="1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172"/>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5,243</w:t>
            </w:r>
          </w:p>
        </w:tc>
        <w:tc>
          <w:tcPr>
            <w:tcW w:w="0" w:type="dxa"/>
            <w:vAlign w:val="bottom"/>
          </w:tcPr>
          <w:p>
            <w:pPr>
              <w:spacing w:after="0"/>
              <w:rPr>
                <w:sz w:val="1"/>
                <w:szCs w:val="1"/>
                <w:color w:val="auto"/>
              </w:rPr>
            </w:pPr>
          </w:p>
        </w:tc>
      </w:tr>
      <w:tr>
        <w:trPr>
          <w:trHeight w:val="229"/>
        </w:trPr>
        <w:tc>
          <w:tcPr>
            <w:tcW w:w="4340" w:type="dxa"/>
            <w:vAlign w:val="bottom"/>
          </w:tcPr>
          <w:p>
            <w:pPr>
              <w:ind w:left="380"/>
              <w:spacing w:after="0"/>
              <w:rPr>
                <w:sz w:val="20"/>
                <w:szCs w:val="20"/>
                <w:color w:val="auto"/>
              </w:rPr>
            </w:pPr>
            <w:r>
              <w:rPr>
                <w:rFonts w:ascii="Arial" w:cs="Arial" w:eastAsia="Arial" w:hAnsi="Arial"/>
                <w:sz w:val="18"/>
                <w:szCs w:val="18"/>
                <w:color w:val="auto"/>
              </w:rPr>
              <w:t>Cost of products sold, excluding depreciation and</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1,354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3,170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4,274</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Arial" w:cs="Arial" w:eastAsia="Arial" w:hAnsi="Arial"/>
                <w:sz w:val="18"/>
                <w:szCs w:val="18"/>
                <w:color w:val="auto"/>
              </w:rPr>
              <w:t>Selling and administrative expense</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and other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7"/>
        </w:trPr>
        <w:tc>
          <w:tcPr>
            <w:tcW w:w="434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pension and postretirement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Arial" w:cs="Arial" w:eastAsia="Arial" w:hAnsi="Arial"/>
                <w:sz w:val="18"/>
                <w:szCs w:val="18"/>
                <w:color w:val="auto"/>
              </w:rPr>
              <w:t>Net interest expense</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Technology royalty</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Arial" w:cs="Arial" w:eastAsia="Arial" w:hAnsi="Arial"/>
                <w:sz w:val="18"/>
                <w:szCs w:val="18"/>
                <w:color w:val="auto"/>
              </w:rPr>
              <w:t>Foreign exchange</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Income/(loss)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Arial" w:cs="Arial" w:eastAsia="Arial" w:hAnsi="Arial"/>
                <w:sz w:val="18"/>
                <w:szCs w:val="18"/>
                <w:color w:val="auto"/>
              </w:rPr>
              <w:t>Provision for / (benefit from) income taxes</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earnings / (loss) in affiliates</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434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9"/>
              </w:rPr>
              <w:t>Net income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97"/>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income attributable to Crown Holdings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311"/>
        </w:trPr>
        <w:tc>
          <w:tcPr>
            <w:tcW w:w="4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34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Comprehensive income attributable to noncontrolling</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interests</w:t>
            </w: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56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 xml:space="preserve">Comprehensive income attributable to Crown Holdings </w:t>
            </w:r>
            <w:r>
              <w:rPr>
                <w:rFonts w:ascii="Arial" w:cs="Arial" w:eastAsia="Arial" w:hAnsi="Arial"/>
                <w:sz w:val="18"/>
                <w:szCs w:val="18"/>
                <w:color w:val="auto"/>
                <w:w w:val="92"/>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39</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60" w:top="121" w:right="25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CONDENSED COMBINING BALANCE SHEET</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As of June 30, 2019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Parent</w:t>
            </w:r>
          </w:p>
        </w:tc>
        <w:tc>
          <w:tcPr>
            <w:tcW w:w="260" w:type="dxa"/>
            <w:vAlign w:val="bottom"/>
          </w:tcPr>
          <w:p>
            <w:pPr>
              <w:spacing w:after="0"/>
              <w:rPr>
                <w:sz w:val="14"/>
                <w:szCs w:val="14"/>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Issuer</w:t>
            </w:r>
          </w:p>
        </w:tc>
        <w:tc>
          <w:tcPr>
            <w:tcW w:w="160" w:type="dxa"/>
            <w:vAlign w:val="bottom"/>
          </w:tcPr>
          <w:p>
            <w:pPr>
              <w:spacing w:after="0"/>
              <w:rPr>
                <w:sz w:val="14"/>
                <w:szCs w:val="14"/>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Guarantors</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4"/>
                <w:szCs w:val="14"/>
                <w:color w:val="auto"/>
              </w:rPr>
            </w:pPr>
          </w:p>
        </w:tc>
        <w:tc>
          <w:tcPr>
            <w:tcW w:w="940" w:type="dxa"/>
            <w:vAlign w:val="bottom"/>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1"/>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Receivables, net</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1,623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1,830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Intercompany receivables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1,305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1,837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37"/>
        </w:trPr>
        <w:tc>
          <w:tcPr>
            <w:tcW w:w="4000" w:type="dxa"/>
            <w:vAlign w:val="bottom"/>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3,459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4,214</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Intercompany debt receivables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2,916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3,407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1,182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3,266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4,448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2,106</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3,061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3,761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right-of-use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3,800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5,790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8,616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11,798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(14,439)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15,565</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Short-term debt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Current maturities of long-term debt</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operating lease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1,717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2,355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Intercompany payables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2,757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3,608</w:t>
            </w:r>
          </w:p>
        </w:tc>
        <w:tc>
          <w:tcPr>
            <w:tcW w:w="0" w:type="dxa"/>
            <w:vAlign w:val="bottom"/>
          </w:tcPr>
          <w:p>
            <w:pPr>
              <w:spacing w:after="0"/>
              <w:rPr>
                <w:sz w:val="1"/>
                <w:szCs w:val="1"/>
                <w:color w:val="auto"/>
              </w:rPr>
            </w:pPr>
          </w:p>
        </w:tc>
      </w:tr>
      <w:tr>
        <w:trPr>
          <w:trHeight w:val="318"/>
        </w:trPr>
        <w:tc>
          <w:tcPr>
            <w:tcW w:w="40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excluding current maturities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8,549</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Long-term intercompany debt</w:t>
            </w:r>
          </w:p>
        </w:tc>
        <w:tc>
          <w:tcPr>
            <w:tcW w:w="2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2,495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2,985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portion of operating lease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Postretirement and pension liabilities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Commitments and contingent liabilities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Crown Holdings shareholders’ equity/(deficit)</w:t>
            </w:r>
          </w:p>
        </w:tc>
        <w:tc>
          <w:tcPr>
            <w:tcW w:w="2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1,294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1,670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3,048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3,329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1,294</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equity/(deficit)</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3,048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3,735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37"/>
        </w:trPr>
        <w:tc>
          <w:tcPr>
            <w:tcW w:w="4000" w:type="dxa"/>
            <w:vAlign w:val="bottom"/>
          </w:tcPr>
          <w:p>
            <w:pPr>
              <w:ind w:left="72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3,800</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5,790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8,616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11,798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(14,439)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15,565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1" w:right="239" w:bottom="1440" w:gutter="0" w:footer="0" w:header="0"/>
          <w:type w:val="continuous"/>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CONDENSED COMBINING BALANCE SHEET</w:t>
      </w:r>
    </w:p>
    <w:p>
      <w:pPr>
        <w:spacing w:after="0" w:line="171"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As of December 31, 2018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Parent</w:t>
            </w:r>
          </w:p>
        </w:tc>
        <w:tc>
          <w:tcPr>
            <w:tcW w:w="220" w:type="dxa"/>
            <w:vAlign w:val="bottom"/>
          </w:tcPr>
          <w:p>
            <w:pPr>
              <w:spacing w:after="0"/>
              <w:rPr>
                <w:sz w:val="14"/>
                <w:szCs w:val="14"/>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Issuer</w:t>
            </w:r>
          </w:p>
        </w:tc>
        <w:tc>
          <w:tcPr>
            <w:tcW w:w="160" w:type="dxa"/>
            <w:vAlign w:val="bottom"/>
          </w:tcPr>
          <w:p>
            <w:pPr>
              <w:spacing w:after="0"/>
              <w:rPr>
                <w:sz w:val="14"/>
                <w:szCs w:val="14"/>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Guarantors</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4"/>
                <w:szCs w:val="14"/>
                <w:color w:val="auto"/>
              </w:rPr>
            </w:pPr>
          </w:p>
        </w:tc>
        <w:tc>
          <w:tcPr>
            <w:tcW w:w="940" w:type="dxa"/>
            <w:vAlign w:val="bottom"/>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1"/>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Receivables, net</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1,416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Intercompany receivables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1,205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1,690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37"/>
        </w:trPr>
        <w:tc>
          <w:tcPr>
            <w:tcW w:w="4000" w:type="dxa"/>
            <w:vAlign w:val="bottom"/>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3,266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4,079</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Intercompany debt receivables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2,577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3,449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1,178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3,264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4,442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2,193</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3,051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3,745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37"/>
        </w:trPr>
        <w:tc>
          <w:tcPr>
            <w:tcW w:w="4000" w:type="dxa"/>
            <w:vAlign w:val="bottom"/>
          </w:tcPr>
          <w:p>
            <w:pPr>
              <w:ind w:left="72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3,459</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5,386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8,397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11,467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(13,447)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15,262</w:t>
            </w:r>
          </w:p>
        </w:tc>
        <w:tc>
          <w:tcPr>
            <w:tcW w:w="0" w:type="dxa"/>
            <w:vAlign w:val="bottom"/>
          </w:tcPr>
          <w:p>
            <w:pPr>
              <w:spacing w:after="0"/>
              <w:rPr>
                <w:sz w:val="1"/>
                <w:szCs w:val="1"/>
                <w:color w:val="auto"/>
              </w:rPr>
            </w:pPr>
          </w:p>
        </w:tc>
      </w:tr>
      <w:tr>
        <w:trPr>
          <w:trHeight w:val="67"/>
        </w:trPr>
        <w:tc>
          <w:tcPr>
            <w:tcW w:w="40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Short-term debt</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maturities of 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2,732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Intercompany payables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2,977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3,913</w:t>
            </w:r>
          </w:p>
        </w:tc>
        <w:tc>
          <w:tcPr>
            <w:tcW w:w="0" w:type="dxa"/>
            <w:vAlign w:val="bottom"/>
          </w:tcPr>
          <w:p>
            <w:pPr>
              <w:spacing w:after="0"/>
              <w:rPr>
                <w:sz w:val="1"/>
                <w:szCs w:val="1"/>
                <w:color w:val="auto"/>
              </w:rPr>
            </w:pPr>
          </w:p>
        </w:tc>
      </w:tr>
      <w:tr>
        <w:trPr>
          <w:trHeight w:val="318"/>
        </w:trPr>
        <w:tc>
          <w:tcPr>
            <w:tcW w:w="40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excluding current maturities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8,493</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Long-term intercompany debt</w:t>
            </w:r>
          </w:p>
        </w:tc>
        <w:tc>
          <w:tcPr>
            <w:tcW w:w="2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2,508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2,700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Postretirement and pension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Crown Holdings shareholders’ equity/(deficit)</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2,777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3,031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Total equity/(deficit)</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937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1,555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2,777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3,380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(7,363)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3,459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5,386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8,397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11,467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(13,447)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15,262</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571"/>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CONDENSED COMBINING STATEMENT OF CASH FLOWS</w:t>
      </w:r>
    </w:p>
    <w:p>
      <w:pPr>
        <w:spacing w:after="0" w:line="171"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For the six months ended June 30, 2019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Issuer</w:t>
            </w:r>
          </w:p>
        </w:tc>
        <w:tc>
          <w:tcPr>
            <w:tcW w:w="160" w:type="dxa"/>
            <w:vAlign w:val="bottom"/>
          </w:tcPr>
          <w:p>
            <w:pPr>
              <w:spacing w:after="0"/>
              <w:rPr>
                <w:sz w:val="14"/>
                <w:szCs w:val="14"/>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Guarantors</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4"/>
                <w:szCs w:val="14"/>
                <w:color w:val="auto"/>
              </w:rPr>
            </w:pPr>
          </w:p>
        </w:tc>
        <w:tc>
          <w:tcPr>
            <w:tcW w:w="940" w:type="dxa"/>
            <w:vAlign w:val="bottom"/>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2"/>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7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89"/>
              </w:rPr>
              <w:t>Net cash provided by/(used for) operating activities</w:t>
            </w:r>
          </w:p>
        </w:tc>
        <w:tc>
          <w:tcPr>
            <w:tcW w:w="800" w:type="dxa"/>
            <w:vAlign w:val="bottom"/>
            <w:tcBorders>
              <w:top w:val="single" w:sz="8" w:color="auto"/>
              <w:bottom w:val="single" w:sz="8" w:color="CCEEFF"/>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23"/>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8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00" w:type="dxa"/>
            <w:vAlign w:val="bottom"/>
          </w:tcPr>
          <w:p>
            <w:pPr>
              <w:spacing w:after="0"/>
              <w:rPr>
                <w:sz w:val="3"/>
                <w:szCs w:val="3"/>
                <w:color w:val="auto"/>
              </w:rPr>
            </w:pPr>
          </w:p>
        </w:tc>
        <w:tc>
          <w:tcPr>
            <w:tcW w:w="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w:t>
            </w:r>
          </w:p>
        </w:tc>
        <w:tc>
          <w:tcPr>
            <w:tcW w:w="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9"/>
        </w:trPr>
        <w:tc>
          <w:tcPr>
            <w:tcW w:w="4000" w:type="dxa"/>
            <w:vAlign w:val="bottom"/>
          </w:tcPr>
          <w:p>
            <w:pPr>
              <w:ind w:left="380"/>
              <w:spacing w:after="0"/>
              <w:rPr>
                <w:sz w:val="20"/>
                <w:szCs w:val="20"/>
                <w:color w:val="auto"/>
              </w:rPr>
            </w:pPr>
            <w:r>
              <w:rPr>
                <w:rFonts w:ascii="Arial" w:cs="Arial" w:eastAsia="Arial" w:hAnsi="Arial"/>
                <w:sz w:val="18"/>
                <w:szCs w:val="18"/>
                <w:color w:val="auto"/>
              </w:rPr>
              <w:t>Proceeds from sale of property, plant and</w:t>
            </w: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380"/>
              <w:spacing w:after="0"/>
              <w:rPr>
                <w:sz w:val="20"/>
                <w:szCs w:val="20"/>
                <w:color w:val="auto"/>
              </w:rPr>
            </w:pPr>
            <w:r>
              <w:rPr>
                <w:rFonts w:ascii="Arial" w:cs="Arial" w:eastAsia="Arial" w:hAnsi="Arial"/>
                <w:sz w:val="18"/>
                <w:szCs w:val="18"/>
                <w:color w:val="auto"/>
              </w:rPr>
              <w:t>equipment</w:t>
            </w: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investment hedge</w:t>
            </w:r>
          </w:p>
        </w:tc>
        <w:tc>
          <w:tcPr>
            <w:tcW w:w="8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5"/>
        </w:trPr>
        <w:tc>
          <w:tcPr>
            <w:tcW w:w="4000" w:type="dxa"/>
            <w:vAlign w:val="bottom"/>
          </w:tcPr>
          <w:p>
            <w:pPr>
              <w:ind w:left="380"/>
              <w:spacing w:after="0" w:line="205" w:lineRule="exact"/>
              <w:rPr>
                <w:sz w:val="20"/>
                <w:szCs w:val="20"/>
                <w:color w:val="auto"/>
              </w:rPr>
            </w:pPr>
            <w:r>
              <w:rPr>
                <w:rFonts w:ascii="Arial" w:cs="Arial" w:eastAsia="Arial" w:hAnsi="Arial"/>
                <w:sz w:val="18"/>
                <w:szCs w:val="18"/>
                <w:b w:val="1"/>
                <w:bCs w:val="1"/>
                <w:color w:val="auto"/>
              </w:rPr>
              <w:t>Net cash provided by/(used for) investing</w:t>
            </w:r>
          </w:p>
        </w:tc>
        <w:tc>
          <w:tcPr>
            <w:tcW w:w="8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00" w:type="dxa"/>
            <w:vAlign w:val="bottom"/>
          </w:tcPr>
          <w:p>
            <w:pPr>
              <w:ind w:left="380"/>
              <w:spacing w:after="0"/>
              <w:rPr>
                <w:sz w:val="20"/>
                <w:szCs w:val="20"/>
                <w:color w:val="auto"/>
              </w:rPr>
            </w:pPr>
            <w:r>
              <w:rPr>
                <w:rFonts w:ascii="Arial" w:cs="Arial" w:eastAsia="Arial" w:hAnsi="Arial"/>
                <w:sz w:val="18"/>
                <w:szCs w:val="18"/>
                <w:b w:val="1"/>
                <w:bCs w:val="1"/>
                <w:color w:val="auto"/>
              </w:rPr>
              <w:t>activities</w:t>
            </w:r>
          </w:p>
        </w:tc>
        <w:tc>
          <w:tcPr>
            <w:tcW w:w="800" w:type="dxa"/>
            <w:vAlign w:val="bottom"/>
          </w:tcPr>
          <w:p>
            <w:pPr>
              <w:spacing w:after="0"/>
              <w:rPr>
                <w:sz w:val="20"/>
                <w:szCs w:val="20"/>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Payments of long-term debt</w:t>
            </w: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5"/>
              </w:rPr>
              <w:t>Net change in revolving credit facility and short-</w:t>
            </w:r>
          </w:p>
        </w:tc>
        <w:tc>
          <w:tcPr>
            <w:tcW w:w="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term debt</w:t>
            </w:r>
          </w:p>
        </w:tc>
        <w:tc>
          <w:tcPr>
            <w:tcW w:w="8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w w:val="94"/>
              </w:rPr>
              <w:t>Net change in long-term intercompany balances</w:t>
            </w:r>
          </w:p>
        </w:tc>
        <w:tc>
          <w:tcPr>
            <w:tcW w:w="8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3"/>
              </w:rPr>
              <w:t>(13)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of finance leases</w:t>
            </w:r>
          </w:p>
        </w:tc>
        <w:tc>
          <w:tcPr>
            <w:tcW w:w="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Common stock issued</w:t>
            </w:r>
          </w:p>
        </w:tc>
        <w:tc>
          <w:tcPr>
            <w:tcW w:w="80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 repurchased</w:t>
            </w:r>
          </w:p>
        </w:tc>
        <w:tc>
          <w:tcPr>
            <w:tcW w:w="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Dividends paid</w:t>
            </w: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Contributions from noncontrolling interests</w:t>
            </w:r>
          </w:p>
        </w:tc>
        <w:tc>
          <w:tcPr>
            <w:tcW w:w="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Dividends paid to noncontrolling interests</w:t>
            </w: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 derivatives related to debt</w:t>
            </w:r>
          </w:p>
        </w:tc>
        <w:tc>
          <w:tcPr>
            <w:tcW w:w="8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5"/>
        </w:trPr>
        <w:tc>
          <w:tcPr>
            <w:tcW w:w="4000" w:type="dxa"/>
            <w:vAlign w:val="bottom"/>
          </w:tcPr>
          <w:p>
            <w:pPr>
              <w:ind w:left="380"/>
              <w:spacing w:after="0" w:line="205" w:lineRule="exact"/>
              <w:rPr>
                <w:sz w:val="20"/>
                <w:szCs w:val="20"/>
                <w:color w:val="auto"/>
              </w:rPr>
            </w:pPr>
            <w:r>
              <w:rPr>
                <w:rFonts w:ascii="Arial" w:cs="Arial" w:eastAsia="Arial" w:hAnsi="Arial"/>
                <w:sz w:val="18"/>
                <w:szCs w:val="18"/>
                <w:b w:val="1"/>
                <w:bCs w:val="1"/>
                <w:color w:val="auto"/>
              </w:rPr>
              <w:t>Net cash provided by/(used for) financing</w:t>
            </w:r>
          </w:p>
        </w:tc>
        <w:tc>
          <w:tcPr>
            <w:tcW w:w="8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00" w:type="dxa"/>
            <w:vAlign w:val="bottom"/>
          </w:tcPr>
          <w:p>
            <w:pPr>
              <w:ind w:left="380"/>
              <w:spacing w:after="0"/>
              <w:rPr>
                <w:sz w:val="20"/>
                <w:szCs w:val="20"/>
                <w:color w:val="auto"/>
              </w:rPr>
            </w:pPr>
            <w:r>
              <w:rPr>
                <w:rFonts w:ascii="Arial" w:cs="Arial" w:eastAsia="Arial" w:hAnsi="Arial"/>
                <w:sz w:val="18"/>
                <w:szCs w:val="18"/>
                <w:b w:val="1"/>
                <w:bCs w:val="1"/>
                <w:color w:val="auto"/>
              </w:rPr>
              <w:t>activities</w:t>
            </w:r>
          </w:p>
        </w:tc>
        <w:tc>
          <w:tcPr>
            <w:tcW w:w="8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3"/>
              </w:rPr>
              <w:t>(12)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cash</w:t>
            </w: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equivalents and restricted cash</w:t>
            </w:r>
          </w:p>
        </w:tc>
        <w:tc>
          <w:tcPr>
            <w:tcW w:w="8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9"/>
        </w:trPr>
        <w:tc>
          <w:tcPr>
            <w:tcW w:w="4000" w:type="dxa"/>
            <w:vAlign w:val="bottom"/>
          </w:tcPr>
          <w:p>
            <w:pPr>
              <w:ind w:left="40"/>
              <w:spacing w:after="0"/>
              <w:rPr>
                <w:sz w:val="20"/>
                <w:szCs w:val="20"/>
                <w:color w:val="auto"/>
              </w:rPr>
            </w:pPr>
            <w:r>
              <w:rPr>
                <w:rFonts w:ascii="Arial" w:cs="Arial" w:eastAsia="Arial" w:hAnsi="Arial"/>
                <w:sz w:val="18"/>
                <w:szCs w:val="18"/>
                <w:color w:val="auto"/>
                <w:w w:val="95"/>
              </w:rPr>
              <w:t>Net change in cash, cash equivalents and restricted</w:t>
            </w:r>
          </w:p>
        </w:tc>
        <w:tc>
          <w:tcPr>
            <w:tcW w:w="8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40"/>
              <w:spacing w:after="0"/>
              <w:rPr>
                <w:sz w:val="20"/>
                <w:szCs w:val="20"/>
                <w:color w:val="auto"/>
              </w:rPr>
            </w:pPr>
            <w:r>
              <w:rPr>
                <w:rFonts w:ascii="Arial" w:cs="Arial" w:eastAsia="Arial" w:hAnsi="Arial"/>
                <w:sz w:val="18"/>
                <w:szCs w:val="18"/>
                <w:color w:val="auto"/>
              </w:rPr>
              <w:t>cash</w:t>
            </w:r>
          </w:p>
        </w:tc>
        <w:tc>
          <w:tcPr>
            <w:tcW w:w="800" w:type="dxa"/>
            <w:vAlign w:val="bottom"/>
          </w:tcPr>
          <w:p>
            <w:pPr>
              <w:spacing w:after="0"/>
              <w:rPr>
                <w:sz w:val="20"/>
                <w:szCs w:val="20"/>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8"/>
              </w:rPr>
              <w:t>Cash, cash equivalents and restricted cash at January 1</w:t>
            </w:r>
          </w:p>
        </w:tc>
        <w:tc>
          <w:tcPr>
            <w:tcW w:w="8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05"/>
        </w:trPr>
        <w:tc>
          <w:tcPr>
            <w:tcW w:w="4000" w:type="dxa"/>
            <w:vAlign w:val="bottom"/>
          </w:tcPr>
          <w:p>
            <w:pPr>
              <w:ind w:left="40"/>
              <w:spacing w:after="0" w:line="205" w:lineRule="exact"/>
              <w:rPr>
                <w:sz w:val="20"/>
                <w:szCs w:val="20"/>
                <w:color w:val="auto"/>
              </w:rPr>
            </w:pPr>
            <w:r>
              <w:rPr>
                <w:rFonts w:ascii="Arial" w:cs="Arial" w:eastAsia="Arial" w:hAnsi="Arial"/>
                <w:sz w:val="18"/>
                <w:szCs w:val="18"/>
                <w:b w:val="1"/>
                <w:bCs w:val="1"/>
                <w:color w:val="auto"/>
                <w:w w:val="90"/>
              </w:rPr>
              <w:t>Cash, cash equivalents and restricted cash at June</w:t>
            </w:r>
          </w:p>
        </w:tc>
        <w:tc>
          <w:tcPr>
            <w:tcW w:w="800" w:type="dxa"/>
            <w:vAlign w:val="bottom"/>
            <w:tcBorders>
              <w:top w:val="single" w:sz="8" w:color="auto"/>
            </w:tcBorders>
            <w:vMerge w:val="restart"/>
          </w:tcPr>
          <w:p>
            <w:pPr>
              <w:jc w:val="right"/>
              <w:ind w:right="596"/>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7"/>
                <w:szCs w:val="17"/>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46"/>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30</w:t>
            </w:r>
          </w:p>
        </w:tc>
        <w:tc>
          <w:tcPr>
            <w:tcW w:w="800" w:type="dxa"/>
            <w:vAlign w:val="bottom"/>
            <w:tcBorders>
              <w:bottom w:val="single" w:sz="8" w:color="auto"/>
            </w:tcBorders>
            <w:vMerge w:val="continue"/>
          </w:tcPr>
          <w:p>
            <w:pPr>
              <w:spacing w:after="0"/>
              <w:rPr>
                <w:sz w:val="20"/>
                <w:szCs w:val="20"/>
                <w:color w:val="auto"/>
              </w:rPr>
            </w:pPr>
          </w:p>
        </w:tc>
        <w:tc>
          <w:tcPr>
            <w:tcW w:w="38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571"/>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CONDENSED COMBINING STATEMENT OF CASH FLOWS</w:t>
      </w:r>
    </w:p>
    <w:p>
      <w:pPr>
        <w:spacing w:after="0" w:line="171"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For the six months ended June 30, 2018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Issuer</w:t>
            </w:r>
          </w:p>
        </w:tc>
        <w:tc>
          <w:tcPr>
            <w:tcW w:w="160" w:type="dxa"/>
            <w:vAlign w:val="bottom"/>
          </w:tcPr>
          <w:p>
            <w:pPr>
              <w:spacing w:after="0"/>
              <w:rPr>
                <w:sz w:val="14"/>
                <w:szCs w:val="14"/>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Guarantors</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4"/>
                <w:szCs w:val="14"/>
                <w:color w:val="auto"/>
              </w:rPr>
            </w:pPr>
          </w:p>
        </w:tc>
        <w:tc>
          <w:tcPr>
            <w:tcW w:w="940" w:type="dxa"/>
            <w:vAlign w:val="bottom"/>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1"/>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7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89"/>
              </w:rPr>
              <w:t>Net cash provided by/(used for) operating activities</w:t>
            </w:r>
          </w:p>
        </w:tc>
        <w:tc>
          <w:tcPr>
            <w:tcW w:w="800" w:type="dxa"/>
            <w:vAlign w:val="bottom"/>
            <w:tcBorders>
              <w:top w:val="single" w:sz="8" w:color="auto"/>
              <w:bottom w:val="single" w:sz="8" w:color="CCEEFF"/>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(24)</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23"/>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8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00" w:type="dxa"/>
            <w:vAlign w:val="bottom"/>
          </w:tcPr>
          <w:p>
            <w:pPr>
              <w:spacing w:after="0"/>
              <w:rPr>
                <w:sz w:val="3"/>
                <w:szCs w:val="3"/>
                <w:color w:val="auto"/>
              </w:rPr>
            </w:pPr>
          </w:p>
        </w:tc>
        <w:tc>
          <w:tcPr>
            <w:tcW w:w="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w:t>
            </w:r>
          </w:p>
        </w:tc>
        <w:tc>
          <w:tcPr>
            <w:tcW w:w="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Beneficial interests in transferred receivables</w:t>
            </w: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6"/>
              </w:rPr>
              <w:t>Acquisition of businesses, net of cash acquired</w:t>
            </w:r>
          </w:p>
        </w:tc>
        <w:tc>
          <w:tcPr>
            <w:tcW w:w="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(3,907)</w:t>
            </w:r>
          </w:p>
        </w:tc>
        <w:tc>
          <w:tcPr>
            <w:tcW w:w="0" w:type="dxa"/>
            <w:vAlign w:val="bottom"/>
          </w:tcPr>
          <w:p>
            <w:pPr>
              <w:spacing w:after="0"/>
              <w:rPr>
                <w:sz w:val="1"/>
                <w:szCs w:val="1"/>
                <w:color w:val="auto"/>
              </w:rPr>
            </w:pPr>
          </w:p>
        </w:tc>
      </w:tr>
      <w:tr>
        <w:trPr>
          <w:trHeight w:val="229"/>
        </w:trPr>
        <w:tc>
          <w:tcPr>
            <w:tcW w:w="4000" w:type="dxa"/>
            <w:vAlign w:val="bottom"/>
          </w:tcPr>
          <w:p>
            <w:pPr>
              <w:ind w:left="380"/>
              <w:spacing w:after="0"/>
              <w:rPr>
                <w:sz w:val="20"/>
                <w:szCs w:val="20"/>
                <w:color w:val="auto"/>
              </w:rPr>
            </w:pPr>
            <w:r>
              <w:rPr>
                <w:rFonts w:ascii="Arial" w:cs="Arial" w:eastAsia="Arial" w:hAnsi="Arial"/>
                <w:sz w:val="18"/>
                <w:szCs w:val="18"/>
                <w:color w:val="auto"/>
              </w:rPr>
              <w:t>Proceeds from sale of property, plant and</w:t>
            </w: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380"/>
              <w:spacing w:after="0"/>
              <w:rPr>
                <w:sz w:val="20"/>
                <w:szCs w:val="20"/>
                <w:color w:val="auto"/>
              </w:rPr>
            </w:pPr>
            <w:r>
              <w:rPr>
                <w:rFonts w:ascii="Arial" w:cs="Arial" w:eastAsia="Arial" w:hAnsi="Arial"/>
                <w:sz w:val="18"/>
                <w:szCs w:val="18"/>
                <w:color w:val="auto"/>
              </w:rPr>
              <w:t>equipment</w:t>
            </w: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Intercompany investing activities</w:t>
            </w:r>
          </w:p>
        </w:tc>
        <w:tc>
          <w:tcPr>
            <w:tcW w:w="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00" w:type="dxa"/>
            <w:vAlign w:val="bottom"/>
          </w:tcPr>
          <w:p>
            <w:pPr>
              <w:ind w:left="380"/>
              <w:spacing w:after="0"/>
              <w:rPr>
                <w:sz w:val="20"/>
                <w:szCs w:val="20"/>
                <w:color w:val="auto"/>
              </w:rPr>
            </w:pPr>
            <w:r>
              <w:rPr>
                <w:rFonts w:ascii="Arial" w:cs="Arial" w:eastAsia="Arial" w:hAnsi="Arial"/>
                <w:sz w:val="18"/>
                <w:szCs w:val="18"/>
                <w:color w:val="auto"/>
              </w:rPr>
              <w:t>Foreign exchange derivatives related to</w:t>
            </w: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380"/>
              <w:spacing w:after="0"/>
              <w:rPr>
                <w:sz w:val="20"/>
                <w:szCs w:val="20"/>
                <w:color w:val="auto"/>
              </w:rPr>
            </w:pPr>
            <w:r>
              <w:rPr>
                <w:rFonts w:ascii="Arial" w:cs="Arial" w:eastAsia="Arial" w:hAnsi="Arial"/>
                <w:sz w:val="18"/>
                <w:szCs w:val="18"/>
                <w:color w:val="auto"/>
              </w:rPr>
              <w:t>acquisitions</w:t>
            </w: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000" w:type="dxa"/>
            <w:vAlign w:val="bottom"/>
            <w:shd w:val="clear" w:color="auto" w:fill="CCEEFF"/>
          </w:tcPr>
          <w:p>
            <w:pPr>
              <w:ind w:left="380"/>
              <w:spacing w:after="0" w:line="205" w:lineRule="exact"/>
              <w:rPr>
                <w:sz w:val="20"/>
                <w:szCs w:val="20"/>
                <w:color w:val="auto"/>
              </w:rPr>
            </w:pPr>
            <w:r>
              <w:rPr>
                <w:rFonts w:ascii="Arial" w:cs="Arial" w:eastAsia="Arial" w:hAnsi="Arial"/>
                <w:sz w:val="18"/>
                <w:szCs w:val="18"/>
                <w:b w:val="1"/>
                <w:bCs w:val="1"/>
                <w:color w:val="auto"/>
              </w:rPr>
              <w:t>Net cash provided by/(used for) investing</w:t>
            </w: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activities</w:t>
            </w:r>
          </w:p>
        </w:tc>
        <w:tc>
          <w:tcPr>
            <w:tcW w:w="8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(3,792)</w:t>
            </w:r>
          </w:p>
        </w:tc>
        <w:tc>
          <w:tcPr>
            <w:tcW w:w="0" w:type="dxa"/>
            <w:vAlign w:val="bottom"/>
          </w:tcPr>
          <w:p>
            <w:pPr>
              <w:spacing w:after="0"/>
              <w:rPr>
                <w:sz w:val="1"/>
                <w:szCs w:val="1"/>
                <w:color w:val="auto"/>
              </w:rPr>
            </w:pPr>
          </w:p>
        </w:tc>
      </w:tr>
      <w:tr>
        <w:trPr>
          <w:trHeight w:val="223"/>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8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00" w:type="dxa"/>
            <w:vAlign w:val="bottom"/>
          </w:tcPr>
          <w:p>
            <w:pPr>
              <w:spacing w:after="0"/>
              <w:rPr>
                <w:sz w:val="3"/>
                <w:szCs w:val="3"/>
                <w:color w:val="auto"/>
              </w:rPr>
            </w:pPr>
          </w:p>
        </w:tc>
        <w:tc>
          <w:tcPr>
            <w:tcW w:w="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long-term debt</w:t>
            </w:r>
          </w:p>
        </w:tc>
        <w:tc>
          <w:tcPr>
            <w:tcW w:w="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4,082</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Payments of long-term debt</w:t>
            </w: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5"/>
              </w:rPr>
              <w:t>Net change in revolving credit facility and short-</w:t>
            </w:r>
          </w:p>
        </w:tc>
        <w:tc>
          <w:tcPr>
            <w:tcW w:w="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term debt</w:t>
            </w:r>
          </w:p>
        </w:tc>
        <w:tc>
          <w:tcPr>
            <w:tcW w:w="8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w w:val="94"/>
              </w:rPr>
              <w:t>Net change in long-term intercompany balances</w:t>
            </w:r>
          </w:p>
        </w:tc>
        <w:tc>
          <w:tcPr>
            <w:tcW w:w="80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2,093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Debt issue costs</w:t>
            </w:r>
          </w:p>
        </w:tc>
        <w:tc>
          <w:tcPr>
            <w:tcW w:w="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Common stock issued</w:t>
            </w:r>
          </w:p>
        </w:tc>
        <w:tc>
          <w:tcPr>
            <w:tcW w:w="80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 repurchased</w:t>
            </w:r>
          </w:p>
        </w:tc>
        <w:tc>
          <w:tcPr>
            <w:tcW w:w="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Capital contribution</w:t>
            </w: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w:t>
            </w:r>
          </w:p>
        </w:tc>
        <w:tc>
          <w:tcPr>
            <w:tcW w:w="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Dividends paid to noncontrolling interests</w:t>
            </w: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 derivatives related to debt</w:t>
            </w:r>
          </w:p>
        </w:tc>
        <w:tc>
          <w:tcPr>
            <w:tcW w:w="8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5"/>
        </w:trPr>
        <w:tc>
          <w:tcPr>
            <w:tcW w:w="4000" w:type="dxa"/>
            <w:vAlign w:val="bottom"/>
          </w:tcPr>
          <w:p>
            <w:pPr>
              <w:ind w:left="380"/>
              <w:spacing w:after="0" w:line="205" w:lineRule="exact"/>
              <w:rPr>
                <w:sz w:val="20"/>
                <w:szCs w:val="20"/>
                <w:color w:val="auto"/>
              </w:rPr>
            </w:pPr>
            <w:r>
              <w:rPr>
                <w:rFonts w:ascii="Arial" w:cs="Arial" w:eastAsia="Arial" w:hAnsi="Arial"/>
                <w:sz w:val="18"/>
                <w:szCs w:val="18"/>
                <w:b w:val="1"/>
                <w:bCs w:val="1"/>
                <w:color w:val="auto"/>
              </w:rPr>
              <w:t>Net cash provided by/(used for) financing</w:t>
            </w:r>
          </w:p>
        </w:tc>
        <w:tc>
          <w:tcPr>
            <w:tcW w:w="8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00" w:type="dxa"/>
            <w:vAlign w:val="bottom"/>
          </w:tcPr>
          <w:p>
            <w:pPr>
              <w:ind w:left="380"/>
              <w:spacing w:after="0"/>
              <w:rPr>
                <w:sz w:val="20"/>
                <w:szCs w:val="20"/>
                <w:color w:val="auto"/>
              </w:rPr>
            </w:pPr>
            <w:r>
              <w:rPr>
                <w:rFonts w:ascii="Arial" w:cs="Arial" w:eastAsia="Arial" w:hAnsi="Arial"/>
                <w:sz w:val="18"/>
                <w:szCs w:val="18"/>
                <w:b w:val="1"/>
                <w:bCs w:val="1"/>
                <w:color w:val="auto"/>
              </w:rPr>
              <w:t>activities</w:t>
            </w:r>
          </w:p>
        </w:tc>
        <w:tc>
          <w:tcPr>
            <w:tcW w:w="800" w:type="dxa"/>
            <w:vAlign w:val="bottom"/>
          </w:tcPr>
          <w:p>
            <w:pPr>
              <w:spacing w:after="0"/>
              <w:rPr>
                <w:sz w:val="20"/>
                <w:szCs w:val="20"/>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4,108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4,162</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cash</w:t>
            </w: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equivalents and restricted cash</w:t>
            </w:r>
          </w:p>
        </w:tc>
        <w:tc>
          <w:tcPr>
            <w:tcW w:w="8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9"/>
        </w:trPr>
        <w:tc>
          <w:tcPr>
            <w:tcW w:w="4000" w:type="dxa"/>
            <w:vAlign w:val="bottom"/>
          </w:tcPr>
          <w:p>
            <w:pPr>
              <w:ind w:left="40"/>
              <w:spacing w:after="0"/>
              <w:rPr>
                <w:sz w:val="20"/>
                <w:szCs w:val="20"/>
                <w:color w:val="auto"/>
              </w:rPr>
            </w:pPr>
            <w:r>
              <w:rPr>
                <w:rFonts w:ascii="Arial" w:cs="Arial" w:eastAsia="Arial" w:hAnsi="Arial"/>
                <w:sz w:val="18"/>
                <w:szCs w:val="18"/>
                <w:color w:val="auto"/>
                <w:w w:val="95"/>
              </w:rPr>
              <w:t>Net change in cash, cash equivalents and restricted</w:t>
            </w:r>
          </w:p>
        </w:tc>
        <w:tc>
          <w:tcPr>
            <w:tcW w:w="8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40"/>
              <w:spacing w:after="0"/>
              <w:rPr>
                <w:sz w:val="20"/>
                <w:szCs w:val="20"/>
                <w:color w:val="auto"/>
              </w:rPr>
            </w:pPr>
            <w:r>
              <w:rPr>
                <w:rFonts w:ascii="Arial" w:cs="Arial" w:eastAsia="Arial" w:hAnsi="Arial"/>
                <w:sz w:val="18"/>
                <w:szCs w:val="18"/>
                <w:color w:val="auto"/>
              </w:rPr>
              <w:t>cash</w:t>
            </w:r>
          </w:p>
        </w:tc>
        <w:tc>
          <w:tcPr>
            <w:tcW w:w="800" w:type="dxa"/>
            <w:vAlign w:val="bottom"/>
          </w:tcPr>
          <w:p>
            <w:pPr>
              <w:spacing w:after="0"/>
              <w:rPr>
                <w:sz w:val="20"/>
                <w:szCs w:val="20"/>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8"/>
              </w:rPr>
              <w:t>Cash, cash equivalents and restricted cash at January 1</w:t>
            </w:r>
          </w:p>
        </w:tc>
        <w:tc>
          <w:tcPr>
            <w:tcW w:w="8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05"/>
        </w:trPr>
        <w:tc>
          <w:tcPr>
            <w:tcW w:w="4000" w:type="dxa"/>
            <w:vAlign w:val="bottom"/>
          </w:tcPr>
          <w:p>
            <w:pPr>
              <w:ind w:left="40"/>
              <w:spacing w:after="0" w:line="205" w:lineRule="exact"/>
              <w:rPr>
                <w:sz w:val="20"/>
                <w:szCs w:val="20"/>
                <w:color w:val="auto"/>
              </w:rPr>
            </w:pPr>
            <w:r>
              <w:rPr>
                <w:rFonts w:ascii="Arial" w:cs="Arial" w:eastAsia="Arial" w:hAnsi="Arial"/>
                <w:sz w:val="18"/>
                <w:szCs w:val="18"/>
                <w:b w:val="1"/>
                <w:bCs w:val="1"/>
                <w:color w:val="auto"/>
                <w:w w:val="90"/>
              </w:rPr>
              <w:t>Cash, cash equivalents and restricted cash at June</w:t>
            </w:r>
          </w:p>
        </w:tc>
        <w:tc>
          <w:tcPr>
            <w:tcW w:w="800" w:type="dxa"/>
            <w:vAlign w:val="bottom"/>
            <w:tcBorders>
              <w:top w:val="single" w:sz="8" w:color="auto"/>
            </w:tcBorders>
            <w:vMerge w:val="restart"/>
          </w:tcPr>
          <w:p>
            <w:pPr>
              <w:jc w:val="right"/>
              <w:ind w:right="596"/>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7"/>
                <w:szCs w:val="17"/>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46"/>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30</w:t>
            </w:r>
          </w:p>
        </w:tc>
        <w:tc>
          <w:tcPr>
            <w:tcW w:w="800" w:type="dxa"/>
            <w:vAlign w:val="bottom"/>
            <w:tcBorders>
              <w:bottom w:val="single" w:sz="8" w:color="auto"/>
            </w:tcBorders>
            <w:vMerge w:val="continue"/>
          </w:tcPr>
          <w:p>
            <w:pPr>
              <w:spacing w:after="0"/>
              <w:rPr>
                <w:sz w:val="20"/>
                <w:szCs w:val="20"/>
                <w:color w:val="auto"/>
              </w:rPr>
            </w:pPr>
          </w:p>
        </w:tc>
        <w:tc>
          <w:tcPr>
            <w:tcW w:w="38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571"/>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ind w:left="660" w:right="3860" w:hanging="647"/>
        <w:spacing w:after="0" w:line="282" w:lineRule="auto"/>
        <w:tabs>
          <w:tab w:leader="none" w:pos="640" w:val="left"/>
        </w:tabs>
        <w:rPr>
          <w:sz w:val="20"/>
          <w:szCs w:val="20"/>
          <w:color w:val="auto"/>
        </w:rPr>
      </w:pPr>
      <w:r>
        <w:rPr>
          <w:rFonts w:ascii="Arial" w:cs="Arial" w:eastAsia="Arial" w:hAnsi="Arial"/>
          <w:sz w:val="18"/>
          <w:szCs w:val="18"/>
          <w:b w:val="1"/>
          <w:bCs w:val="1"/>
          <w:color w:val="auto"/>
        </w:rPr>
        <w:t>Item 2.</w:t>
        <w:tab/>
        <w:t xml:space="preserve">Management's Discussion and Analysis of Financial Condition and Results of Operations </w:t>
      </w:r>
      <w:r>
        <w:rPr>
          <w:rFonts w:ascii="Arial" w:cs="Arial" w:eastAsia="Arial" w:hAnsi="Arial"/>
          <w:sz w:val="18"/>
          <w:szCs w:val="18"/>
          <w:color w:val="auto"/>
        </w:rPr>
        <w:t>(dollars in millions)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Introduction</w:t>
      </w:r>
    </w:p>
    <w:p>
      <w:pPr>
        <w:spacing w:after="0" w:line="229"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The following discussion presents management's analysis of the results of operations for the three and six months ended June 30, 2019 compared to 2018 and changes in financial condition and liquidity from December 31, 2018. This discussion should be read in conjunction with the consolidated financial statements and notes thereto included in the Company's Annual Report on Form 10-K for the year ended December 31, 2018, along with the consolidated financial statements and related notes included in and referred to within this report.</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Business Strategy and Trends</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Company's strategy is to grow its businesses in targeted international growth markets, while improving operations and results in more mature markets through disciplined pricing, cost control and careful capital allocation.</w:t>
      </w:r>
    </w:p>
    <w:p>
      <w:pPr>
        <w:spacing w:after="0" w:line="170"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In April 2018, the Company completed its acquisition of Signode Industrial Group, a leading global provider of transit packaging systems and solutions, for consideration of $3.9 billion. With the acquisition, the Company added a portfolio of premier transit and protective packaging franchises to its existing metal packaging businesses, thereby broadening and diversifying its customer base and product offerings and significantly increasing cash flow.</w:t>
      </w:r>
    </w:p>
    <w:p>
      <w:pPr>
        <w:spacing w:after="0" w:line="187"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Company's global beverage can business continues to be a major strategic focus for organic growth. For several years, global industry demand for beverage cans has been growing and this is expected to continue in the coming years. While developing markets such as Southeast Asia and Brazil have experienced higher growth rates due to rising per capita incomes and accompanying increases in beverage consumption, the more mature economies in Europe and North America have also seen market expansion. Beverage cans are the world’s most sustainable and recycled beverage packaging and continue to gain market share. One of the Company’s key initiatives to drive brand differentiation has been to increase its ability to offer a number of different can sizes.</w:t>
      </w:r>
    </w:p>
    <w:p>
      <w:pPr>
        <w:spacing w:after="0" w:line="193"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While the opportunity for organic volume growth in the Company's mature markets is not comparable to that in targeted international growth markets, the Company continues to generate strong returns on invested capital and significant cash flow from these businesses. The Company monitors capacity across all of its businesses and, where necessary, may take action such as closing a plant or reducing headcount to better manage its costs. Any or all of these actions may result in restructuring charges in the future which may be material.</w:t>
      </w:r>
    </w:p>
    <w:p>
      <w:pPr>
        <w:spacing w:after="0" w:line="171"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Aluminum and steel prices can be subject to significant volatility and there has not been a consistent and predictable trend in pricing. As part of the Company's efforts to manage cost, it attempts to pass-through increases in the cost of aluminum and steel to its customers. The Company's ability to pass-through aluminum premium costs to its customers varies by market. There can be no assurance that the Company will be able to recover from its customers the impact of any such increased costs.</w:t>
      </w:r>
    </w:p>
    <w:p>
      <w:pPr>
        <w:spacing w:after="0" w:line="187"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Through 2020, the Company's primary capital allocation focus will be to reduce leverage while continuing to invest in strategic growth projects across its existing businesses.</w:t>
      </w:r>
    </w:p>
    <w:p>
      <w:pPr>
        <w:spacing w:after="0" w:line="383"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jc w:val="both"/>
        <w:ind w:left="660" w:right="20"/>
        <w:spacing w:after="0" w:line="264" w:lineRule="auto"/>
        <w:rPr>
          <w:sz w:val="20"/>
          <w:szCs w:val="20"/>
          <w:color w:val="auto"/>
        </w:rPr>
      </w:pPr>
      <w:r>
        <w:rPr>
          <w:rFonts w:ascii="Arial" w:cs="Arial" w:eastAsia="Arial" w:hAnsi="Arial"/>
          <w:sz w:val="18"/>
          <w:szCs w:val="18"/>
          <w:color w:val="auto"/>
        </w:rPr>
        <w:t>In assessing performance, the key performance measure used by the Company is segment income, a non-GAAP measure generally defined by the Company as income from operations adjusted to exclude intangibles amortization charges, provisions for asbestos and restructuring and other and the impact of fair value adjustments to inventory acquired in an acquisition.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1"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29"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color w:val="auto"/>
        </w:rPr>
        <w:t>The foreign currency translation impacts referred to in the discussion below were primarily due to changes in the euro and pound sterling in the Company's European segments, the Canadian dollar and Mexican peso in the Company's Americas segments, the Chinese renminbi and Malaysian ringgit in the Company's Asia Pacific segment and the euro in the Company's Transit Packaging segment. The Company calculates the impact of foreign currency translation by multiplying or dividing, as appropriate, current year U.S. dollar results by the current year average foreign exchange rates and then multiplying or dividing, as appropriate, those amounts by the applicable prior year average exchange rates.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Net Sales and Segment Income</w:t>
      </w:r>
    </w:p>
    <w:p>
      <w:pPr>
        <w:spacing w:after="0" w:line="39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20" w:type="dxa"/>
            <w:vAlign w:val="bottom"/>
            <w:gridSpan w:val="5"/>
          </w:tcPr>
          <w:p>
            <w:pPr>
              <w:jc w:val="center"/>
              <w:ind w:right="60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20"/>
                <w:szCs w:val="20"/>
                <w:color w:val="auto"/>
              </w:rPr>
            </w:pPr>
          </w:p>
        </w:tc>
        <w:tc>
          <w:tcPr>
            <w:tcW w:w="2140" w:type="dxa"/>
            <w:vAlign w:val="bottom"/>
            <w:gridSpan w:val="4"/>
          </w:tcPr>
          <w:p>
            <w:pPr>
              <w:jc w:val="center"/>
              <w:ind w:right="110"/>
              <w:spacing w:after="0"/>
              <w:rPr>
                <w:sz w:val="20"/>
                <w:szCs w:val="20"/>
                <w:color w:val="auto"/>
              </w:rPr>
            </w:pPr>
            <w:r>
              <w:rPr>
                <w:rFonts w:ascii="Arial" w:cs="Arial" w:eastAsia="Arial" w:hAnsi="Arial"/>
                <w:sz w:val="18"/>
                <w:szCs w:val="18"/>
                <w:color w:val="auto"/>
                <w:w w:val="91"/>
              </w:rPr>
              <w:t>Six Months Ended</w:t>
            </w:r>
          </w:p>
        </w:tc>
      </w:tr>
      <w:tr>
        <w:trPr>
          <w:trHeight w:val="270"/>
        </w:trPr>
        <w:tc>
          <w:tcPr>
            <w:tcW w:w="4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gridSpan w:val="3"/>
          </w:tcPr>
          <w:p>
            <w:pPr>
              <w:jc w:val="center"/>
              <w:ind w:left="510"/>
              <w:spacing w:after="0"/>
              <w:rPr>
                <w:sz w:val="20"/>
                <w:szCs w:val="20"/>
                <w:color w:val="auto"/>
              </w:rPr>
            </w:pPr>
            <w:r>
              <w:rPr>
                <w:rFonts w:ascii="Arial" w:cs="Arial" w:eastAsia="Arial" w:hAnsi="Arial"/>
                <w:sz w:val="18"/>
                <w:szCs w:val="18"/>
                <w:color w:val="auto"/>
                <w:w w:val="86"/>
              </w:rPr>
              <w:t>June 30,</w:t>
            </w: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gridSpan w:val="3"/>
          </w:tcPr>
          <w:p>
            <w:pPr>
              <w:jc w:val="center"/>
              <w:ind w:left="490"/>
              <w:spacing w:after="0"/>
              <w:rPr>
                <w:sz w:val="20"/>
                <w:szCs w:val="20"/>
                <w:color w:val="auto"/>
              </w:rPr>
            </w:pPr>
            <w:r>
              <w:rPr>
                <w:rFonts w:ascii="Arial" w:cs="Arial" w:eastAsia="Arial" w:hAnsi="Arial"/>
                <w:sz w:val="18"/>
                <w:szCs w:val="18"/>
                <w:color w:val="auto"/>
                <w:w w:val="86"/>
              </w:rPr>
              <w:t>June 30,</w:t>
            </w:r>
          </w:p>
        </w:tc>
        <w:tc>
          <w:tcPr>
            <w:tcW w:w="800" w:type="dxa"/>
            <w:vAlign w:val="bottom"/>
          </w:tcPr>
          <w:p>
            <w:pPr>
              <w:spacing w:after="0"/>
              <w:rPr>
                <w:sz w:val="23"/>
                <w:szCs w:val="23"/>
                <w:color w:val="auto"/>
              </w:rPr>
            </w:pP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ind w:right="270"/>
              <w:spacing w:after="0"/>
              <w:rPr>
                <w:sz w:val="20"/>
                <w:szCs w:val="20"/>
                <w:color w:val="auto"/>
              </w:rPr>
            </w:pPr>
            <w:r>
              <w:rPr>
                <w:rFonts w:ascii="Arial" w:cs="Arial" w:eastAsia="Arial" w:hAnsi="Arial"/>
                <w:sz w:val="18"/>
                <w:szCs w:val="18"/>
                <w:color w:val="auto"/>
              </w:rPr>
              <w:t>2018</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color w:val="auto"/>
                <w:w w:val="99"/>
              </w:rPr>
              <w:t>2018</w:t>
            </w: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3,035</w:t>
            </w: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3,046</w:t>
            </w:r>
          </w:p>
        </w:tc>
        <w:tc>
          <w:tcPr>
            <w:tcW w:w="4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5,790</w:t>
            </w: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5,243</w:t>
            </w:r>
          </w:p>
        </w:tc>
      </w:tr>
      <w:tr>
        <w:trPr>
          <w:trHeight w:val="27"/>
        </w:trPr>
        <w:tc>
          <w:tcPr>
            <w:tcW w:w="47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Three months ended June 30, 2019 compared to 2018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Net sales decreased primarily due to $80 from the impact of foreign currency translation offset by 5% higher beverage can sales unit volumes.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Six months ended June 30, 2019 compared to 2018</w:t>
      </w:r>
    </w:p>
    <w:p>
      <w:pPr>
        <w:spacing w:after="0" w:line="225" w:lineRule="exact"/>
        <w:rPr>
          <w:sz w:val="20"/>
          <w:szCs w:val="20"/>
          <w:color w:val="auto"/>
        </w:rPr>
      </w:pPr>
    </w:p>
    <w:p>
      <w:pPr>
        <w:ind w:left="660" w:right="300"/>
        <w:spacing w:after="0" w:line="277" w:lineRule="auto"/>
        <w:rPr>
          <w:sz w:val="20"/>
          <w:szCs w:val="20"/>
          <w:color w:val="auto"/>
        </w:rPr>
      </w:pPr>
      <w:r>
        <w:rPr>
          <w:rFonts w:ascii="Arial" w:cs="Arial" w:eastAsia="Arial" w:hAnsi="Arial"/>
          <w:sz w:val="18"/>
          <w:szCs w:val="18"/>
          <w:color w:val="auto"/>
        </w:rPr>
        <w:t>Net sales increased primarily due to $569 from an additional three months of sales by Signode, which was acquired in April 2018, and 2% higher beverage can sales unit volumes, partially offset by $180 from the impact of foreign currency translation.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Americas Beverage</w:t>
      </w:r>
    </w:p>
    <w:p>
      <w:pPr>
        <w:spacing w:after="0" w:line="229"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The Americas Beverage segment manufactures aluminum beverage cans and ends, steel crowns, glass bottles and aluminum closures and supplies a variety of customers from its operations in the U.S., Brazil, Canada, Colombia and Mexico. The U.S. and Canadian beverage can markets are mature markets which have experienced recent increased volumes. To meet volume requirements in the U.S. and Canadian beverage can markets, the Company has begun construction of a third high-speed line at its Nichols, NY facility which is expected to begin production during the second quarter of 2020. Additionally, the conversion of an existing two-piece steel food can production line at the Weston, Ontario plant, to produce aluminum beverage cans, is expected to be completed in the first quarter of 2020.</w:t>
      </w:r>
    </w:p>
    <w:p>
      <w:pPr>
        <w:spacing w:after="0" w:line="178"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In Brazil and Mexico, the Company's sales unit volumes have increased in recent years primarily due to market growth driven by increased per capita incomes and consumption, combined with an increased preference for cans over other forms of beverage packaging. In January 2018, the Company commenced operations at a new glass bottle facility in Chihuahua, Mexico, to serve the expanding beer market in the northern part of the country. Additionally, during the fourth quarter of 2019, the Company expects to begin operations at a new one-line beverage can plant in Rio Verde, Brazil.</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and segment income in the Americas Beverage segment are as follows:</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2020" w:type="dxa"/>
            <w:vAlign w:val="bottom"/>
            <w:gridSpan w:val="4"/>
          </w:tcPr>
          <w:p>
            <w:pPr>
              <w:jc w:val="center"/>
              <w:ind w:left="330"/>
              <w:spacing w:after="0"/>
              <w:rPr>
                <w:sz w:val="20"/>
                <w:szCs w:val="20"/>
                <w:color w:val="auto"/>
              </w:rPr>
            </w:pPr>
            <w:r>
              <w:rPr>
                <w:rFonts w:ascii="Arial" w:cs="Arial" w:eastAsia="Arial" w:hAnsi="Arial"/>
                <w:sz w:val="18"/>
                <w:szCs w:val="18"/>
                <w:color w:val="auto"/>
                <w:w w:val="90"/>
              </w:rPr>
              <w:t>Three Months Ended</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40" w:type="dxa"/>
            <w:vAlign w:val="bottom"/>
            <w:gridSpan w:val="4"/>
          </w:tcPr>
          <w:p>
            <w:pPr>
              <w:jc w:val="center"/>
              <w:ind w:right="110"/>
              <w:spacing w:after="0"/>
              <w:rPr>
                <w:sz w:val="20"/>
                <w:szCs w:val="20"/>
                <w:color w:val="auto"/>
              </w:rPr>
            </w:pPr>
            <w:r>
              <w:rPr>
                <w:rFonts w:ascii="Arial" w:cs="Arial" w:eastAsia="Arial" w:hAnsi="Arial"/>
                <w:sz w:val="18"/>
                <w:szCs w:val="18"/>
                <w:color w:val="auto"/>
                <w:w w:val="91"/>
              </w:rPr>
              <w:t>Six Months Ended</w:t>
            </w:r>
          </w:p>
        </w:tc>
      </w:tr>
      <w:tr>
        <w:trPr>
          <w:trHeight w:val="270"/>
        </w:trPr>
        <w:tc>
          <w:tcPr>
            <w:tcW w:w="47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80" w:type="dxa"/>
            <w:vAlign w:val="bottom"/>
            <w:gridSpan w:val="3"/>
          </w:tcPr>
          <w:p>
            <w:pPr>
              <w:jc w:val="center"/>
              <w:ind w:right="230"/>
              <w:spacing w:after="0"/>
              <w:rPr>
                <w:sz w:val="20"/>
                <w:szCs w:val="20"/>
                <w:color w:val="auto"/>
              </w:rPr>
            </w:pPr>
            <w:r>
              <w:rPr>
                <w:rFonts w:ascii="Arial" w:cs="Arial" w:eastAsia="Arial" w:hAnsi="Arial"/>
                <w:sz w:val="18"/>
                <w:szCs w:val="18"/>
                <w:color w:val="auto"/>
                <w:w w:val="86"/>
              </w:rPr>
              <w:t>June 30,</w:t>
            </w: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gridSpan w:val="3"/>
          </w:tcPr>
          <w:p>
            <w:pPr>
              <w:jc w:val="center"/>
              <w:ind w:left="490"/>
              <w:spacing w:after="0"/>
              <w:rPr>
                <w:sz w:val="20"/>
                <w:szCs w:val="20"/>
                <w:color w:val="auto"/>
              </w:rPr>
            </w:pPr>
            <w:r>
              <w:rPr>
                <w:rFonts w:ascii="Arial" w:cs="Arial" w:eastAsia="Arial" w:hAnsi="Arial"/>
                <w:sz w:val="18"/>
                <w:szCs w:val="18"/>
                <w:color w:val="auto"/>
                <w:w w:val="86"/>
              </w:rPr>
              <w:t>June 30,</w:t>
            </w:r>
          </w:p>
        </w:tc>
        <w:tc>
          <w:tcPr>
            <w:tcW w:w="800" w:type="dxa"/>
            <w:vAlign w:val="bottom"/>
          </w:tcPr>
          <w:p>
            <w:pPr>
              <w:spacing w:after="0"/>
              <w:rPr>
                <w:sz w:val="23"/>
                <w:szCs w:val="23"/>
                <w:color w:val="auto"/>
              </w:rPr>
            </w:pPr>
          </w:p>
        </w:tc>
      </w:tr>
      <w:tr>
        <w:trPr>
          <w:trHeight w:val="27"/>
        </w:trPr>
        <w:tc>
          <w:tcPr>
            <w:tcW w:w="47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2019</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2018</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color w:val="auto"/>
                <w:w w:val="99"/>
              </w:rPr>
              <w:t>2018</w:t>
            </w:r>
          </w:p>
        </w:tc>
      </w:tr>
      <w:tr>
        <w:trPr>
          <w:trHeight w:val="27"/>
        </w:trPr>
        <w:tc>
          <w:tcPr>
            <w:tcW w:w="47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890</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848</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1,678</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1,606</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74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w w:val="79"/>
              </w:rPr>
              <w:t>139</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6"/>
              </w:rPr>
              <w:t>113</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252</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1"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Three and six months ended June 30, 2019 compared to 2018</w:t>
      </w:r>
    </w:p>
    <w:p>
      <w:pPr>
        <w:spacing w:after="0" w:line="225" w:lineRule="exact"/>
        <w:rPr>
          <w:sz w:val="20"/>
          <w:szCs w:val="20"/>
          <w:color w:val="auto"/>
        </w:rPr>
      </w:pPr>
    </w:p>
    <w:p>
      <w:pPr>
        <w:jc w:val="both"/>
        <w:ind w:left="660" w:right="100"/>
        <w:spacing w:after="0" w:line="264" w:lineRule="auto"/>
        <w:rPr>
          <w:sz w:val="20"/>
          <w:szCs w:val="20"/>
          <w:color w:val="auto"/>
        </w:rPr>
      </w:pPr>
      <w:r>
        <w:rPr>
          <w:rFonts w:ascii="Arial" w:cs="Arial" w:eastAsia="Arial" w:hAnsi="Arial"/>
          <w:sz w:val="18"/>
          <w:szCs w:val="18"/>
          <w:color w:val="auto"/>
        </w:rPr>
        <w:t>Net sales increased primarily due to higher sales unit volumes, including a 6% increase in Brazil in both three and six months, partially offset by the pass-through of lower aluminum costs and the impact of foreign currency translation. The impact of foreign currency translation was $7 and $18 for the three and six months.</w:t>
      </w:r>
    </w:p>
    <w:p>
      <w:pPr>
        <w:spacing w:after="0" w:line="100" w:lineRule="exact"/>
        <w:rPr>
          <w:sz w:val="20"/>
          <w:szCs w:val="20"/>
          <w:color w:val="auto"/>
        </w:rPr>
      </w:pPr>
    </w:p>
    <w:p>
      <w:pPr>
        <w:ind w:left="660" w:right="1100"/>
        <w:spacing w:after="0" w:line="434" w:lineRule="auto"/>
        <w:rPr>
          <w:sz w:val="20"/>
          <w:szCs w:val="20"/>
          <w:color w:val="auto"/>
        </w:rPr>
      </w:pPr>
      <w:r>
        <w:rPr>
          <w:rFonts w:ascii="Arial" w:cs="Arial" w:eastAsia="Arial" w:hAnsi="Arial"/>
          <w:sz w:val="18"/>
          <w:szCs w:val="18"/>
          <w:color w:val="auto"/>
        </w:rPr>
        <w:t xml:space="preserve">Segment income increased primarily due to higher sales unit volumes and lower freight costs and improved pricing in North America. </w:t>
      </w:r>
      <w:r>
        <w:rPr>
          <w:rFonts w:ascii="Arial" w:cs="Arial" w:eastAsia="Arial" w:hAnsi="Arial"/>
          <w:sz w:val="18"/>
          <w:szCs w:val="18"/>
          <w:b w:val="1"/>
          <w:bCs w:val="1"/>
          <w:color w:val="auto"/>
        </w:rPr>
        <w:t>European Beverage</w:t>
      </w:r>
    </w:p>
    <w:p>
      <w:pPr>
        <w:spacing w:after="0" w:line="35"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Company's European Beverage segment manufactures steel and aluminum beverage cans and ends and supplies a variety of customers from its operations throughout Europe, the Middle East and North Africa. In recent years, the Western European beverage can markets have been growing, while sales unit volumes in the Middle East have declined.</w:t>
      </w:r>
    </w:p>
    <w:p>
      <w:pPr>
        <w:spacing w:after="0" w:line="181"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first line of a new beverage can plant in Valencia, Spain began operations in October 2018 and the second line began operations in February 2019. The new plant facilitates the conversion from steel to aluminum beverage cans in that region. Additionally, in December 2018, the Company commenced operations at a new plant in Parma, Italy.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and segment income in the European Beverage segment are as follows:</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2020" w:type="dxa"/>
            <w:vAlign w:val="bottom"/>
            <w:gridSpan w:val="4"/>
          </w:tcPr>
          <w:p>
            <w:pPr>
              <w:jc w:val="center"/>
              <w:ind w:left="330"/>
              <w:spacing w:after="0"/>
              <w:rPr>
                <w:sz w:val="20"/>
                <w:szCs w:val="20"/>
                <w:color w:val="auto"/>
              </w:rPr>
            </w:pPr>
            <w:r>
              <w:rPr>
                <w:rFonts w:ascii="Arial" w:cs="Arial" w:eastAsia="Arial" w:hAnsi="Arial"/>
                <w:sz w:val="18"/>
                <w:szCs w:val="18"/>
                <w:color w:val="auto"/>
                <w:w w:val="90"/>
              </w:rPr>
              <w:t>Three Months Ended</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40" w:type="dxa"/>
            <w:vAlign w:val="bottom"/>
            <w:gridSpan w:val="4"/>
          </w:tcPr>
          <w:p>
            <w:pPr>
              <w:jc w:val="center"/>
              <w:ind w:right="110"/>
              <w:spacing w:after="0"/>
              <w:rPr>
                <w:sz w:val="20"/>
                <w:szCs w:val="20"/>
                <w:color w:val="auto"/>
              </w:rPr>
            </w:pPr>
            <w:r>
              <w:rPr>
                <w:rFonts w:ascii="Arial" w:cs="Arial" w:eastAsia="Arial" w:hAnsi="Arial"/>
                <w:sz w:val="18"/>
                <w:szCs w:val="18"/>
                <w:color w:val="auto"/>
                <w:w w:val="91"/>
              </w:rPr>
              <w:t>Six Months Ended</w:t>
            </w:r>
          </w:p>
        </w:tc>
      </w:tr>
      <w:tr>
        <w:trPr>
          <w:trHeight w:val="270"/>
        </w:trPr>
        <w:tc>
          <w:tcPr>
            <w:tcW w:w="47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80" w:type="dxa"/>
            <w:vAlign w:val="bottom"/>
            <w:gridSpan w:val="3"/>
          </w:tcPr>
          <w:p>
            <w:pPr>
              <w:jc w:val="center"/>
              <w:ind w:right="230"/>
              <w:spacing w:after="0"/>
              <w:rPr>
                <w:sz w:val="20"/>
                <w:szCs w:val="20"/>
                <w:color w:val="auto"/>
              </w:rPr>
            </w:pPr>
            <w:r>
              <w:rPr>
                <w:rFonts w:ascii="Arial" w:cs="Arial" w:eastAsia="Arial" w:hAnsi="Arial"/>
                <w:sz w:val="18"/>
                <w:szCs w:val="18"/>
                <w:color w:val="auto"/>
                <w:w w:val="86"/>
              </w:rPr>
              <w:t>June 30,</w:t>
            </w: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gridSpan w:val="3"/>
          </w:tcPr>
          <w:p>
            <w:pPr>
              <w:jc w:val="center"/>
              <w:ind w:left="490"/>
              <w:spacing w:after="0"/>
              <w:rPr>
                <w:sz w:val="20"/>
                <w:szCs w:val="20"/>
                <w:color w:val="auto"/>
              </w:rPr>
            </w:pPr>
            <w:r>
              <w:rPr>
                <w:rFonts w:ascii="Arial" w:cs="Arial" w:eastAsia="Arial" w:hAnsi="Arial"/>
                <w:sz w:val="18"/>
                <w:szCs w:val="18"/>
                <w:color w:val="auto"/>
                <w:w w:val="86"/>
              </w:rPr>
              <w:t>June 30,</w:t>
            </w:r>
          </w:p>
        </w:tc>
        <w:tc>
          <w:tcPr>
            <w:tcW w:w="800" w:type="dxa"/>
            <w:vAlign w:val="bottom"/>
          </w:tcPr>
          <w:p>
            <w:pPr>
              <w:spacing w:after="0"/>
              <w:rPr>
                <w:sz w:val="23"/>
                <w:szCs w:val="23"/>
                <w:color w:val="auto"/>
              </w:rPr>
            </w:pPr>
          </w:p>
        </w:tc>
      </w:tr>
      <w:tr>
        <w:trPr>
          <w:trHeight w:val="27"/>
        </w:trPr>
        <w:tc>
          <w:tcPr>
            <w:tcW w:w="47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2019</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2018</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color w:val="auto"/>
                <w:w w:val="99"/>
              </w:rPr>
              <w:t>2018</w:t>
            </w:r>
          </w:p>
        </w:tc>
      </w:tr>
      <w:tr>
        <w:trPr>
          <w:trHeight w:val="27"/>
        </w:trPr>
        <w:tc>
          <w:tcPr>
            <w:tcW w:w="47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410</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405</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749</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776</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74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59</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99</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114</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Three months ended June 30, 2019 compared to 2018</w:t>
      </w:r>
    </w:p>
    <w:p>
      <w:pPr>
        <w:spacing w:after="0" w:line="225" w:lineRule="exact"/>
        <w:rPr>
          <w:sz w:val="20"/>
          <w:szCs w:val="20"/>
          <w:color w:val="auto"/>
        </w:rPr>
      </w:pPr>
    </w:p>
    <w:p>
      <w:pPr>
        <w:ind w:left="660" w:right="100"/>
        <w:spacing w:after="0" w:line="277" w:lineRule="auto"/>
        <w:rPr>
          <w:sz w:val="20"/>
          <w:szCs w:val="20"/>
          <w:color w:val="auto"/>
        </w:rPr>
      </w:pPr>
      <w:r>
        <w:rPr>
          <w:rFonts w:ascii="Arial" w:cs="Arial" w:eastAsia="Arial" w:hAnsi="Arial"/>
          <w:sz w:val="18"/>
          <w:szCs w:val="18"/>
          <w:color w:val="auto"/>
        </w:rPr>
        <w:t>Net sales increased primarily due to higher sales unit volumes partially offset by the pass-through of lower aluminum costs and $19 from the impact of foreign currency translation.</w:t>
      </w:r>
    </w:p>
    <w:p>
      <w:pPr>
        <w:spacing w:after="0" w:line="89" w:lineRule="exact"/>
        <w:rPr>
          <w:sz w:val="20"/>
          <w:szCs w:val="20"/>
          <w:color w:val="auto"/>
        </w:rPr>
      </w:pPr>
    </w:p>
    <w:p>
      <w:pPr>
        <w:ind w:left="660" w:right="220"/>
        <w:spacing w:after="0" w:line="277" w:lineRule="auto"/>
        <w:rPr>
          <w:sz w:val="20"/>
          <w:szCs w:val="20"/>
          <w:color w:val="auto"/>
        </w:rPr>
      </w:pPr>
      <w:r>
        <w:rPr>
          <w:rFonts w:ascii="Arial" w:cs="Arial" w:eastAsia="Arial" w:hAnsi="Arial"/>
          <w:sz w:val="18"/>
          <w:szCs w:val="18"/>
          <w:color w:val="auto"/>
        </w:rPr>
        <w:t>Segment income was comparable in 2018 and 2019 as the impact of higher sales unit volume was partially offset by $2 from the impact of foreign currency translation.</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Six months ended June 30, 2019 compared to 2018</w:t>
      </w:r>
    </w:p>
    <w:p>
      <w:pPr>
        <w:spacing w:after="0" w:line="225" w:lineRule="exact"/>
        <w:rPr>
          <w:sz w:val="20"/>
          <w:szCs w:val="20"/>
          <w:color w:val="auto"/>
        </w:rPr>
      </w:pPr>
    </w:p>
    <w:p>
      <w:pPr>
        <w:ind w:left="660" w:right="380"/>
        <w:spacing w:after="0" w:line="277" w:lineRule="auto"/>
        <w:rPr>
          <w:sz w:val="20"/>
          <w:szCs w:val="20"/>
          <w:color w:val="auto"/>
        </w:rPr>
      </w:pPr>
      <w:r>
        <w:rPr>
          <w:rFonts w:ascii="Arial" w:cs="Arial" w:eastAsia="Arial" w:hAnsi="Arial"/>
          <w:sz w:val="18"/>
          <w:szCs w:val="18"/>
          <w:color w:val="auto"/>
        </w:rPr>
        <w:t>Net sales decreased primarily due to $38 from the impact of foreign currency translation and the pass-through of lower aluminum costs partially offset by 4% higher sales unit volumes.</w:t>
      </w:r>
    </w:p>
    <w:p>
      <w:pPr>
        <w:spacing w:after="0" w:line="89" w:lineRule="exact"/>
        <w:rPr>
          <w:sz w:val="20"/>
          <w:szCs w:val="20"/>
          <w:color w:val="auto"/>
        </w:rPr>
      </w:pPr>
    </w:p>
    <w:p>
      <w:pPr>
        <w:ind w:left="660" w:right="340"/>
        <w:spacing w:after="0" w:line="277" w:lineRule="auto"/>
        <w:rPr>
          <w:sz w:val="20"/>
          <w:szCs w:val="20"/>
          <w:color w:val="auto"/>
        </w:rPr>
      </w:pPr>
      <w:r>
        <w:rPr>
          <w:rFonts w:ascii="Arial" w:cs="Arial" w:eastAsia="Arial" w:hAnsi="Arial"/>
          <w:sz w:val="18"/>
          <w:szCs w:val="18"/>
          <w:color w:val="auto"/>
        </w:rPr>
        <w:t>Segment income decreased primarily due to higher start-up costs related to the new beverage can plants in Spain and Italy, $4 from the impact of foreign currency translation and lower sales unit volumes in the Middle East.</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European Food</w:t>
      </w:r>
    </w:p>
    <w:p>
      <w:pPr>
        <w:spacing w:after="0" w:line="22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European Food segment manufactures steel and aluminum food cans and ends and metal vacuum closures, and supplies a variety of customers from its operations throughout Europe and Africa. The European food can market is a mature market which has experienced stable to slightly declining volumes in recent years.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and segment income in the European Food segment are as follows:</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2020" w:type="dxa"/>
            <w:vAlign w:val="bottom"/>
            <w:gridSpan w:val="4"/>
          </w:tcPr>
          <w:p>
            <w:pPr>
              <w:jc w:val="center"/>
              <w:ind w:left="330"/>
              <w:spacing w:after="0"/>
              <w:rPr>
                <w:sz w:val="20"/>
                <w:szCs w:val="20"/>
                <w:color w:val="auto"/>
              </w:rPr>
            </w:pPr>
            <w:r>
              <w:rPr>
                <w:rFonts w:ascii="Arial" w:cs="Arial" w:eastAsia="Arial" w:hAnsi="Arial"/>
                <w:sz w:val="18"/>
                <w:szCs w:val="18"/>
                <w:color w:val="auto"/>
                <w:w w:val="90"/>
              </w:rPr>
              <w:t>Three Months Ended</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40" w:type="dxa"/>
            <w:vAlign w:val="bottom"/>
            <w:gridSpan w:val="4"/>
          </w:tcPr>
          <w:p>
            <w:pPr>
              <w:jc w:val="center"/>
              <w:ind w:right="110"/>
              <w:spacing w:after="0"/>
              <w:rPr>
                <w:sz w:val="20"/>
                <w:szCs w:val="20"/>
                <w:color w:val="auto"/>
              </w:rPr>
            </w:pPr>
            <w:r>
              <w:rPr>
                <w:rFonts w:ascii="Arial" w:cs="Arial" w:eastAsia="Arial" w:hAnsi="Arial"/>
                <w:sz w:val="18"/>
                <w:szCs w:val="18"/>
                <w:color w:val="auto"/>
                <w:w w:val="91"/>
              </w:rPr>
              <w:t>Six Months Ended</w:t>
            </w:r>
          </w:p>
        </w:tc>
      </w:tr>
      <w:tr>
        <w:trPr>
          <w:trHeight w:val="270"/>
        </w:trPr>
        <w:tc>
          <w:tcPr>
            <w:tcW w:w="47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80" w:type="dxa"/>
            <w:vAlign w:val="bottom"/>
            <w:gridSpan w:val="3"/>
          </w:tcPr>
          <w:p>
            <w:pPr>
              <w:jc w:val="center"/>
              <w:ind w:right="230"/>
              <w:spacing w:after="0"/>
              <w:rPr>
                <w:sz w:val="20"/>
                <w:szCs w:val="20"/>
                <w:color w:val="auto"/>
              </w:rPr>
            </w:pPr>
            <w:r>
              <w:rPr>
                <w:rFonts w:ascii="Arial" w:cs="Arial" w:eastAsia="Arial" w:hAnsi="Arial"/>
                <w:sz w:val="18"/>
                <w:szCs w:val="18"/>
                <w:color w:val="auto"/>
                <w:w w:val="86"/>
              </w:rPr>
              <w:t>June 30,</w:t>
            </w: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gridSpan w:val="3"/>
          </w:tcPr>
          <w:p>
            <w:pPr>
              <w:jc w:val="center"/>
              <w:ind w:left="490"/>
              <w:spacing w:after="0"/>
              <w:rPr>
                <w:sz w:val="20"/>
                <w:szCs w:val="20"/>
                <w:color w:val="auto"/>
              </w:rPr>
            </w:pPr>
            <w:r>
              <w:rPr>
                <w:rFonts w:ascii="Arial" w:cs="Arial" w:eastAsia="Arial" w:hAnsi="Arial"/>
                <w:sz w:val="18"/>
                <w:szCs w:val="18"/>
                <w:color w:val="auto"/>
                <w:w w:val="86"/>
              </w:rPr>
              <w:t>June 30,</w:t>
            </w:r>
          </w:p>
        </w:tc>
        <w:tc>
          <w:tcPr>
            <w:tcW w:w="800" w:type="dxa"/>
            <w:vAlign w:val="bottom"/>
          </w:tcPr>
          <w:p>
            <w:pPr>
              <w:spacing w:after="0"/>
              <w:rPr>
                <w:sz w:val="23"/>
                <w:szCs w:val="23"/>
                <w:color w:val="auto"/>
              </w:rPr>
            </w:pPr>
          </w:p>
        </w:tc>
      </w:tr>
      <w:tr>
        <w:trPr>
          <w:trHeight w:val="27"/>
        </w:trPr>
        <w:tc>
          <w:tcPr>
            <w:tcW w:w="47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2019</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2018</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color w:val="auto"/>
                <w:w w:val="99"/>
              </w:rPr>
              <w:t>2018</w:t>
            </w:r>
          </w:p>
        </w:tc>
      </w:tr>
      <w:tr>
        <w:trPr>
          <w:trHeight w:val="27"/>
        </w:trPr>
        <w:tc>
          <w:tcPr>
            <w:tcW w:w="47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483</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514</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906</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942</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74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85</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110</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141</w:t>
            </w: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121" w:right="239" w:bottom="1440" w:gutter="0" w:footer="0" w:header="0"/>
          <w:type w:val="continuous"/>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Three months ended June 30, 2019 compared to 2018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decreased primarily due to $28 from the impact of foreign currency translation.</w:t>
      </w:r>
    </w:p>
    <w:p>
      <w:pPr>
        <w:spacing w:after="0" w:line="144"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Segment income decreased primarily due to unfavorable product mix, higher operating costs, including energy and labor, and $3 from the impact of foreign currency translation.</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Six months ended June 30, 2019 compared to 2018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Net sales decreased primarily due to $63 from the impact of foreign currency translation partially offset by 3% higher sales unit volumes.</w:t>
      </w:r>
    </w:p>
    <w:p>
      <w:pPr>
        <w:spacing w:after="0" w:line="156"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Segment income decreased primarily due to unfavorable product mix, higher operating costs, including energy and labor, and $7 from the impact of foreign currency translation.</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Asia Pacific</w:t>
      </w:r>
    </w:p>
    <w:p>
      <w:pPr>
        <w:spacing w:after="0" w:line="229"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Company's Asia Pacific segment primarily consists of beverage can operations in Cambodia, China, Indonesia, Malaysia, Myanmar, Singapore, Thailand and Vietnam and non-beverage can operations, primarily food cans and specialty packaging. In recent years, the beverage can market in Southeast Asia has been growing. Production began at a new beverage can plant in Yangon, Myanmar in July 2018. A third beverage can line at the Phnom Penh, Cambodia plant commenced operations in January 2019. In response to recent market conditions in China, the Company closed its Putian facility in 2018 and its Huizhou facility in early 2019. Following these closures, the Company has three beverage can plants in China with approximately $100 in annual sales.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and segment income in the Asia Pacific segment are as follows:</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2020" w:type="dxa"/>
            <w:vAlign w:val="bottom"/>
            <w:gridSpan w:val="4"/>
          </w:tcPr>
          <w:p>
            <w:pPr>
              <w:jc w:val="center"/>
              <w:ind w:left="330"/>
              <w:spacing w:after="0"/>
              <w:rPr>
                <w:sz w:val="20"/>
                <w:szCs w:val="20"/>
                <w:color w:val="auto"/>
              </w:rPr>
            </w:pPr>
            <w:r>
              <w:rPr>
                <w:rFonts w:ascii="Arial" w:cs="Arial" w:eastAsia="Arial" w:hAnsi="Arial"/>
                <w:sz w:val="18"/>
                <w:szCs w:val="18"/>
                <w:color w:val="auto"/>
                <w:w w:val="90"/>
              </w:rPr>
              <w:t>Three Months Ended</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40" w:type="dxa"/>
            <w:vAlign w:val="bottom"/>
            <w:gridSpan w:val="4"/>
          </w:tcPr>
          <w:p>
            <w:pPr>
              <w:jc w:val="center"/>
              <w:ind w:right="110"/>
              <w:spacing w:after="0"/>
              <w:rPr>
                <w:sz w:val="20"/>
                <w:szCs w:val="20"/>
                <w:color w:val="auto"/>
              </w:rPr>
            </w:pPr>
            <w:r>
              <w:rPr>
                <w:rFonts w:ascii="Arial" w:cs="Arial" w:eastAsia="Arial" w:hAnsi="Arial"/>
                <w:sz w:val="18"/>
                <w:szCs w:val="18"/>
                <w:color w:val="auto"/>
                <w:w w:val="91"/>
              </w:rPr>
              <w:t>Six Months Ended</w:t>
            </w:r>
          </w:p>
        </w:tc>
      </w:tr>
      <w:tr>
        <w:trPr>
          <w:trHeight w:val="270"/>
        </w:trPr>
        <w:tc>
          <w:tcPr>
            <w:tcW w:w="47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80" w:type="dxa"/>
            <w:vAlign w:val="bottom"/>
            <w:gridSpan w:val="3"/>
          </w:tcPr>
          <w:p>
            <w:pPr>
              <w:jc w:val="center"/>
              <w:ind w:right="230"/>
              <w:spacing w:after="0"/>
              <w:rPr>
                <w:sz w:val="20"/>
                <w:szCs w:val="20"/>
                <w:color w:val="auto"/>
              </w:rPr>
            </w:pPr>
            <w:r>
              <w:rPr>
                <w:rFonts w:ascii="Arial" w:cs="Arial" w:eastAsia="Arial" w:hAnsi="Arial"/>
                <w:sz w:val="18"/>
                <w:szCs w:val="18"/>
                <w:color w:val="auto"/>
                <w:w w:val="86"/>
              </w:rPr>
              <w:t>June 30,</w:t>
            </w: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gridSpan w:val="3"/>
          </w:tcPr>
          <w:p>
            <w:pPr>
              <w:jc w:val="center"/>
              <w:ind w:left="490"/>
              <w:spacing w:after="0"/>
              <w:rPr>
                <w:sz w:val="20"/>
                <w:szCs w:val="20"/>
                <w:color w:val="auto"/>
              </w:rPr>
            </w:pPr>
            <w:r>
              <w:rPr>
                <w:rFonts w:ascii="Arial" w:cs="Arial" w:eastAsia="Arial" w:hAnsi="Arial"/>
                <w:sz w:val="18"/>
                <w:szCs w:val="18"/>
                <w:color w:val="auto"/>
                <w:w w:val="86"/>
              </w:rPr>
              <w:t>June 30,</w:t>
            </w:r>
          </w:p>
        </w:tc>
        <w:tc>
          <w:tcPr>
            <w:tcW w:w="800" w:type="dxa"/>
            <w:vAlign w:val="bottom"/>
          </w:tcPr>
          <w:p>
            <w:pPr>
              <w:spacing w:after="0"/>
              <w:rPr>
                <w:sz w:val="23"/>
                <w:szCs w:val="23"/>
                <w:color w:val="auto"/>
              </w:rPr>
            </w:pPr>
          </w:p>
        </w:tc>
      </w:tr>
      <w:tr>
        <w:trPr>
          <w:trHeight w:val="27"/>
        </w:trPr>
        <w:tc>
          <w:tcPr>
            <w:tcW w:w="47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2019</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2018</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color w:val="auto"/>
                <w:w w:val="99"/>
              </w:rPr>
              <w:t>2018</w:t>
            </w:r>
          </w:p>
        </w:tc>
      </w:tr>
      <w:tr>
        <w:trPr>
          <w:trHeight w:val="27"/>
        </w:trPr>
        <w:tc>
          <w:tcPr>
            <w:tcW w:w="47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319</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332</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640</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669</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74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47</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91</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Three and six months ended June 30, 2019 compared to 2018</w:t>
      </w:r>
    </w:p>
    <w:p>
      <w:pPr>
        <w:spacing w:after="0" w:line="225" w:lineRule="exact"/>
        <w:rPr>
          <w:sz w:val="20"/>
          <w:szCs w:val="20"/>
          <w:color w:val="auto"/>
        </w:rPr>
      </w:pPr>
    </w:p>
    <w:p>
      <w:pPr>
        <w:ind w:left="660" w:right="100"/>
        <w:spacing w:after="0" w:line="286" w:lineRule="auto"/>
        <w:rPr>
          <w:sz w:val="20"/>
          <w:szCs w:val="20"/>
          <w:color w:val="auto"/>
        </w:rPr>
      </w:pPr>
      <w:r>
        <w:rPr>
          <w:rFonts w:ascii="Arial" w:cs="Arial" w:eastAsia="Arial" w:hAnsi="Arial"/>
          <w:sz w:val="17"/>
          <w:szCs w:val="17"/>
          <w:color w:val="auto"/>
        </w:rPr>
        <w:t>Net sales decreased primarily due to lower sales unit volumes related to plant closures in China, the pass-through of lower aluminum costs and the impact of foreign currency translation. The impact of foreign currency translation was $3 and $7 for the three and six months. These decreases were partially offset by 15% and 12% higher sales unit volumes in Southeast Asia for the three and six months.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Segment income increased in both the three and six months primarily due to higher sales unit volumes in Southeast Asia.</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Transit Packaging</w:t>
      </w:r>
    </w:p>
    <w:p>
      <w:pPr>
        <w:spacing w:after="0" w:line="22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On April 3, 2018, the Company completed its acquisition of Signode, which is reported as the Company's Transit Packaging segment. The Transit Packaging segment includes the Company's global industrial and protective solutions and equipment and tools businesses.</w:t>
      </w:r>
    </w:p>
    <w:p>
      <w:pPr>
        <w:spacing w:after="0" w:line="33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2020" w:type="dxa"/>
            <w:vAlign w:val="bottom"/>
            <w:gridSpan w:val="4"/>
          </w:tcPr>
          <w:p>
            <w:pPr>
              <w:jc w:val="center"/>
              <w:ind w:left="330"/>
              <w:spacing w:after="0"/>
              <w:rPr>
                <w:sz w:val="20"/>
                <w:szCs w:val="20"/>
                <w:color w:val="auto"/>
              </w:rPr>
            </w:pPr>
            <w:r>
              <w:rPr>
                <w:rFonts w:ascii="Arial" w:cs="Arial" w:eastAsia="Arial" w:hAnsi="Arial"/>
                <w:sz w:val="18"/>
                <w:szCs w:val="18"/>
                <w:color w:val="auto"/>
                <w:w w:val="90"/>
              </w:rPr>
              <w:t>Three Months Ended</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40" w:type="dxa"/>
            <w:vAlign w:val="bottom"/>
            <w:gridSpan w:val="4"/>
          </w:tcPr>
          <w:p>
            <w:pPr>
              <w:jc w:val="center"/>
              <w:ind w:right="110"/>
              <w:spacing w:after="0"/>
              <w:rPr>
                <w:sz w:val="20"/>
                <w:szCs w:val="20"/>
                <w:color w:val="auto"/>
              </w:rPr>
            </w:pPr>
            <w:r>
              <w:rPr>
                <w:rFonts w:ascii="Arial" w:cs="Arial" w:eastAsia="Arial" w:hAnsi="Arial"/>
                <w:sz w:val="18"/>
                <w:szCs w:val="18"/>
                <w:color w:val="auto"/>
                <w:w w:val="91"/>
              </w:rPr>
              <w:t>Six Months Ended</w:t>
            </w:r>
          </w:p>
        </w:tc>
      </w:tr>
      <w:tr>
        <w:trPr>
          <w:trHeight w:val="270"/>
        </w:trPr>
        <w:tc>
          <w:tcPr>
            <w:tcW w:w="47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80" w:type="dxa"/>
            <w:vAlign w:val="bottom"/>
            <w:gridSpan w:val="3"/>
          </w:tcPr>
          <w:p>
            <w:pPr>
              <w:jc w:val="center"/>
              <w:ind w:right="230"/>
              <w:spacing w:after="0"/>
              <w:rPr>
                <w:sz w:val="20"/>
                <w:szCs w:val="20"/>
                <w:color w:val="auto"/>
              </w:rPr>
            </w:pPr>
            <w:r>
              <w:rPr>
                <w:rFonts w:ascii="Arial" w:cs="Arial" w:eastAsia="Arial" w:hAnsi="Arial"/>
                <w:sz w:val="18"/>
                <w:szCs w:val="18"/>
                <w:color w:val="auto"/>
                <w:w w:val="86"/>
              </w:rPr>
              <w:t>June 30,</w:t>
            </w: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gridSpan w:val="3"/>
          </w:tcPr>
          <w:p>
            <w:pPr>
              <w:jc w:val="center"/>
              <w:ind w:left="490"/>
              <w:spacing w:after="0"/>
              <w:rPr>
                <w:sz w:val="20"/>
                <w:szCs w:val="20"/>
                <w:color w:val="auto"/>
              </w:rPr>
            </w:pPr>
            <w:r>
              <w:rPr>
                <w:rFonts w:ascii="Arial" w:cs="Arial" w:eastAsia="Arial" w:hAnsi="Arial"/>
                <w:sz w:val="18"/>
                <w:szCs w:val="18"/>
                <w:color w:val="auto"/>
                <w:w w:val="86"/>
              </w:rPr>
              <w:t>June 30,</w:t>
            </w:r>
          </w:p>
        </w:tc>
        <w:tc>
          <w:tcPr>
            <w:tcW w:w="800" w:type="dxa"/>
            <w:vAlign w:val="bottom"/>
          </w:tcPr>
          <w:p>
            <w:pPr>
              <w:spacing w:after="0"/>
              <w:rPr>
                <w:sz w:val="23"/>
                <w:szCs w:val="23"/>
                <w:color w:val="auto"/>
              </w:rPr>
            </w:pPr>
          </w:p>
        </w:tc>
      </w:tr>
      <w:tr>
        <w:trPr>
          <w:trHeight w:val="27"/>
        </w:trPr>
        <w:tc>
          <w:tcPr>
            <w:tcW w:w="47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2019</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2018</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color w:val="auto"/>
                <w:w w:val="99"/>
              </w:rPr>
              <w:t>2018</w:t>
            </w:r>
          </w:p>
        </w:tc>
      </w:tr>
      <w:tr>
        <w:trPr>
          <w:trHeight w:val="27"/>
        </w:trPr>
        <w:tc>
          <w:tcPr>
            <w:tcW w:w="47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592</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620</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1,161</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620</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74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94</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153</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94</w:t>
            </w:r>
          </w:p>
        </w:tc>
      </w:tr>
      <w:tr>
        <w:trPr>
          <w:trHeight w:val="918"/>
        </w:trPr>
        <w:tc>
          <w:tcPr>
            <w:tcW w:w="4700" w:type="dxa"/>
            <w:vAlign w:val="bottom"/>
          </w:tcPr>
          <w:p>
            <w:pPr>
              <w:spacing w:after="0"/>
              <w:rPr>
                <w:sz w:val="24"/>
                <w:szCs w:val="24"/>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color w:val="auto"/>
              </w:rPr>
              <w:t>47</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Three months ended June 30, 2019 compared to 2018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decreased primarily due to $18 foreign currency translation and lower sales unit volumes.</w:t>
      </w:r>
    </w:p>
    <w:p>
      <w:pPr>
        <w:spacing w:after="0" w:line="225" w:lineRule="exact"/>
        <w:rPr>
          <w:sz w:val="20"/>
          <w:szCs w:val="20"/>
          <w:color w:val="auto"/>
        </w:rPr>
      </w:pPr>
    </w:p>
    <w:p>
      <w:pPr>
        <w:ind w:left="660" w:right="740"/>
        <w:spacing w:after="0" w:line="277" w:lineRule="auto"/>
        <w:rPr>
          <w:sz w:val="20"/>
          <w:szCs w:val="20"/>
          <w:color w:val="auto"/>
        </w:rPr>
      </w:pPr>
      <w:r>
        <w:rPr>
          <w:rFonts w:ascii="Arial" w:cs="Arial" w:eastAsia="Arial" w:hAnsi="Arial"/>
          <w:sz w:val="18"/>
          <w:szCs w:val="18"/>
          <w:color w:val="auto"/>
        </w:rPr>
        <w:t>Segment income decreased primarily due to lower sales unit volumes, unfavorable product mix and $3 from the impact of foreign currency translation.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Six months ended June 30, 2019 compared to 2018</w:t>
      </w:r>
    </w:p>
    <w:p>
      <w:pPr>
        <w:spacing w:after="0" w:line="225"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Net sales and segment income increased primarily due to $569 and $73 from an additional quarter of ownership in 2019 partially offset by $18 and $3 from the impact of foreign currency translation, lower sales unit volumes and unfavorable product mix during the three months ended June 30, 2019 compared to 2018.</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Non-reportable Segments</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Company's non-reportable segments include its food can and closures businesses in North America, its aerosol can businesses in North America and Europe, and its tooling and equipment operations in the U.S. and U.K.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and segment income in non-reportable segments are as follows:</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2020" w:type="dxa"/>
            <w:vAlign w:val="bottom"/>
            <w:gridSpan w:val="4"/>
          </w:tcPr>
          <w:p>
            <w:pPr>
              <w:jc w:val="center"/>
              <w:ind w:left="330"/>
              <w:spacing w:after="0"/>
              <w:rPr>
                <w:sz w:val="20"/>
                <w:szCs w:val="20"/>
                <w:color w:val="auto"/>
              </w:rPr>
            </w:pPr>
            <w:r>
              <w:rPr>
                <w:rFonts w:ascii="Arial" w:cs="Arial" w:eastAsia="Arial" w:hAnsi="Arial"/>
                <w:sz w:val="18"/>
                <w:szCs w:val="18"/>
                <w:color w:val="auto"/>
                <w:w w:val="90"/>
              </w:rPr>
              <w:t>Three Months Ended</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40" w:type="dxa"/>
            <w:vAlign w:val="bottom"/>
            <w:gridSpan w:val="4"/>
          </w:tcPr>
          <w:p>
            <w:pPr>
              <w:jc w:val="center"/>
              <w:ind w:right="110"/>
              <w:spacing w:after="0"/>
              <w:rPr>
                <w:sz w:val="20"/>
                <w:szCs w:val="20"/>
                <w:color w:val="auto"/>
              </w:rPr>
            </w:pPr>
            <w:r>
              <w:rPr>
                <w:rFonts w:ascii="Arial" w:cs="Arial" w:eastAsia="Arial" w:hAnsi="Arial"/>
                <w:sz w:val="18"/>
                <w:szCs w:val="18"/>
                <w:color w:val="auto"/>
                <w:w w:val="91"/>
              </w:rPr>
              <w:t>Six Months Ended</w:t>
            </w:r>
          </w:p>
        </w:tc>
      </w:tr>
      <w:tr>
        <w:trPr>
          <w:trHeight w:val="270"/>
        </w:trPr>
        <w:tc>
          <w:tcPr>
            <w:tcW w:w="47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80" w:type="dxa"/>
            <w:vAlign w:val="bottom"/>
            <w:gridSpan w:val="3"/>
          </w:tcPr>
          <w:p>
            <w:pPr>
              <w:jc w:val="center"/>
              <w:ind w:right="230"/>
              <w:spacing w:after="0"/>
              <w:rPr>
                <w:sz w:val="20"/>
                <w:szCs w:val="20"/>
                <w:color w:val="auto"/>
              </w:rPr>
            </w:pPr>
            <w:r>
              <w:rPr>
                <w:rFonts w:ascii="Arial" w:cs="Arial" w:eastAsia="Arial" w:hAnsi="Arial"/>
                <w:sz w:val="18"/>
                <w:szCs w:val="18"/>
                <w:color w:val="auto"/>
                <w:w w:val="86"/>
              </w:rPr>
              <w:t>June 30,</w:t>
            </w: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gridSpan w:val="3"/>
          </w:tcPr>
          <w:p>
            <w:pPr>
              <w:jc w:val="center"/>
              <w:ind w:left="490"/>
              <w:spacing w:after="0"/>
              <w:rPr>
                <w:sz w:val="20"/>
                <w:szCs w:val="20"/>
                <w:color w:val="auto"/>
              </w:rPr>
            </w:pPr>
            <w:r>
              <w:rPr>
                <w:rFonts w:ascii="Arial" w:cs="Arial" w:eastAsia="Arial" w:hAnsi="Arial"/>
                <w:sz w:val="18"/>
                <w:szCs w:val="18"/>
                <w:color w:val="auto"/>
                <w:w w:val="86"/>
              </w:rPr>
              <w:t>June 30,</w:t>
            </w:r>
          </w:p>
        </w:tc>
        <w:tc>
          <w:tcPr>
            <w:tcW w:w="800" w:type="dxa"/>
            <w:vAlign w:val="bottom"/>
          </w:tcPr>
          <w:p>
            <w:pPr>
              <w:spacing w:after="0"/>
              <w:rPr>
                <w:sz w:val="23"/>
                <w:szCs w:val="23"/>
                <w:color w:val="auto"/>
              </w:rPr>
            </w:pPr>
          </w:p>
        </w:tc>
      </w:tr>
      <w:tr>
        <w:trPr>
          <w:trHeight w:val="27"/>
        </w:trPr>
        <w:tc>
          <w:tcPr>
            <w:tcW w:w="47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2019</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2018</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color w:val="auto"/>
                <w:w w:val="99"/>
              </w:rPr>
              <w:t>2018</w:t>
            </w:r>
          </w:p>
        </w:tc>
      </w:tr>
      <w:tr>
        <w:trPr>
          <w:trHeight w:val="27"/>
        </w:trPr>
        <w:tc>
          <w:tcPr>
            <w:tcW w:w="47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341</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327</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656</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74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31</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62</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Three months ended June 30, 2019 compared to 2018</w:t>
      </w:r>
    </w:p>
    <w:p>
      <w:pPr>
        <w:spacing w:after="0" w:line="225" w:lineRule="exact"/>
        <w:rPr>
          <w:sz w:val="20"/>
          <w:szCs w:val="20"/>
          <w:color w:val="auto"/>
        </w:rPr>
      </w:pPr>
    </w:p>
    <w:p>
      <w:pPr>
        <w:ind w:left="660"/>
        <w:spacing w:after="0" w:line="342" w:lineRule="auto"/>
        <w:rPr>
          <w:sz w:val="20"/>
          <w:szCs w:val="20"/>
          <w:color w:val="auto"/>
        </w:rPr>
      </w:pPr>
      <w:r>
        <w:rPr>
          <w:rFonts w:ascii="Arial" w:cs="Arial" w:eastAsia="Arial" w:hAnsi="Arial"/>
          <w:sz w:val="16"/>
          <w:szCs w:val="16"/>
          <w:color w:val="auto"/>
        </w:rPr>
        <w:t>Net sales increased primarily due to the pass-through of higher tinplate costs and 9% higher sales unit volumes in the Company's North America food can business partially offset by lower sales in the Company's equipment operations and $5 from the impact of foreign currency translation.</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Segment income increased primarily due to lower freight costs in the North America food can business.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Six months ended June 30, 2019 compared to 2018</w:t>
      </w:r>
    </w:p>
    <w:p>
      <w:pPr>
        <w:spacing w:after="0" w:line="225" w:lineRule="exact"/>
        <w:rPr>
          <w:sz w:val="20"/>
          <w:szCs w:val="20"/>
          <w:color w:val="auto"/>
        </w:rPr>
      </w:pPr>
    </w:p>
    <w:p>
      <w:pPr>
        <w:jc w:val="both"/>
        <w:ind w:left="660" w:right="320"/>
        <w:spacing w:after="0" w:line="342" w:lineRule="auto"/>
        <w:rPr>
          <w:sz w:val="20"/>
          <w:szCs w:val="20"/>
          <w:color w:val="auto"/>
        </w:rPr>
      </w:pPr>
      <w:r>
        <w:rPr>
          <w:rFonts w:ascii="Arial" w:cs="Arial" w:eastAsia="Arial" w:hAnsi="Arial"/>
          <w:sz w:val="16"/>
          <w:szCs w:val="16"/>
          <w:color w:val="auto"/>
        </w:rPr>
        <w:t>Net sales increased primarily due to the pass-through of higher tinplate costs and 6% higher sales unit volumes in the Company's North America food can business partially offset by lower sales in the Company's equipment operations and $11 from the impact of foreign currency translation.</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Segment income increased primarily due to higher sales unit volumes and lower freight costs in the Company's North America food can business.</w:t>
      </w:r>
    </w:p>
    <w:p>
      <w:pPr>
        <w:spacing w:after="0" w:line="231"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4640" w:type="dxa"/>
            <w:vAlign w:val="bottom"/>
            <w:gridSpan w:val="2"/>
          </w:tcPr>
          <w:p>
            <w:pPr>
              <w:spacing w:after="0"/>
              <w:rPr>
                <w:sz w:val="20"/>
                <w:szCs w:val="20"/>
                <w:color w:val="auto"/>
              </w:rPr>
            </w:pPr>
            <w:r>
              <w:rPr>
                <w:rFonts w:ascii="Arial" w:cs="Arial" w:eastAsia="Arial" w:hAnsi="Arial"/>
                <w:sz w:val="18"/>
                <w:szCs w:val="18"/>
                <w:b w:val="1"/>
                <w:bCs w:val="1"/>
                <w:color w:val="auto"/>
              </w:rPr>
              <w:t>Corporate and Unallocated Expense</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99"/>
        </w:trPr>
        <w:tc>
          <w:tcPr>
            <w:tcW w:w="2780" w:type="dxa"/>
            <w:vAlign w:val="bottom"/>
            <w:tcBorders>
              <w:top w:val="single" w:sz="8" w:color="auto"/>
            </w:tcBorders>
          </w:tcPr>
          <w:p>
            <w:pPr>
              <w:spacing w:after="0"/>
              <w:rPr>
                <w:sz w:val="24"/>
                <w:szCs w:val="24"/>
                <w:color w:val="auto"/>
              </w:rPr>
            </w:pPr>
          </w:p>
        </w:tc>
        <w:tc>
          <w:tcPr>
            <w:tcW w:w="1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5"/>
          </w:tcPr>
          <w:p>
            <w:pPr>
              <w:jc w:val="center"/>
              <w:ind w:right="580"/>
              <w:spacing w:after="0"/>
              <w:rPr>
                <w:sz w:val="20"/>
                <w:szCs w:val="20"/>
                <w:color w:val="auto"/>
              </w:rPr>
            </w:pPr>
            <w:r>
              <w:rPr>
                <w:rFonts w:ascii="Arial" w:cs="Arial" w:eastAsia="Arial" w:hAnsi="Arial"/>
                <w:sz w:val="18"/>
                <w:szCs w:val="18"/>
                <w:color w:val="auto"/>
                <w:w w:val="90"/>
              </w:rPr>
              <w:t>Three Months Ended</w:t>
            </w:r>
          </w:p>
        </w:tc>
        <w:tc>
          <w:tcPr>
            <w:tcW w:w="220" w:type="dxa"/>
            <w:vAlign w:val="bottom"/>
          </w:tcPr>
          <w:p>
            <w:pPr>
              <w:spacing w:after="0"/>
              <w:rPr>
                <w:sz w:val="24"/>
                <w:szCs w:val="24"/>
                <w:color w:val="auto"/>
              </w:rPr>
            </w:pPr>
          </w:p>
        </w:tc>
        <w:tc>
          <w:tcPr>
            <w:tcW w:w="2120" w:type="dxa"/>
            <w:vAlign w:val="bottom"/>
            <w:gridSpan w:val="4"/>
          </w:tcPr>
          <w:p>
            <w:pPr>
              <w:jc w:val="center"/>
              <w:ind w:right="130"/>
              <w:spacing w:after="0"/>
              <w:rPr>
                <w:sz w:val="20"/>
                <w:szCs w:val="20"/>
                <w:color w:val="auto"/>
              </w:rPr>
            </w:pPr>
            <w:r>
              <w:rPr>
                <w:rFonts w:ascii="Arial" w:cs="Arial" w:eastAsia="Arial" w:hAnsi="Arial"/>
                <w:sz w:val="18"/>
                <w:szCs w:val="18"/>
                <w:color w:val="auto"/>
                <w:w w:val="91"/>
              </w:rPr>
              <w:t>Six Months Ended</w:t>
            </w:r>
          </w:p>
        </w:tc>
      </w:tr>
      <w:tr>
        <w:trPr>
          <w:trHeight w:val="270"/>
        </w:trPr>
        <w:tc>
          <w:tcPr>
            <w:tcW w:w="278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3"/>
          </w:tcPr>
          <w:p>
            <w:pPr>
              <w:jc w:val="center"/>
              <w:ind w:left="510"/>
              <w:spacing w:after="0"/>
              <w:rPr>
                <w:sz w:val="20"/>
                <w:szCs w:val="20"/>
                <w:color w:val="auto"/>
              </w:rPr>
            </w:pPr>
            <w:r>
              <w:rPr>
                <w:rFonts w:ascii="Arial" w:cs="Arial" w:eastAsia="Arial" w:hAnsi="Arial"/>
                <w:sz w:val="18"/>
                <w:szCs w:val="18"/>
                <w:color w:val="auto"/>
                <w:w w:val="86"/>
              </w:rPr>
              <w:t>June 30,</w:t>
            </w: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gridSpan w:val="3"/>
          </w:tcPr>
          <w:p>
            <w:pPr>
              <w:jc w:val="center"/>
              <w:ind w:left="510"/>
              <w:spacing w:after="0"/>
              <w:rPr>
                <w:sz w:val="20"/>
                <w:szCs w:val="20"/>
                <w:color w:val="auto"/>
              </w:rPr>
            </w:pPr>
            <w:r>
              <w:rPr>
                <w:rFonts w:ascii="Arial" w:cs="Arial" w:eastAsia="Arial" w:hAnsi="Arial"/>
                <w:sz w:val="18"/>
                <w:szCs w:val="18"/>
                <w:color w:val="auto"/>
                <w:w w:val="86"/>
              </w:rPr>
              <w:t>June 30,</w:t>
            </w:r>
          </w:p>
        </w:tc>
        <w:tc>
          <w:tcPr>
            <w:tcW w:w="800" w:type="dxa"/>
            <w:vAlign w:val="bottom"/>
          </w:tcPr>
          <w:p>
            <w:pPr>
              <w:spacing w:after="0"/>
              <w:rPr>
                <w:sz w:val="23"/>
                <w:szCs w:val="23"/>
                <w:color w:val="auto"/>
              </w:rPr>
            </w:pPr>
          </w:p>
        </w:tc>
      </w:tr>
      <w:tr>
        <w:trPr>
          <w:trHeight w:val="27"/>
        </w:trPr>
        <w:tc>
          <w:tcPr>
            <w:tcW w:w="27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27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ind w:right="270"/>
              <w:spacing w:after="0"/>
              <w:rPr>
                <w:sz w:val="20"/>
                <w:szCs w:val="20"/>
                <w:color w:val="auto"/>
              </w:rPr>
            </w:pPr>
            <w:r>
              <w:rPr>
                <w:rFonts w:ascii="Arial" w:cs="Arial" w:eastAsia="Arial" w:hAnsi="Arial"/>
                <w:sz w:val="18"/>
                <w:szCs w:val="18"/>
                <w:color w:val="auto"/>
              </w:rPr>
              <w:t>2018</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ind w:right="270"/>
              <w:spacing w:after="0"/>
              <w:rPr>
                <w:sz w:val="20"/>
                <w:szCs w:val="20"/>
                <w:color w:val="auto"/>
              </w:rPr>
            </w:pPr>
            <w:r>
              <w:rPr>
                <w:rFonts w:ascii="Arial" w:cs="Arial" w:eastAsia="Arial" w:hAnsi="Arial"/>
                <w:sz w:val="18"/>
                <w:szCs w:val="18"/>
                <w:color w:val="auto"/>
              </w:rPr>
              <w:t>2018</w:t>
            </w:r>
          </w:p>
        </w:tc>
      </w:tr>
      <w:tr>
        <w:trPr>
          <w:trHeight w:val="27"/>
        </w:trPr>
        <w:tc>
          <w:tcPr>
            <w:tcW w:w="278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Corporate and unallocated expense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7"/>
        </w:trPr>
        <w:tc>
          <w:tcPr>
            <w:tcW w:w="278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Corporate and unallocated expenses were comparable for the three and six months ended June 30, 2019 and 2018.</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121" w:right="239" w:bottom="1440" w:gutter="0" w:footer="0" w:header="0"/>
          <w:type w:val="continuous"/>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Cost of Products Sold (Excluding Depreciation and Amortization)</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For the three months ended June 30, 2019 compared to 2018, cost of products sold (excluding depreciation and amortization) decreased from $2,466 to $2,417 primarily due to $65 from the impact of foreign currency translation.</w:t>
      </w:r>
    </w:p>
    <w:p>
      <w:pPr>
        <w:spacing w:after="0" w:line="170" w:lineRule="exact"/>
        <w:rPr>
          <w:sz w:val="20"/>
          <w:szCs w:val="20"/>
          <w:color w:val="auto"/>
        </w:rPr>
      </w:pPr>
    </w:p>
    <w:p>
      <w:pPr>
        <w:jc w:val="both"/>
        <w:ind w:left="660"/>
        <w:spacing w:after="0" w:line="342" w:lineRule="auto"/>
        <w:rPr>
          <w:sz w:val="20"/>
          <w:szCs w:val="20"/>
          <w:color w:val="auto"/>
        </w:rPr>
      </w:pPr>
      <w:r>
        <w:rPr>
          <w:rFonts w:ascii="Arial" w:cs="Arial" w:eastAsia="Arial" w:hAnsi="Arial"/>
          <w:sz w:val="16"/>
          <w:szCs w:val="16"/>
          <w:color w:val="auto"/>
        </w:rPr>
        <w:t>For the six months ended June 30, 2019, compared to 2018, cost of products sold (excluding depreciation and amortization) increased from $4,274 to $4,627 primarily due to the impact of the acquisition of Signode partially offset by $148 from the impact of foreign currency translation.</w:t>
      </w:r>
    </w:p>
    <w:p>
      <w:pPr>
        <w:spacing w:after="0" w:line="124"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For the three and six months ended June 30, 2018 cost of products sold (excluding depreciation and amortization) also included costs of $40 for the fair value adjustment related to the sale of inventory acquired with Signode.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Depreciation and Amortization</w:t>
      </w:r>
    </w:p>
    <w:p>
      <w:pPr>
        <w:spacing w:after="0" w:line="22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For the three and six months ended June 30, 2019 compared to 2018, depreciation and amortization expense increased from $113 to $123 and from $178 to $245 primarily due to depreciation and amortization of fixed assets and intangible assets recorded in connection with the Company's acquisition of Signode.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Selling and Administrative Expense</w:t>
      </w:r>
    </w:p>
    <w:p>
      <w:pPr>
        <w:spacing w:after="0" w:line="229" w:lineRule="exact"/>
        <w:rPr>
          <w:sz w:val="20"/>
          <w:szCs w:val="20"/>
          <w:color w:val="auto"/>
        </w:rPr>
      </w:pPr>
    </w:p>
    <w:p>
      <w:pPr>
        <w:jc w:val="both"/>
        <w:ind w:left="660"/>
        <w:spacing w:after="0" w:line="342" w:lineRule="auto"/>
        <w:rPr>
          <w:sz w:val="20"/>
          <w:szCs w:val="20"/>
          <w:color w:val="auto"/>
        </w:rPr>
      </w:pPr>
      <w:r>
        <w:rPr>
          <w:rFonts w:ascii="Arial" w:cs="Arial" w:eastAsia="Arial" w:hAnsi="Arial"/>
          <w:sz w:val="16"/>
          <w:szCs w:val="16"/>
          <w:color w:val="auto"/>
        </w:rPr>
        <w:t>Selling and administrative expense was comparable for the three months ended June 30, 2019, compared to 2018. For the six months ended June 30, 2019, compared to 2018, selling and administrative expense increased from $249 to $314 primarily due to the impact of the acquisition of Signode.</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Interest Expense</w:t>
      </w:r>
    </w:p>
    <w:p>
      <w:pPr>
        <w:spacing w:after="0" w:line="22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For the three months ended June 30, 2019 compared to 2018, interest expense decreased from $103 to $97 primarily due to lower debt levels in the current year. For the six months ended June 30, 2019 compared to 2018, interest expense increased from $177 to $195 due to higher outstanding debt from borrowings incurred to finance the Signode acquisition.</w:t>
      </w:r>
    </w:p>
    <w:p>
      <w:pPr>
        <w:spacing w:after="0" w:line="164"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Taxes on Income</w:t>
            </w:r>
          </w:p>
        </w:tc>
        <w:tc>
          <w:tcPr>
            <w:tcW w:w="3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453"/>
        </w:trPr>
        <w:tc>
          <w:tcPr>
            <w:tcW w:w="4460" w:type="dxa"/>
            <w:vAlign w:val="bottom"/>
            <w:gridSpan w:val="2"/>
          </w:tcPr>
          <w:p>
            <w:pPr>
              <w:spacing w:after="0"/>
              <w:rPr>
                <w:sz w:val="20"/>
                <w:szCs w:val="20"/>
                <w:color w:val="auto"/>
              </w:rPr>
            </w:pPr>
            <w:r>
              <w:rPr>
                <w:rFonts w:ascii="Arial" w:cs="Arial" w:eastAsia="Arial" w:hAnsi="Arial"/>
                <w:sz w:val="18"/>
                <w:szCs w:val="18"/>
                <w:color w:val="auto"/>
                <w:w w:val="98"/>
              </w:rPr>
              <w:t>The Company's effective income tax rate was as follows:</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78"/>
        </w:trPr>
        <w:tc>
          <w:tcPr>
            <w:tcW w:w="12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20" w:type="dxa"/>
            <w:vAlign w:val="bottom"/>
            <w:gridSpan w:val="6"/>
          </w:tcPr>
          <w:p>
            <w:pPr>
              <w:jc w:val="center"/>
              <w:ind w:right="620"/>
              <w:spacing w:after="0"/>
              <w:rPr>
                <w:sz w:val="20"/>
                <w:szCs w:val="20"/>
                <w:color w:val="auto"/>
              </w:rPr>
            </w:pPr>
            <w:r>
              <w:rPr>
                <w:rFonts w:ascii="Arial" w:cs="Arial" w:eastAsia="Arial" w:hAnsi="Arial"/>
                <w:sz w:val="18"/>
                <w:szCs w:val="18"/>
                <w:color w:val="auto"/>
                <w:w w:val="90"/>
              </w:rPr>
              <w:t>Three Months Ended</w:t>
            </w:r>
          </w:p>
        </w:tc>
        <w:tc>
          <w:tcPr>
            <w:tcW w:w="260" w:type="dxa"/>
            <w:vAlign w:val="bottom"/>
          </w:tcPr>
          <w:p>
            <w:pPr>
              <w:spacing w:after="0"/>
              <w:rPr>
                <w:sz w:val="24"/>
                <w:szCs w:val="24"/>
                <w:color w:val="auto"/>
              </w:rPr>
            </w:pPr>
          </w:p>
        </w:tc>
        <w:tc>
          <w:tcPr>
            <w:tcW w:w="2260" w:type="dxa"/>
            <w:vAlign w:val="bottom"/>
            <w:gridSpan w:val="5"/>
          </w:tcPr>
          <w:p>
            <w:pPr>
              <w:jc w:val="center"/>
              <w:ind w:right="150"/>
              <w:spacing w:after="0"/>
              <w:rPr>
                <w:sz w:val="20"/>
                <w:szCs w:val="20"/>
                <w:color w:val="auto"/>
              </w:rPr>
            </w:pPr>
            <w:r>
              <w:rPr>
                <w:rFonts w:ascii="Arial" w:cs="Arial" w:eastAsia="Arial" w:hAnsi="Arial"/>
                <w:sz w:val="18"/>
                <w:szCs w:val="18"/>
                <w:color w:val="auto"/>
                <w:w w:val="91"/>
              </w:rPr>
              <w:t>Six Months Ended</w:t>
            </w:r>
          </w:p>
        </w:tc>
      </w:tr>
      <w:tr>
        <w:trPr>
          <w:trHeight w:val="270"/>
        </w:trPr>
        <w:tc>
          <w:tcPr>
            <w:tcW w:w="128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60" w:type="dxa"/>
            <w:vAlign w:val="bottom"/>
            <w:gridSpan w:val="3"/>
          </w:tcPr>
          <w:p>
            <w:pPr>
              <w:jc w:val="center"/>
              <w:ind w:right="100"/>
              <w:spacing w:after="0"/>
              <w:rPr>
                <w:sz w:val="20"/>
                <w:szCs w:val="20"/>
                <w:color w:val="auto"/>
              </w:rPr>
            </w:pPr>
            <w:r>
              <w:rPr>
                <w:rFonts w:ascii="Arial" w:cs="Arial" w:eastAsia="Arial" w:hAnsi="Arial"/>
                <w:sz w:val="18"/>
                <w:szCs w:val="18"/>
                <w:color w:val="auto"/>
                <w:w w:val="87"/>
              </w:rPr>
              <w:t>June 30</w:t>
            </w:r>
          </w:p>
        </w:tc>
        <w:tc>
          <w:tcPr>
            <w:tcW w:w="8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gridSpan w:val="3"/>
          </w:tcPr>
          <w:p>
            <w:pPr>
              <w:jc w:val="center"/>
              <w:ind w:right="80"/>
              <w:spacing w:after="0"/>
              <w:rPr>
                <w:sz w:val="20"/>
                <w:szCs w:val="20"/>
                <w:color w:val="auto"/>
              </w:rPr>
            </w:pPr>
            <w:r>
              <w:rPr>
                <w:rFonts w:ascii="Arial" w:cs="Arial" w:eastAsia="Arial" w:hAnsi="Arial"/>
                <w:sz w:val="18"/>
                <w:szCs w:val="18"/>
                <w:color w:val="auto"/>
                <w:w w:val="87"/>
              </w:rPr>
              <w:t>June 30</w:t>
            </w:r>
          </w:p>
        </w:tc>
        <w:tc>
          <w:tcPr>
            <w:tcW w:w="860" w:type="dxa"/>
            <w:vAlign w:val="bottom"/>
          </w:tcPr>
          <w:p>
            <w:pPr>
              <w:spacing w:after="0"/>
              <w:rPr>
                <w:sz w:val="23"/>
                <w:szCs w:val="23"/>
                <w:color w:val="auto"/>
              </w:rPr>
            </w:pPr>
          </w:p>
        </w:tc>
      </w:tr>
      <w:tr>
        <w:trPr>
          <w:trHeight w:val="27"/>
        </w:trPr>
        <w:tc>
          <w:tcPr>
            <w:tcW w:w="12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color w:val="auto"/>
              </w:rPr>
              <w:t>2018</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color w:val="auto"/>
              </w:rPr>
              <w:t>2018</w:t>
            </w:r>
          </w:p>
        </w:tc>
      </w:tr>
      <w:tr>
        <w:trPr>
          <w:trHeight w:val="27"/>
        </w:trPr>
        <w:tc>
          <w:tcPr>
            <w:tcW w:w="128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6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201</w:t>
            </w:r>
          </w:p>
        </w:tc>
        <w:tc>
          <w:tcPr>
            <w:tcW w:w="3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6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353</w:t>
            </w:r>
          </w:p>
        </w:tc>
      </w:tr>
      <w:tr>
        <w:trPr>
          <w:trHeight w:val="243"/>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55</w:t>
            </w: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136</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94</w:t>
            </w:r>
          </w:p>
        </w:tc>
      </w:tr>
      <w:tr>
        <w:trPr>
          <w:trHeight w:val="27"/>
        </w:trPr>
        <w:tc>
          <w:tcPr>
            <w:tcW w:w="12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2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1280" w:type="dxa"/>
            <w:vAlign w:val="bottom"/>
            <w:shd w:val="clear" w:color="auto" w:fill="CCEEFF"/>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right="100"/>
        <w:spacing w:after="0" w:line="277" w:lineRule="auto"/>
        <w:rPr>
          <w:sz w:val="20"/>
          <w:szCs w:val="20"/>
          <w:color w:val="auto"/>
        </w:rPr>
      </w:pPr>
      <w:r>
        <w:rPr>
          <w:rFonts w:ascii="Arial" w:cs="Arial" w:eastAsia="Arial" w:hAnsi="Arial"/>
          <w:sz w:val="18"/>
          <w:szCs w:val="18"/>
          <w:color w:val="auto"/>
        </w:rPr>
        <w:t>For the three and six months ended June 30, 2019, the Company's effective tax rate included a charge of $15 to settle a tax contingency arising from a transaction that occurred prior to its acquisition of Signode.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Net Income Attributable to Noncontrolling Interests</w:t>
      </w:r>
    </w:p>
    <w:p>
      <w:pPr>
        <w:spacing w:after="0" w:line="229"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For the three and six months ended June 30, 2019 compared to 2018, net income attributable to noncontrolling interests increased from $15 to $37 and from $38 to $65 primarily due to higher earnings in the Company's beverage can operations in Brazil including a favorable court ruling in a lawsuit brought by one of the Company's Brazilian subsidiaries claiming it was overcharged by the local tax authorities for indirect taxes paid in prior years.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121" w:right="239" w:bottom="1440" w:gutter="0" w:footer="0" w:header="0"/>
          <w:type w:val="continuous"/>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Cash from Operations</w:t>
      </w:r>
    </w:p>
    <w:p>
      <w:pPr>
        <w:spacing w:after="0" w:line="22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Cash used for operating activities decreased from $492 for the six months ended June 30, 2018 to $227 for the six months ended June 30, 2019 primarily due to higher income from operations and changes in working capital partially offset by higher cash used for interest payments during the six months ended June 30, 2019 related to outstanding borrowings incurred to finance the Signode acquisition.</w:t>
      </w:r>
    </w:p>
    <w:p>
      <w:pPr>
        <w:spacing w:after="0" w:line="18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Days sales outstanding for trade receivables, excluding the impact of unbilled receivables, was comparable at 39 days as of June 30, 2018 and 40 days as of June 30, 2019.</w:t>
      </w:r>
    </w:p>
    <w:p>
      <w:pPr>
        <w:spacing w:after="0" w:line="170"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Inventory turnover was 65 days at June 30, 2018 compared to 67 days at June 30, 2019. Inventory turnover at June 30, 2019 increased compared to 61 days at December 31, 2018 due to seasonality in the Company's food and beverage can businesses. The food can business is seasonal with the first quarter tending to be the slowest period as the autumn packaging period in the Northern Hemisphere has ended and new crops are not yet planted. The industry enters its busiest period in the third quarter when the majority of fruits and vegetables in the Northern Hemisphere are harvested. Due to this seasonality, inventory levels increase in the first half of the year to meet peak demand in the second and third quarters. The beverage can business is also seasonal with inventory levels generally increasing in the first half of the year to meet peak demand in the summer months in the Northern Hemisphere.</w:t>
      </w:r>
    </w:p>
    <w:p>
      <w:pPr>
        <w:spacing w:after="0" w:line="14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Days outstanding for trade payables was 101 days at June 30, 2018 compared to 89 days at June 30, 2019, including the impact of the Signode acquisition.</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Investing Activities</w:t>
      </w:r>
    </w:p>
    <w:p>
      <w:pPr>
        <w:spacing w:after="0" w:line="229" w:lineRule="exact"/>
        <w:rPr>
          <w:sz w:val="20"/>
          <w:szCs w:val="20"/>
          <w:color w:val="auto"/>
        </w:rPr>
      </w:pPr>
    </w:p>
    <w:p>
      <w:pPr>
        <w:jc w:val="both"/>
        <w:ind w:left="660" w:right="20"/>
        <w:spacing w:after="0" w:line="308" w:lineRule="auto"/>
        <w:rPr>
          <w:sz w:val="20"/>
          <w:szCs w:val="20"/>
          <w:color w:val="auto"/>
        </w:rPr>
      </w:pPr>
      <w:r>
        <w:rPr>
          <w:rFonts w:ascii="Arial" w:cs="Arial" w:eastAsia="Arial" w:hAnsi="Arial"/>
          <w:sz w:val="17"/>
          <w:szCs w:val="17"/>
          <w:color w:val="auto"/>
        </w:rPr>
        <w:t>Investing activities used cash of $3,792 for the six months ended June 30, 2018 and $137 for the six months ended June 30, 2019. In 2018, the Company paid $3,907 to acquire Signode and $25 for the settlement of a foreign exchange contract related to the acquisition.</w:t>
      </w:r>
    </w:p>
    <w:p>
      <w:pPr>
        <w:spacing w:after="0" w:line="147"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Investing activities for the six months ended June 30, 2018 also included cash collections of $335 related to beneficial interests in transferred receivables. In July 2018, the Company terminated its $200 North American securitization facility, which included a deferred purchase price component, and entered into a new securitization facility which removed the deferred purchase price component but requires the Company to maintain a deposit in a restricted cash account. Proceeds from the new securitization facility are included the receivables line in the Company's Consolidated Statement of Cash Flows.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currently expects capital expenditures for 2019 to be approximately $440.</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Financing Activities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Cash provided by financing activities decreased from $4,162 for the six months ended June 30, 2018 to $99 for the six months ended June 30, 2019.</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2018, financing activities primarily included borrowings to finance the Signode acquisition.</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Liquidity</w:t>
      </w:r>
    </w:p>
    <w:p>
      <w:pPr>
        <w:spacing w:after="0" w:line="229"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As of June 30, 2019, $321 of the Company's $342 of cash and cash equivalents was located outside the U.S. The Company funds its cash needs in the U.S. through cash flows from operations in the U.S., distributions from certain foreign subsidiaries, borrowings under its revolving credit facility and the acceleration of cash receipts under its receivable securitization facilities. Of the cash and cash equivalents located outside the U.S., $229 was held by subsidiaries for which earnings are considered indefinitely reinvested. While based on current operating plans the Company does not foresee a need to repatriate these funds, if such earnings were repatriated the Company would be required to record any incremental taxes on the repatriated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1"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2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As of June 30, 2019, the Company had $1,199 of borrowing capacity available under its revolving credit facility, equal to the total facility of $1,650 less borrowings of $385 and $66 of outstanding standby letters of credit. The Company could have borrowed this amount at June 30, 2019 and still been in compliance with its leverage ratio covenants.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Capital Resources</w:t>
      </w:r>
    </w:p>
    <w:p>
      <w:pPr>
        <w:spacing w:after="0" w:line="229"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color w:val="auto"/>
        </w:rPr>
        <w:t>As of June 30, 2019, the Company had approximately $131 of capital commitments primarily related to its Americas Beverage and European Beverage segments. The Company expects to fund these commitments primarily through cash flows generated from operations.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Contractual Obligations</w:t>
      </w:r>
    </w:p>
    <w:p>
      <w:pPr>
        <w:spacing w:after="0" w:line="22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During the six months ended June 30, 2019 there were no material changes to the Company's contractual obligations provided within Part II, Item 7, “Management's Discussion and Analysis of Financial Condition and Results of Operations” of the Company's Annual Report on Form 10-K for the year ended December 31, 2018, which information is incorporated herein by reference.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Commitments and Contingent Liabilities</w:t>
      </w:r>
    </w:p>
    <w:p>
      <w:pPr>
        <w:spacing w:after="0" w:line="229" w:lineRule="exact"/>
        <w:rPr>
          <w:sz w:val="20"/>
          <w:szCs w:val="20"/>
          <w:color w:val="auto"/>
        </w:rPr>
      </w:pPr>
    </w:p>
    <w:p>
      <w:pPr>
        <w:jc w:val="both"/>
        <w:ind w:left="660"/>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Information regarding the Company's commitments and contingent liabilities appears in Part I within Item 1 of this report under </w:t>
      </w:r>
      <w:hyperlink w:anchor="page16">
        <w:r>
          <w:rPr>
            <w:rFonts w:ascii="Arial" w:cs="Arial" w:eastAsia="Arial" w:hAnsi="Arial"/>
            <w:sz w:val="18"/>
            <w:szCs w:val="18"/>
            <w:u w:val="single" w:color="auto"/>
            <w:color w:val="0000EE"/>
          </w:rPr>
          <w:t>Note L</w:t>
        </w:r>
      </w:hyperlink>
      <w:r>
        <w:rPr>
          <w:rFonts w:ascii="Arial" w:cs="Arial" w:eastAsia="Arial" w:hAnsi="Arial"/>
          <w:sz w:val="18"/>
          <w:szCs w:val="18"/>
          <w:color w:val="auto"/>
        </w:rPr>
        <w:t>, entitled “Commitments and Contingent Liabilities,” to the consolidated financial statements, and in Part II within Item 1A of this report which information is incorporated herein by reference.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accompanying consolidated financial statements have been prepared in accordance with accounting principles generally accepted in the U.S.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which require that management make numerous estimates and assumptions.</w:t>
      </w:r>
    </w:p>
    <w:p>
      <w:pPr>
        <w:spacing w:after="0" w:line="211"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Actual results could differ from these estimates and assumptions, impacting the reported results of operations and financial condition of the Company. Part II, Item 7, “Management's Discussion and Analysis of Financial Condition and Results of Operations” and Note A to the consolidated financial statements contained in the Company's Annual Report on Form</w:t>
      </w:r>
    </w:p>
    <w:p>
      <w:pPr>
        <w:jc w:val="both"/>
        <w:ind w:left="660"/>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10-K for the year ended December 31, 2018 describe the significant accounting estimates and policies used in the preparation of the consolidated financial statements. Updates to the Company's accounting policies related to new accounting pronouncements are included in </w:t>
      </w:r>
      <w:hyperlink w:anchor="page8">
        <w:r>
          <w:rPr>
            <w:rFonts w:ascii="Arial" w:cs="Arial" w:eastAsia="Arial" w:hAnsi="Arial"/>
            <w:sz w:val="18"/>
            <w:szCs w:val="18"/>
            <w:u w:val="single" w:color="auto"/>
            <w:color w:val="0000EE"/>
          </w:rPr>
          <w:t>Note B</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 included in this Quarterly Report on Form 10-Q.</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229" w:lineRule="exact"/>
        <w:rPr>
          <w:sz w:val="20"/>
          <w:szCs w:val="20"/>
          <w:color w:val="auto"/>
        </w:rPr>
      </w:pPr>
    </w:p>
    <w:p>
      <w:pPr>
        <w:jc w:val="both"/>
        <w:ind w:left="660"/>
        <w:spacing w:after="0" w:line="271" w:lineRule="auto"/>
        <w:rPr>
          <w:rFonts w:ascii="Arial" w:cs="Arial" w:eastAsia="Arial" w:hAnsi="Arial"/>
          <w:sz w:val="17"/>
          <w:szCs w:val="17"/>
          <w:color w:val="auto"/>
        </w:rPr>
      </w:pPr>
      <w:r>
        <w:rPr>
          <w:rFonts w:ascii="Arial" w:cs="Arial" w:eastAsia="Arial" w:hAnsi="Arial"/>
          <w:sz w:val="17"/>
          <w:szCs w:val="17"/>
          <w:color w:val="auto"/>
        </w:rPr>
        <w:t xml:space="preserve">Statements included herein, including, but not limited to, those in “Management's Discussion and Analysis of Financial Condition and Results of Operations” and in the discussions of asbestos in </w:t>
      </w:r>
      <w:hyperlink w:anchor="page14">
        <w:r>
          <w:rPr>
            <w:rFonts w:ascii="Arial" w:cs="Arial" w:eastAsia="Arial" w:hAnsi="Arial"/>
            <w:sz w:val="17"/>
            <w:szCs w:val="17"/>
            <w:u w:val="single" w:color="auto"/>
            <w:color w:val="0000EE"/>
          </w:rPr>
          <w:t>Note 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and commitments and contingencies in </w:t>
      </w:r>
      <w:hyperlink w:anchor="page16">
        <w:r>
          <w:rPr>
            <w:rFonts w:ascii="Arial" w:cs="Arial" w:eastAsia="Arial" w:hAnsi="Arial"/>
            <w:sz w:val="17"/>
            <w:szCs w:val="17"/>
            <w:u w:val="single" w:color="auto"/>
            <w:color w:val="0000EE"/>
          </w:rPr>
          <w:t>Note L</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consolidated financial statements included in this Quarterly Report on Form 10-Q, and also in Part I, Item 1, “Business” and Item 3, “Legal Proceedings” and in Part II, Item 7, “Management's Discussion and Analysis of Financial Condition and Results of Operations,” within the Company's Annual Report on Form 10-K for the year ended December 31, 2018, which are not historical facts (including any statements concerning plans and objectives of management for capacity additions, share repurchases, dividends, future operations or economic performance, or assumptions related thereto), are “forward-looking statements” within the meaning of the federal securities laws. In addition, the Company and its representatives may, from time to time, make oral or written statements which are also “forward-looking statements.”</w:t>
      </w:r>
    </w:p>
    <w:p>
      <w:pPr>
        <w:spacing w:after="0" w:line="179" w:lineRule="exact"/>
        <w:rPr>
          <w:sz w:val="20"/>
          <w:szCs w:val="20"/>
          <w:color w:val="auto"/>
        </w:rPr>
      </w:pPr>
    </w:p>
    <w:p>
      <w:pPr>
        <w:jc w:val="both"/>
        <w:ind w:left="660"/>
        <w:spacing w:after="0" w:line="258" w:lineRule="auto"/>
        <w:rPr>
          <w:sz w:val="20"/>
          <w:szCs w:val="20"/>
          <w:color w:val="auto"/>
        </w:rPr>
      </w:pPr>
      <w:r>
        <w:rPr>
          <w:rFonts w:ascii="Arial" w:cs="Arial" w:eastAsia="Arial" w:hAnsi="Arial"/>
          <w:sz w:val="18"/>
          <w:szCs w:val="18"/>
          <w:color w:val="auto"/>
        </w:rPr>
        <w:t>These forward-looking statements are made based upon management's expectations and beliefs concerning future events impacting the Company and, therefore, involve a number of risks and uncertainties. Management cautions that forward-</w:t>
      </w:r>
    </w:p>
    <w:p>
      <w:pPr>
        <w:spacing w:after="0" w:line="1" w:lineRule="exact"/>
        <w:rPr>
          <w:sz w:val="20"/>
          <w:szCs w:val="20"/>
          <w:color w:val="auto"/>
        </w:rPr>
      </w:pPr>
    </w:p>
    <w:p>
      <w:pPr>
        <w:jc w:val="both"/>
        <w:ind w:left="660"/>
        <w:spacing w:after="0" w:line="261" w:lineRule="auto"/>
        <w:rPr>
          <w:sz w:val="20"/>
          <w:szCs w:val="20"/>
          <w:color w:val="auto"/>
        </w:rPr>
      </w:pPr>
      <w:r>
        <w:rPr>
          <w:rFonts w:ascii="Arial" w:cs="Arial" w:eastAsia="Arial" w:hAnsi="Arial"/>
          <w:sz w:val="18"/>
          <w:szCs w:val="18"/>
          <w:color w:val="auto"/>
        </w:rPr>
        <w:t>looking statements are not guarantees and that actual results could differ materially from those expressed or implied in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1"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29"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While the Company periodically reassesses material trends and uncertainties affecting the Company's results of operations and financial condition in connection with the preparation of “Management's Discussion and Analysis of Financial Condition and Results of Operations” and certain other sections contained in the Company's quarterly, annual or other reports filed with the Securities and Exchange Commission (“SEC”), the Company does not intend to review or revise any particular forward-looking statement in light of future events.</w:t>
      </w:r>
    </w:p>
    <w:p>
      <w:pPr>
        <w:spacing w:after="0" w:line="171"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A discussion of important factors that could cause the actual results of operations or financial condition of the Company to differ from expectations has been set forth in the Company's Annual Report on Form 10-K for the year ended December 31, 2018 within Part II, Item 7: “Management's Discussion and Analysis of Financial Condition and Results of Operations”</w:t>
      </w:r>
    </w:p>
    <w:p>
      <w:pPr>
        <w:jc w:val="both"/>
        <w:ind w:left="660"/>
        <w:spacing w:after="0" w:line="255" w:lineRule="auto"/>
        <w:rPr>
          <w:sz w:val="20"/>
          <w:szCs w:val="20"/>
          <w:color w:val="auto"/>
        </w:rPr>
      </w:pPr>
      <w:r>
        <w:rPr>
          <w:rFonts w:ascii="Arial" w:cs="Arial" w:eastAsia="Arial" w:hAnsi="Arial"/>
          <w:sz w:val="18"/>
          <w:szCs w:val="18"/>
          <w:color w:val="auto"/>
        </w:rPr>
        <w:t>under the caption “Forward Looking Statements” and is incorporated herein by reference. Some of the factors are also discussed elsewhere in this Form 10-Q and in prior Company filings with the SEC. In addition, other factors have been or may be discussed from time to time in the Company's SEC filings.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left="660"/>
        <w:spacing w:after="0" w:line="270" w:lineRule="auto"/>
        <w:rPr>
          <w:rFonts w:ascii="Arial" w:cs="Arial" w:eastAsia="Arial" w:hAnsi="Arial"/>
          <w:sz w:val="17"/>
          <w:szCs w:val="17"/>
          <w:color w:val="auto"/>
        </w:rPr>
      </w:pPr>
      <w:r>
        <w:rPr>
          <w:rFonts w:ascii="Arial" w:cs="Arial" w:eastAsia="Arial" w:hAnsi="Arial"/>
          <w:sz w:val="17"/>
          <w:szCs w:val="17"/>
          <w:color w:val="auto"/>
        </w:rPr>
        <w:t xml:space="preserve">In the normal course of business the Company is subject to risk from adverse fluctuations in foreign exchange and interest rates and commodity prices. The Company manages these risks through a program that includes the use of derivative financial instruments, primarily swaps and forwards. Counterparties to these contracts are major financial institutions. The Company is exposed to credit loss in the event of nonperformance by the counterparties. These instruments are not used for trading or speculative purposes. The extent to which the Company uses such instruments is dependent upon its access to these contracts in the financial markets and its success in using other methods, such as netting exposures in the same currencies to mitigate foreign exchange risk and using sales arrangements that permit the pass-through of commodity prices and foreign exchange rate risks to customers. The Company's objective in managing its exposure to market risk is to limit the impact on earnings and cash flow. For further discussion of the Company's use of derivative instruments and their fair values at June 30, 2019, see </w:t>
      </w:r>
      <w:hyperlink w:anchor="page17">
        <w:r>
          <w:rPr>
            <w:rFonts w:ascii="Arial" w:cs="Arial" w:eastAsia="Arial" w:hAnsi="Arial"/>
            <w:sz w:val="17"/>
            <w:szCs w:val="17"/>
            <w:u w:val="single" w:color="auto"/>
            <w:color w:val="0000EE"/>
          </w:rPr>
          <w:t>Note M</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consolidated financial statements included in this Quarterly Report on Form 10-Q.</w:t>
      </w:r>
    </w:p>
    <w:p>
      <w:pPr>
        <w:spacing w:after="0" w:line="182"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As of June 30, 2019, the Company had $3.1 billion principal floating interest rate debt. A change of 0.25% in these floating interest rates would change annual interest expense by approximately $8 million before tax.</w:t>
      </w:r>
    </w:p>
    <w:p>
      <w:pPr>
        <w:spacing w:after="0" w:line="170" w:lineRule="exact"/>
        <w:rPr>
          <w:sz w:val="20"/>
          <w:szCs w:val="20"/>
          <w:color w:val="auto"/>
        </w:rPr>
      </w:pPr>
    </w:p>
    <w:p>
      <w:pPr>
        <w:jc w:val="both"/>
        <w:ind w:left="660"/>
        <w:spacing w:after="0" w:line="272" w:lineRule="auto"/>
        <w:rPr>
          <w:sz w:val="20"/>
          <w:szCs w:val="20"/>
          <w:color w:val="auto"/>
        </w:rPr>
      </w:pPr>
      <w:r>
        <w:rPr>
          <w:rFonts w:ascii="Arial" w:cs="Arial" w:eastAsia="Arial" w:hAnsi="Arial"/>
          <w:sz w:val="17"/>
          <w:szCs w:val="17"/>
          <w:color w:val="auto"/>
        </w:rPr>
        <w:t>In July 2017, the Financial Conduct Authority (the authority that regulates LIBOR) announced it intends to stop compelling banks to submit rates for the calculation of LIBOR after 2021. The U.S. Federal Reserve, in conjunction with the Alternative Reference Rate Committee, or ARRC, has announced the replacement of U.S. dollar LIBOR rates with a new index calculated by short-term repurchase agreements backed by U.S. Treasury securities called the Secured Overnight Financing Rate (SOFR). The first publication of SOFR was released in April 2018. Whether or not SOFR attains market traction as a LIBOR replacement tool remains in question and the future of LIBOR at this time is uncertain. At June 30, 2019, the Company does have contracts that are indexed to LIBOR, including cross-currency swap contracts and certain of its term loan facilities, and continues to monitor this activity and evaluate the related risks.</w:t>
      </w:r>
    </w:p>
    <w:p>
      <w:pPr>
        <w:spacing w:after="0" w:line="39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jc w:val="both"/>
        <w:ind w:left="660"/>
        <w:spacing w:after="0" w:line="271" w:lineRule="auto"/>
        <w:rPr>
          <w:sz w:val="20"/>
          <w:szCs w:val="20"/>
          <w:color w:val="auto"/>
        </w:rPr>
      </w:pPr>
      <w:r>
        <w:rPr>
          <w:rFonts w:ascii="Arial" w:cs="Arial" w:eastAsia="Arial" w:hAnsi="Arial"/>
          <w:sz w:val="17"/>
          <w:szCs w:val="17"/>
          <w:color w:val="auto"/>
        </w:rPr>
        <w:t>As of the end of the period covered by this Quarterly Report on Form 10-Q, management, including the Company's Chief Executive Officer and Chief Financial Officer, has evaluated the effectiveness of the design and operation of its disclosure controls and procedures. Based upon that evaluation and as of the end of the quarter for which this report is made, the Company's Chief Executive Officer and Chief Financial Officer concluded that the disclosure controls and procedures were effective. Disclosure controls and procedures ensure that information to be disclosed in reports that the Company files and submits under the Exchange Act is recorded, processed, summarized and reported within the time periods specified in the rules and terms of the SEC, and ensure that information required to be disclosed in the reports that the Company files or submits under the Exchange Act is accumulated and communicated to the Company's management, including its Chief Executive Officer and Chief Financial Officer, to allow timely decisions regarding required disclosure.</w:t>
      </w:r>
    </w:p>
    <w:p>
      <w:pPr>
        <w:spacing w:after="0" w:line="17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There has been no change in internal controls over financial reporting that occurred during the period covered by this report that has materially affected, or is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1" w:right="239" w:bottom="1440" w:gutter="0" w:footer="0" w:header="0"/>
        </w:sectPr>
      </w:pPr>
    </w:p>
    <w:bookmarkStart w:id="52" w:name="page53"/>
    <w:bookmarkEnd w:id="52"/>
    <w:p>
      <w:pPr>
        <w:jc w:val="right"/>
        <w:ind w:right="3079"/>
        <w:spacing w:after="0"/>
        <w:rPr>
          <w:sz w:val="20"/>
          <w:szCs w:val="20"/>
          <w:color w:val="auto"/>
        </w:rPr>
      </w:pPr>
      <w:r>
        <w:rPr>
          <w:rFonts w:ascii="Arial" w:cs="Arial" w:eastAsia="Arial" w:hAnsi="Arial"/>
          <w:sz w:val="18"/>
          <w:szCs w:val="18"/>
          <w:b w:val="1"/>
          <w:bCs w:val="1"/>
          <w:color w:val="auto"/>
        </w:rPr>
        <w:t>PART II – OTHER INFORMATION</w:t>
      </w:r>
    </w:p>
    <w:p>
      <w:pPr>
        <w:spacing w:after="0" w:line="38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00" w:lineRule="exact"/>
        <w:rPr>
          <w:sz w:val="20"/>
          <w:szCs w:val="20"/>
          <w:color w:val="auto"/>
        </w:rPr>
      </w:pPr>
    </w:p>
    <w:p>
      <w:pPr>
        <w:spacing w:after="0" w:line="27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9559"/>
          </w:cols>
          <w:pgMar w:left="900" w:top="580" w:right="1440"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jc w:val="both"/>
        <w:ind w:left="340" w:firstLine="648"/>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For information regarding the Company's potential asbestos-related liabilities and other litigation, see </w:t>
      </w:r>
      <w:hyperlink w:anchor="page14">
        <w:r>
          <w:rPr>
            <w:rFonts w:ascii="Arial" w:cs="Arial" w:eastAsia="Arial" w:hAnsi="Arial"/>
            <w:sz w:val="18"/>
            <w:szCs w:val="18"/>
            <w:u w:val="single" w:color="auto"/>
            <w:color w:val="0000EE"/>
          </w:rPr>
          <w:t>Note 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entitled “Asbestos-Related Liabilities” and </w:t>
      </w:r>
      <w:hyperlink w:anchor="page16">
        <w:r>
          <w:rPr>
            <w:rFonts w:ascii="Arial" w:cs="Arial" w:eastAsia="Arial" w:hAnsi="Arial"/>
            <w:sz w:val="18"/>
            <w:szCs w:val="18"/>
            <w:u w:val="single" w:color="auto"/>
            <w:color w:val="0000EE"/>
          </w:rPr>
          <w:t>Note L</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entitled “Commitments and Contingent Liabilities” to the consolidated financial statements within Part I, Item 1 of this Quarterly Report on Form 10-Q, which information is incorporated herein by reference.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set forth in this report should be read in conjunction with the risk factors discussed in Item 1A of the Company's Annual Report on Form 10-K for the year ended December 31, 2018. The risks described in the Company's Annual Report on Form 10-K are not the only risks facing the Company. Additional risks and uncertainties not currently known to the Company or that the Company currently deems to be immaterial also may materially adversely affect the Company's business, financial condition and/or operating results.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2. Unregistered Sale of Equity Securities and Use of Proceeds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purchases of the Company's equity securities during the three months ended June 30, 2019.</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2016, the Company's Board of Directors authorized the repurchase of an aggregate amount of $1 billion of the Company's common stock through the end of 2019. Share repurchases under the Company's programs may be made in the open market or through privately negotiated transactions, and at times and in such amounts as management deems appropriate. The timing and actual number of shares repurchased will depend on a variety of factors including price, corporate and regulatory requirements and other market conditions. As of June 30, 2019, $669 million of the Company’s outstanding common stock may be repurchased under the program.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There were 13,181 shares surrendered to cover taxes on the vesting of restricted stock during the three months ended June 30, 2019.</w:t>
      </w:r>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events required to be reported under Item 3 for the three months ended June 30, 2019.</w:t>
      </w:r>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1" w:right="239" w:bottom="1440" w:gutter="0" w:footer="0" w:header="0"/>
        </w:sectPr>
      </w:pPr>
    </w:p>
    <w:bookmarkStart w:id="54" w:name="page55"/>
    <w:bookmarkEnd w:id="54"/>
    <w:p>
      <w:pPr>
        <w:ind w:left="42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00" w:lineRule="exact"/>
        <w:rPr>
          <w:sz w:val="20"/>
          <w:szCs w:val="20"/>
          <w:color w:val="auto"/>
        </w:rPr>
      </w:pPr>
    </w:p>
    <w:p>
      <w:pPr>
        <w:spacing w:after="0" w:line="245" w:lineRule="exact"/>
        <w:rPr>
          <w:sz w:val="20"/>
          <w:szCs w:val="20"/>
          <w:color w:val="auto"/>
        </w:rPr>
      </w:pPr>
    </w:p>
    <w:p>
      <w:pPr>
        <w:ind w:left="780" w:hanging="755"/>
        <w:spacing w:after="0" w:line="277" w:lineRule="auto"/>
        <w:tabs>
          <w:tab w:leader="none" w:pos="760" w:val="left"/>
        </w:tabs>
        <w:rPr>
          <w:rFonts w:ascii="Arial" w:cs="Arial" w:eastAsia="Arial" w:hAnsi="Arial"/>
          <w:sz w:val="18"/>
          <w:szCs w:val="18"/>
          <w:u w:val="single" w:color="auto"/>
          <w:color w:val="0000FF"/>
        </w:rPr>
      </w:pPr>
      <w:r>
        <w:rPr>
          <w:rFonts w:ascii="Arial" w:cs="Arial" w:eastAsia="Arial" w:hAnsi="Arial"/>
          <w:sz w:val="18"/>
          <w:szCs w:val="18"/>
          <w:color w:val="auto"/>
        </w:rPr>
        <w:t>31.1</w:t>
      </w:r>
      <w:r>
        <w:rPr>
          <w:sz w:val="20"/>
          <w:szCs w:val="20"/>
          <w:color w:val="auto"/>
        </w:rPr>
        <w:tab/>
      </w:r>
      <w:hyperlink w:anchor="page57">
        <w:r>
          <w:rPr>
            <w:rFonts w:ascii="Arial" w:cs="Arial" w:eastAsia="Arial" w:hAnsi="Arial"/>
            <w:sz w:val="18"/>
            <w:szCs w:val="18"/>
            <w:u w:val="single" w:color="auto"/>
            <w:color w:val="0000FF"/>
          </w:rPr>
          <w:t>Certification of Chief Executive Officer pursuant to Rule 13a-14(a) or 15d-14(a) of the Securities Exchange Act of 1934, as adopted</w:t>
        </w:r>
      </w:hyperlink>
      <w:r>
        <w:rPr>
          <w:rFonts w:ascii="Arial" w:cs="Arial" w:eastAsia="Arial" w:hAnsi="Arial"/>
          <w:sz w:val="18"/>
          <w:szCs w:val="18"/>
          <w:u w:val="single" w:color="auto"/>
          <w:color w:val="0000FF"/>
        </w:rPr>
        <w:t xml:space="preserve"> </w:t>
      </w:r>
      <w:hyperlink w:anchor="page57">
        <w:r>
          <w:rPr>
            <w:rFonts w:ascii="Arial" w:cs="Arial" w:eastAsia="Arial" w:hAnsi="Arial"/>
            <w:sz w:val="18"/>
            <w:szCs w:val="18"/>
            <w:u w:val="single" w:color="auto"/>
            <w:color w:val="0000FF"/>
          </w:rPr>
          <w:t>pursuant to Section 302 of the Sarbanes-Oxley Act of 2002.</w:t>
        </w:r>
      </w:hyperlink>
    </w:p>
    <w:p>
      <w:pPr>
        <w:spacing w:after="0" w:line="279" w:lineRule="exact"/>
        <w:rPr>
          <w:sz w:val="20"/>
          <w:szCs w:val="20"/>
          <w:color w:val="auto"/>
        </w:rPr>
      </w:pPr>
    </w:p>
    <w:p>
      <w:pPr>
        <w:ind w:left="780" w:right="20" w:hanging="755"/>
        <w:spacing w:after="0" w:line="277" w:lineRule="auto"/>
        <w:tabs>
          <w:tab w:leader="none" w:pos="760" w:val="left"/>
        </w:tabs>
        <w:rPr>
          <w:rFonts w:ascii="Arial" w:cs="Arial" w:eastAsia="Arial" w:hAnsi="Arial"/>
          <w:sz w:val="18"/>
          <w:szCs w:val="18"/>
          <w:u w:val="single" w:color="auto"/>
          <w:color w:val="0000FF"/>
        </w:rPr>
      </w:pPr>
      <w:r>
        <w:rPr>
          <w:rFonts w:ascii="Arial" w:cs="Arial" w:eastAsia="Arial" w:hAnsi="Arial"/>
          <w:sz w:val="18"/>
          <w:szCs w:val="18"/>
          <w:color w:val="auto"/>
        </w:rPr>
        <w:t>31.2</w:t>
      </w:r>
      <w:r>
        <w:rPr>
          <w:sz w:val="20"/>
          <w:szCs w:val="20"/>
          <w:color w:val="auto"/>
        </w:rPr>
        <w:tab/>
      </w:r>
      <w:hyperlink w:anchor="page58">
        <w:r>
          <w:rPr>
            <w:rFonts w:ascii="Arial" w:cs="Arial" w:eastAsia="Arial" w:hAnsi="Arial"/>
            <w:sz w:val="18"/>
            <w:szCs w:val="18"/>
            <w:u w:val="single" w:color="auto"/>
            <w:color w:val="0000FF"/>
          </w:rPr>
          <w:t>Certification of Chief Financial Officer pursuant to Rule 13a-14(a) or 15d-14(a) of the Securities Exchange Act of 1934, as adopted</w:t>
        </w:r>
      </w:hyperlink>
      <w:r>
        <w:rPr>
          <w:rFonts w:ascii="Arial" w:cs="Arial" w:eastAsia="Arial" w:hAnsi="Arial"/>
          <w:sz w:val="18"/>
          <w:szCs w:val="18"/>
          <w:u w:val="single" w:color="auto"/>
          <w:color w:val="0000FF"/>
        </w:rPr>
        <w:t xml:space="preserve"> </w:t>
      </w:r>
      <w:hyperlink w:anchor="page58">
        <w:r>
          <w:rPr>
            <w:rFonts w:ascii="Arial" w:cs="Arial" w:eastAsia="Arial" w:hAnsi="Arial"/>
            <w:sz w:val="18"/>
            <w:szCs w:val="18"/>
            <w:u w:val="single" w:color="auto"/>
            <w:color w:val="0000FF"/>
          </w:rPr>
          <w:t>pursuant to Section 302 of the Sarbanes-Oxley Act of 2002.</w:t>
        </w:r>
      </w:hyperlink>
    </w:p>
    <w:p>
      <w:pPr>
        <w:spacing w:after="0" w:line="279" w:lineRule="exact"/>
        <w:rPr>
          <w:sz w:val="20"/>
          <w:szCs w:val="20"/>
          <w:color w:val="auto"/>
        </w:rPr>
      </w:pPr>
    </w:p>
    <w:p>
      <w:pPr>
        <w:jc w:val="both"/>
        <w:ind w:left="780" w:hanging="757"/>
        <w:spacing w:after="0" w:line="264" w:lineRule="auto"/>
        <w:tabs>
          <w:tab w:leader="none" w:pos="780" w:val="left"/>
        </w:tabs>
        <w:numPr>
          <w:ilvl w:val="0"/>
          <w:numId w:val="24"/>
        </w:numPr>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Certification pursuant to 18 U.S.C. Section 1350, as adopted pursuant to Section 906 of the Sarbanes-Oxley Act of 2002, executed by</w:t>
        </w:r>
      </w:hyperlink>
      <w:r>
        <w:rPr>
          <w:rFonts w:ascii="Arial" w:cs="Arial" w:eastAsia="Arial" w:hAnsi="Arial"/>
          <w:sz w:val="18"/>
          <w:szCs w:val="18"/>
          <w:u w:val="single" w:color="auto"/>
          <w:color w:val="0000FF"/>
        </w:rPr>
        <w:t xml:space="preserve"> </w:t>
      </w:r>
      <w:hyperlink w:anchor="page59">
        <w:r>
          <w:rPr>
            <w:rFonts w:ascii="Arial" w:cs="Arial" w:eastAsia="Arial" w:hAnsi="Arial"/>
            <w:sz w:val="18"/>
            <w:szCs w:val="18"/>
            <w:u w:val="single" w:color="auto"/>
            <w:color w:val="0000FF"/>
          </w:rPr>
          <w:t>Timothy J. Donahue, President and Chief Executive Officer of Crown Holdings, Inc. and Thomas A. Kelly, Senior Vice President and</w:t>
        </w:r>
      </w:hyperlink>
      <w:r>
        <w:rPr>
          <w:rFonts w:ascii="Arial" w:cs="Arial" w:eastAsia="Arial" w:hAnsi="Arial"/>
          <w:sz w:val="18"/>
          <w:szCs w:val="18"/>
          <w:u w:val="single" w:color="auto"/>
          <w:color w:val="0000FF"/>
        </w:rPr>
        <w:t xml:space="preserve"> </w:t>
      </w:r>
      <w:hyperlink w:anchor="page59">
        <w:r>
          <w:rPr>
            <w:rFonts w:ascii="Arial" w:cs="Arial" w:eastAsia="Arial" w:hAnsi="Arial"/>
            <w:sz w:val="18"/>
            <w:szCs w:val="18"/>
            <w:u w:val="single" w:color="auto"/>
            <w:color w:val="0000FF"/>
          </w:rPr>
          <w:t>Chief Financial Officer of Crown Holdings, Inc.</w:t>
        </w:r>
      </w:hyperlink>
    </w:p>
    <w:p>
      <w:pPr>
        <w:spacing w:after="0" w:line="289" w:lineRule="exact"/>
        <w:rPr>
          <w:rFonts w:ascii="Arial" w:cs="Arial" w:eastAsia="Arial" w:hAnsi="Arial"/>
          <w:sz w:val="18"/>
          <w:szCs w:val="18"/>
          <w:u w:val="single" w:color="auto"/>
          <w:color w:val="0000FF"/>
        </w:rPr>
      </w:pPr>
    </w:p>
    <w:p>
      <w:pPr>
        <w:jc w:val="both"/>
        <w:ind w:left="780" w:hanging="757"/>
        <w:spacing w:after="0" w:line="273" w:lineRule="auto"/>
        <w:tabs>
          <w:tab w:leader="none" w:pos="7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following financial information from the Registrant's Quarterly Report on Form 10-Q for the quarter ended June 30, 2019 formatted in inline XBRL (eXtensible Business Reporting Language): (i) Consolidated Statements of Operations for the three and six months ended June 30, 2019 and 2018, (ii) Consolidated Statements of Comprehensive Income for the three and six months ended June 30, 2019 and 2018, (iii) Consolidated Balance Sheets as of June 30, 2019 and December 31, 2018, (iv) Consolidated Statements of Cash Flows for the six months ended June 30, 2019 and 2018, (v) Consolidated Statements of Changes in Equity for the three and six months ended June 30, 2019 and 2018 and (vi) Notes to Consolidated Financial Statements.</w:t>
      </w:r>
    </w:p>
    <w:p>
      <w:pPr>
        <w:spacing w:after="0" w:line="287" w:lineRule="exact"/>
        <w:rPr>
          <w:rFonts w:ascii="Arial" w:cs="Arial" w:eastAsia="Arial" w:hAnsi="Arial"/>
          <w:sz w:val="18"/>
          <w:szCs w:val="18"/>
          <w:u w:val="single" w:color="auto"/>
          <w:color w:val="0000FF"/>
        </w:rPr>
      </w:pPr>
    </w:p>
    <w:p>
      <w:pPr>
        <w:ind w:left="4960" w:right="3400" w:hanging="4937"/>
        <w:spacing w:after="0" w:line="590" w:lineRule="auto"/>
        <w:tabs>
          <w:tab w:leader="none" w:pos="776"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55</w:t>
      </w:r>
    </w:p>
    <w:p>
      <w:pPr>
        <w:sectPr>
          <w:pgSz w:w="11900" w:h="16838" w:orient="portrait"/>
          <w:cols w:equalWidth="0" w:num="1">
            <w:col w:w="10740"/>
          </w:cols>
          <w:pgMar w:left="900" w:top="121" w:right="259" w:bottom="1440" w:gutter="0" w:footer="0" w:header="0"/>
        </w:sectPr>
      </w:pPr>
    </w:p>
    <w:bookmarkStart w:id="55" w:name="page56"/>
    <w:bookmarkEnd w:id="55"/>
    <w:p>
      <w:pPr>
        <w:ind w:left="42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SIGNATURE</w:t>
      </w:r>
    </w:p>
    <w:p>
      <w:pPr>
        <w:spacing w:after="0" w:line="39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700"/>
        <w:spacing w:after="0"/>
        <w:rPr>
          <w:sz w:val="20"/>
          <w:szCs w:val="20"/>
          <w:color w:val="auto"/>
        </w:rPr>
      </w:pPr>
      <w:r>
        <w:rPr>
          <w:rFonts w:ascii="Arial" w:cs="Arial" w:eastAsia="Arial" w:hAnsi="Arial"/>
          <w:sz w:val="18"/>
          <w:szCs w:val="18"/>
          <w:u w:val="single" w:color="auto"/>
          <w:color w:val="auto"/>
        </w:rPr>
        <w:t>Crown Holdings, Inc.</w:t>
      </w:r>
    </w:p>
    <w:p>
      <w:pPr>
        <w:spacing w:after="0" w:line="2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Registrant</w:t>
      </w:r>
    </w:p>
    <w:p>
      <w:pPr>
        <w:spacing w:after="0" w:line="373" w:lineRule="exact"/>
        <w:rPr>
          <w:sz w:val="20"/>
          <w:szCs w:val="20"/>
          <w:color w:val="auto"/>
        </w:rPr>
      </w:pPr>
    </w:p>
    <w:p>
      <w:pPr>
        <w:ind w:left="5920"/>
        <w:spacing w:after="0"/>
        <w:tabs>
          <w:tab w:leader="none" w:pos="6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4079875</wp:posOffset>
            </wp:positionH>
            <wp:positionV relativeFrom="paragraph">
              <wp:posOffset>31750</wp:posOffset>
            </wp:positionV>
            <wp:extent cx="27527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David A. Beaver</w:t>
      </w:r>
    </w:p>
    <w:p>
      <w:pPr>
        <w:spacing w:after="0" w:line="6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Vice President and Corporate Controller</w:t>
      </w:r>
    </w:p>
    <w:p>
      <w:pPr>
        <w:spacing w:after="0" w:line="6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(Chief Accounting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2019</w:t>
      </w:r>
    </w:p>
    <w:p>
      <w:pPr>
        <w:spacing w:after="0" w:line="200" w:lineRule="exact"/>
        <w:rPr>
          <w:sz w:val="20"/>
          <w:szCs w:val="20"/>
          <w:color w:val="auto"/>
        </w:rPr>
      </w:pPr>
    </w:p>
    <w:p>
      <w:pPr>
        <w:spacing w:after="0" w:line="26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760"/>
          </w:cols>
          <w:pgMar w:left="900" w:top="121"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 Timothy J. Donahue, certify that:</w:t>
      </w:r>
    </w:p>
    <w:p>
      <w:pPr>
        <w:spacing w:after="0" w:line="225"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Crown Holdings, Inc. (“the registrant”);</w:t>
      </w:r>
    </w:p>
    <w:p>
      <w:pPr>
        <w:spacing w:after="0" w:line="225"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25" w:lineRule="exact"/>
        <w:rPr>
          <w:rFonts w:ascii="Arial" w:cs="Arial" w:eastAsia="Arial" w:hAnsi="Arial"/>
          <w:sz w:val="18"/>
          <w:szCs w:val="18"/>
          <w:color w:val="auto"/>
        </w:rPr>
      </w:pPr>
    </w:p>
    <w:p>
      <w:pPr>
        <w:jc w:val="both"/>
        <w:ind w:left="980" w:hanging="324"/>
        <w:spacing w:after="0" w:line="256"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980" w:hanging="324"/>
        <w:spacing w:after="0" w:line="262" w:lineRule="auto"/>
        <w:tabs>
          <w:tab w:leader="none" w:pos="866"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980" w:hanging="324"/>
        <w:spacing w:after="0" w:line="262"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60" w:type="dxa"/>
            <w:vAlign w:val="bottom"/>
          </w:tcPr>
          <w:p>
            <w:pPr>
              <w:spacing w:after="0"/>
              <w:rPr>
                <w:sz w:val="20"/>
                <w:szCs w:val="20"/>
                <w:color w:val="auto"/>
              </w:rPr>
            </w:pPr>
            <w:r>
              <w:rPr>
                <w:rFonts w:ascii="Arial" w:cs="Arial" w:eastAsia="Arial" w:hAnsi="Arial"/>
                <w:sz w:val="18"/>
                <w:szCs w:val="18"/>
                <w:color w:val="auto"/>
              </w:rPr>
              <w:t>Date: July 29, 2019</w:t>
            </w: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/s/ Timothy J. Donahue</w:t>
            </w:r>
          </w:p>
        </w:tc>
        <w:tc>
          <w:tcPr>
            <w:tcW w:w="3380" w:type="dxa"/>
            <w:vAlign w:val="bottom"/>
          </w:tcPr>
          <w:p>
            <w:pPr>
              <w:ind w:left="1780"/>
              <w:spacing w:after="0"/>
              <w:rPr>
                <w:sz w:val="20"/>
                <w:szCs w:val="20"/>
                <w:color w:val="auto"/>
              </w:rPr>
            </w:pPr>
            <w:r>
              <w:rPr>
                <w:rFonts w:ascii="Arial" w:cs="Arial" w:eastAsia="Arial" w:hAnsi="Arial"/>
                <w:sz w:val="18"/>
                <w:szCs w:val="18"/>
                <w:color w:val="auto"/>
                <w:w w:val="98"/>
              </w:rPr>
              <w:t>Timothy J. Donahue</w:t>
            </w:r>
          </w:p>
        </w:tc>
      </w:tr>
      <w:tr>
        <w:trPr>
          <w:trHeight w:val="237"/>
        </w:trPr>
        <w:tc>
          <w:tcPr>
            <w:tcW w:w="2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40" w:type="dxa"/>
            <w:vAlign w:val="bottom"/>
            <w:tcBorders>
              <w:top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3380" w:type="dxa"/>
            <w:vAlign w:val="bottom"/>
          </w:tcPr>
          <w:p>
            <w:pPr>
              <w:ind w:left="6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792"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 Thomas A. Kelly, certify that:</w:t>
      </w:r>
    </w:p>
    <w:p>
      <w:pPr>
        <w:spacing w:after="0" w:line="225"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Crown Holdings, Inc. (“the registrant”);</w:t>
      </w:r>
    </w:p>
    <w:p>
      <w:pPr>
        <w:spacing w:after="0" w:line="225"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25" w:lineRule="exact"/>
        <w:rPr>
          <w:rFonts w:ascii="Arial" w:cs="Arial" w:eastAsia="Arial" w:hAnsi="Arial"/>
          <w:sz w:val="18"/>
          <w:szCs w:val="18"/>
          <w:color w:val="auto"/>
        </w:rPr>
      </w:pPr>
    </w:p>
    <w:p>
      <w:pPr>
        <w:jc w:val="both"/>
        <w:ind w:left="980" w:hanging="324"/>
        <w:spacing w:after="0" w:line="256"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980" w:hanging="324"/>
        <w:spacing w:after="0" w:line="262" w:lineRule="auto"/>
        <w:tabs>
          <w:tab w:leader="none" w:pos="866"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980" w:hanging="324"/>
        <w:spacing w:after="0" w:line="262"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2740" w:val="left"/>
        </w:tabs>
        <w:rPr>
          <w:sz w:val="20"/>
          <w:szCs w:val="20"/>
          <w:color w:val="auto"/>
        </w:rPr>
      </w:pPr>
      <w:r>
        <w:rPr>
          <w:rFonts w:ascii="Arial" w:cs="Arial" w:eastAsia="Arial" w:hAnsi="Arial"/>
          <w:sz w:val="18"/>
          <w:szCs w:val="18"/>
          <w:color w:val="auto"/>
        </w:rPr>
        <w:t>Date: July 29, 2019</w:t>
      </w:r>
      <w:r>
        <w:rPr>
          <w:sz w:val="20"/>
          <w:szCs w:val="20"/>
          <w:color w:val="auto"/>
        </w:rPr>
        <w:tab/>
      </w:r>
      <w:r>
        <w:rPr>
          <w:rFonts w:ascii="Arial" w:cs="Arial" w:eastAsia="Arial" w:hAnsi="Arial"/>
          <w:sz w:val="17"/>
          <w:szCs w:val="17"/>
          <w:u w:val="single" w:color="auto"/>
          <w:color w:val="auto"/>
        </w:rPr>
        <w:t>/s/ Thomas A. Kelly</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Thomas A. Kelly</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792"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22"/>
          <w:szCs w:val="22"/>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line="258" w:lineRule="auto"/>
        <w:rPr>
          <w:sz w:val="20"/>
          <w:szCs w:val="20"/>
          <w:color w:val="auto"/>
        </w:rPr>
      </w:pPr>
      <w:r>
        <w:rPr>
          <w:rFonts w:ascii="Arial" w:cs="Arial" w:eastAsia="Arial" w:hAnsi="Arial"/>
          <w:sz w:val="22"/>
          <w:szCs w:val="22"/>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29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In connection with the Quarterly Report of Crown Holdings, Inc. (the “Company”) on Form 10-Q for the period ending June 30, 2019 (the “Report”), each of the undersigned officers certify, pursuant to 18 U.S.C. § 1350, as adopted pursuant to § 906 of the Sarbanes-Oxley Act of 2002, that:</w:t>
      </w:r>
    </w:p>
    <w:p>
      <w:pPr>
        <w:spacing w:after="0" w:line="249" w:lineRule="exact"/>
        <w:rPr>
          <w:sz w:val="20"/>
          <w:szCs w:val="20"/>
          <w:color w:val="auto"/>
        </w:rPr>
      </w:pPr>
    </w:p>
    <w:p>
      <w:pPr>
        <w:ind w:left="520" w:hanging="512"/>
        <w:spacing w:after="0"/>
        <w:tabs>
          <w:tab w:leader="none" w:pos="520" w:val="left"/>
        </w:tabs>
        <w:numPr>
          <w:ilvl w:val="0"/>
          <w:numId w:val="29"/>
        </w:numPr>
        <w:rPr>
          <w:rFonts w:ascii="Arial" w:cs="Arial" w:eastAsia="Arial" w:hAnsi="Arial"/>
          <w:sz w:val="21"/>
          <w:szCs w:val="21"/>
          <w:color w:val="auto"/>
        </w:rPr>
      </w:pPr>
      <w:r>
        <w:rPr>
          <w:rFonts w:ascii="Arial" w:cs="Arial" w:eastAsia="Arial" w:hAnsi="Arial"/>
          <w:sz w:val="21"/>
          <w:szCs w:val="21"/>
          <w:color w:val="auto"/>
        </w:rPr>
        <w:t>The Report fully complies with the requirements of Section 13(a) or 15(d) of the Securities Exchange Act of 1934;</w:t>
      </w:r>
    </w:p>
    <w:p>
      <w:pPr>
        <w:spacing w:after="0" w:line="15"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and</w:t>
      </w:r>
    </w:p>
    <w:p>
      <w:pPr>
        <w:spacing w:after="0" w:line="260" w:lineRule="exact"/>
        <w:rPr>
          <w:rFonts w:ascii="Arial" w:cs="Arial" w:eastAsia="Arial" w:hAnsi="Arial"/>
          <w:sz w:val="21"/>
          <w:szCs w:val="21"/>
          <w:color w:val="auto"/>
        </w:rPr>
      </w:pPr>
    </w:p>
    <w:p>
      <w:pPr>
        <w:ind w:firstLine="8"/>
        <w:spacing w:after="0" w:line="249" w:lineRule="auto"/>
        <w:tabs>
          <w:tab w:leader="none" w:pos="500"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position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360" w:type="dxa"/>
            <w:vAlign w:val="bottom"/>
          </w:tcPr>
          <w:p>
            <w:pPr>
              <w:spacing w:after="0"/>
              <w:rPr>
                <w:sz w:val="20"/>
                <w:szCs w:val="20"/>
                <w:color w:val="auto"/>
              </w:rPr>
            </w:pPr>
            <w:r>
              <w:rPr>
                <w:rFonts w:ascii="Arial" w:cs="Arial" w:eastAsia="Arial" w:hAnsi="Arial"/>
                <w:sz w:val="22"/>
                <w:szCs w:val="22"/>
                <w:color w:val="auto"/>
              </w:rPr>
              <w:t>Date: July 29, 2019</w:t>
            </w:r>
          </w:p>
        </w:tc>
        <w:tc>
          <w:tcPr>
            <w:tcW w:w="5780" w:type="dxa"/>
            <w:vAlign w:val="bottom"/>
            <w:gridSpan w:val="4"/>
          </w:tcPr>
          <w:p>
            <w:pPr>
              <w:ind w:left="480"/>
              <w:spacing w:after="0"/>
              <w:rPr>
                <w:sz w:val="20"/>
                <w:szCs w:val="20"/>
                <w:color w:val="auto"/>
              </w:rPr>
            </w:pPr>
            <w:r>
              <w:rPr>
                <w:rFonts w:ascii="Arial" w:cs="Arial" w:eastAsia="Arial" w:hAnsi="Arial"/>
                <w:sz w:val="22"/>
                <w:szCs w:val="22"/>
                <w:color w:val="auto"/>
              </w:rPr>
              <w:t>/s/ Timothy J. Donahue</w:t>
            </w:r>
          </w:p>
        </w:tc>
      </w:tr>
      <w:tr>
        <w:trPr>
          <w:trHeight w:val="20"/>
        </w:trPr>
        <w:tc>
          <w:tcPr>
            <w:tcW w:w="2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284"/>
        </w:trPr>
        <w:tc>
          <w:tcPr>
            <w:tcW w:w="2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300" w:type="dxa"/>
            <w:vAlign w:val="bottom"/>
            <w:gridSpan w:val="3"/>
          </w:tcPr>
          <w:p>
            <w:pPr>
              <w:ind w:left="1700"/>
              <w:spacing w:after="0"/>
              <w:rPr>
                <w:sz w:val="20"/>
                <w:szCs w:val="20"/>
                <w:color w:val="auto"/>
              </w:rPr>
            </w:pPr>
            <w:r>
              <w:rPr>
                <w:rFonts w:ascii="Arial" w:cs="Arial" w:eastAsia="Arial" w:hAnsi="Arial"/>
                <w:sz w:val="22"/>
                <w:szCs w:val="22"/>
                <w:color w:val="auto"/>
              </w:rPr>
              <w:t>Timothy J. Donahue</w:t>
            </w:r>
          </w:p>
        </w:tc>
      </w:tr>
      <w:tr>
        <w:trPr>
          <w:trHeight w:val="260"/>
        </w:trPr>
        <w:tc>
          <w:tcPr>
            <w:tcW w:w="2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300" w:type="dxa"/>
            <w:vAlign w:val="bottom"/>
            <w:gridSpan w:val="3"/>
          </w:tcPr>
          <w:p>
            <w:pPr>
              <w:ind w:left="1700"/>
              <w:spacing w:after="0"/>
              <w:rPr>
                <w:sz w:val="20"/>
                <w:szCs w:val="20"/>
                <w:color w:val="auto"/>
              </w:rPr>
            </w:pPr>
            <w:r>
              <w:rPr>
                <w:rFonts w:ascii="Arial" w:cs="Arial" w:eastAsia="Arial" w:hAnsi="Arial"/>
                <w:sz w:val="22"/>
                <w:szCs w:val="22"/>
                <w:color w:val="auto"/>
                <w:w w:val="97"/>
              </w:rPr>
              <w:t>President and Chief Executive Officer</w:t>
            </w:r>
          </w:p>
        </w:tc>
      </w:tr>
      <w:tr>
        <w:trPr>
          <w:trHeight w:val="463"/>
        </w:trPr>
        <w:tc>
          <w:tcPr>
            <w:tcW w:w="2360" w:type="dxa"/>
            <w:vAlign w:val="bottom"/>
          </w:tcPr>
          <w:p>
            <w:pPr>
              <w:spacing w:after="0"/>
              <w:rPr>
                <w:sz w:val="20"/>
                <w:szCs w:val="20"/>
                <w:color w:val="auto"/>
              </w:rPr>
            </w:pPr>
            <w:r>
              <w:rPr>
                <w:rFonts w:ascii="Arial" w:cs="Arial" w:eastAsia="Arial" w:hAnsi="Arial"/>
                <w:sz w:val="22"/>
                <w:szCs w:val="22"/>
                <w:color w:val="auto"/>
              </w:rPr>
              <w:t>Date: July 29, 2019</w:t>
            </w:r>
          </w:p>
        </w:tc>
        <w:tc>
          <w:tcPr>
            <w:tcW w:w="5780" w:type="dxa"/>
            <w:vAlign w:val="bottom"/>
            <w:gridSpan w:val="4"/>
          </w:tcPr>
          <w:p>
            <w:pPr>
              <w:ind w:left="480"/>
              <w:spacing w:after="0"/>
              <w:rPr>
                <w:sz w:val="20"/>
                <w:szCs w:val="20"/>
                <w:color w:val="auto"/>
              </w:rPr>
            </w:pPr>
            <w:r>
              <w:rPr>
                <w:rFonts w:ascii="Arial" w:cs="Arial" w:eastAsia="Arial" w:hAnsi="Arial"/>
                <w:sz w:val="22"/>
                <w:szCs w:val="22"/>
                <w:color w:val="auto"/>
              </w:rPr>
              <w:t>/s/ Thomas A. Kelly</w:t>
            </w:r>
          </w:p>
        </w:tc>
      </w:tr>
      <w:tr>
        <w:trPr>
          <w:trHeight w:val="20"/>
        </w:trPr>
        <w:tc>
          <w:tcPr>
            <w:tcW w:w="2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r>
      <w:tr>
        <w:trPr>
          <w:trHeight w:val="284"/>
        </w:trPr>
        <w:tc>
          <w:tcPr>
            <w:tcW w:w="2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300" w:type="dxa"/>
            <w:vAlign w:val="bottom"/>
            <w:gridSpan w:val="3"/>
          </w:tcPr>
          <w:p>
            <w:pPr>
              <w:ind w:left="1700"/>
              <w:spacing w:after="0"/>
              <w:rPr>
                <w:sz w:val="20"/>
                <w:szCs w:val="20"/>
                <w:color w:val="auto"/>
              </w:rPr>
            </w:pPr>
            <w:r>
              <w:rPr>
                <w:rFonts w:ascii="Arial" w:cs="Arial" w:eastAsia="Arial" w:hAnsi="Arial"/>
                <w:sz w:val="22"/>
                <w:szCs w:val="22"/>
                <w:color w:val="auto"/>
              </w:rPr>
              <w:t>Thomas A. Kelly</w:t>
            </w:r>
          </w:p>
        </w:tc>
      </w:tr>
      <w:tr>
        <w:trPr>
          <w:trHeight w:val="257"/>
        </w:trPr>
        <w:tc>
          <w:tcPr>
            <w:tcW w:w="2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300" w:type="dxa"/>
            <w:vAlign w:val="bottom"/>
            <w:gridSpan w:val="3"/>
          </w:tcPr>
          <w:p>
            <w:pPr>
              <w:ind w:left="1700"/>
              <w:spacing w:after="0"/>
              <w:rPr>
                <w:sz w:val="20"/>
                <w:szCs w:val="20"/>
                <w:color w:val="auto"/>
              </w:rPr>
            </w:pPr>
            <w:r>
              <w:rPr>
                <w:rFonts w:ascii="Arial" w:cs="Arial" w:eastAsia="Arial" w:hAnsi="Arial"/>
                <w:sz w:val="22"/>
                <w:szCs w:val="22"/>
                <w:color w:val="auto"/>
              </w:rPr>
              <w:t>Senior Vice President</w:t>
            </w:r>
          </w:p>
        </w:tc>
      </w:tr>
      <w:tr>
        <w:trPr>
          <w:trHeight w:val="260"/>
        </w:trPr>
        <w:tc>
          <w:tcPr>
            <w:tcW w:w="2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300" w:type="dxa"/>
            <w:vAlign w:val="bottom"/>
            <w:gridSpan w:val="3"/>
          </w:tcPr>
          <w:p>
            <w:pPr>
              <w:ind w:left="1700"/>
              <w:spacing w:after="0"/>
              <w:rPr>
                <w:sz w:val="20"/>
                <w:szCs w:val="20"/>
                <w:color w:val="auto"/>
              </w:rPr>
            </w:pPr>
            <w:r>
              <w:rPr>
                <w:rFonts w:ascii="Arial" w:cs="Arial" w:eastAsia="Arial" w:hAnsi="Arial"/>
                <w:sz w:val="22"/>
                <w:szCs w:val="22"/>
                <w:color w:val="auto"/>
              </w:rPr>
              <w:t>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45"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The foregoing certification is being furnished to the Securities and Exchange Commission as an exhibit to this Quarterly Report on Form 10-Q and shall not be deemed to be “filed” for purposes of Section 18 of the Securities Exchange Act of 1934 or otherwise subject to the liabilities of that section nor shall it be deemed to be incorporated by reference in any filing under the Securities Act of 1933 or the Securities Exchange Act of 1934.</w:t>
      </w:r>
    </w:p>
    <w:sectPr>
      <w:pgSz w:w="11900" w:h="16838" w:orient="portrait"/>
      <w:cols w:equalWidth="0" w:num="1">
        <w:col w:w="11420"/>
      </w:cols>
      <w:pgMar w:left="240" w:top="83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upperLetter"/>
      <w:start w:val="1"/>
    </w:lvl>
  </w:abstractNum>
  <w:abstractNum w:abstractNumId="3">
    <w:nsid w:val="4E6AFB66"/>
    <w:multiLevelType w:val="hybridMultilevel"/>
    <w:lvl w:ilvl="0">
      <w:lvlJc w:val="left"/>
      <w:lvlText w:val="%1."/>
      <w:numFmt w:val="upperLetter"/>
      <w:start w:val="3"/>
    </w:lvl>
  </w:abstractNum>
  <w:abstractNum w:abstractNumId="4">
    <w:nsid w:val="25E45D32"/>
    <w:multiLevelType w:val="hybridMultilevel"/>
    <w:lvl w:ilvl="0">
      <w:lvlJc w:val="left"/>
      <w:lvlText w:val="%1."/>
      <w:numFmt w:val="upperLetter"/>
      <w:start w:val="4"/>
    </w:lvl>
  </w:abstractNum>
  <w:abstractNum w:abstractNumId="5">
    <w:nsid w:val="519B500D"/>
    <w:multiLevelType w:val="hybridMultilevel"/>
    <w:lvl w:ilvl="0">
      <w:lvlJc w:val="left"/>
      <w:lvlText w:val="%1."/>
      <w:numFmt w:val="upperLetter"/>
      <w:start w:val="5"/>
    </w:lvl>
  </w:abstractNum>
  <w:abstractNum w:abstractNumId="6">
    <w:nsid w:val="431BD7B7"/>
    <w:multiLevelType w:val="hybridMultilevel"/>
    <w:lvl w:ilvl="0">
      <w:lvlJc w:val="left"/>
      <w:lvlText w:val="%1."/>
      <w:numFmt w:val="upperLetter"/>
      <w:start w:val="6"/>
    </w:lvl>
  </w:abstractNum>
  <w:abstractNum w:abstractNumId="7">
    <w:nsid w:val="3F2DBA31"/>
    <w:multiLevelType w:val="hybridMultilevel"/>
    <w:lvl w:ilvl="0">
      <w:lvlJc w:val="left"/>
      <w:lvlText w:val="%1."/>
      <w:numFmt w:val="upperLetter"/>
      <w:start w:val="8"/>
    </w:lvl>
  </w:abstractNum>
  <w:abstractNum w:abstractNumId="8">
    <w:nsid w:val="7C83E458"/>
    <w:multiLevelType w:val="hybridMultilevel"/>
    <w:lvl w:ilvl="0">
      <w:lvlJc w:val="left"/>
      <w:lvlText w:val="%1."/>
      <w:numFmt w:val="upperLetter"/>
      <w:start w:val="9"/>
    </w:lvl>
  </w:abstractNum>
  <w:abstractNum w:abstractNumId="9">
    <w:nsid w:val="257130A3"/>
    <w:multiLevelType w:val="hybridMultilevel"/>
    <w:lvl w:ilvl="0">
      <w:lvlJc w:val="left"/>
      <w:lvlText w:val="%1."/>
      <w:numFmt w:val="upperLetter"/>
      <w:start w:val="10"/>
    </w:lvl>
  </w:abstractNum>
  <w:abstractNum w:abstractNumId="10">
    <w:nsid w:val="62BBD95A"/>
    <w:multiLevelType w:val="hybridMultilevel"/>
    <w:lvl w:ilvl="0">
      <w:lvlJc w:val="left"/>
      <w:lvlText w:val="%1."/>
      <w:numFmt w:val="upperLetter"/>
      <w:start w:val="11"/>
    </w:lvl>
  </w:abstractNum>
  <w:abstractNum w:abstractNumId="11">
    <w:nsid w:val="436C6125"/>
    <w:multiLevelType w:val="hybridMultilevel"/>
    <w:lvl w:ilvl="0">
      <w:lvlJc w:val="left"/>
      <w:lvlText w:val="%1."/>
      <w:numFmt w:val="upperLetter"/>
      <w:start w:val="12"/>
    </w:lvl>
  </w:abstractNum>
  <w:abstractNum w:abstractNumId="12">
    <w:nsid w:val="628C895D"/>
    <w:multiLevelType w:val="hybridMultilevel"/>
    <w:lvl w:ilvl="0">
      <w:lvlJc w:val="left"/>
      <w:lvlText w:val="%1."/>
      <w:numFmt w:val="upperLetter"/>
      <w:start w:val="13"/>
    </w:lvl>
  </w:abstractNum>
  <w:abstractNum w:abstractNumId="13">
    <w:nsid w:val="333AB105"/>
    <w:multiLevelType w:val="hybridMultilevel"/>
    <w:lvl w:ilvl="0">
      <w:lvlJc w:val="left"/>
      <w:lvlText w:val="%1."/>
      <w:numFmt w:val="upperLetter"/>
      <w:start w:val="14"/>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1."/>
      <w:numFmt w:val="upperLetter"/>
      <w:start w:val="15"/>
    </w:lvl>
  </w:abstractNum>
  <w:abstractNum w:abstractNumId="16">
    <w:nsid w:val="2D1D5AE9"/>
    <w:multiLevelType w:val="hybridMultilevel"/>
    <w:lvl w:ilvl="0">
      <w:lvlJc w:val="left"/>
      <w:lvlText w:val="%1."/>
      <w:numFmt w:val="upperLetter"/>
      <w:start w:val="16"/>
    </w:lvl>
  </w:abstractNum>
  <w:abstractNum w:abstractNumId="17">
    <w:nsid w:val="6763845E"/>
    <w:multiLevelType w:val="hybridMultilevel"/>
    <w:lvl w:ilvl="0">
      <w:lvlJc w:val="left"/>
      <w:lvlText w:val="%1."/>
      <w:numFmt w:val="upperLetter"/>
      <w:start w:val="17"/>
    </w:lvl>
  </w:abstractNum>
  <w:abstractNum w:abstractNumId="18">
    <w:nsid w:val="75A2A8D4"/>
    <w:multiLevelType w:val="hybridMultilevel"/>
    <w:lvl w:ilvl="0">
      <w:lvlJc w:val="left"/>
      <w:lvlText w:val="%1."/>
      <w:numFmt w:val="upperLetter"/>
      <w:start w:val="18"/>
    </w:lvl>
  </w:abstractNum>
  <w:abstractNum w:abstractNumId="19">
    <w:nsid w:val="8EDBDAB"/>
    <w:multiLevelType w:val="hybridMultilevel"/>
    <w:lvl w:ilvl="0">
      <w:lvlJc w:val="left"/>
      <w:lvlText w:val="%1."/>
      <w:numFmt w:val="upperLetter"/>
      <w:start w:val="19"/>
    </w:lvl>
  </w:abstractNum>
  <w:abstractNum w:abstractNumId="20">
    <w:nsid w:val="79838CB2"/>
    <w:multiLevelType w:val="hybridMultilevel"/>
    <w:lvl w:ilvl="0">
      <w:lvlJc w:val="left"/>
      <w:lvlText w:val="%1."/>
      <w:numFmt w:val="upperLetter"/>
      <w:start w:val="20"/>
    </w:lvl>
  </w:abstractNum>
  <w:abstractNum w:abstractNumId="21">
    <w:nsid w:val="4353D0CD"/>
    <w:multiLevelType w:val="hybridMultilevel"/>
    <w:lvl w:ilvl="0">
      <w:lvlJc w:val="left"/>
      <w:lvlText w:val="%1."/>
      <w:numFmt w:val="upperLetter"/>
      <w:start w:val="21"/>
    </w:lvl>
    <w:lvl w:ilvl="1">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1"/>
      <w:numFmt w:val="decimal"/>
      <w:start w:val="32"/>
    </w:lvl>
  </w:abstractNum>
  <w:abstractNum w:abstractNumId="24">
    <w:nsid w:val="54E49EB4"/>
    <w:multiLevelType w:val="hybridMultilevel"/>
    <w:lvl w:ilvl="0">
      <w:lvlJc w:val="left"/>
      <w:lvlText w:val="%1"/>
      <w:numFmt w:val="decimal"/>
      <w:start w:val="101"/>
    </w:lvl>
  </w:abstractNum>
  <w:abstractNum w:abstractNumId="25">
    <w:nsid w:val="71F32454"/>
    <w:multiLevelType w:val="hybridMultilevel"/>
    <w:lvl w:ilvl="0">
      <w:lvlJc w:val="left"/>
      <w:lvlText w:val="%1"/>
      <w:numFmt w:val="decimal"/>
      <w:start w:val="104"/>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2019-12-28T10:13:08Z</dcterms:created>
  <dcterms:modified xsi:type="dcterms:W3CDTF">2019-12-28T10:13:08Z</dcterms:modified>
</cp:coreProperties>
</file>