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7"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gridSpan w:val="4"/>
          </w:tcPr>
          <w:p>
            <w:pPr>
              <w:jc w:val="center"/>
              <w:ind w:left="1156"/>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75-3099507</w:t>
            </w:r>
          </w:p>
        </w:tc>
        <w:tc>
          <w:tcPr>
            <w:tcW w:w="0" w:type="dxa"/>
            <w:vAlign w:val="bottom"/>
          </w:tcPr>
          <w:p>
            <w:pPr>
              <w:spacing w:after="0"/>
              <w:rPr>
                <w:sz w:val="1"/>
                <w:szCs w:val="1"/>
                <w:color w:val="auto"/>
              </w:rPr>
            </w:pPr>
          </w:p>
        </w:tc>
      </w:tr>
      <w:tr>
        <w:trPr>
          <w:trHeight w:val="148"/>
        </w:trPr>
        <w:tc>
          <w:tcPr>
            <w:tcW w:w="3320" w:type="dxa"/>
            <w:vAlign w:val="bottom"/>
          </w:tcPr>
          <w:p>
            <w:pPr>
              <w:jc w:val="center"/>
              <w:ind w:left="3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25"/>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14025 Riveredge Drive, Suite 300,</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Tampa, Florida 33637</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3340" w:type="dxa"/>
            <w:vAlign w:val="bottom"/>
            <w:gridSpan w:val="4"/>
          </w:tcPr>
          <w:p>
            <w:pPr>
              <w:jc w:val="center"/>
              <w:ind w:left="936"/>
              <w:spacing w:after="0"/>
              <w:rPr>
                <w:sz w:val="20"/>
                <w:szCs w:val="20"/>
                <w:color w:val="auto"/>
              </w:rPr>
            </w:pPr>
            <w:r>
              <w:rPr>
                <w:rFonts w:ascii="Times New Roman" w:cs="Times New Roman" w:eastAsia="Times New Roman" w:hAnsi="Times New Roman"/>
                <w:sz w:val="18"/>
                <w:szCs w:val="18"/>
                <w:b w:val="1"/>
                <w:bCs w:val="1"/>
                <w:color w:val="auto"/>
                <w:w w:val="99"/>
              </w:rPr>
              <w:t>(215) 698-5100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0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4160" w:type="dxa"/>
            <w:vAlign w:val="bottom"/>
            <w:gridSpan w:val="6"/>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7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7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320" w:type="dxa"/>
            <w:vAlign w:val="bottom"/>
            <w:vMerge w:val="restart"/>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3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320" w:type="dxa"/>
            <w:vAlign w:val="bottom"/>
            <w:tcBorders>
              <w:top w:val="single" w:sz="8" w:color="auto"/>
            </w:tcBorders>
          </w:tcPr>
          <w:p>
            <w:pPr>
              <w:jc w:val="center"/>
              <w:ind w:left="318"/>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3/8% Debentures Due 2026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1/2% Debentures Due 2096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03"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intends to offer senior unsecured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the aggregate principal amount of €600,000,000 that will be issued by Crown European Holdings S.A., a subsidiary of the Company.</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will be sold in a private placement and resold by the initial purchasers to persons reasonably believed to be qualified institutional buyers pursuant to Rule 144A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to non-U.S. persons outside the United States pursuant to Regulation S of the Securities Act. The Notes have not been registered under the Securities Act and may not be offered or sold in the United States absent registration or an applicable exemption from the registration requirements. This does not constitute an offer to sell or the solicitation of an offer to buy any security in any jurisdiction in which such offer or sale would be unlawful.</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together with cash on hand, to pay at maturity the Company’s outstanding 2.625% senior notes due in September 2024 and to pay related fees and expenses.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liability of that section, and shall not be deemed incorporated by reference in any filing under the Securities Act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Form 8-K consists of forward-looking statements. These forward-looking statements involve a number of risks, uncertainties and other factors, including the expected completion of the offering of the Notes,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of the Notes is subject to a number of conditions. There can be no assurance that the offering of the Notes will be completed as described herein or at all. Other important factors are discussed under the caption “Forward Looking Statements” in the Company’s Form 10-K Annual Report for the year ended December 31, 2023 and in subsequent filings made prior to or after the date hereof. The Company does not intend to review or revise any particular forward-looking statement in light of future events.</w:t>
      </w:r>
    </w:p>
    <w:p>
      <w:pPr>
        <w:sectPr>
          <w:pgSz w:w="11900" w:h="16838" w:orient="portrait"/>
          <w:cols w:equalWidth="0" w:num="1">
            <w:col w:w="11020"/>
          </w:cols>
          <w:pgMar w:left="440" w:top="293" w:right="4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30,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Christy L. Kalaus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Corporate Controller</w:t>
      </w:r>
    </w:p>
    <w:sectPr>
      <w:pgSz w:w="11900" w:h="16838" w:orient="portrait"/>
      <w:cols w:equalWidth="0" w:num="1">
        <w:col w:w="10560"/>
      </w:cols>
      <w:pgMar w:left="440" w:top="293"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2024-07-30T05:21:56Z</dcterms:created>
  <dcterms:modified xsi:type="dcterms:W3CDTF">2024-07-30T05:21:56Z</dcterms:modified>
</cp:coreProperties>
</file>