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04" w:type="dxa"/>
        <w:tblCellMar>
          <w:top w:w="0" w:type="dxa"/>
          <w:left w:w="0" w:type="dxa"/>
          <w:bottom w:w="0" w:type="dxa"/>
          <w:right w:w="0" w:type="dxa"/>
        </w:tblCellMar>
      </w:tblPr>
      <w:tr>
        <w:trPr>
          <w:trHeight w:val="212"/>
        </w:trPr>
        <w:tc>
          <w:tcPr>
            <w:tcW w:w="3120" w:type="dxa"/>
            <w:vAlign w:val="bottom"/>
          </w:tcPr>
          <w:p>
            <w:pPr>
              <w:jc w:val="center"/>
              <w:ind w:right="1102"/>
              <w:spacing w:after="0"/>
              <w:rPr>
                <w:sz w:val="20"/>
                <w:szCs w:val="20"/>
                <w:color w:val="auto"/>
              </w:rPr>
            </w:pPr>
            <w:r>
              <w:rPr>
                <w:rFonts w:ascii="Arial" w:cs="Arial" w:eastAsia="Arial" w:hAnsi="Arial"/>
                <w:sz w:val="18"/>
                <w:szCs w:val="18"/>
                <w:b w:val="1"/>
                <w:bCs w:val="1"/>
                <w:color w:val="auto"/>
                <w:w w:val="88"/>
              </w:rPr>
              <w:t>Pennsylvania</w:t>
            </w:r>
          </w:p>
        </w:tc>
        <w:tc>
          <w:tcPr>
            <w:tcW w:w="3340" w:type="dxa"/>
            <w:vAlign w:val="bottom"/>
          </w:tcPr>
          <w:p>
            <w:pPr>
              <w:ind w:left="1200"/>
              <w:spacing w:after="0"/>
              <w:rPr>
                <w:sz w:val="20"/>
                <w:szCs w:val="20"/>
                <w:color w:val="auto"/>
              </w:rPr>
            </w:pPr>
            <w:r>
              <w:rPr>
                <w:rFonts w:ascii="Arial" w:cs="Arial" w:eastAsia="Arial" w:hAnsi="Arial"/>
                <w:sz w:val="18"/>
                <w:szCs w:val="18"/>
                <w:b w:val="1"/>
                <w:bCs w:val="1"/>
                <w:color w:val="auto"/>
              </w:rPr>
              <w:t>000-50189</w:t>
            </w:r>
          </w:p>
        </w:tc>
        <w:tc>
          <w:tcPr>
            <w:tcW w:w="2460" w:type="dxa"/>
            <w:vAlign w:val="bottom"/>
          </w:tcPr>
          <w:p>
            <w:pPr>
              <w:jc w:val="center"/>
              <w:ind w:left="1242"/>
              <w:spacing w:after="0"/>
              <w:rPr>
                <w:sz w:val="20"/>
                <w:szCs w:val="20"/>
                <w:color w:val="auto"/>
              </w:rPr>
            </w:pPr>
            <w:r>
              <w:rPr>
                <w:rFonts w:ascii="Arial" w:cs="Arial" w:eastAsia="Arial" w:hAnsi="Arial"/>
                <w:sz w:val="18"/>
                <w:szCs w:val="18"/>
                <w:b w:val="1"/>
                <w:bCs w:val="1"/>
                <w:color w:val="auto"/>
                <w:w w:val="89"/>
              </w:rPr>
              <w:t>75-3099507</w:t>
            </w:r>
          </w:p>
        </w:tc>
      </w:tr>
      <w:tr>
        <w:trPr>
          <w:trHeight w:val="148"/>
        </w:trPr>
        <w:tc>
          <w:tcPr>
            <w:tcW w:w="3120" w:type="dxa"/>
            <w:vAlign w:val="bottom"/>
          </w:tcPr>
          <w:p>
            <w:pPr>
              <w:jc w:val="center"/>
              <w:ind w:right="110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40" w:type="dxa"/>
            <w:vAlign w:val="bottom"/>
          </w:tcPr>
          <w:p>
            <w:pPr>
              <w:ind w:left="120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120" w:type="dxa"/>
            <w:vAlign w:val="bottom"/>
          </w:tcPr>
          <w:p>
            <w:pPr>
              <w:jc w:val="center"/>
              <w:ind w:right="1102"/>
              <w:spacing w:after="0"/>
              <w:rPr>
                <w:sz w:val="20"/>
                <w:szCs w:val="20"/>
                <w:color w:val="auto"/>
              </w:rPr>
            </w:pPr>
            <w:r>
              <w:rPr>
                <w:rFonts w:ascii="Arial" w:cs="Arial" w:eastAsia="Arial" w:hAnsi="Arial"/>
                <w:sz w:val="14"/>
                <w:szCs w:val="14"/>
                <w:b w:val="1"/>
                <w:bCs w:val="1"/>
                <w:color w:val="auto"/>
                <w:w w:val="95"/>
              </w:rPr>
              <w:t>Incorporation or Organization)</w:t>
            </w:r>
          </w:p>
        </w:tc>
        <w:tc>
          <w:tcPr>
            <w:tcW w:w="3340" w:type="dxa"/>
            <w:vAlign w:val="bottom"/>
          </w:tcPr>
          <w:p>
            <w:pPr>
              <w:ind w:left="118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2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$5.00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7 3/8% Debentures Due 2026</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CCK26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7 1/2% Debentures Due 2096</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CCK96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 Completion of Acquisition or Disposition of Assets.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On August 31, 2021, Crown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completed its previously announced sale of its European Tinplate business (the</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w:t>
      </w:r>
      <w:r>
        <w:rPr>
          <w:rFonts w:ascii="Arial" w:cs="Arial" w:eastAsia="Arial" w:hAnsi="Arial"/>
          <w:sz w:val="17"/>
          <w:szCs w:val="17"/>
          <w:color w:val="auto"/>
        </w:rPr>
        <w:t>”) to affiliates of KPS Capital Partners LP pursuant to that certain Share and Asset Purchase Agreement, dated April 8, 2021, among the Company, Kouti B.V., Crown Cork &amp; Seal Deutschland Holdings GmbH, Titan NewCo Germany GmbH (f/k/a Blitz F21-387 GmbH), and Kouti MidCo UK Limited (f/k/a Macsco 20.10 Limited) (such agreement, as amended, supplemented or otherwise modified from time to time, the “</w:t>
      </w:r>
      <w:r>
        <w:rPr>
          <w:rFonts w:ascii="Arial" w:cs="Arial" w:eastAsia="Arial" w:hAnsi="Arial"/>
          <w:sz w:val="17"/>
          <w:szCs w:val="17"/>
          <w:u w:val="single" w:color="auto"/>
          <w:color w:val="auto"/>
        </w:rPr>
        <w:t>Purchase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and the transactions contemplated thereby, including such sale, the “</w:t>
      </w:r>
      <w:r>
        <w:rPr>
          <w:rFonts w:ascii="Arial" w:cs="Arial" w:eastAsia="Arial" w:hAnsi="Arial"/>
          <w:sz w:val="17"/>
          <w:szCs w:val="17"/>
          <w:u w:val="single" w:color="auto"/>
          <w:color w:val="auto"/>
        </w:rPr>
        <w:t>Transactions</w:t>
      </w:r>
      <w:r>
        <w:rPr>
          <w:rFonts w:ascii="Arial" w:cs="Arial" w:eastAsia="Arial" w:hAnsi="Arial"/>
          <w:sz w:val="17"/>
          <w:szCs w:val="17"/>
          <w:color w:val="auto"/>
        </w:rPr>
        <w:t>”) for approximately €1.9 billion in cash (subject to certain adjustments as set forth in the Purchase Agreement). The Company also retained a 20% minority interest in the Business.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 of the Transactions does not purport to be complete and is qualified in its entirety by reference to the full text of the Purchase Agreement, which was filed as Exhibit 2.1 to the Current Report on Form 8-K filed by the Company with the U.S. Securities and Exchange Commission on April 13, 2021 and which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August 31, 2021, the Company issued a press release announcing the completion of the Transactions. A copy of the Company’s press release is being furnished as Exhibit 99.1 and is incorporated herein by reference.</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information in this Item 7.01 and Exhibit 99.1 shall not be deemed to be “filed” for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liability of that section, and shall not be deemed incorporated by reference in any filing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or the Exchange Act, except as shall be expressly set forth by specific reference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furnished as an exhibit to this report.</w:t>
      </w:r>
    </w:p>
    <w:p>
      <w:pPr>
        <w:spacing w:after="0" w:line="252" w:lineRule="exact"/>
        <w:rPr>
          <w:sz w:val="20"/>
          <w:szCs w:val="20"/>
          <w:color w:val="auto"/>
        </w:rPr>
      </w:pPr>
    </w:p>
    <w:p>
      <w:pPr>
        <w:jc w:val="both"/>
        <w:ind w:left="1320" w:right="520" w:hanging="1322"/>
        <w:spacing w:after="0" w:line="286" w:lineRule="auto"/>
        <w:tabs>
          <w:tab w:leader="none" w:pos="1300" w:val="left"/>
        </w:tabs>
        <w:rPr>
          <w:rFonts w:ascii="Arial" w:cs="Arial" w:eastAsia="Arial" w:hAnsi="Arial"/>
          <w:sz w:val="17"/>
          <w:szCs w:val="17"/>
          <w:u w:val="single" w:color="auto"/>
          <w:color w:val="0000EE"/>
        </w:rPr>
      </w:pPr>
      <w:r>
        <w:rPr>
          <w:rFonts w:ascii="Arial" w:cs="Arial" w:eastAsia="Arial" w:hAnsi="Arial"/>
          <w:sz w:val="18"/>
          <w:szCs w:val="18"/>
          <w:color w:val="auto"/>
        </w:rPr>
        <w:t>Exhibit 2.1</w:t>
      </w:r>
      <w:r>
        <w:rPr>
          <w:sz w:val="20"/>
          <w:szCs w:val="20"/>
          <w:color w:val="auto"/>
        </w:rPr>
        <w:tab/>
      </w:r>
      <w:hyperlink r:id="rId18">
        <w:r>
          <w:rPr>
            <w:rFonts w:ascii="Arial" w:cs="Arial" w:eastAsia="Arial" w:hAnsi="Arial"/>
            <w:sz w:val="17"/>
            <w:szCs w:val="17"/>
            <w:u w:val="single" w:color="auto"/>
            <w:color w:val="0000EE"/>
          </w:rPr>
          <w:t>Share and Asset Purchase Agreement, dated as of April 8, 2021, by and among the Company, Crown Cork &amp; Seal Deutschland</w:t>
        </w:r>
      </w:hyperlink>
      <w:r>
        <w:rPr>
          <w:rFonts w:ascii="Arial" w:cs="Arial" w:eastAsia="Arial" w:hAnsi="Arial"/>
          <w:sz w:val="17"/>
          <w:szCs w:val="17"/>
          <w:u w:val="single" w:color="auto"/>
          <w:color w:val="0000EE"/>
        </w:rPr>
        <w:t xml:space="preserve"> </w:t>
      </w:r>
      <w:hyperlink r:id="rId18">
        <w:r>
          <w:rPr>
            <w:rFonts w:ascii="Arial" w:cs="Arial" w:eastAsia="Arial" w:hAnsi="Arial"/>
            <w:sz w:val="17"/>
            <w:szCs w:val="17"/>
            <w:u w:val="single" w:color="auto"/>
            <w:color w:val="0000EE"/>
          </w:rPr>
          <w:t>Holdings GmbH, Blitz F21-387 GmbH, Kouti B.V. and Macsco 20.10 Limited (incorporated by reference to Exhibit 2.1 to the</w:t>
        </w:r>
      </w:hyperlink>
      <w:r>
        <w:rPr>
          <w:rFonts w:ascii="Arial" w:cs="Arial" w:eastAsia="Arial" w:hAnsi="Arial"/>
          <w:sz w:val="17"/>
          <w:szCs w:val="17"/>
          <w:u w:val="single" w:color="auto"/>
          <w:color w:val="0000EE"/>
        </w:rPr>
        <w:t xml:space="preserve"> </w:t>
      </w:r>
      <w:hyperlink r:id="rId18">
        <w:r>
          <w:rPr>
            <w:rFonts w:ascii="Arial" w:cs="Arial" w:eastAsia="Arial" w:hAnsi="Arial"/>
            <w:sz w:val="17"/>
            <w:szCs w:val="17"/>
            <w:u w:val="single" w:color="auto"/>
            <w:color w:val="0000EE"/>
          </w:rPr>
          <w:t>Company’s Current Report on Form 8-K filed on April 13, 2021 (File No. 000-50189)).</w:t>
        </w:r>
      </w:hyperlink>
    </w:p>
    <w:p>
      <w:pPr>
        <w:spacing w:after="0" w:line="57" w:lineRule="exact"/>
        <w:rPr>
          <w:rFonts w:ascii="Arial" w:cs="Arial" w:eastAsia="Arial" w:hAnsi="Arial"/>
          <w:sz w:val="17"/>
          <w:szCs w:val="17"/>
          <w:u w:val="single" w:color="auto"/>
          <w:color w:val="0000EE"/>
        </w:rPr>
      </w:pPr>
    </w:p>
    <w:p>
      <w:pPr>
        <w:spacing w:after="0"/>
        <w:tabs>
          <w:tab w:leader="none" w:pos="1300" w:val="left"/>
        </w:tabs>
        <w:rPr>
          <w:rFonts w:ascii="Arial" w:cs="Arial" w:eastAsia="Arial" w:hAnsi="Arial"/>
          <w:sz w:val="15"/>
          <w:szCs w:val="15"/>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5"/>
            <w:szCs w:val="15"/>
            <w:u w:val="single" w:color="auto"/>
            <w:color w:val="0000EE"/>
          </w:rPr>
          <w:t>Press release, dated August 31, 2021.</w:t>
        </w:r>
      </w:hyperlink>
    </w:p>
    <w:p>
      <w:pPr>
        <w:spacing w:after="0" w:line="117" w:lineRule="exact"/>
        <w:rPr>
          <w:rFonts w:ascii="Arial" w:cs="Arial" w:eastAsia="Arial" w:hAnsi="Arial"/>
          <w:sz w:val="17"/>
          <w:szCs w:val="17"/>
          <w:u w:val="single" w:color="auto"/>
          <w:color w:val="0000EE"/>
        </w:rPr>
      </w:pPr>
    </w:p>
    <w:p>
      <w:pPr>
        <w:spacing w:after="0"/>
        <w:tabs>
          <w:tab w:leader="none" w:pos="13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3,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Vice President and Corporate Controller</w:t>
      </w:r>
    </w:p>
    <w:p>
      <w:pPr>
        <w:sectPr>
          <w:pgSz w:w="11900" w:h="16838" w:orient="portrait"/>
          <w:cols w:equalWidth="0" w:num="1">
            <w:col w:w="10720"/>
          </w:cols>
          <w:pgMar w:left="440" w:top="297"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Crown Holdings Completes Sale of 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Tinplate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NEWS PROVIDED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Crown Holdings, Inc. </w:t>
      </w:r>
      <w:r>
        <w:rPr>
          <w:rFonts w:ascii="Arial" w:cs="Arial" w:eastAsia="Arial" w:hAnsi="Arial"/>
          <w:sz w:val="18"/>
          <w:szCs w:val="18"/>
          <w:color w:val="auto"/>
        </w:rPr>
        <w:t>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 31, 2021, 08:00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YARDLEY, Pa., Aug. 31, 2021 /PRNewswire/ — Crown Holdings, Inc. (NYSE: CCK) (Crown), announced today that it has completed the previously announced sale of its European Tinplate business to KPS Capital Partners, LP. As previously disclosed, Crown will retain a 20% ownership stake in the business.</w:t>
      </w:r>
    </w:p>
    <w:p>
      <w:pPr>
        <w:spacing w:after="0" w:line="184"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European Tinplate business comprises 44 manufacturing facilities in 17 countries in Europe, the Middle East and Africa which produce food cans and ends, aerosol cans, metal closures and promotional packaging for various consumer brands. In 2020, the business generated €1.9 billion in revenue and approximately €220 million in estimated standalone EBITDA and had approximately 6,300 employees.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Crown Holdings, Inc.</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 For more information, visit www.crowncork.com.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Except for historical information, all other information in this press release consists of forward-looking statements. These forward-looking statements involve a number of risks, uncertainties and other factors, including the future value, if any, to Crown shareholders of the 20% retained ownership interest in the business. Important factors that could cause the statements made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6795135</wp:posOffset>
            </wp:positionH>
            <wp:positionV relativeFrom="paragraph">
              <wp:posOffset>82550</wp:posOffset>
            </wp:positionV>
            <wp:extent cx="197485"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97485" cy="19685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4" w:name="page5"/>
    <w:bookmarkEnd w:id="4"/>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press release or the actual results of operations or financial condition of Crown to differ are discussed under the caption “Forward Looking Statements” in Crown’s Form 10-K Annual Report for the year ended December 31, 2020 and in subsequent filings made prior to or after the date hereof. Crown does not intend to review or revise any particular forward-looking statement in light of future events.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Thomas A. Kelly, Senior Vice President and Chief Financial Officer, (215) 698-5341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Thomas T. Fischer, Vice President, Investor Relations and Corporate Affairs, (215) 552-3720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Crown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Related Links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http://www.crowncork.com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6795135</wp:posOffset>
            </wp:positionH>
            <wp:positionV relativeFrom="paragraph">
              <wp:posOffset>109220</wp:posOffset>
            </wp:positionV>
            <wp:extent cx="197485"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97485" cy="197485"/>
                    </a:xfrm>
                    <a:prstGeom prst="rect">
                      <a:avLst/>
                    </a:prstGeom>
                    <a:noFill/>
                  </pic:spPr>
                </pic:pic>
              </a:graphicData>
            </a:graphic>
          </wp:anchor>
        </w:drawing>
      </w:r>
    </w:p>
    <w:sectPr>
      <w:pgSz w:w="11900" w:h="16838" w:orient="portrait"/>
      <w:cols w:equalWidth="0" w:num="1">
        <w:col w:w="10500"/>
      </w:cols>
      <w:pgMar w:left="440" w:top="274"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jpeg"/><Relationship Id="rId18" Type="http://schemas.openxmlformats.org/officeDocument/2006/relationships/hyperlink" Target="http://www.sec.gov/Archives/edgar/data/1219601/000119312521114840/d155915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2021-09-03T15:35:27Z</dcterms:created>
  <dcterms:modified xsi:type="dcterms:W3CDTF">2021-09-03T15:35:27Z</dcterms:modified>
</cp:coreProperties>
</file>