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4 )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CROWN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228368106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Massachusetts Financial Services Company ("MFS")</w:t>
            </w: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04-2747644</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3760" w:type="dxa"/>
            <w:vAlign w:val="bottom"/>
          </w:tcPr>
          <w:p>
            <w:pPr>
              <w:ind w:left="80"/>
              <w:spacing w:after="0" w:line="243" w:lineRule="exact"/>
              <w:rPr>
                <w:sz w:val="20"/>
                <w:szCs w:val="20"/>
                <w:color w:val="auto"/>
              </w:rPr>
            </w:pPr>
            <w:r>
              <w:rPr>
                <w:rFonts w:ascii="Arial" w:cs="Arial" w:eastAsia="Arial" w:hAnsi="Arial"/>
                <w:sz w:val="22"/>
                <w:szCs w:val="22"/>
                <w:color w:val="auto"/>
              </w:rPr>
              <w:t>(b) [ ]</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Not Applicable</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Delaware</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4,855,319</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5,358,885</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w w:val="94"/>
              </w:rPr>
              <w:t>5,358,885 shares of Common Stock consisting of shares beneficially owned by MFS and/or certain other</w:t>
            </w: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non-reporting entities.</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Not Applicable</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4.0%</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IA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640" w:hanging="713"/>
        <w:spacing w:after="0"/>
        <w:tabs>
          <w:tab w:leader="none" w:pos="16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640"/>
        <w:spacing w:after="0"/>
        <w:rPr>
          <w:rFonts w:ascii="Arial" w:cs="Arial" w:eastAsia="Arial" w:hAnsi="Arial"/>
          <w:sz w:val="22"/>
          <w:szCs w:val="22"/>
          <w:b w:val="1"/>
          <w:bCs w:val="1"/>
          <w:color w:val="auto"/>
        </w:rPr>
      </w:pPr>
      <w:r>
        <w:rPr>
          <w:rFonts w:ascii="Arial" w:cs="Arial" w:eastAsia="Arial" w:hAnsi="Arial"/>
          <w:sz w:val="22"/>
          <w:szCs w:val="22"/>
          <w:color w:val="auto"/>
        </w:rPr>
        <w:t>CROWN HOLDINGS, INC.</w:t>
      </w:r>
    </w:p>
    <w:p>
      <w:pPr>
        <w:spacing w:after="0" w:line="101" w:lineRule="exact"/>
        <w:rPr>
          <w:rFonts w:ascii="Arial" w:cs="Arial" w:eastAsia="Arial" w:hAnsi="Arial"/>
          <w:sz w:val="22"/>
          <w:szCs w:val="22"/>
          <w:b w:val="1"/>
          <w:bCs w:val="1"/>
          <w:color w:val="auto"/>
        </w:rPr>
      </w:pPr>
    </w:p>
    <w:p>
      <w:pPr>
        <w:ind w:left="1640" w:right="5300" w:hanging="713"/>
        <w:spacing w:after="0" w:line="335" w:lineRule="auto"/>
        <w:tabs>
          <w:tab w:leader="none" w:pos="164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770 Township Line Road, Yardley PA 19067</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640" w:hanging="713"/>
        <w:spacing w:after="0"/>
        <w:tabs>
          <w:tab w:leader="none" w:pos="16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640"/>
        <w:spacing w:after="0"/>
        <w:rPr>
          <w:rFonts w:ascii="Arial" w:cs="Arial" w:eastAsia="Arial" w:hAnsi="Arial"/>
          <w:sz w:val="22"/>
          <w:szCs w:val="22"/>
          <w:b w:val="1"/>
          <w:bCs w:val="1"/>
          <w:color w:val="auto"/>
        </w:rPr>
      </w:pPr>
      <w:r>
        <w:rPr>
          <w:rFonts w:ascii="Arial" w:cs="Arial" w:eastAsia="Arial" w:hAnsi="Arial"/>
          <w:sz w:val="22"/>
          <w:szCs w:val="22"/>
          <w:color w:val="auto"/>
        </w:rPr>
        <w:t>Massachusetts Financial Services Company</w:t>
      </w:r>
    </w:p>
    <w:p>
      <w:pPr>
        <w:spacing w:after="0" w:line="101" w:lineRule="exact"/>
        <w:rPr>
          <w:rFonts w:ascii="Arial" w:cs="Arial" w:eastAsia="Arial" w:hAnsi="Arial"/>
          <w:sz w:val="22"/>
          <w:szCs w:val="22"/>
          <w:b w:val="1"/>
          <w:bCs w:val="1"/>
          <w:color w:val="auto"/>
        </w:rPr>
      </w:pPr>
    </w:p>
    <w:p>
      <w:pPr>
        <w:ind w:left="1640" w:right="4220" w:hanging="713"/>
        <w:spacing w:after="0" w:line="256" w:lineRule="auto"/>
        <w:tabs>
          <w:tab w:leader="none" w:pos="16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111 Huntington Avenue, Boston MA 02199</w:t>
      </w:r>
    </w:p>
    <w:p>
      <w:pPr>
        <w:spacing w:after="0" w:line="81" w:lineRule="exact"/>
        <w:rPr>
          <w:rFonts w:ascii="Arial" w:cs="Arial" w:eastAsia="Arial" w:hAnsi="Arial"/>
          <w:sz w:val="22"/>
          <w:szCs w:val="22"/>
          <w:b w:val="1"/>
          <w:bCs w:val="1"/>
          <w:color w:val="auto"/>
        </w:rPr>
      </w:pPr>
    </w:p>
    <w:p>
      <w:pPr>
        <w:ind w:left="1640" w:right="8580" w:hanging="713"/>
        <w:spacing w:after="0" w:line="335" w:lineRule="auto"/>
        <w:tabs>
          <w:tab w:leader="none" w:pos="1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1" w:lineRule="exact"/>
        <w:rPr>
          <w:rFonts w:ascii="Arial" w:cs="Arial" w:eastAsia="Arial" w:hAnsi="Arial"/>
          <w:sz w:val="19"/>
          <w:szCs w:val="19"/>
          <w:b w:val="1"/>
          <w:bCs w:val="1"/>
          <w:color w:val="auto"/>
        </w:rPr>
      </w:pPr>
    </w:p>
    <w:p>
      <w:pPr>
        <w:ind w:left="1640" w:right="7220" w:hanging="713"/>
        <w:spacing w:after="0" w:line="335" w:lineRule="auto"/>
        <w:tabs>
          <w:tab w:leader="none" w:pos="1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640" w:right="8140" w:hanging="713"/>
        <w:spacing w:after="0" w:line="335" w:lineRule="auto"/>
        <w:tabs>
          <w:tab w:leader="none" w:pos="1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228368106</w:t>
      </w:r>
    </w:p>
    <w:p>
      <w:pPr>
        <w:spacing w:after="0" w:line="1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131"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6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2000" w:space="460"/>
            <w:col w:w="8800"/>
          </w:cols>
          <w:pgMar w:left="320" w:top="423" w:right="319" w:bottom="0" w:gutter="0" w:footer="0" w:header="0"/>
          <w:type w:val="continuous"/>
        </w:sect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640" w:hanging="713"/>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40" w:right="100"/>
        <w:spacing w:after="0" w:line="251" w:lineRule="auto"/>
        <w:rPr>
          <w:rFonts w:ascii="Arial" w:cs="Arial" w:eastAsia="Arial" w:hAnsi="Arial"/>
          <w:sz w:val="22"/>
          <w:szCs w:val="22"/>
          <w:color w:val="auto"/>
        </w:rPr>
      </w:pPr>
      <w:r>
        <w:rPr>
          <w:rFonts w:ascii="Arial" w:cs="Arial" w:eastAsia="Arial" w:hAnsi="Arial"/>
          <w:sz w:val="22"/>
          <w:szCs w:val="22"/>
          <w:color w:val="auto"/>
        </w:rPr>
        <w:t>5,358,885 shares of Common Stock consisting of shares beneficially owned by MFS and/or certain other non-reporting entities.</w:t>
      </w:r>
    </w:p>
    <w:p>
      <w:pPr>
        <w:sectPr>
          <w:pgSz w:w="11900" w:h="16838" w:orient="portrait"/>
          <w:cols w:equalWidth="0" w:num="1">
            <w:col w:w="11260"/>
          </w:cols>
          <w:pgMar w:left="320" w:top="423" w:right="319" w:bottom="0" w:gutter="0" w:footer="0" w:header="0"/>
          <w:type w:val="continuous"/>
        </w:sectPr>
      </w:pPr>
    </w:p>
    <w:p>
      <w:pPr>
        <w:spacing w:after="0" w:line="92" w:lineRule="exact"/>
        <w:rPr>
          <w:sz w:val="20"/>
          <w:szCs w:val="20"/>
          <w:color w:val="auto"/>
        </w:rPr>
      </w:pPr>
    </w:p>
    <w:p>
      <w:pPr>
        <w:ind w:left="1640" w:hanging="713"/>
        <w:spacing w:after="0"/>
        <w:tabs>
          <w:tab w:leader="none" w:pos="1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4.0%</w:t>
      </w:r>
    </w:p>
    <w:p>
      <w:pPr>
        <w:spacing w:after="0" w:line="125" w:lineRule="exact"/>
        <w:rPr>
          <w:rFonts w:ascii="Arial" w:cs="Arial" w:eastAsia="Arial" w:hAnsi="Arial"/>
          <w:sz w:val="22"/>
          <w:szCs w:val="22"/>
          <w:color w:val="auto"/>
        </w:rPr>
      </w:pPr>
    </w:p>
    <w:p>
      <w:pPr>
        <w:ind w:left="1640" w:hanging="713"/>
        <w:spacing w:after="0"/>
        <w:tabs>
          <w:tab w:leader="none" w:pos="1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60" w:hanging="817"/>
        <w:spacing w:after="0"/>
        <w:tabs>
          <w:tab w:leader="none" w:pos="24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60" w:hanging="817"/>
        <w:spacing w:after="0"/>
        <w:tabs>
          <w:tab w:leader="none" w:pos="24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60" w:hanging="817"/>
        <w:spacing w:after="0" w:line="183" w:lineRule="auto"/>
        <w:tabs>
          <w:tab w:leader="none" w:pos="24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60" w:right="780" w:hanging="817"/>
        <w:spacing w:after="0" w:line="183" w:lineRule="auto"/>
        <w:tabs>
          <w:tab w:leader="none" w:pos="24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4,855,319</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5,358,885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640" w:space="340"/>
            <w:col w:w="4280"/>
          </w:cols>
          <w:pgMar w:left="320" w:top="423" w:right="319" w:bottom="0" w:gutter="0" w:footer="0" w:header="0"/>
          <w:type w:val="continuous"/>
        </w:sectPr>
      </w:pPr>
    </w:p>
    <w:p>
      <w:pPr>
        <w:ind w:left="920" w:right="5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ectPr>
          <w:pgSz w:w="11900" w:h="16838" w:orient="portrait"/>
          <w:cols w:equalWidth="0" w:num="1">
            <w:col w:w="11260"/>
          </w:cols>
          <w:pgMar w:left="320" w:top="423" w:right="31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440" w:hanging="917"/>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00"/>
          </w:cols>
          <w:pgMar w:left="320" w:top="112" w:right="4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680"/>
        <w:spacing w:after="0"/>
        <w:rPr>
          <w:sz w:val="20"/>
          <w:szCs w:val="20"/>
          <w:color w:val="auto"/>
        </w:rPr>
      </w:pPr>
      <w:r>
        <w:rPr>
          <w:rFonts w:ascii="Arial" w:cs="Arial" w:eastAsia="Arial" w:hAnsi="Arial"/>
          <w:sz w:val="19"/>
          <w:szCs w:val="19"/>
          <w:color w:val="auto"/>
        </w:rPr>
        <w:t>Massachusetts Financial Services Company</w:t>
      </w:r>
    </w:p>
    <w:p>
      <w:pPr>
        <w:spacing w:after="0" w:line="79"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R. Flaherty</w:t>
      </w:r>
    </w:p>
    <w:p>
      <w:pPr>
        <w:spacing w:after="0" w:line="4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Date: February 13, 2019</w:t>
      </w:r>
    </w:p>
    <w:p>
      <w:pPr>
        <w:spacing w:after="0" w:line="4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 Robert R. Flaherty</w:t>
      </w:r>
    </w:p>
    <w:p>
      <w:pPr>
        <w:spacing w:after="0" w:line="4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 Vice President</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2019-12-20T00:26:39Z</dcterms:created>
  <dcterms:modified xsi:type="dcterms:W3CDTF">2019-12-20T00:26:39Z</dcterms:modified>
</cp:coreProperties>
</file>