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ind w:left="4444"/>
        <w:spacing w:after="0"/>
        <w:tabs>
          <w:tab w:leader="none" w:pos="6484"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6"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Commencing on April 19, 2023, Crown Holdings, Inc., a Pennsylvania corporation (“</w:t>
      </w:r>
      <w:r>
        <w:rPr>
          <w:rFonts w:ascii="Arial" w:cs="Arial" w:eastAsia="Arial" w:hAnsi="Arial"/>
          <w:sz w:val="17"/>
          <w:szCs w:val="17"/>
          <w:u w:val="single" w:color="auto"/>
          <w:color w:val="auto"/>
        </w:rPr>
        <w:t>Crown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made available to shareholders the following communication in connection with its upcoming 2023 Annual Meeting of Shareholders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to be held on April 27, 2023, as a supplement to the Company’s Definitive Proxy Statement on Schedule 14A relating to the Annual Meeting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which the Company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March 20, 2023.</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This supplement is being filed with the SEC to provide additional information in connection with two of the proposals in the Proxy Statement, Proposal 3 and Proposal 5, which additional information is included below, and to provide a copy of the Company’s Employment Agreement with Mr. Hock Huat Goh, the Company’s former President – Asia Pacific Division, who retired at the end of 2022. A copy of Mr. Goh’s Employment Agreement, dated August 1, 2018,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regarding Proposal 3 – Advisory Vote to Approve Executive Compensation.</w:t>
      </w:r>
    </w:p>
    <w:p>
      <w:pPr>
        <w:spacing w:after="0" w:line="131" w:lineRule="exact"/>
        <w:rPr>
          <w:sz w:val="20"/>
          <w:szCs w:val="20"/>
          <w:color w:val="auto"/>
        </w:rPr>
      </w:pPr>
    </w:p>
    <w:p>
      <w:pPr>
        <w:ind w:left="420" w:right="340" w:hanging="316"/>
        <w:spacing w:after="0" w:line="263"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a retirement payment to Hock Huat Goh, a Singapore-based executive who recently retired as President of Crown’s Asia Pacific Division after 30 years of service, Institutional Shareholder Services Inc. (“</w:t>
      </w:r>
      <w:r>
        <w:rPr>
          <w:rFonts w:ascii="Arial" w:cs="Arial" w:eastAsia="Arial" w:hAnsi="Arial"/>
          <w:sz w:val="18"/>
          <w:szCs w:val="18"/>
          <w:u w:val="single" w:color="auto"/>
          <w:color w:val="auto"/>
        </w:rPr>
        <w:t>ISS</w:t>
      </w:r>
      <w:r>
        <w:rPr>
          <w:rFonts w:ascii="Arial" w:cs="Arial" w:eastAsia="Arial" w:hAnsi="Arial"/>
          <w:sz w:val="18"/>
          <w:szCs w:val="18"/>
          <w:color w:val="auto"/>
        </w:rPr>
        <w:t>”) has recommended voting against Crown’s entire executive compensation program.</w:t>
      </w:r>
    </w:p>
    <w:p>
      <w:pPr>
        <w:spacing w:after="0" w:line="89" w:lineRule="exact"/>
        <w:rPr>
          <w:rFonts w:ascii="Arial" w:cs="Arial" w:eastAsia="Arial" w:hAnsi="Arial"/>
          <w:sz w:val="18"/>
          <w:szCs w:val="18"/>
          <w:color w:val="auto"/>
        </w:rPr>
      </w:pPr>
    </w:p>
    <w:p>
      <w:pPr>
        <w:jc w:val="both"/>
        <w:ind w:left="960" w:right="320" w:hanging="424"/>
        <w:spacing w:after="0" w:line="26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retirement payment to Mr. Goh represents approximately five percent (5%) of the total compensation paid to our named executive officers during 2022. Other than this single payment, ISS did not identify concerns with Crown’s executive compensation program that would warrant a negative vote.</w:t>
      </w:r>
    </w:p>
    <w:p>
      <w:pPr>
        <w:spacing w:after="0" w:line="89" w:lineRule="exact"/>
        <w:rPr>
          <w:rFonts w:ascii="Arial" w:cs="Arial" w:eastAsia="Arial" w:hAnsi="Arial"/>
          <w:sz w:val="18"/>
          <w:szCs w:val="18"/>
          <w:color w:val="auto"/>
        </w:rPr>
      </w:pPr>
    </w:p>
    <w:p>
      <w:pPr>
        <w:ind w:left="960" w:right="880" w:hanging="424"/>
        <w:spacing w:after="0" w:line="342"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ISS classified Mr. Goh’s retirement payment as a “problematic severance arrangement” that automatically prompted a negative recommendation. However, as discussed below the payment is properly considered a retirement benefit, not severance.</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retirement payment to Mr. Goh was agreed to in 2018 and was in lieu of his participation in the local Singapore retirement program.</w:t>
      </w:r>
    </w:p>
    <w:p>
      <w:pPr>
        <w:spacing w:after="0" w:line="142" w:lineRule="exact"/>
        <w:rPr>
          <w:rFonts w:ascii="Arial" w:cs="Arial" w:eastAsia="Arial" w:hAnsi="Arial"/>
          <w:sz w:val="17"/>
          <w:szCs w:val="17"/>
          <w:color w:val="auto"/>
        </w:rPr>
      </w:pPr>
    </w:p>
    <w:p>
      <w:pPr>
        <w:ind w:left="960" w:right="80" w:hanging="424"/>
        <w:spacing w:after="0" w:line="273" w:lineRule="auto"/>
        <w:tabs>
          <w:tab w:leader="none" w:pos="960" w:val="left"/>
        </w:tabs>
        <w:numPr>
          <w:ilvl w:val="1"/>
          <w:numId w:val="6"/>
        </w:numPr>
        <w:rPr>
          <w:rFonts w:ascii="Arial" w:cs="Arial" w:eastAsia="Arial" w:hAnsi="Arial"/>
          <w:sz w:val="17"/>
          <w:szCs w:val="17"/>
          <w:color w:val="auto"/>
        </w:rPr>
      </w:pPr>
      <w:r>
        <w:rPr>
          <w:rFonts w:ascii="Arial" w:cs="Arial" w:eastAsia="Arial" w:hAnsi="Arial"/>
          <w:sz w:val="17"/>
          <w:szCs w:val="17"/>
          <w:color w:val="auto"/>
        </w:rPr>
        <w:t>Mr. Goh is based in Singapore, and, like other Crown employees in Singapore, Mr. Goh is eligible for retirement benefits consistent with local customs and practices. Crown employees in Singapore do not participate in a U.S.-style retirement plan. Under Crown’s local Singapore retirement program, participants are eligible for a one-time, lump-sum payment upon retirement based on their years of service. Mr. Goh would have been eligible for a payment of 12 months of base salary upon his retirement under this program. The enhanced retirement benefit in his employment agreement was equal to 24 months of his base salary and was provided in lieu of and completely replaced his participation in the local Singapore retirement program.</w:t>
      </w:r>
    </w:p>
    <w:p>
      <w:pPr>
        <w:spacing w:after="0" w:line="83" w:lineRule="exact"/>
        <w:rPr>
          <w:rFonts w:ascii="Arial" w:cs="Arial" w:eastAsia="Arial" w:hAnsi="Arial"/>
          <w:sz w:val="17"/>
          <w:szCs w:val="17"/>
          <w:color w:val="auto"/>
        </w:rPr>
      </w:pPr>
    </w:p>
    <w:p>
      <w:pPr>
        <w:ind w:left="960" w:right="440" w:hanging="424"/>
        <w:spacing w:after="0" w:line="301"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2018, at 64 years of age, Mr. Goh assumed the role of President of Crown’s Asia Pacific Division. Wishing to secure Mr. Goh’s continuing service past his normal retirement age (65), Crown entered into an employment agreement with Mr. Goh that included an enhanced retirement benefit provided that Mr. Goh did not retire prior to December 31, 2022. Consequently, Mr. Goh was required to perform multiple years of additional services in order to become eligible for this enhanced retirement benefit.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Approval of the Advisory Resolution on Executive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regarding Proposal 5 – Shareholder Ratification of Termination Pay</w:t>
      </w:r>
    </w:p>
    <w:p>
      <w:pPr>
        <w:spacing w:after="0" w:line="131" w:lineRule="exact"/>
        <w:rPr>
          <w:sz w:val="20"/>
          <w:szCs w:val="20"/>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policy being proposed would seriously impair Crown’s ability to recruit and retain top talent.</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central objective of Crown’s compensation program is to be competitive when trying to attract executives, particularly from outside of the organization.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Crown needs to be able to offer market-competitive compensation to attract these in-demand executives.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Crown does not intend to offer “excessive” compensation, and what is market can change quickly and can differ significantly in the many jurisdictions in which Crown operates.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Additionally, several common compensation components can result in an inadvertent crossing of the 2.99 threshold.</w:t>
      </w:r>
    </w:p>
    <w:p>
      <w:pPr>
        <w:spacing w:after="0" w:line="130" w:lineRule="exact"/>
        <w:rPr>
          <w:rFonts w:ascii="Arial" w:cs="Arial" w:eastAsia="Arial" w:hAnsi="Arial"/>
          <w:sz w:val="18"/>
          <w:szCs w:val="18"/>
          <w:color w:val="auto"/>
        </w:rPr>
      </w:pPr>
    </w:p>
    <w:p>
      <w:pPr>
        <w:ind w:left="1420" w:right="620" w:hanging="331"/>
        <w:spacing w:after="0" w:line="342" w:lineRule="auto"/>
        <w:tabs>
          <w:tab w:leader="none" w:pos="1420" w:val="left"/>
        </w:tabs>
        <w:numPr>
          <w:ilvl w:val="2"/>
          <w:numId w:val="7"/>
        </w:numPr>
        <w:rPr>
          <w:rFonts w:ascii="Arial" w:cs="Arial" w:eastAsia="Arial" w:hAnsi="Arial"/>
          <w:sz w:val="16"/>
          <w:szCs w:val="16"/>
          <w:color w:val="auto"/>
        </w:rPr>
      </w:pPr>
      <w:r>
        <w:rPr>
          <w:rFonts w:ascii="Arial" w:cs="Arial" w:eastAsia="Arial" w:hAnsi="Arial"/>
          <w:sz w:val="16"/>
          <w:szCs w:val="16"/>
          <w:color w:val="auto"/>
        </w:rPr>
        <w:t>For example, most importantly if a severance policy contemplates accelerated vesting of equity awards, the 2.99 limit would particularly penalize an executive who owns stock in the Company (which Crown would otherwise want to encourage).</w:t>
      </w:r>
    </w:p>
    <w:p>
      <w:pPr>
        <w:spacing w:after="0" w:line="29" w:lineRule="exact"/>
        <w:rPr>
          <w:rFonts w:ascii="Arial" w:cs="Arial" w:eastAsia="Arial" w:hAnsi="Arial"/>
          <w:sz w:val="16"/>
          <w:szCs w:val="16"/>
          <w:color w:val="auto"/>
        </w:rPr>
      </w:pPr>
    </w:p>
    <w:p>
      <w:pPr>
        <w:ind w:left="1420" w:right="260" w:hanging="331"/>
        <w:spacing w:after="0" w:line="277" w:lineRule="auto"/>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Preventing the accelerated vesting of equity in, for instance, an M&amp;A context, will not align the interests of management with the shareholders, who may favor a change of control transaction.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proposal will also impose a significant delay regarding the compensation package actually offered to new executives.</w:t>
      </w:r>
    </w:p>
    <w:p>
      <w:pPr>
        <w:spacing w:after="0" w:line="130" w:lineRule="exact"/>
        <w:rPr>
          <w:rFonts w:ascii="Arial" w:cs="Arial" w:eastAsia="Arial" w:hAnsi="Arial"/>
          <w:sz w:val="18"/>
          <w:szCs w:val="18"/>
          <w:color w:val="auto"/>
        </w:rPr>
      </w:pPr>
    </w:p>
    <w:p>
      <w:pPr>
        <w:ind w:left="1420" w:right="140" w:hanging="331"/>
        <w:spacing w:after="0" w:line="277" w:lineRule="auto"/>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Potential executives evaluating competing offers from other suitors will not appreciate the possibility that shareholders could strike down their negotiated arrangement months after they accept employment.</w:t>
      </w:r>
    </w:p>
    <w:p>
      <w:pPr>
        <w:spacing w:after="0" w:line="75" w:lineRule="exact"/>
        <w:rPr>
          <w:rFonts w:ascii="Arial" w:cs="Arial" w:eastAsia="Arial" w:hAnsi="Arial"/>
          <w:sz w:val="18"/>
          <w:szCs w:val="18"/>
          <w:color w:val="auto"/>
        </w:rPr>
      </w:pPr>
    </w:p>
    <w:p>
      <w:pPr>
        <w:ind w:left="960" w:right="40" w:hanging="424"/>
        <w:spacing w:after="0" w:line="263"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Taking a proposal to a shareholder vote will also impose additional costs to Crown and diversion of management attention, particularly if a special meeting off of Crown’s normal meeting cycle is held, or will require delaying key hiring decisions to synchronize them with the annual meeting.</w:t>
      </w:r>
    </w:p>
    <w:p>
      <w:pPr>
        <w:spacing w:after="0" w:line="89"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 approval requirement is unnecessary because Crown shareholders already have frequent and meaningful opportunities to weigh in on compensation decisions: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7"/>
        </w:numPr>
        <w:rPr>
          <w:rFonts w:ascii="Arial" w:cs="Arial" w:eastAsia="Arial" w:hAnsi="Arial"/>
          <w:sz w:val="17"/>
          <w:szCs w:val="17"/>
          <w:color w:val="auto"/>
        </w:rPr>
      </w:pPr>
      <w:r>
        <w:rPr>
          <w:rFonts w:ascii="Arial" w:cs="Arial" w:eastAsia="Arial" w:hAnsi="Arial"/>
          <w:sz w:val="17"/>
          <w:szCs w:val="17"/>
          <w:color w:val="auto"/>
        </w:rPr>
        <w:t>Crown obtains shareholder input on executive compensation through its annual say-on-pay vote and shareholder outreach program.</w:t>
      </w:r>
    </w:p>
    <w:p>
      <w:pPr>
        <w:spacing w:after="0" w:line="142" w:lineRule="exact"/>
        <w:rPr>
          <w:rFonts w:ascii="Arial" w:cs="Arial" w:eastAsia="Arial" w:hAnsi="Arial"/>
          <w:sz w:val="17"/>
          <w:szCs w:val="17"/>
          <w:color w:val="auto"/>
        </w:rPr>
      </w:pPr>
    </w:p>
    <w:p>
      <w:pPr>
        <w:ind w:left="960" w:right="800" w:hanging="424"/>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SEC’s “golden parachute” rules require Crown to seek shareholder approval of excessive severance packages under various circumstances.</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Crown’s current compensation arrangements are pursuant to Crown’s long-term incentive plans, which have been overwhelmingly approved by Crown’s shareholders.</w:t>
      </w:r>
    </w:p>
    <w:p>
      <w:pPr>
        <w:spacing w:after="0" w:line="75" w:lineRule="exact"/>
        <w:rPr>
          <w:rFonts w:ascii="Arial" w:cs="Arial" w:eastAsia="Arial" w:hAnsi="Arial"/>
          <w:sz w:val="18"/>
          <w:szCs w:val="18"/>
          <w:color w:val="auto"/>
        </w:rPr>
      </w:pPr>
    </w:p>
    <w:p>
      <w:pPr>
        <w:ind w:left="1420" w:right="220" w:hanging="331"/>
        <w:spacing w:after="0" w:line="308" w:lineRule="auto"/>
        <w:tabs>
          <w:tab w:leader="none" w:pos="1420" w:val="left"/>
        </w:tabs>
        <w:numPr>
          <w:ilvl w:val="2"/>
          <w:numId w:val="7"/>
        </w:numPr>
        <w:rPr>
          <w:rFonts w:ascii="Arial" w:cs="Arial" w:eastAsia="Arial" w:hAnsi="Arial"/>
          <w:sz w:val="17"/>
          <w:szCs w:val="17"/>
          <w:color w:val="auto"/>
        </w:rPr>
      </w:pPr>
      <w:r>
        <w:rPr>
          <w:rFonts w:ascii="Arial" w:cs="Arial" w:eastAsia="Arial" w:hAnsi="Arial"/>
          <w:sz w:val="17"/>
          <w:szCs w:val="17"/>
          <w:color w:val="auto"/>
        </w:rPr>
        <w:t>For example, in each of the last 5 years, support for our annual Say-on-Pay proposal has been 93% or more. Also, the 2022 Stock-Based Incentive Compensation Plan was approved by over 95% of the votes cast at the 2022 annual meeting.</w:t>
      </w:r>
    </w:p>
    <w:p>
      <w:pPr>
        <w:sectPr>
          <w:pgSz w:w="11900" w:h="16838" w:orient="portrait"/>
          <w:cols w:equalWidth="0" w:num="1">
            <w:col w:w="11000"/>
          </w:cols>
          <w:pgMar w:left="440" w:top="270" w:right="459" w:bottom="0" w:gutter="0" w:footer="0" w:header="0"/>
        </w:sectPr>
      </w:pPr>
    </w:p>
    <w:bookmarkStart w:id="2" w:name="page3"/>
    <w:bookmarkEnd w:id="2"/>
    <w:p>
      <w:pPr>
        <w:ind w:left="960" w:hanging="424"/>
        <w:spacing w:after="0"/>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Crown has a compensation committee, composed entirely of independent Directors, responsible for structuring compensation arrangements</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 this proposal restricts that committee’s ability to properly tailor packages to Crown’s circumstances.</w:t>
      </w:r>
    </w:p>
    <w:p>
      <w:pPr>
        <w:spacing w:after="0" w:line="116" w:lineRule="exact"/>
        <w:rPr>
          <w:rFonts w:ascii="Arial" w:cs="Arial" w:eastAsia="Arial" w:hAnsi="Arial"/>
          <w:sz w:val="16"/>
          <w:szCs w:val="16"/>
          <w:color w:val="auto"/>
        </w:rPr>
      </w:pPr>
    </w:p>
    <w:p>
      <w:pPr>
        <w:ind w:left="1420" w:right="180" w:hanging="331"/>
        <w:spacing w:after="0" w:line="342" w:lineRule="auto"/>
        <w:tabs>
          <w:tab w:leader="none" w:pos="1420" w:val="left"/>
        </w:tabs>
        <w:numPr>
          <w:ilvl w:val="3"/>
          <w:numId w:val="8"/>
        </w:numPr>
        <w:rPr>
          <w:rFonts w:ascii="Arial" w:cs="Arial" w:eastAsia="Arial" w:hAnsi="Arial"/>
          <w:sz w:val="16"/>
          <w:szCs w:val="16"/>
          <w:color w:val="auto"/>
        </w:rPr>
      </w:pPr>
      <w:r>
        <w:rPr>
          <w:rFonts w:ascii="Arial" w:cs="Arial" w:eastAsia="Arial" w:hAnsi="Arial"/>
          <w:sz w:val="16"/>
          <w:szCs w:val="16"/>
          <w:color w:val="auto"/>
        </w:rPr>
        <w:t>For example, Crown has employees in many jurisdictions with varying market norms, regulatory constraints, tax rules, etc. and the committee should have the flexibility to craft appropriate packages for individual executives that account for these factors.</w:t>
      </w:r>
    </w:p>
    <w:p>
      <w:pPr>
        <w:spacing w:after="0" w:line="29" w:lineRule="exact"/>
        <w:rPr>
          <w:rFonts w:ascii="Arial" w:cs="Arial" w:eastAsia="Arial" w:hAnsi="Arial"/>
          <w:sz w:val="16"/>
          <w:szCs w:val="16"/>
          <w:color w:val="auto"/>
        </w:rPr>
      </w:pPr>
    </w:p>
    <w:p>
      <w:pPr>
        <w:ind w:left="420" w:right="80" w:hanging="316"/>
        <w:spacing w:after="0" w:line="263"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2.99 limit discourages Crown from issuing long-term incentive awards under its long-term incentive plans (since as written acceleration of an equity award would count towards the 2.99 threshold), even though those awards are the component of compensation most designed to align management incentives with long-term shareholder value.</w:t>
      </w:r>
    </w:p>
    <w:p>
      <w:pPr>
        <w:spacing w:after="0" w:line="89"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2.99 limit is also unnecessary because Crown’s existing compensation arrangements largely comply with the proposed policy with respect to cash severance.</w:t>
      </w:r>
    </w:p>
    <w:p>
      <w:pPr>
        <w:spacing w:after="0" w:line="75" w:lineRule="exact"/>
        <w:rPr>
          <w:rFonts w:ascii="Arial" w:cs="Arial" w:eastAsia="Arial" w:hAnsi="Arial"/>
          <w:sz w:val="18"/>
          <w:szCs w:val="18"/>
          <w:color w:val="auto"/>
        </w:rPr>
      </w:pPr>
    </w:p>
    <w:p>
      <w:pPr>
        <w:ind w:left="960" w:right="80" w:hanging="424"/>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disclosed in our Proxy Statement, the only circumstance in which cash severance greater than 3x base salary plus average bonus would be paid out under Crown’s existing agreements is if the CEO is terminated without cause/good reason unrelated to a change in control.</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other named executive officers have cash severance well below 3x.</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AGAINST the Shareholder Proposal regarding Shareholder Ratification of Termination Pay.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Note Regarding Forward-Looking Statements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Except for historical information, all other information in this supplement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supplement or the actual results of operations or financial condition of the Company to differ are discussed under the caption “Forward Looking Statements” in the Company’s Annual Report on Form 10-K for the year ended December 31, 2022 and in subsequent filings made prior to or after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review or revise any particular forward-looking statement in light of future events.</w:t>
      </w:r>
    </w:p>
    <w:p>
      <w:pPr>
        <w:sectPr>
          <w:pgSz w:w="11900" w:h="16838" w:orient="portrait"/>
          <w:cols w:equalWidth="0" w:num="1">
            <w:col w:w="11020"/>
          </w:cols>
          <w:pgMar w:left="440" w:top="125"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EXECUTIVE EMPLOYMENT AGREEMENT</w:t>
      </w:r>
    </w:p>
    <w:p>
      <w:pPr>
        <w:spacing w:after="0" w:line="22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THIS IS AN EMPLOYMENT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August 1, 2018,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 Crown Holdings, Inc., (“</w:t>
      </w:r>
      <w:r>
        <w:rPr>
          <w:rFonts w:ascii="Arial" w:cs="Arial" w:eastAsia="Arial" w:hAnsi="Arial"/>
          <w:sz w:val="18"/>
          <w:szCs w:val="18"/>
          <w:u w:val="single" w:color="auto"/>
          <w:color w:val="auto"/>
        </w:rPr>
        <w:t>Crown</w:t>
      </w:r>
      <w:r>
        <w:rPr>
          <w:rFonts w:ascii="Arial" w:cs="Arial" w:eastAsia="Arial" w:hAnsi="Arial"/>
          <w:sz w:val="18"/>
          <w:szCs w:val="18"/>
          <w:color w:val="auto"/>
        </w:rPr>
        <w:t>” and,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and Hock Huat Goh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386" w:lineRule="exact"/>
        <w:rPr>
          <w:sz w:val="20"/>
          <w:szCs w:val="20"/>
          <w:color w:val="auto"/>
        </w:rPr>
      </w:pPr>
    </w:p>
    <w:p>
      <w:pPr>
        <w:ind w:left="5064"/>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WHEREAS, the Executive is currently employed by the Company.</w:t>
      </w:r>
    </w:p>
    <w:p>
      <w:pPr>
        <w:spacing w:after="0" w:line="225" w:lineRule="exact"/>
        <w:rPr>
          <w:sz w:val="20"/>
          <w:szCs w:val="20"/>
          <w:color w:val="auto"/>
        </w:rPr>
      </w:pPr>
    </w:p>
    <w:p>
      <w:pPr>
        <w:ind w:left="4" w:right="200" w:firstLine="991"/>
        <w:spacing w:after="0" w:line="263" w:lineRule="auto"/>
        <w:rPr>
          <w:sz w:val="20"/>
          <w:szCs w:val="20"/>
          <w:color w:val="auto"/>
        </w:rPr>
      </w:pPr>
      <w:r>
        <w:rPr>
          <w:rFonts w:ascii="Arial" w:cs="Arial" w:eastAsia="Arial" w:hAnsi="Arial"/>
          <w:sz w:val="18"/>
          <w:szCs w:val="18"/>
          <w:color w:val="auto"/>
        </w:rPr>
        <w:t>WHEREAS, the Company desires to assure itself of the continued employment of the Executive with the Company and to encourage his continued attention and dedication to the best interests of the Company, including but not limited to Crown Asia Pacific Holdings Limited (“Crown Singapore”).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WHEREAS, the Executive desires to remain and continue in the employment of the Company in accordance with the terms of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NOW, THEREFORE, in consideration of the promises and mutual covenants contained herein and intending to be legally bound hereby, the parties agree as follows:</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Terms</w:t>
      </w:r>
    </w:p>
    <w:p>
      <w:pPr>
        <w:spacing w:after="0" w:line="225" w:lineRule="exact"/>
        <w:rPr>
          <w:sz w:val="20"/>
          <w:szCs w:val="20"/>
          <w:color w:val="auto"/>
        </w:rPr>
      </w:pPr>
    </w:p>
    <w:p>
      <w:pPr>
        <w:ind w:left="444" w:right="3600" w:hanging="444"/>
        <w:spacing w:after="0" w:line="375" w:lineRule="auto"/>
        <w:tabs>
          <w:tab w:leader="none" w:pos="18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set forth below: 1.1.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Crown.</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Cause</w:t>
      </w:r>
      <w:r>
        <w:rPr>
          <w:rFonts w:ascii="Arial" w:cs="Arial" w:eastAsia="Arial" w:hAnsi="Arial"/>
          <w:sz w:val="18"/>
          <w:szCs w:val="18"/>
          <w:color w:val="auto"/>
        </w:rPr>
        <w:t>” shall mean the termination of the Executive’s employment with the Company as a result of:</w:t>
      </w:r>
    </w:p>
    <w:p>
      <w:pPr>
        <w:spacing w:after="0" w:line="117" w:lineRule="exact"/>
        <w:rPr>
          <w:rFonts w:ascii="Arial" w:cs="Arial" w:eastAsia="Arial" w:hAnsi="Arial"/>
          <w:sz w:val="18"/>
          <w:szCs w:val="18"/>
          <w:color w:val="auto"/>
        </w:rPr>
      </w:pPr>
    </w:p>
    <w:p>
      <w:pPr>
        <w:ind w:left="4" w:right="420" w:firstLine="987"/>
        <w:spacing w:after="0" w:line="277" w:lineRule="auto"/>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Executive’s willful failure to perform such services as may be reasonably delegated or assigned to the Executive by the Board, Crown’s Chief Executive Officer or any other executive to whom the Executive reports;</w:t>
      </w:r>
    </w:p>
    <w:p>
      <w:pPr>
        <w:spacing w:after="0" w:line="62" w:lineRule="exact"/>
        <w:rPr>
          <w:rFonts w:ascii="Arial" w:cs="Arial" w:eastAsia="Arial" w:hAnsi="Arial"/>
          <w:sz w:val="18"/>
          <w:szCs w:val="18"/>
          <w:color w:val="auto"/>
        </w:rPr>
      </w:pPr>
    </w:p>
    <w:p>
      <w:pPr>
        <w:ind w:left="4" w:right="260" w:firstLine="987"/>
        <w:spacing w:after="0" w:line="277" w:lineRule="auto"/>
        <w:tabs>
          <w:tab w:leader="none" w:pos="125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continued failure by the Executive to devote his full-time best effort to the performance of his duties under the Agreement (other than any such failure resulting from the Executive’s incapacity due to physical or mental illness);</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breach by the Executive of any provision of Sections 6, 7, 8 or 9 hereof;</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willful engaging by the Executive in misconduct which is materially injurious to the Company, monetarily or otherwise; or</w:t>
      </w:r>
    </w:p>
    <w:p>
      <w:pPr>
        <w:spacing w:after="0" w:line="128" w:lineRule="exact"/>
        <w:rPr>
          <w:rFonts w:ascii="Arial" w:cs="Arial" w:eastAsia="Arial" w:hAnsi="Arial"/>
          <w:sz w:val="17"/>
          <w:szCs w:val="17"/>
          <w:color w:val="auto"/>
        </w:rPr>
      </w:pPr>
    </w:p>
    <w:p>
      <w:pPr>
        <w:ind w:left="1244" w:hanging="253"/>
        <w:spacing w:after="0"/>
        <w:tabs>
          <w:tab w:leader="none" w:pos="1244"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Executive’s conviction of, or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felony or a crime involving moral turpitude.</w:t>
      </w:r>
    </w:p>
    <w:p>
      <w:pPr>
        <w:sectPr>
          <w:pgSz w:w="11900" w:h="16838" w:orient="portrait"/>
          <w:cols w:equalWidth="0" w:num="1">
            <w:col w:w="11024"/>
          </w:cols>
          <w:pgMar w:left="436"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any of the following events:</w:t>
      </w:r>
    </w:p>
    <w:p>
      <w:pPr>
        <w:spacing w:after="0" w:line="117" w:lineRule="exact"/>
        <w:rPr>
          <w:sz w:val="20"/>
          <w:szCs w:val="20"/>
          <w:color w:val="auto"/>
        </w:rPr>
      </w:pPr>
    </w:p>
    <w:p>
      <w:pPr>
        <w:ind w:left="-440" w:firstLine="987"/>
        <w:spacing w:after="0" w:line="257" w:lineRule="auto"/>
        <w:tabs>
          <w:tab w:leader="none" w:pos="7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(as such term is used in Sections 13(d) and 14(d)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 13d-3 under the Exchange Act), directly or indirectly, of securities of Crown representing 50% or more of the combined voting power of Crown’s then outstanding securities; or</w:t>
      </w:r>
    </w:p>
    <w:p>
      <w:pPr>
        <w:spacing w:after="0" w:line="79" w:lineRule="exact"/>
        <w:rPr>
          <w:rFonts w:ascii="Arial" w:cs="Arial" w:eastAsia="Arial" w:hAnsi="Arial"/>
          <w:sz w:val="18"/>
          <w:szCs w:val="18"/>
          <w:color w:val="auto"/>
        </w:rPr>
      </w:pPr>
    </w:p>
    <w:p>
      <w:pPr>
        <w:ind w:left="-440" w:right="80" w:firstLine="987"/>
        <w:spacing w:after="0" w:line="275" w:lineRule="auto"/>
        <w:tabs>
          <w:tab w:leader="none" w:pos="8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and any new director (other than a director designated by a person who has entered into an agreement with Crown to effect a transaction described in Section 1.3(a), Section 1.3(c) or Section 1.3(d)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spacing w:after="0" w:line="68" w:lineRule="exact"/>
        <w:rPr>
          <w:rFonts w:ascii="Arial" w:cs="Arial" w:eastAsia="Arial" w:hAnsi="Arial"/>
          <w:sz w:val="17"/>
          <w:szCs w:val="17"/>
          <w:color w:val="auto"/>
        </w:rPr>
      </w:pPr>
    </w:p>
    <w:p>
      <w:pPr>
        <w:ind w:left="-440" w:right="280" w:firstLine="987"/>
        <w:spacing w:after="0" w:line="259" w:lineRule="auto"/>
        <w:tabs>
          <w:tab w:leader="none" w:pos="7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spacing w:after="0" w:line="78" w:lineRule="exact"/>
        <w:rPr>
          <w:rFonts w:ascii="Arial" w:cs="Arial" w:eastAsia="Arial" w:hAnsi="Arial"/>
          <w:sz w:val="18"/>
          <w:szCs w:val="18"/>
          <w:color w:val="auto"/>
        </w:rPr>
      </w:pPr>
    </w:p>
    <w:p>
      <w:pPr>
        <w:ind w:left="800" w:hanging="25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complete liquidation of Crown or Crown sells or otherwise disposes of all or substantially all of Crown’s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w:t>
      </w:r>
    </w:p>
    <w:p>
      <w:pPr>
        <w:spacing w:after="0" w:line="117" w:lineRule="exact"/>
        <w:rPr>
          <w:sz w:val="20"/>
          <w:szCs w:val="20"/>
          <w:color w:val="auto"/>
        </w:rPr>
      </w:pPr>
    </w:p>
    <w:p>
      <w:pPr>
        <w:ind w:left="-440" w:right="520" w:firstLine="987"/>
        <w:spacing w:after="0" w:line="263" w:lineRule="auto"/>
        <w:tabs>
          <w:tab w:leader="none" w:pos="7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assignment to the Executive, without the Executive’s express written approval, of duties or responsibilities, inconsistent, in a material respect, with the Executive’s title and position on the date of a Change in Control or a material reduction in the Executive’s duties, responsibilities or authority from those in effect on the date of a Change in Control;</w:t>
      </w:r>
    </w:p>
    <w:p>
      <w:pPr>
        <w:spacing w:after="0" w:line="75" w:lineRule="exact"/>
        <w:rPr>
          <w:rFonts w:ascii="Arial" w:cs="Arial" w:eastAsia="Arial" w:hAnsi="Arial"/>
          <w:sz w:val="18"/>
          <w:szCs w:val="18"/>
          <w:color w:val="auto"/>
        </w:rPr>
      </w:pPr>
    </w:p>
    <w:p>
      <w:pPr>
        <w:jc w:val="both"/>
        <w:ind w:left="-440" w:right="60" w:firstLine="987"/>
        <w:spacing w:after="0" w:line="263" w:lineRule="auto"/>
        <w:tabs>
          <w:tab w:leader="none" w:pos="8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spacing w:after="0" w:line="75" w:lineRule="exact"/>
        <w:rPr>
          <w:rFonts w:ascii="Arial" w:cs="Arial" w:eastAsia="Arial" w:hAnsi="Arial"/>
          <w:sz w:val="18"/>
          <w:szCs w:val="18"/>
          <w:color w:val="auto"/>
        </w:rPr>
      </w:pPr>
    </w:p>
    <w:p>
      <w:pPr>
        <w:ind w:left="-440" w:right="40" w:firstLine="987"/>
        <w:spacing w:after="0" w:line="277" w:lineRule="auto"/>
        <w:tabs>
          <w:tab w:leader="none" w:pos="7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a Change in Control, the Company’s failure, without the express consent of the Executive, to pay the Executive any amounts otherwise vested and due hereunder or under any plan or policy of the Company;</w:t>
      </w:r>
    </w:p>
    <w:p>
      <w:pPr>
        <w:spacing w:after="0" w:line="102" w:lineRule="exact"/>
        <w:rPr>
          <w:rFonts w:ascii="Arial" w:cs="Arial" w:eastAsia="Arial" w:hAnsi="Arial"/>
          <w:sz w:val="18"/>
          <w:szCs w:val="18"/>
          <w:color w:val="auto"/>
        </w:rPr>
      </w:pPr>
    </w:p>
    <w:p>
      <w:pPr>
        <w:ind w:left="5020" w:hanging="106"/>
        <w:spacing w:after="0"/>
        <w:tabs>
          <w:tab w:leader="none" w:pos="5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0"/>
          </w:cols>
          <w:pgMar w:left="880" w:top="274" w:right="459" w:bottom="1440" w:gutter="0" w:footer="0" w:header="0"/>
        </w:sectPr>
      </w:pPr>
    </w:p>
    <w:bookmarkStart w:id="5" w:name="page6"/>
    <w:bookmarkEnd w:id="5"/>
    <w:p>
      <w:pPr>
        <w:ind w:left="4" w:right="140" w:firstLine="987"/>
        <w:spacing w:after="0" w:line="342" w:lineRule="auto"/>
        <w:tabs>
          <w:tab w:leader="none" w:pos="125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a Change in Control, a relocation of the Executive’s primary place of employment, without the Executive’s express written approval, to a location more than 20 miles from the location at which the Executive performed his duties on the date of such Change in Control; or</w:t>
      </w:r>
    </w:p>
    <w:p>
      <w:pPr>
        <w:spacing w:after="0" w:line="15" w:lineRule="exact"/>
        <w:rPr>
          <w:rFonts w:ascii="Arial" w:cs="Arial" w:eastAsia="Arial" w:hAnsi="Arial"/>
          <w:sz w:val="16"/>
          <w:szCs w:val="16"/>
          <w:color w:val="auto"/>
        </w:rPr>
      </w:pPr>
    </w:p>
    <w:p>
      <w:pPr>
        <w:ind w:left="4" w:right="120" w:firstLine="987"/>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or refusal of Crown’s Successor (as defined in Section 14 below) to expressly assume this Agreement in writing, and all of the duties and obligations of the Company hereunder in accordance with Section 14.</w:t>
      </w:r>
    </w:p>
    <w:p>
      <w:pPr>
        <w:spacing w:after="0" w:line="62"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Short-Term Disability</w:t>
      </w:r>
      <w:r>
        <w:rPr>
          <w:rFonts w:ascii="Arial" w:cs="Arial" w:eastAsia="Arial" w:hAnsi="Arial"/>
          <w:sz w:val="18"/>
          <w:szCs w:val="18"/>
          <w:color w:val="auto"/>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Total Disability</w:t>
      </w:r>
      <w:r>
        <w:rPr>
          <w:rFonts w:ascii="Arial" w:cs="Arial" w:eastAsia="Arial" w:hAnsi="Arial"/>
          <w:sz w:val="18"/>
          <w:szCs w:val="18"/>
          <w:color w:val="auto"/>
        </w:rPr>
        <w:t>” shall mean that a qualified physician designated by the Company has determined that the Executive:</w:t>
      </w:r>
    </w:p>
    <w:p>
      <w:pPr>
        <w:spacing w:after="0" w:line="117" w:lineRule="exact"/>
        <w:rPr>
          <w:sz w:val="20"/>
          <w:szCs w:val="20"/>
          <w:color w:val="auto"/>
        </w:rPr>
      </w:pPr>
    </w:p>
    <w:p>
      <w:pPr>
        <w:ind w:left="4" w:right="180" w:firstLine="987"/>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62" w:lineRule="exact"/>
        <w:rPr>
          <w:rFonts w:ascii="Arial" w:cs="Arial" w:eastAsia="Arial" w:hAnsi="Arial"/>
          <w:sz w:val="18"/>
          <w:szCs w:val="18"/>
          <w:color w:val="auto"/>
        </w:rPr>
      </w:pPr>
    </w:p>
    <w:p>
      <w:pPr>
        <w:ind w:left="4" w:right="20" w:firstLine="987"/>
        <w:spacing w:after="0" w:line="263" w:lineRule="auto"/>
        <w:tabs>
          <w:tab w:leader="none" w:pos="12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75" w:lineRule="exact"/>
        <w:rPr>
          <w:rFonts w:ascii="Arial" w:cs="Arial" w:eastAsia="Arial" w:hAnsi="Arial"/>
          <w:sz w:val="18"/>
          <w:szCs w:val="18"/>
          <w:color w:val="auto"/>
        </w:rPr>
      </w:pPr>
    </w:p>
    <w:p>
      <w:pPr>
        <w:ind w:left="4" w:hanging="4"/>
        <w:spacing w:after="0" w:line="269" w:lineRule="auto"/>
        <w:tabs>
          <w:tab w:leader="none" w:pos="18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The Company agrees to continue to employ the Executive and the Executive hereby agrees to continue to be employed by the Company, upon the terms, conditions and limitations set forth in this Agreement. The Executive shall serve as the Company’s President-Asia Pacific Division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as an executive director of Crown Singapore.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spacing w:after="0" w:line="77" w:lineRule="exact"/>
        <w:rPr>
          <w:rFonts w:ascii="Arial" w:cs="Arial" w:eastAsia="Arial" w:hAnsi="Arial"/>
          <w:sz w:val="17"/>
          <w:szCs w:val="17"/>
          <w:color w:val="auto"/>
        </w:rPr>
      </w:pPr>
    </w:p>
    <w:p>
      <w:pPr>
        <w:ind w:left="184" w:hanging="184"/>
        <w:spacing w:after="0"/>
        <w:tabs>
          <w:tab w:leader="none" w:pos="18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Executive’s employment under this Agreement shall commence on the Effective Date and unless sooner terminated as provided in Article</w:t>
      </w:r>
    </w:p>
    <w:p>
      <w:pPr>
        <w:spacing w:after="0" w:line="46" w:lineRule="exact"/>
        <w:rPr>
          <w:rFonts w:ascii="Arial" w:cs="Arial" w:eastAsia="Arial" w:hAnsi="Arial"/>
          <w:sz w:val="16"/>
          <w:szCs w:val="16"/>
          <w:color w:val="auto"/>
        </w:rPr>
      </w:pPr>
    </w:p>
    <w:p>
      <w:pPr>
        <w:jc w:val="both"/>
        <w:ind w:left="4" w:right="200"/>
        <w:spacing w:after="0" w:line="255" w:lineRule="auto"/>
        <w:rPr>
          <w:rFonts w:ascii="Arial" w:cs="Arial" w:eastAsia="Arial" w:hAnsi="Arial"/>
          <w:sz w:val="16"/>
          <w:szCs w:val="16"/>
          <w:color w:val="auto"/>
        </w:rPr>
      </w:pPr>
      <w:r>
        <w:rPr>
          <w:rFonts w:ascii="Arial" w:cs="Arial" w:eastAsia="Arial" w:hAnsi="Arial"/>
          <w:sz w:val="18"/>
          <w:szCs w:val="18"/>
          <w:color w:val="auto"/>
        </w:rPr>
        <w:t>5 shall continue for a period of one year (the “</w:t>
      </w:r>
      <w:r>
        <w:rPr>
          <w:rFonts w:ascii="Arial" w:cs="Arial" w:eastAsia="Arial" w:hAnsi="Arial"/>
          <w:sz w:val="18"/>
          <w:szCs w:val="18"/>
          <w:u w:val="single" w:color="auto"/>
          <w:color w:val="auto"/>
        </w:rPr>
        <w:t>Initial Term</w:t>
      </w:r>
      <w:r>
        <w:rPr>
          <w:rFonts w:ascii="Arial" w:cs="Arial" w:eastAsia="Arial" w:hAnsi="Arial"/>
          <w:sz w:val="18"/>
          <w:szCs w:val="18"/>
          <w:color w:val="auto"/>
        </w:rPr>
        <w:t>”). Except as otherwise provided herein, unless either party gives written notice to the other party at least 30 days before any anniversary of the Effective Date that the term hereunder shall not be extended beyond its then term (a “</w:t>
      </w:r>
      <w:r>
        <w:rPr>
          <w:rFonts w:ascii="Arial" w:cs="Arial" w:eastAsia="Arial" w:hAnsi="Arial"/>
          <w:sz w:val="18"/>
          <w:szCs w:val="18"/>
          <w:u w:val="single" w:color="auto"/>
          <w:color w:val="auto"/>
        </w:rPr>
        <w:t>Nonrenewal</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the term</w:t>
      </w:r>
    </w:p>
    <w:p>
      <w:pPr>
        <w:spacing w:after="0" w:line="122" w:lineRule="exact"/>
        <w:rPr>
          <w:rFonts w:ascii="Arial" w:cs="Arial" w:eastAsia="Arial" w:hAnsi="Arial"/>
          <w:sz w:val="16"/>
          <w:szCs w:val="16"/>
          <w:color w:val="auto"/>
        </w:rPr>
      </w:pPr>
    </w:p>
    <w:p>
      <w:pPr>
        <w:ind w:left="5464" w:hanging="106"/>
        <w:spacing w:after="0"/>
        <w:tabs>
          <w:tab w:leader="none" w:pos="5464" w:val="left"/>
        </w:tabs>
        <w:numPr>
          <w:ilvl w:val="2"/>
          <w:numId w:val="1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4"/>
          </w:cols>
          <w:pgMar w:left="436" w:top="274" w:right="499" w:bottom="1440" w:gutter="0" w:footer="0" w:header="0"/>
        </w:sectPr>
      </w:pPr>
    </w:p>
    <w:bookmarkStart w:id="6" w:name="page7"/>
    <w:bookmarkEnd w:id="6"/>
    <w:p>
      <w:pPr>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Agreement shall automatically be extended for an additional one year period from each anniversary, subject to the same terms, conditions and limitations as applicable to the Initial Term unless amended or terminated as provided herein (each such additional one year period a “</w:t>
      </w:r>
      <w:r>
        <w:rPr>
          <w:rFonts w:ascii="Arial" w:cs="Arial" w:eastAsia="Arial" w:hAnsi="Arial"/>
          <w:sz w:val="16"/>
          <w:szCs w:val="16"/>
          <w:u w:val="single" w:color="auto"/>
          <w:color w:val="auto"/>
        </w:rPr>
        <w:t>Renewal Term</w:t>
      </w:r>
      <w:r>
        <w:rPr>
          <w:rFonts w:ascii="Arial" w:cs="Arial" w:eastAsia="Arial" w:hAnsi="Arial"/>
          <w:sz w:val="16"/>
          <w:szCs w:val="16"/>
          <w:color w:val="auto"/>
        </w:rPr>
        <w:t>”). For purposes of this Agreement, the Initial Term and all subsequent Renewal Terms shall be collectively referred to as the “</w:t>
      </w:r>
      <w:r>
        <w:rPr>
          <w:rFonts w:ascii="Arial" w:cs="Arial" w:eastAsia="Arial" w:hAnsi="Arial"/>
          <w:sz w:val="16"/>
          <w:szCs w:val="16"/>
          <w:u w:val="single" w:color="auto"/>
          <w:color w:val="auto"/>
        </w:rPr>
        <w:t>Term</w:t>
      </w:r>
      <w:r>
        <w:rPr>
          <w:rFonts w:ascii="Arial" w:cs="Arial" w:eastAsia="Arial" w:hAnsi="Arial"/>
          <w:sz w:val="16"/>
          <w:szCs w:val="16"/>
          <w:color w:val="auto"/>
        </w:rPr>
        <w:t>” of the Agreement.</w:t>
      </w:r>
    </w:p>
    <w:p>
      <w:pPr>
        <w:spacing w:after="0" w:line="41" w:lineRule="exact"/>
        <w:rPr>
          <w:sz w:val="20"/>
          <w:szCs w:val="20"/>
          <w:color w:val="auto"/>
        </w:rPr>
      </w:pPr>
    </w:p>
    <w:p>
      <w:pPr>
        <w:ind w:left="184" w:hanging="184"/>
        <w:spacing w:after="0"/>
        <w:tabs>
          <w:tab w:leader="none" w:pos="18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the Executive for the performance of his duties under this Agreement an initial base salary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$600,000 Singapore dollars per year (the “</w:t>
      </w:r>
      <w:r>
        <w:rPr>
          <w:rFonts w:ascii="Arial" w:cs="Arial" w:eastAsia="Arial" w:hAnsi="Arial"/>
          <w:sz w:val="16"/>
          <w:szCs w:val="16"/>
          <w:u w:val="single" w:color="auto"/>
          <w:color w:val="auto"/>
        </w:rPr>
        <w:t>Base Salary</w:t>
      </w:r>
      <w:r>
        <w:rPr>
          <w:rFonts w:ascii="Arial" w:cs="Arial" w:eastAsia="Arial" w:hAnsi="Arial"/>
          <w:sz w:val="16"/>
          <w:szCs w:val="16"/>
          <w:color w:val="auto"/>
        </w:rPr>
        <w:t>”), payable in accordance with the Company’s normal payroll practices. Thereafter, the rate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Executive’s Base Salary will be reviewed and adjusted as appropriate in accordance with the Company’s regular compensation review practices.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 as of the date of any such increase, the Base Salary so increased shall be considered the new Base Salary for all purposes of this Agreement.</w:t>
      </w:r>
    </w:p>
    <w:p>
      <w:pPr>
        <w:spacing w:after="0" w:line="126"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Bonus</w:t>
      </w:r>
      <w:r>
        <w:rPr>
          <w:rFonts w:ascii="Arial" w:cs="Arial" w:eastAsia="Arial" w:hAnsi="Arial"/>
          <w:sz w:val="18"/>
          <w:szCs w:val="18"/>
          <w:color w:val="auto"/>
        </w:rPr>
        <w:t>. During the Term, in addition to Base Salary, for each calendar year ending during the Term,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Arial" w:cs="Arial" w:eastAsia="Arial" w:hAnsi="Arial"/>
          <w:sz w:val="18"/>
          <w:szCs w:val="18"/>
          <w:u w:val="single" w:color="auto"/>
          <w:color w:val="auto"/>
        </w:rPr>
        <w:t>Incentive Bonus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79"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Employee Benefits</w:t>
      </w:r>
      <w:r>
        <w:rPr>
          <w:rFonts w:ascii="Arial" w:cs="Arial" w:eastAsia="Arial" w:hAnsi="Arial"/>
          <w:sz w:val="16"/>
          <w:szCs w:val="16"/>
          <w:color w:val="auto"/>
        </w:rPr>
        <w:t>. During the Term, the Executive shall be eligible to participate in the applicable employee benefit plans, programs and policies of Crown Singapore (or other applicable affiliate as agreed to by the parties) that are now or hereafter made available to its salaried personnel generally, as such plans, programs and policies may be in effect from time to time, in each case to the extent that the Executive is eligible under the terms of such plans, programs and policies and the Executive’s participation therein is not duplicative of other benefits provided by the Company.</w:t>
      </w:r>
    </w:p>
    <w:p>
      <w:pPr>
        <w:spacing w:after="0" w:line="4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Retirement Benefit</w:t>
      </w:r>
      <w:r>
        <w:rPr>
          <w:rFonts w:ascii="Arial" w:cs="Arial" w:eastAsia="Arial" w:hAnsi="Arial"/>
          <w:sz w:val="18"/>
          <w:szCs w:val="18"/>
          <w:color w:val="auto"/>
        </w:rPr>
        <w:t>. Upon the Executive’s retirement from employment with the Company on or after December 31, 2022, the Executive shall receive a retirement benefit equal to two times his Base Salary payable in a lump sum within 30 days of his retirement.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Vacation</w:t>
      </w:r>
      <w:r>
        <w:rPr>
          <w:rFonts w:ascii="Arial" w:cs="Arial" w:eastAsia="Arial" w:hAnsi="Arial"/>
          <w:sz w:val="18"/>
          <w:szCs w:val="18"/>
          <w:color w:val="auto"/>
        </w:rPr>
        <w:t>. The Executive shall be entitled to vacation in accordance with the Company’s vacation policy.</w:t>
      </w:r>
    </w:p>
    <w:p>
      <w:pPr>
        <w:spacing w:after="0" w:line="117"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Automobile</w:t>
      </w:r>
      <w:r>
        <w:rPr>
          <w:rFonts w:ascii="Arial" w:cs="Arial" w:eastAsia="Arial" w:hAnsi="Arial"/>
          <w:sz w:val="18"/>
          <w:szCs w:val="18"/>
          <w:color w:val="auto"/>
        </w:rPr>
        <w:t>. During the Term, the Company shall make an automobile available to the Executive in accordance with and subject to the conditions of its applicable automobile policy or practices as in effect from time to time.</w:t>
      </w:r>
    </w:p>
    <w:p>
      <w:pPr>
        <w:spacing w:after="0" w:line="62"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During the Term, the Company will reimburse the Executive in accordance with the Company’s expense reimbursement policy as in effect from time to time for expenses reasonably and properly incurred by him in performing his duties, provided that such expenses are incurred and accounted for in accordance with the policies and procedures presently or hereinafter established by the Company.</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4"/>
          </w:cols>
          <w:pgMar w:left="436" w:top="274" w:right="479" w:bottom="1440" w:gutter="0" w:footer="0" w:header="0"/>
        </w:sectPr>
      </w:pPr>
    </w:p>
    <w:bookmarkStart w:id="7" w:name="page8"/>
    <w:bookmarkEnd w:id="7"/>
    <w:p>
      <w:pPr>
        <w:ind w:left="4"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4.8. </w:t>
      </w:r>
      <w:r>
        <w:rPr>
          <w:rFonts w:ascii="Arial" w:cs="Arial" w:eastAsia="Arial" w:hAnsi="Arial"/>
          <w:sz w:val="17"/>
          <w:szCs w:val="17"/>
          <w:u w:val="single" w:color="auto"/>
          <w:color w:val="auto"/>
        </w:rPr>
        <w:t>Short-Term Disability</w:t>
      </w:r>
      <w:r>
        <w:rPr>
          <w:rFonts w:ascii="Arial" w:cs="Arial" w:eastAsia="Arial" w:hAnsi="Arial"/>
          <w:sz w:val="17"/>
          <w:szCs w:val="17"/>
          <w:color w:val="auto"/>
        </w:rPr>
        <w:t>. In the event that the Executive incurs a Short-Term Disability, the Executive shall be entitled to six months of Base Salary and incentive payments, payable in accordance with the Company’s normal payroll practices, provided that all payments under this provision shall be reduced dollar-for-dollar by any other short-term disability benefits the Executive is entitled to under any other Company-sponsored short-term disability plan or arrangement and shall cease as of the earliest of the Executive’s cessation of Short-Term Disability, the occurrence of Total Disability, death or the first day of the month following the month in which the Executive attains age 65.</w:t>
      </w:r>
    </w:p>
    <w:p>
      <w:pPr>
        <w:spacing w:after="0" w:line="6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Medical Examination Benefit</w:t>
      </w:r>
      <w:r>
        <w:rPr>
          <w:rFonts w:ascii="Arial" w:cs="Arial" w:eastAsia="Arial" w:hAnsi="Arial"/>
          <w:sz w:val="18"/>
          <w:szCs w:val="18"/>
          <w:color w:val="auto"/>
        </w:rPr>
        <w:t>. During the Term, the Executive shall be entitled to reimbursement for actual costs incurred, up to $2,500 per calendar year, for medical examinations.</w:t>
      </w:r>
    </w:p>
    <w:p>
      <w:pPr>
        <w:spacing w:after="0" w:line="62" w:lineRule="exact"/>
        <w:rPr>
          <w:sz w:val="20"/>
          <w:szCs w:val="20"/>
          <w:color w:val="auto"/>
        </w:rPr>
      </w:pPr>
    </w:p>
    <w:p>
      <w:pPr>
        <w:ind w:left="184" w:hanging="184"/>
        <w:spacing w:after="0"/>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other benefits earned by the Executive and vested (if applicable) as of the date of his death under any employee benefit plan of the Company in which the Executive participates, all of the foregoing to be paid in the normal course for such payments and in accordance with the terms of such plans.</w:t>
      </w:r>
    </w:p>
    <w:p>
      <w:pPr>
        <w:spacing w:after="0" w:line="73"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Disability</w:t>
      </w:r>
      <w:r>
        <w:rPr>
          <w:rFonts w:ascii="Arial" w:cs="Arial" w:eastAsia="Arial" w:hAnsi="Arial"/>
          <w:sz w:val="16"/>
          <w:szCs w:val="16"/>
          <w:color w:val="auto"/>
        </w:rPr>
        <w:t>. 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(d) the retirement benefit provided for in Section 4.4, and (e) such other benefits earned by the Executive and vested (if applicable) as of the date of his termination under any employee benefit plan of the Company in which the Executive participates,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4" w:right="459" w:bottom="1440" w:gutter="0" w:footer="0" w:header="0"/>
        </w:sectPr>
      </w:pPr>
    </w:p>
    <w:bookmarkStart w:id="8" w:name="page9"/>
    <w:bookmarkEnd w:id="8"/>
    <w:p>
      <w:pPr>
        <w:jc w:val="both"/>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Company’s normal payroll practices, provided that all payments under this provision shall be reduced dollar-for-dollar by any other long-term disability benefits the Executive is entitled to under any other Company-sponsored or Company funded long-term disability plan or arrangements and shall cease as of the earliest of the Executive’s cessation of Total Disability, death or attainment of age 65.</w:t>
      </w:r>
    </w:p>
    <w:p>
      <w:pPr>
        <w:spacing w:after="0" w:line="5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Retirement</w:t>
      </w:r>
      <w:r>
        <w:rPr>
          <w:rFonts w:ascii="Arial" w:cs="Arial" w:eastAsia="Arial" w:hAnsi="Arial"/>
          <w:sz w:val="16"/>
          <w:szCs w:val="16"/>
          <w:color w:val="auto"/>
        </w:rPr>
        <w:t>. The Executive’s voluntary termination of employment on or after December 31, 2022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the retirement benefit provided for in Section 4.4, and (d) such other benefits earned by the Executive and vested (if applicable) as of the date of his retirement under any employee benefit plan of the Company in which the Executive participates, all of the foregoing to be paid in the normal course for such payments and in accordance with the terms of such plans.</w:t>
      </w:r>
    </w:p>
    <w:p>
      <w:pPr>
        <w:spacing w:after="0" w:line="5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Voluntary Termination</w:t>
      </w:r>
      <w:r>
        <w:rPr>
          <w:rFonts w:ascii="Arial" w:cs="Arial" w:eastAsia="Arial" w:hAnsi="Arial"/>
          <w:sz w:val="16"/>
          <w:szCs w:val="16"/>
          <w:color w:val="auto"/>
        </w:rPr>
        <w:t>. At any time during the Term, upon 30 days’ written notice to the Company, the Executive may voluntarily terminate his employment with the Company. Unless Section 5.3 or Section 5.7 is applicable, upon such termination the Company shall have no further obligations under this Agreement except to pay to the Executive (a) any Base Salary earned to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other benefits earned by the Executive and vested (if applicable) as of the date of his termination under the terms of any employee benefit plan of the Company in which the Executive participates, all of the foregoing to be paid in the normal course for such payments and in accordance with the terms of such plans.</w:t>
      </w:r>
    </w:p>
    <w:p>
      <w:pPr>
        <w:spacing w:after="0" w:line="5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The Board may terminate the Executive’s employment and the Company’s obligations under this Agreement at any time for Cause by giving written notice to the Executive. The Company’s required notice of 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 (a) any Base Salary earned through the date of such termination, to the extent theretofore unpaid, and (b) such other benefits earned by the Executive and vested (if applicable) as of such termination under any employee benefit plan of the Company in which the Executive participates, all of the foregoing to be paid in the normal course for such payments and in accordance with the terms of such plans.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4" w:right="439" w:bottom="1440" w:gutter="0" w:footer="0" w:header="0"/>
        </w:sectPr>
      </w:pPr>
    </w:p>
    <w:bookmarkStart w:id="9" w:name="page10"/>
    <w:bookmarkEnd w:id="9"/>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Arial" w:cs="Arial" w:eastAsia="Arial" w:hAnsi="Arial"/>
          <w:sz w:val="16"/>
          <w:szCs w:val="16"/>
          <w:u w:val="single" w:color="auto"/>
          <w:color w:val="auto"/>
        </w:rPr>
        <w:t>Involuntary Termination by the Company without Cause Prior to a Change in Control</w:t>
      </w:r>
      <w:r>
        <w:rPr>
          <w:rFonts w:ascii="Arial" w:cs="Arial" w:eastAsia="Arial" w:hAnsi="Arial"/>
          <w:sz w:val="16"/>
          <w:szCs w:val="16"/>
          <w:color w:val="auto"/>
        </w:rPr>
        <w:t xml:space="preserve">. The Company may terminate the Executive’s employment without Cause at any time during the Term, upon thirty (30) days’ written notice;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Executive is a “Specified Employee,” as that term is defined in Section 409A of the Code, any payments under this clause, if so required, shall be made on the date that is six months and one day after the date of the Executive’s termination hereunder and (d) such other benefits earned by the Executive and vested (if applicable) as of the date of his termination under the terms of any employee benefit plan of the Company in which the Executive participates, all of the foregoing to be paid in the normal course for such payments and in accordance with the terms of such plans. Notwithstanding anything herein to the contrary, the payments described in clauses (b) and (c) shall be contingent on the Executive’s prior execution and non-revocation of a release of claims in favor of the Company and its affiliates in the form attached as Exhibit A (the “Release”) within 60 days following his termination date and shall be paid as specified above or such later date as may be required to comply with Section 409A of the Code.</w:t>
      </w:r>
    </w:p>
    <w:p>
      <w:pPr>
        <w:spacing w:after="0" w:line="6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Involuntary Termination by the Company or by the Executive for Good Reason Following a Change of Control</w:t>
      </w:r>
      <w:r>
        <w:rPr>
          <w:rFonts w:ascii="Arial" w:cs="Arial" w:eastAsia="Arial" w:hAnsi="Arial"/>
          <w:sz w:val="17"/>
          <w:szCs w:val="17"/>
          <w:color w:val="auto"/>
        </w:rPr>
        <w:t>. If the Company terminates the Executive’s employment without Cause during the 12-month period following a Change in Control, or the Executive voluntarily terminates his employment for Good Reason during the 12 months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three times the sum of the Executive’s Base Salary and average Incentive Bonus Payment paid or payable to the Executive for the three completed years prior to the year of such termination, payable within 60 days following the Executive’s termination of employment, provided, however, that if the Executive is a Specified Employee, such payment if so required, shall be made on the date that is six months and one day after the date of the Executive’s termination hereunder, (c) such other benefits earned by the Executive and vested (if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10" w:name="page11"/>
    <w:bookmarkEnd w:id="10"/>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as of the date of his termination under the terms of any employee benefit plan of the Company in which the Executive participates,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or such longer period as provided under the terms of such option. Notwithstanding anything herein to the contrary, the payment described in clause (b)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56"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spacing w:after="0" w:line="76"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Resignation as Director</w:t>
      </w:r>
      <w:r>
        <w:rPr>
          <w:rFonts w:ascii="Arial" w:cs="Arial" w:eastAsia="Arial" w:hAnsi="Arial"/>
          <w:sz w:val="18"/>
          <w:szCs w:val="18"/>
          <w:color w:val="auto"/>
        </w:rPr>
        <w:t>. Upon the termination of the Executive’s employment for whatever reason, the Executive shall, upon the request of the Company, resign without claims for compensation as a director of Crown Singapore and in the event of the failure to do so, the Company is hereby irrevocably authorized to appoint another person in his name and on his behalf to execute any documents and to do all things requisite to the same effect thereto.</w:t>
      </w:r>
    </w:p>
    <w:p>
      <w:pPr>
        <w:spacing w:after="0" w:line="79" w:lineRule="exact"/>
        <w:rPr>
          <w:sz w:val="20"/>
          <w:szCs w:val="20"/>
          <w:color w:val="auto"/>
        </w:rPr>
      </w:pPr>
    </w:p>
    <w:p>
      <w:pPr>
        <w:ind w:left="4" w:hanging="4"/>
        <w:spacing w:after="0" w:line="269" w:lineRule="auto"/>
        <w:tabs>
          <w:tab w:leader="none" w:pos="18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w:t>
      </w:r>
    </w:p>
    <w:p>
      <w:pPr>
        <w:spacing w:after="0" w:line="73" w:lineRule="exact"/>
        <w:rPr>
          <w:rFonts w:ascii="Arial" w:cs="Arial" w:eastAsia="Arial" w:hAnsi="Arial"/>
          <w:sz w:val="17"/>
          <w:szCs w:val="17"/>
          <w:color w:val="auto"/>
        </w:rPr>
      </w:pPr>
    </w:p>
    <w:p>
      <w:pPr>
        <w:jc w:val="both"/>
        <w:ind w:left="4" w:right="380" w:hanging="4"/>
        <w:spacing w:after="0" w:line="301" w:lineRule="auto"/>
        <w:tabs>
          <w:tab w:leader="none" w:pos="18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Return of Documents and Property</w:t>
      </w:r>
      <w:r>
        <w:rPr>
          <w:rFonts w:ascii="Arial" w:cs="Arial" w:eastAsia="Arial" w:hAnsi="Arial"/>
          <w:sz w:val="16"/>
          <w:szCs w:val="16"/>
          <w:color w:val="auto"/>
        </w:rPr>
        <w:t>. 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spacing w:after="0" w:line="89" w:lineRule="exact"/>
        <w:rPr>
          <w:rFonts w:ascii="Arial" w:cs="Arial" w:eastAsia="Arial" w:hAnsi="Arial"/>
          <w:sz w:val="16"/>
          <w:szCs w:val="16"/>
          <w:color w:val="auto"/>
        </w:rPr>
      </w:pPr>
    </w:p>
    <w:p>
      <w:pPr>
        <w:ind w:left="5464" w:hanging="106"/>
        <w:spacing w:after="0"/>
        <w:tabs>
          <w:tab w:leader="none" w:pos="54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24"/>
          </w:cols>
          <w:pgMar w:left="436" w:top="274" w:right="439" w:bottom="1440" w:gutter="0" w:footer="0" w:header="0"/>
        </w:sectPr>
      </w:pPr>
    </w:p>
    <w:bookmarkStart w:id="11" w:name="page12"/>
    <w:bookmarkEnd w:id="11"/>
    <w:p>
      <w:pPr>
        <w:ind w:left="4" w:hanging="4"/>
        <w:spacing w:after="0" w:line="287" w:lineRule="auto"/>
        <w:tabs>
          <w:tab w:leader="none" w:pos="18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Noncompetition</w:t>
      </w:r>
      <w:r>
        <w:rPr>
          <w:rFonts w:ascii="Arial" w:cs="Arial" w:eastAsia="Arial" w:hAnsi="Arial"/>
          <w:sz w:val="16"/>
          <w:szCs w:val="16"/>
          <w:color w:val="auto"/>
        </w:rPr>
        <w:t>. By and in consideration of the salary and benefits to be provided by the Company hereunder, including the severance arrangements set forth herein, and further in consideration of the Executive’s exposure to the proprietary information of the Company, the 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 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spacing w:after="0" w:line="63" w:lineRule="exact"/>
        <w:rPr>
          <w:rFonts w:ascii="Arial" w:cs="Arial" w:eastAsia="Arial" w:hAnsi="Arial"/>
          <w:sz w:val="16"/>
          <w:szCs w:val="16"/>
          <w:color w:val="auto"/>
        </w:rPr>
      </w:pPr>
    </w:p>
    <w:p>
      <w:pPr>
        <w:ind w:left="4" w:right="20" w:hanging="4"/>
        <w:spacing w:after="0" w:line="254" w:lineRule="auto"/>
        <w:tabs>
          <w:tab w:leader="none" w:pos="1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 law, court order, subpoena, compulsory process of law or governmental decree shall not constitute a violation or breach of this Section; provided that the Executive delivers written notice of such required disclosure to the Company or its designee promptly before making such disclosure if such notice is not prohibited by applicable law, court order, subpoena, compulsory process of law or governmental decree.</w:t>
      </w:r>
    </w:p>
    <w:p>
      <w:pPr>
        <w:spacing w:after="0" w:line="83" w:lineRule="exact"/>
        <w:rPr>
          <w:rFonts w:ascii="Arial" w:cs="Arial" w:eastAsia="Arial" w:hAnsi="Arial"/>
          <w:sz w:val="18"/>
          <w:szCs w:val="18"/>
          <w:color w:val="auto"/>
        </w:rPr>
      </w:pPr>
    </w:p>
    <w:p>
      <w:pPr>
        <w:ind w:left="264" w:hanging="264"/>
        <w:spacing w:after="0"/>
        <w:tabs>
          <w:tab w:leader="none" w:pos="26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The Executive acknowledges that (i) the Executive’s work for the Company has given and will continue to give him access to the</w:t>
      </w:r>
    </w:p>
    <w:p>
      <w:pPr>
        <w:spacing w:after="0" w:line="34" w:lineRule="exact"/>
        <w:rPr>
          <w:rFonts w:ascii="Arial" w:cs="Arial" w:eastAsia="Arial" w:hAnsi="Arial"/>
          <w:sz w:val="17"/>
          <w:szCs w:val="17"/>
          <w:color w:val="auto"/>
        </w:rPr>
      </w:pPr>
    </w:p>
    <w:p>
      <w:pPr>
        <w:ind w:left="4" w:right="140"/>
        <w:spacing w:after="0" w:line="290" w:lineRule="auto"/>
        <w:rPr>
          <w:rFonts w:ascii="Arial" w:cs="Arial" w:eastAsia="Arial" w:hAnsi="Arial"/>
          <w:sz w:val="17"/>
          <w:szCs w:val="17"/>
          <w:color w:val="auto"/>
        </w:rPr>
      </w:pPr>
      <w:r>
        <w:rPr>
          <w:rFonts w:ascii="Arial" w:cs="Arial" w:eastAsia="Arial" w:hAnsi="Arial"/>
          <w:sz w:val="16"/>
          <w:szCs w:val="16"/>
          <w:color w:val="auto"/>
        </w:rPr>
        <w:t>confidential affairs and proprietary information of the Company; (ii) the covenants and agreements of the Executive contained in Sections 6, 7, 8 and 9 are essential to the business and goodwill of the Company; and (iii) Crown would not have entered into this Agreement but for the covenants and agreements set forth in Sections 6, 7, 8 and 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spacing w:after="0" w:line="55" w:lineRule="exact"/>
        <w:rPr>
          <w:rFonts w:ascii="Arial" w:cs="Arial" w:eastAsia="Arial" w:hAnsi="Arial"/>
          <w:sz w:val="17"/>
          <w:szCs w:val="17"/>
          <w:color w:val="auto"/>
        </w:rPr>
      </w:pPr>
    </w:p>
    <w:p>
      <w:pPr>
        <w:ind w:left="4" w:right="60" w:hanging="4"/>
        <w:spacing w:after="0" w:line="263"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4" w:right="459" w:bottom="1440" w:gutter="0" w:footer="0" w:header="0"/>
        </w:sectPr>
      </w:pPr>
    </w:p>
    <w:bookmarkStart w:id="12" w:name="page13"/>
    <w:bookmarkEnd w:id="12"/>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117" w:lineRule="exact"/>
        <w:rPr>
          <w:sz w:val="20"/>
          <w:szCs w:val="20"/>
          <w:color w:val="auto"/>
        </w:rPr>
      </w:pPr>
    </w:p>
    <w:p>
      <w:pPr>
        <w:ind w:left="2424"/>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ind w:left="2424"/>
        <w:spacing w:after="0"/>
        <w:rPr>
          <w:sz w:val="20"/>
          <w:szCs w:val="20"/>
          <w:color w:val="auto"/>
        </w:rPr>
      </w:pPr>
      <w:r>
        <w:rPr>
          <w:rFonts w:ascii="Arial" w:cs="Arial" w:eastAsia="Arial" w:hAnsi="Arial"/>
          <w:sz w:val="18"/>
          <w:szCs w:val="18"/>
          <w:color w:val="auto"/>
        </w:rPr>
        <w:t>One Crown Way</w:t>
      </w:r>
    </w:p>
    <w:p>
      <w:pPr>
        <w:spacing w:after="0" w:line="9" w:lineRule="exact"/>
        <w:rPr>
          <w:sz w:val="20"/>
          <w:szCs w:val="20"/>
          <w:color w:val="auto"/>
        </w:rPr>
      </w:pPr>
    </w:p>
    <w:p>
      <w:pPr>
        <w:ind w:left="2424"/>
        <w:spacing w:after="0"/>
        <w:rPr>
          <w:sz w:val="20"/>
          <w:szCs w:val="20"/>
          <w:color w:val="auto"/>
        </w:rPr>
      </w:pPr>
      <w:r>
        <w:rPr>
          <w:rFonts w:ascii="Arial" w:cs="Arial" w:eastAsia="Arial" w:hAnsi="Arial"/>
          <w:sz w:val="18"/>
          <w:szCs w:val="18"/>
          <w:color w:val="auto"/>
        </w:rPr>
        <w:t>Philadelphia, PA 19154</w:t>
      </w:r>
    </w:p>
    <w:p>
      <w:pPr>
        <w:spacing w:after="0" w:line="9" w:lineRule="exact"/>
        <w:rPr>
          <w:sz w:val="20"/>
          <w:szCs w:val="20"/>
          <w:color w:val="auto"/>
        </w:rPr>
      </w:pPr>
    </w:p>
    <w:p>
      <w:pPr>
        <w:ind w:left="2424"/>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If to the Executive, notice shall be sent to the Executive’s address on file with the Company.</w:t>
      </w:r>
    </w:p>
    <w:p>
      <w:pPr>
        <w:spacing w:after="0" w:line="117" w:lineRule="exact"/>
        <w:rPr>
          <w:sz w:val="20"/>
          <w:szCs w:val="20"/>
          <w:color w:val="auto"/>
        </w:rPr>
      </w:pPr>
    </w:p>
    <w:p>
      <w:pPr>
        <w:ind w:left="264" w:hanging="264"/>
        <w:spacing w:after="0"/>
        <w:tabs>
          <w:tab w:leader="none" w:pos="26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modified or superseded only by a written instrument executed by both of the parties hereto.</w:t>
      </w:r>
    </w:p>
    <w:p>
      <w:pPr>
        <w:spacing w:after="0" w:line="128" w:lineRule="exact"/>
        <w:rPr>
          <w:rFonts w:ascii="Arial" w:cs="Arial" w:eastAsia="Arial" w:hAnsi="Arial"/>
          <w:sz w:val="17"/>
          <w:szCs w:val="17"/>
          <w:color w:val="auto"/>
        </w:rPr>
      </w:pPr>
    </w:p>
    <w:p>
      <w:pPr>
        <w:ind w:left="4" w:right="280" w:hanging="4"/>
        <w:spacing w:after="0" w:line="277"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shall be binding upon the Company and the Executive and their respective heirs, executors, personal representatives, successors and permitted assigns.</w:t>
      </w:r>
    </w:p>
    <w:p>
      <w:pPr>
        <w:spacing w:after="0" w:line="62" w:lineRule="exact"/>
        <w:rPr>
          <w:rFonts w:ascii="Arial" w:cs="Arial" w:eastAsia="Arial" w:hAnsi="Arial"/>
          <w:sz w:val="18"/>
          <w:szCs w:val="18"/>
          <w:color w:val="auto"/>
        </w:rPr>
      </w:pPr>
    </w:p>
    <w:p>
      <w:pPr>
        <w:ind w:left="4" w:right="80" w:hanging="4"/>
        <w:spacing w:after="0" w:line="257"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shall not be assignable, in whole or in part, by either party, without the prior written consent of the other party, provided that (i) this Agreement shall be binding upon and shall be assigned by Crown to any person, firm or corporation with which Crown may be merged or consolidated or which may acquire all or substantially all of the assets of Crown, or its successor (“</w:t>
      </w:r>
      <w:r>
        <w:rPr>
          <w:rFonts w:ascii="Arial" w:cs="Arial" w:eastAsia="Arial" w:hAnsi="Arial"/>
          <w:sz w:val="18"/>
          <w:szCs w:val="18"/>
          <w:u w:val="single" w:color="auto"/>
          <w:color w:val="auto"/>
        </w:rPr>
        <w:t>Crown’s Successor</w:t>
      </w:r>
      <w:r>
        <w:rPr>
          <w:rFonts w:ascii="Arial" w:cs="Arial" w:eastAsia="Arial" w:hAnsi="Arial"/>
          <w:sz w:val="18"/>
          <w:szCs w:val="18"/>
          <w:color w:val="auto"/>
        </w:rPr>
        <w:t>”), (ii) Crown shall require Crown’s Successor to expressly assume in writing all of Crown’s obligations under this Agreement and (iii) Crown’s Successor shall be deemed substituted for Crown for all purposes of this Agreement.</w:t>
      </w:r>
    </w:p>
    <w:p>
      <w:pPr>
        <w:spacing w:after="0" w:line="79" w:lineRule="exact"/>
        <w:rPr>
          <w:rFonts w:ascii="Arial" w:cs="Arial" w:eastAsia="Arial" w:hAnsi="Arial"/>
          <w:sz w:val="18"/>
          <w:szCs w:val="18"/>
          <w:color w:val="auto"/>
        </w:rPr>
      </w:pPr>
    </w:p>
    <w:p>
      <w:pPr>
        <w:jc w:val="both"/>
        <w:ind w:left="4" w:right="100" w:hanging="4"/>
        <w:spacing w:after="0" w:line="301" w:lineRule="auto"/>
        <w:tabs>
          <w:tab w:leader="none" w:pos="27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Except as provided in Section 10 of this Agreement, any controversy or claim arising out of or relating to this Agreement or the breach thereof shall be settled by arbitration in Philadelphia, Pennsylvania in accordance with the rules of the American Arbitration Association, and judgment upon any award so rendered may be entered in any court having jurisdiction thereof. The determination of the arbitrator(s) shall be conclusive and binding on the Company and the Executive, and judgment may be entered on the arbitrator(s)’ award in any court having jurisdiction.</w:t>
      </w:r>
    </w:p>
    <w:p>
      <w:pPr>
        <w:spacing w:after="0" w:line="49" w:lineRule="exact"/>
        <w:rPr>
          <w:rFonts w:ascii="Arial" w:cs="Arial" w:eastAsia="Arial" w:hAnsi="Arial"/>
          <w:sz w:val="16"/>
          <w:szCs w:val="16"/>
          <w:color w:val="auto"/>
        </w:rPr>
      </w:pPr>
    </w:p>
    <w:p>
      <w:pPr>
        <w:ind w:left="4" w:hanging="4"/>
        <w:spacing w:after="0" w:line="277"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to the extent such laws are superseded by Federal laws, this Agreement shall be governed by the laws of the Commonwealth of Pennsylvania without reference to principles of conflict of laws.</w:t>
      </w:r>
    </w:p>
    <w:p>
      <w:pPr>
        <w:spacing w:after="0" w:line="62" w:lineRule="exact"/>
        <w:rPr>
          <w:rFonts w:ascii="Arial" w:cs="Arial" w:eastAsia="Arial" w:hAnsi="Arial"/>
          <w:sz w:val="18"/>
          <w:szCs w:val="18"/>
          <w:color w:val="auto"/>
        </w:rPr>
      </w:pPr>
    </w:p>
    <w:p>
      <w:pPr>
        <w:ind w:left="4" w:right="80" w:hanging="4"/>
        <w:spacing w:after="0" w:line="263"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relative to its subject matter, superseding all prior agreements or understandings of the parties relating thereto. In the event of any conflict between this Agreement and the terms of any benefit plan or any other agreement, the terms of this Agreement will control.</w:t>
      </w:r>
    </w:p>
    <w:p>
      <w:pPr>
        <w:spacing w:after="0" w:line="75" w:lineRule="exact"/>
        <w:rPr>
          <w:rFonts w:ascii="Arial" w:cs="Arial" w:eastAsia="Arial" w:hAnsi="Arial"/>
          <w:sz w:val="18"/>
          <w:szCs w:val="18"/>
          <w:color w:val="auto"/>
        </w:rPr>
      </w:pPr>
    </w:p>
    <w:p>
      <w:pPr>
        <w:ind w:left="4" w:right="80" w:hanging="4"/>
        <w:spacing w:after="0" w:line="259"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1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4" w:right="459" w:bottom="1440" w:gutter="0" w:footer="0" w:header="0"/>
        </w:sectPr>
      </w:pPr>
    </w:p>
    <w:bookmarkStart w:id="13" w:name="page14"/>
    <w:bookmarkEnd w:id="13"/>
    <w:p>
      <w:pPr>
        <w:ind w:left="4" w:right="160" w:hanging="4"/>
        <w:spacing w:after="0" w:line="263" w:lineRule="auto"/>
        <w:tabs>
          <w:tab w:leader="none" w:pos="27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of Taxes</w:t>
      </w:r>
      <w:r>
        <w:rPr>
          <w:rFonts w:ascii="Arial" w:cs="Arial" w:eastAsia="Arial" w:hAnsi="Arial"/>
          <w:sz w:val="18"/>
          <w:szCs w:val="18"/>
          <w:color w:val="auto"/>
        </w:rPr>
        <w:t>. 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spacing w:after="0" w:line="75" w:lineRule="exact"/>
        <w:rPr>
          <w:rFonts w:ascii="Arial" w:cs="Arial" w:eastAsia="Arial" w:hAnsi="Arial"/>
          <w:sz w:val="18"/>
          <w:szCs w:val="18"/>
          <w:color w:val="auto"/>
        </w:rPr>
      </w:pPr>
    </w:p>
    <w:p>
      <w:pPr>
        <w:ind w:left="4" w:hanging="4"/>
        <w:spacing w:after="0" w:line="263" w:lineRule="auto"/>
        <w:tabs>
          <w:tab w:leader="none" w:pos="27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Anything contained in this Agreement to the contrary notwithstanding, the provisions of Sections 6, 7, 8, 9, 10, 13, 14, 15 and 17, (and the other provisions of this Agreement to the extent necessary to effectuate the survival of Sections 6, 7, 8, 9, 10, 13, 14, 15 and 17), shall survive termination of this Agreement and any termination of the Executive’s employment hereunder.</w:t>
      </w:r>
    </w:p>
    <w:p>
      <w:pPr>
        <w:spacing w:after="0" w:line="75" w:lineRule="exact"/>
        <w:rPr>
          <w:rFonts w:ascii="Arial" w:cs="Arial" w:eastAsia="Arial" w:hAnsi="Arial"/>
          <w:sz w:val="18"/>
          <w:szCs w:val="18"/>
          <w:color w:val="auto"/>
        </w:rPr>
      </w:pPr>
    </w:p>
    <w:p>
      <w:pPr>
        <w:ind w:left="4" w:right="80" w:hanging="4"/>
        <w:spacing w:after="0" w:line="257" w:lineRule="auto"/>
        <w:tabs>
          <w:tab w:leader="none" w:pos="27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Invalidity of Portion of Agreement</w:t>
      </w:r>
      <w:r>
        <w:rPr>
          <w:rFonts w:ascii="Arial" w:cs="Arial" w:eastAsia="Arial" w:hAnsi="Arial"/>
          <w:sz w:val="18"/>
          <w:szCs w:val="18"/>
          <w:color w:val="auto"/>
        </w:rPr>
        <w:t>. 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spacing w:after="0" w:line="79" w:lineRule="exact"/>
        <w:rPr>
          <w:rFonts w:ascii="Arial" w:cs="Arial" w:eastAsia="Arial" w:hAnsi="Arial"/>
          <w:sz w:val="18"/>
          <w:szCs w:val="18"/>
          <w:color w:val="auto"/>
        </w:rPr>
      </w:pPr>
    </w:p>
    <w:p>
      <w:pPr>
        <w:ind w:left="4" w:right="400" w:hanging="4"/>
        <w:spacing w:after="0" w:line="311" w:lineRule="auto"/>
        <w:tabs>
          <w:tab w:leader="none" w:pos="27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Notwithstanding anything else to the contrary in this Agreement, all reimbursements, including, without limitation, for medical related expenses and/or business expenses shall be paid to the Executive as soon as practicable after submission of proper documentation of claims, but no later than December 31 of the year following the year during which the expense or fee was incurred.</w:t>
      </w:r>
    </w:p>
    <w:p>
      <w:pPr>
        <w:spacing w:after="0" w:line="81" w:lineRule="exact"/>
        <w:rPr>
          <w:rFonts w:ascii="Arial" w:cs="Arial" w:eastAsia="Arial" w:hAnsi="Arial"/>
          <w:sz w:val="16"/>
          <w:szCs w:val="16"/>
          <w:color w:val="auto"/>
        </w:rPr>
      </w:pPr>
    </w:p>
    <w:p>
      <w:pPr>
        <w:ind w:left="5424" w:hanging="108"/>
        <w:spacing w:after="0"/>
        <w:tabs>
          <w:tab w:leader="none" w:pos="54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44"/>
          </w:cols>
          <w:pgMar w:left="436" w:top="274" w:right="519" w:bottom="1440" w:gutter="0" w:footer="0" w:header="0"/>
        </w:sectPr>
      </w:pPr>
    </w:p>
    <w:bookmarkStart w:id="14" w:name="page15"/>
    <w:bookmarkEnd w:id="14"/>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duly executed this Agreement as of the date first written above.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Timothy J. Donahue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Hock Huat Goh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Hock Huat Goh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lvl w:ilvl="1">
      <w:lvlJc w:val="left"/>
      <w:lvlText w:val="-"/>
      <w:numFmt w:val="bullet"/>
      <w:start w:val="1"/>
    </w:lvl>
  </w:abstractNum>
  <w:abstractNum w:abstractNumId="11">
    <w:nsid w:val="6B68079A"/>
    <w:multiLevelType w:val="hybridMultilevel"/>
    <w:lvl w:ilvl="0">
      <w:lvlJc w:val="left"/>
      <w:lvlText w:val="(%1)"/>
      <w:numFmt w:val="lowerLetter"/>
      <w:start w:val="4"/>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
    <w:nsid w:val="25E45D3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6"/>
    </w:lvl>
    <w:lvl w:ilvl="1">
      <w:lvlJc w:val="left"/>
      <w:lvlText w:val="-"/>
      <w:numFmt w:val="bullet"/>
      <w:start w:val="1"/>
    </w:lvl>
  </w:abstractNum>
  <w:abstractNum w:abstractNumId="17">
    <w:nsid w:val="7C83E458"/>
    <w:multiLevelType w:val="hybridMultilevel"/>
    <w:lvl w:ilvl="0">
      <w:lvlJc w:val="left"/>
      <w:lvlText w:val="%1."/>
      <w:numFmt w:val="decimal"/>
      <w:start w:val="8"/>
    </w:lvl>
    <w:lvl w:ilvl="1">
      <w:lvlJc w:val="left"/>
      <w:lvlText w:val="-"/>
      <w:numFmt w:val="bullet"/>
      <w:start w:val="1"/>
    </w:lvl>
  </w:abstractNum>
  <w:abstractNum w:abstractNumId="18">
    <w:nsid w:val="257130A3"/>
    <w:multiLevelType w:val="hybridMultilevel"/>
    <w:lvl w:ilvl="0">
      <w:lvlJc w:val="left"/>
      <w:lvlText w:val="%1."/>
      <w:numFmt w:val="decimal"/>
      <w:start w:val="12"/>
    </w:lvl>
    <w:lvl w:ilvl="1">
      <w:lvlJc w:val="left"/>
      <w:lvlText w:val="-"/>
      <w:numFmt w:val="bullet"/>
      <w:start w:val="1"/>
    </w:lvl>
  </w:abstractNum>
  <w:abstractNum w:abstractNumId="19">
    <w:nsid w:val="62BBD95A"/>
    <w:multiLevelType w:val="hybridMultilevel"/>
    <w:lvl w:ilvl="0">
      <w:lvlJc w:val="left"/>
      <w:lvlText w:val="%1."/>
      <w:numFmt w:val="decimal"/>
      <w:start w:val="1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2023-04-19T16:18:53Z</dcterms:created>
  <dcterms:modified xsi:type="dcterms:W3CDTF">2023-04-19T16:18:53Z</dcterms:modified>
</cp:coreProperties>
</file>