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770 Township Line Road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Yardley, PA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(215) 698-5100</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December 1,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Filing Desk</w:t>
      </w:r>
    </w:p>
    <w:p>
      <w:pPr>
        <w:spacing w:after="0" w:line="234"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Crown Holdings, Inc.</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b w:val="1"/>
          <w:bCs w:val="1"/>
          <w:u w:val="single" w:color="auto"/>
          <w:color w:val="auto"/>
        </w:rPr>
        <w:t>File No. 333-268350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00" w:firstLine="440"/>
        <w:spacing w:after="0" w:line="279" w:lineRule="auto"/>
        <w:rPr>
          <w:sz w:val="20"/>
          <w:szCs w:val="20"/>
          <w:color w:val="auto"/>
        </w:rPr>
      </w:pPr>
      <w:r>
        <w:rPr>
          <w:rFonts w:ascii="Arial" w:cs="Arial" w:eastAsia="Arial" w:hAnsi="Arial"/>
          <w:sz w:val="17"/>
          <w:szCs w:val="17"/>
          <w:color w:val="auto"/>
        </w:rPr>
        <w:t>Pursuant to Rule 461 of the General Rules and Regulations under the Securities Act of 1933, as amended, we hereby request acceleration of the effective date of the above-captioned Registration Statement on Form S-4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for Crown Holdings, Inc., Crown Americas LLC, and the guarantors named in the Registration Statement (collectively, the “</w:t>
      </w:r>
      <w:r>
        <w:rPr>
          <w:rFonts w:ascii="Arial" w:cs="Arial" w:eastAsia="Arial" w:hAnsi="Arial"/>
          <w:sz w:val="17"/>
          <w:szCs w:val="17"/>
          <w:u w:val="single" w:color="auto"/>
          <w:color w:val="auto"/>
        </w:rPr>
        <w:t>Registrants</w:t>
      </w:r>
      <w:r>
        <w:rPr>
          <w:rFonts w:ascii="Arial" w:cs="Arial" w:eastAsia="Arial" w:hAnsi="Arial"/>
          <w:sz w:val="17"/>
          <w:szCs w:val="17"/>
          <w:color w:val="auto"/>
        </w:rPr>
        <w:t>”) so that such Registration Statement will become effective as of 2:00 P.M. (New York City time) on December 5, 2022, or as soon thereafter as practicable.</w:t>
      </w:r>
    </w:p>
    <w:p>
      <w:pPr>
        <w:spacing w:after="0" w:line="17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Registrants hereby acknowledge that:</w:t>
      </w:r>
    </w:p>
    <w:p>
      <w:pPr>
        <w:spacing w:after="0" w:line="117" w:lineRule="exact"/>
        <w:rPr>
          <w:sz w:val="24"/>
          <w:szCs w:val="24"/>
          <w:color w:val="auto"/>
        </w:rPr>
      </w:pPr>
    </w:p>
    <w:p>
      <w:pPr>
        <w:ind w:right="900" w:firstLine="436"/>
        <w:spacing w:after="0" w:line="342" w:lineRule="auto"/>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should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or the staff, acting pursuant to delegated authority, declare the Registration Statement effective, the Commission is not foreclosed from taking any action with respect to the Registration Statement;</w:t>
      </w:r>
    </w:p>
    <w:p>
      <w:pPr>
        <w:spacing w:after="0" w:line="15" w:lineRule="exact"/>
        <w:rPr>
          <w:rFonts w:ascii="Arial" w:cs="Arial" w:eastAsia="Arial" w:hAnsi="Arial"/>
          <w:sz w:val="16"/>
          <w:szCs w:val="16"/>
          <w:color w:val="auto"/>
        </w:rPr>
      </w:pPr>
    </w:p>
    <w:p>
      <w:pPr>
        <w:ind w:right="440" w:firstLine="436"/>
        <w:spacing w:after="0" w:line="308"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action of the Commission or the staff, acting pursuant to delegated authority, in declaring the Registration Statement effective does not relieve the Registrants of their full responsibility for the adequacy and accuracy of the disclosure in the Registration Statement; and</w:t>
      </w:r>
    </w:p>
    <w:p>
      <w:pPr>
        <w:spacing w:after="0" w:line="38" w:lineRule="exact"/>
        <w:rPr>
          <w:rFonts w:ascii="Arial" w:cs="Arial" w:eastAsia="Arial" w:hAnsi="Arial"/>
          <w:sz w:val="17"/>
          <w:szCs w:val="17"/>
          <w:color w:val="auto"/>
        </w:rPr>
      </w:pPr>
    </w:p>
    <w:p>
      <w:pPr>
        <w:ind w:right="140" w:firstLine="436"/>
        <w:spacing w:after="0" w:line="277"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may not assert the declaration of effectiveness of the Registration Statement by the Commission or the staff as a defense in any proceeding initiated by the Commission or any person under the federal securities laws of the United States.</w:t>
      </w:r>
    </w:p>
    <w:p>
      <w:pPr>
        <w:sectPr>
          <w:pgSz w:w="11900" w:h="16838" w:orient="portrait"/>
          <w:cols w:equalWidth="0" w:num="1">
            <w:col w:w="11020"/>
          </w:cols>
          <w:pgMar w:left="440" w:top="229" w:right="439" w:bottom="1440" w:gutter="0" w:footer="0" w:header="0"/>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Senior Vice President and CFO</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Acceleration Request</w:t>
      </w:r>
      <w:r>
        <w:rPr>
          <w:rFonts w:ascii="Arial" w:cs="Arial" w:eastAsia="Arial" w:hAnsi="Arial"/>
          <w:sz w:val="16"/>
          <w:szCs w:val="16"/>
          <w:color w:val="auto"/>
        </w:rPr>
        <w:t>]</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2023-01-09T00:14:07Z</dcterms:created>
  <dcterms:modified xsi:type="dcterms:W3CDTF">2023-01-09T00:14:07Z</dcterms:modified>
</cp:coreProperties>
</file>