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71" w:lineRule="exact"/>
        <w:rPr>
          <w:sz w:val="24"/>
          <w:szCs w:val="24"/>
          <w:color w:val="auto"/>
        </w:rPr>
      </w:pPr>
    </w:p>
    <w:p>
      <w:pPr>
        <w:ind w:left="480" w:right="260" w:hanging="445"/>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2020</w:t>
      </w:r>
    </w:p>
    <w:p>
      <w:pPr>
        <w:spacing w:after="0" w:line="341" w:lineRule="exact"/>
        <w:rPr>
          <w:sz w:val="24"/>
          <w:szCs w:val="24"/>
          <w:color w:val="auto"/>
        </w:rPr>
      </w:pPr>
    </w:p>
    <w:p>
      <w:pPr>
        <w:ind w:left="480" w:right="260" w:hanging="445"/>
        <w:spacing w:after="0" w:line="249"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80"/>
        </w:trPr>
        <w:tc>
          <w:tcPr>
            <w:tcW w:w="3060" w:type="dxa"/>
            <w:vAlign w:val="bottom"/>
          </w:tcPr>
          <w:p>
            <w:pPr>
              <w:jc w:val="center"/>
              <w:ind w:left="1180"/>
              <w:spacing w:after="0"/>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4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760" w:type="dxa"/>
            <w:vAlign w:val="bottom"/>
          </w:tcPr>
          <w:p>
            <w:pPr>
              <w:ind w:left="120"/>
              <w:spacing w:after="0"/>
              <w:rPr>
                <w:sz w:val="20"/>
                <w:szCs w:val="20"/>
                <w:color w:val="auto"/>
              </w:rPr>
            </w:pPr>
            <w:r>
              <w:rPr>
                <w:rFonts w:ascii="Arial" w:cs="Arial" w:eastAsia="Arial" w:hAnsi="Arial"/>
                <w:sz w:val="18"/>
                <w:szCs w:val="18"/>
                <w:b w:val="1"/>
                <w:bCs w:val="1"/>
                <w:color w:val="auto"/>
                <w:w w:val="95"/>
              </w:rPr>
              <w:t>Yardley</w:t>
            </w:r>
          </w:p>
        </w:tc>
        <w:tc>
          <w:tcPr>
            <w:tcW w:w="2720" w:type="dxa"/>
            <w:vAlign w:val="bottom"/>
          </w:tcPr>
          <w:p>
            <w:pPr>
              <w:ind w:left="66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21"/>
              <w:spacing w:after="0"/>
              <w:rPr>
                <w:sz w:val="20"/>
                <w:szCs w:val="20"/>
                <w:color w:val="auto"/>
              </w:rPr>
            </w:pPr>
            <w:r>
              <w:rPr>
                <w:rFonts w:ascii="Arial" w:cs="Arial" w:eastAsia="Arial" w:hAnsi="Arial"/>
                <w:sz w:val="18"/>
                <w:szCs w:val="18"/>
                <w:b w:val="1"/>
                <w:bCs w:val="1"/>
                <w:color w:val="auto"/>
              </w:rPr>
              <w:t>19067</w:t>
            </w:r>
          </w:p>
        </w:tc>
      </w:tr>
      <w:tr>
        <w:trPr>
          <w:trHeight w:val="218"/>
        </w:trPr>
        <w:tc>
          <w:tcPr>
            <w:tcW w:w="4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80" w:type="dxa"/>
            <w:vAlign w:val="bottom"/>
          </w:tcPr>
          <w:p>
            <w:pPr>
              <w:jc w:val="center"/>
              <w:ind w:right="1"/>
              <w:spacing w:after="0"/>
              <w:rPr>
                <w:sz w:val="20"/>
                <w:szCs w:val="20"/>
                <w:color w:val="auto"/>
              </w:rPr>
            </w:pPr>
            <w:r>
              <w:rPr>
                <w:rFonts w:ascii="Arial" w:cs="Arial" w:eastAsia="Arial" w:hAnsi="Arial"/>
                <w:sz w:val="14"/>
                <w:szCs w:val="14"/>
                <w:b w:val="1"/>
                <w:bCs w:val="1"/>
                <w:color w:val="auto"/>
                <w:w w:val="95"/>
              </w:rPr>
              <w:t>(Zip Code)</w:t>
            </w:r>
          </w:p>
        </w:tc>
      </w:tr>
      <w:tr>
        <w:trPr>
          <w:trHeight w:val="435"/>
        </w:trPr>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20" w:type="dxa"/>
            <w:vAlign w:val="bottom"/>
          </w:tcPr>
          <w:p>
            <w:pPr>
              <w:jc w:val="right"/>
              <w:ind w:right="1570"/>
              <w:spacing w:after="0"/>
              <w:rPr>
                <w:sz w:val="20"/>
                <w:szCs w:val="20"/>
                <w:color w:val="auto"/>
              </w:rPr>
            </w:pPr>
            <w:r>
              <w:rPr>
                <w:rFonts w:ascii="Arial" w:cs="Arial" w:eastAsia="Arial" w:hAnsi="Arial"/>
                <w:sz w:val="18"/>
                <w:szCs w:val="18"/>
                <w:b w:val="1"/>
                <w:bCs w:val="1"/>
                <w:color w:val="auto"/>
                <w:w w:val="92"/>
              </w:rPr>
              <w:t>215-698-5100</w:t>
            </w:r>
          </w:p>
        </w:tc>
        <w:tc>
          <w:tcPr>
            <w:tcW w:w="1980" w:type="dxa"/>
            <w:vAlign w:val="bottom"/>
          </w:tcPr>
          <w:p>
            <w:pPr>
              <w:spacing w:after="0"/>
              <w:rPr>
                <w:sz w:val="24"/>
                <w:szCs w:val="24"/>
                <w:color w:val="auto"/>
              </w:rPr>
            </w:pPr>
          </w:p>
        </w:tc>
      </w:tr>
      <w:tr>
        <w:trPr>
          <w:trHeight w:val="166"/>
        </w:trPr>
        <w:tc>
          <w:tcPr>
            <w:tcW w:w="3060" w:type="dxa"/>
            <w:vAlign w:val="bottom"/>
          </w:tcPr>
          <w:p>
            <w:pPr>
              <w:spacing w:after="0"/>
              <w:rPr>
                <w:sz w:val="14"/>
                <w:szCs w:val="14"/>
                <w:color w:val="auto"/>
              </w:rPr>
            </w:pPr>
          </w:p>
        </w:tc>
        <w:tc>
          <w:tcPr>
            <w:tcW w:w="4740" w:type="dxa"/>
            <w:vAlign w:val="bottom"/>
            <w:gridSpan w:val="3"/>
          </w:tcPr>
          <w:p>
            <w:pPr>
              <w:ind w:left="9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80" w:type="dxa"/>
            <w:vAlign w:val="bottom"/>
            <w:gridSpan w:val="2"/>
          </w:tcPr>
          <w:p>
            <w:pPr>
              <w:jc w:val="right"/>
              <w:ind w:right="137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80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51"/>
        </w:trPr>
        <w:tc>
          <w:tcPr>
            <w:tcW w:w="306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260" w:type="dxa"/>
            <w:vAlign w:val="bottom"/>
          </w:tcPr>
          <w:p>
            <w:pPr>
              <w:ind w:left="20"/>
              <w:spacing w:after="0"/>
              <w:rPr>
                <w:sz w:val="20"/>
                <w:szCs w:val="20"/>
                <w:color w:val="auto"/>
              </w:rPr>
            </w:pPr>
            <w:r>
              <w:rPr>
                <w:rFonts w:ascii="Arial" w:cs="Arial" w:eastAsia="Arial" w:hAnsi="Arial"/>
                <w:sz w:val="16"/>
                <w:szCs w:val="16"/>
                <w:color w:val="auto"/>
              </w:rPr>
              <w:t>Trading Symbols</w:t>
            </w:r>
          </w:p>
        </w:tc>
        <w:tc>
          <w:tcPr>
            <w:tcW w:w="3480" w:type="dxa"/>
            <w:vAlign w:val="bottom"/>
            <w:gridSpan w:val="2"/>
          </w:tcPr>
          <w:p>
            <w:pPr>
              <w:ind w:left="22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Pr>
          <w:p>
            <w:pPr>
              <w:spacing w:after="0"/>
              <w:rPr>
                <w:sz w:val="24"/>
                <w:szCs w:val="24"/>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06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260" w:type="dxa"/>
            <w:vAlign w:val="bottom"/>
          </w:tcPr>
          <w:p>
            <w:pPr>
              <w:ind w:left="20"/>
              <w:spacing w:after="0"/>
              <w:rPr>
                <w:sz w:val="20"/>
                <w:szCs w:val="20"/>
                <w:color w:val="auto"/>
              </w:rPr>
            </w:pPr>
            <w:r>
              <w:rPr>
                <w:rFonts w:ascii="Arial" w:cs="Arial" w:eastAsia="Arial" w:hAnsi="Arial"/>
                <w:sz w:val="16"/>
                <w:szCs w:val="16"/>
                <w:color w:val="auto"/>
              </w:rPr>
              <w:t>CCK</w:t>
            </w:r>
          </w:p>
        </w:tc>
        <w:tc>
          <w:tcPr>
            <w:tcW w:w="3480" w:type="dxa"/>
            <w:vAlign w:val="bottom"/>
            <w:gridSpan w:val="2"/>
          </w:tcPr>
          <w:p>
            <w:pPr>
              <w:ind w:left="22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56"/>
        </w:trPr>
        <w:tc>
          <w:tcPr>
            <w:tcW w:w="306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260" w:type="dxa"/>
            <w:vAlign w:val="bottom"/>
          </w:tcPr>
          <w:p>
            <w:pPr>
              <w:ind w:left="20"/>
              <w:spacing w:after="0"/>
              <w:rPr>
                <w:sz w:val="20"/>
                <w:szCs w:val="20"/>
                <w:color w:val="auto"/>
              </w:rPr>
            </w:pPr>
            <w:r>
              <w:rPr>
                <w:rFonts w:ascii="Arial" w:cs="Arial" w:eastAsia="Arial" w:hAnsi="Arial"/>
                <w:sz w:val="16"/>
                <w:szCs w:val="16"/>
                <w:color w:val="auto"/>
              </w:rPr>
              <w:t>CCK26</w:t>
            </w:r>
          </w:p>
        </w:tc>
        <w:tc>
          <w:tcPr>
            <w:tcW w:w="3480" w:type="dxa"/>
            <w:vAlign w:val="bottom"/>
            <w:gridSpan w:val="2"/>
          </w:tcPr>
          <w:p>
            <w:pPr>
              <w:ind w:left="22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22"/>
                <w:szCs w:val="22"/>
                <w:color w:val="auto"/>
              </w:rPr>
            </w:pPr>
          </w:p>
        </w:tc>
      </w:tr>
      <w:tr>
        <w:trPr>
          <w:trHeight w:val="257"/>
        </w:trPr>
        <w:tc>
          <w:tcPr>
            <w:tcW w:w="306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260" w:type="dxa"/>
            <w:vAlign w:val="bottom"/>
          </w:tcPr>
          <w:p>
            <w:pPr>
              <w:ind w:left="20"/>
              <w:spacing w:after="0"/>
              <w:rPr>
                <w:sz w:val="20"/>
                <w:szCs w:val="20"/>
                <w:color w:val="auto"/>
              </w:rPr>
            </w:pPr>
            <w:r>
              <w:rPr>
                <w:rFonts w:ascii="Arial" w:cs="Arial" w:eastAsia="Arial" w:hAnsi="Arial"/>
                <w:sz w:val="16"/>
                <w:szCs w:val="16"/>
                <w:color w:val="auto"/>
              </w:rPr>
              <w:t>CCK96</w:t>
            </w:r>
          </w:p>
        </w:tc>
        <w:tc>
          <w:tcPr>
            <w:tcW w:w="3480" w:type="dxa"/>
            <w:vAlign w:val="bottom"/>
            <w:gridSpan w:val="2"/>
          </w:tcPr>
          <w:p>
            <w:pPr>
              <w:ind w:left="22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22"/>
                <w:szCs w:val="22"/>
                <w:color w:val="auto"/>
              </w:rPr>
            </w:pPr>
          </w:p>
        </w:tc>
      </w:tr>
    </w:tbl>
    <w:p>
      <w:pPr>
        <w:spacing w:after="0" w:line="36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34" w:right="3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4">
            <w:col w:w="1580" w:space="580"/>
            <w:col w:w="4720" w:space="720"/>
            <w:col w:w="2500" w:space="720"/>
            <w:col w:w="420"/>
          </w:cols>
          <w:pgMar w:left="320" w:top="234" w:right="3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4">
            <w:col w:w="1440" w:space="720"/>
            <w:col w:w="4720" w:space="720"/>
            <w:col w:w="2500" w:space="720"/>
            <w:col w:w="420"/>
          </w:cols>
          <w:pgMar w:left="320" w:top="234"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There were 134,675,393 shares of Common Stock outstanding as of April 30, 2020.</w:t>
      </w:r>
    </w:p>
    <w:p>
      <w:pPr>
        <w:sectPr>
          <w:pgSz w:w="11900" w:h="16838" w:orient="portrait"/>
          <w:cols w:equalWidth="0" w:num="1">
            <w:col w:w="11240"/>
          </w:cols>
          <w:pgMar w:left="320" w:top="234" w:right="339" w:bottom="1440" w:gutter="0" w:footer="0" w:header="0"/>
          <w:type w:val="continuous"/>
        </w:sectPr>
      </w:pPr>
    </w:p>
    <w:bookmarkStart w:id="1" w:name="page2"/>
    <w:bookmarkEnd w:id="1"/>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8"/>
              </w:rPr>
              <w:t>Three Months Ended</w:t>
            </w:r>
          </w:p>
        </w:tc>
      </w:tr>
      <w:tr>
        <w:trPr>
          <w:trHeight w:val="270"/>
        </w:trPr>
        <w:tc>
          <w:tcPr>
            <w:tcW w:w="6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23"/>
                <w:szCs w:val="23"/>
                <w:color w:val="auto"/>
              </w:rPr>
            </w:pPr>
          </w:p>
        </w:tc>
      </w:tr>
      <w:tr>
        <w:trPr>
          <w:trHeight w:val="27"/>
        </w:trPr>
        <w:tc>
          <w:tcPr>
            <w:tcW w:w="6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3"/>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2,210</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Equity earnings in affiliates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6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0.77</w:t>
            </w:r>
          </w:p>
        </w:tc>
      </w:tr>
      <w:tr>
        <w:trPr>
          <w:trHeight w:val="67"/>
        </w:trPr>
        <w:tc>
          <w:tcPr>
            <w:tcW w:w="6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55"/>
        </w:trPr>
        <w:tc>
          <w:tcPr>
            <w:tcW w:w="60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121" w:right="1440"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r>
      <w:tr>
        <w:trPr>
          <w:trHeight w:val="270"/>
        </w:trPr>
        <w:tc>
          <w:tcPr>
            <w:tcW w:w="6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318"/>
        </w:trPr>
        <w:tc>
          <w:tcPr>
            <w:tcW w:w="60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 income,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Pension and other postretirement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020" w:type="dxa"/>
            <w:vAlign w:val="bottom"/>
          </w:tcPr>
          <w:p>
            <w:pPr>
              <w:ind w:left="260"/>
              <w:spacing w:after="0"/>
              <w:rPr>
                <w:sz w:val="20"/>
                <w:szCs w:val="20"/>
                <w:color w:val="auto"/>
              </w:rPr>
            </w:pPr>
            <w:r>
              <w:rPr>
                <w:rFonts w:ascii="Arial" w:cs="Arial" w:eastAsia="Arial" w:hAnsi="Arial"/>
                <w:sz w:val="18"/>
                <w:szCs w:val="18"/>
                <w:color w:val="auto"/>
              </w:rPr>
              <w:t>Derivatives qualifying as hedges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0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other comprehensive (loss) /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318"/>
        </w:trPr>
        <w:tc>
          <w:tcPr>
            <w:tcW w:w="60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602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26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 income attributable to Crown Holdings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9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1"/>
              </w:rPr>
              <w:t>Crown Holdings, Inc.</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792"/>
        </w:trPr>
        <w:tc>
          <w:tcPr>
            <w:tcW w:w="3540" w:type="dxa"/>
            <w:vAlign w:val="bottom"/>
          </w:tcPr>
          <w:p>
            <w:pPr>
              <w:spacing w:after="0"/>
              <w:rPr>
                <w:sz w:val="24"/>
                <w:szCs w:val="24"/>
                <w:color w:val="auto"/>
              </w:rPr>
            </w:pPr>
          </w:p>
        </w:tc>
        <w:tc>
          <w:tcPr>
            <w:tcW w:w="568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3540" w:type="dxa"/>
            <w:vAlign w:val="bottom"/>
          </w:tcPr>
          <w:p>
            <w:pPr>
              <w:spacing w:after="0"/>
              <w:rPr>
                <w:sz w:val="18"/>
                <w:szCs w:val="18"/>
                <w:color w:val="auto"/>
              </w:rPr>
            </w:pPr>
          </w:p>
        </w:tc>
        <w:tc>
          <w:tcPr>
            <w:tcW w:w="39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3"/>
              </w:rPr>
              <w:t>(In millions)</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39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1"/>
              </w:rPr>
              <w:t>(Unaudited)</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76"/>
        </w:trPr>
        <w:tc>
          <w:tcPr>
            <w:tcW w:w="3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5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35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1,528</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w w:val="91"/>
              </w:rPr>
              <w:t>Prepaid expenses and other current assets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35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4,002</w:t>
            </w:r>
          </w:p>
        </w:tc>
      </w:tr>
      <w:tr>
        <w:trPr>
          <w:trHeight w:val="318"/>
        </w:trPr>
        <w:tc>
          <w:tcPr>
            <w:tcW w:w="3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37"/>
        </w:trPr>
        <w:tc>
          <w:tcPr>
            <w:tcW w:w="35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7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15,533</w:t>
            </w:r>
          </w:p>
        </w:tc>
        <w:tc>
          <w:tcPr>
            <w:tcW w:w="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15,505</w:t>
            </w:r>
          </w:p>
        </w:tc>
      </w:tr>
      <w:tr>
        <w:trPr>
          <w:trHeight w:val="67"/>
        </w:trPr>
        <w:tc>
          <w:tcPr>
            <w:tcW w:w="3540" w:type="dxa"/>
            <w:vAlign w:val="bottom"/>
            <w:tcBorders>
              <w:bottom w:val="single" w:sz="8" w:color="CCEEFF"/>
            </w:tcBorders>
          </w:tcPr>
          <w:p>
            <w:pPr>
              <w:spacing w:after="0"/>
              <w:rPr>
                <w:sz w:val="5"/>
                <w:szCs w:val="5"/>
                <w:color w:val="auto"/>
              </w:rPr>
            </w:pPr>
          </w:p>
        </w:tc>
        <w:tc>
          <w:tcPr>
            <w:tcW w:w="37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78"/>
        </w:trPr>
        <w:tc>
          <w:tcPr>
            <w:tcW w:w="354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3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w w:val="92"/>
              </w:rPr>
              <w:t>Current portion of operating lease liabilities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35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r>
      <w:tr>
        <w:trPr>
          <w:trHeight w:val="318"/>
        </w:trPr>
        <w:tc>
          <w:tcPr>
            <w:tcW w:w="3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Long-term debt, excluding current maturities</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8,631</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2"/>
              </w:rPr>
              <w:t>Non-current portion of operating lease liabilities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857</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rFonts w:ascii="Arial" w:cs="Arial" w:eastAsia="Arial" w:hAnsi="Arial"/>
                <w:sz w:val="18"/>
                <w:szCs w:val="18"/>
                <w:color w:val="auto"/>
                <w:w w:val="93"/>
              </w:rPr>
            </w:pPr>
            <w:r>
              <w:rPr>
                <w:rFonts w:ascii="Arial" w:cs="Arial" w:eastAsia="Arial" w:hAnsi="Arial"/>
                <w:sz w:val="18"/>
                <w:szCs w:val="18"/>
                <w:color w:val="auto"/>
                <w:w w:val="93"/>
              </w:rPr>
              <w:t xml:space="preserve">Commitments and contingent liabilities </w:t>
            </w:r>
            <w:r>
              <w:rPr>
                <w:rFonts w:ascii="Arial" w:cs="Arial" w:eastAsia="Arial" w:hAnsi="Arial"/>
                <w:sz w:val="18"/>
                <w:szCs w:val="18"/>
                <w:i w:val="1"/>
                <w:iCs w:val="1"/>
                <w:color w:val="auto"/>
                <w:w w:val="93"/>
              </w:rPr>
              <w:t>(</w:t>
            </w:r>
            <w:hyperlink w:anchor="page11">
              <w:r>
                <w:rPr>
                  <w:rFonts w:ascii="Arial" w:cs="Arial" w:eastAsia="Arial" w:hAnsi="Arial"/>
                  <w:sz w:val="18"/>
                  <w:szCs w:val="18"/>
                  <w:i w:val="1"/>
                  <w:iCs w:val="1"/>
                  <w:u w:val="single" w:color="auto"/>
                  <w:color w:val="0000EE"/>
                  <w:w w:val="93"/>
                </w:rPr>
                <w:t>Note I</w:t>
              </w:r>
            </w:hyperlink>
            <w:r>
              <w:rPr>
                <w:rFonts w:ascii="Arial" w:cs="Arial" w:eastAsia="Arial" w:hAnsi="Arial"/>
                <w:sz w:val="18"/>
                <w:szCs w:val="18"/>
                <w:i w:val="1"/>
                <w:iCs w:val="1"/>
                <w:color w:val="auto"/>
                <w:w w:val="93"/>
              </w:rPr>
              <w:t>)</w:t>
            </w:r>
          </w:p>
        </w:tc>
        <w:tc>
          <w:tcPr>
            <w:tcW w:w="3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35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r>
      <w:tr>
        <w:trPr>
          <w:trHeight w:val="237"/>
        </w:trPr>
        <w:tc>
          <w:tcPr>
            <w:tcW w:w="354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37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2,053</w:t>
            </w:r>
          </w:p>
        </w:tc>
        <w:tc>
          <w:tcPr>
            <w:tcW w:w="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w:t>
            </w:r>
          </w:p>
        </w:tc>
      </w:tr>
      <w:tr>
        <w:trPr>
          <w:trHeight w:val="27"/>
        </w:trPr>
        <w:tc>
          <w:tcPr>
            <w:tcW w:w="35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9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15,533</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320" w:top="121" w:right="85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Crown Holdings, Inc.</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792"/>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Arial" w:cs="Arial" w:eastAsia="Arial" w:hAnsi="Arial"/>
                <w:sz w:val="18"/>
                <w:szCs w:val="18"/>
                <w:b w:val="1"/>
                <w:bCs w:val="1"/>
                <w:color w:val="auto"/>
                <w:w w:val="93"/>
              </w:rPr>
              <w:t>(In millions)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8200" w:type="dxa"/>
            <w:vAlign w:val="bottom"/>
          </w:tcPr>
          <w:p>
            <w:pPr>
              <w:jc w:val="center"/>
              <w:ind w:left="27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8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3"/>
                <w:szCs w:val="23"/>
                <w:color w:val="auto"/>
              </w:rPr>
            </w:pPr>
          </w:p>
        </w:tc>
      </w:tr>
      <w:tr>
        <w:trPr>
          <w:trHeight w:val="27"/>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131</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Pension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7"/>
        </w:trPr>
        <w:tc>
          <w:tcPr>
            <w:tcW w:w="8200" w:type="dxa"/>
            <w:vAlign w:val="bottom"/>
          </w:tcPr>
          <w:p>
            <w:pPr>
              <w:ind w:left="1460"/>
              <w:spacing w:after="0"/>
              <w:rPr>
                <w:sz w:val="20"/>
                <w:szCs w:val="20"/>
                <w:color w:val="auto"/>
              </w:rPr>
            </w:pPr>
            <w:r>
              <w:rPr>
                <w:rFonts w:ascii="Arial" w:cs="Arial" w:eastAsia="Arial" w:hAnsi="Arial"/>
                <w:sz w:val="18"/>
                <w:szCs w:val="18"/>
                <w:b w:val="1"/>
                <w:bCs w:val="1"/>
                <w:color w:val="auto"/>
              </w:rPr>
              <w:t>Net cash used for operating activities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Net investment hedge</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0"/>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Payments of finance leases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70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200" w:type="dxa"/>
            <w:vAlign w:val="bottom"/>
          </w:tcPr>
          <w:p>
            <w:pPr>
              <w:ind w:left="146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882</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March</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821</w:t>
            </w:r>
          </w:p>
        </w:tc>
        <w:tc>
          <w:tcPr>
            <w:tcW w:w="4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w:t>
            </w:r>
          </w:p>
        </w:tc>
      </w:tr>
      <w:tr>
        <w:trPr>
          <w:trHeight w:val="27"/>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121"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34290</wp:posOffset>
            </wp:positionV>
            <wp:extent cx="3557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3,449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3,552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344"/>
        </w:trPr>
        <w:tc>
          <w:tcPr>
            <w:tcW w:w="3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29"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2020 and the results of its operations for the three months ended March 31, 2020 and 2019 and of its cash flows for the three months ended March 31, 2020 and 2019. The results reported in these consolidated financial statements are not necessarily indicative of the results that may be expected for the entire year including the impact of the coronavirus pandemic which cannot be determined at this time.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180"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2019.</w:t>
      </w:r>
    </w:p>
    <w:p>
      <w:pPr>
        <w:spacing w:after="0" w:line="383" w:lineRule="exact"/>
        <w:rPr>
          <w:rFonts w:ascii="Arial" w:cs="Arial" w:eastAsia="Arial" w:hAnsi="Arial"/>
          <w:sz w:val="18"/>
          <w:szCs w:val="18"/>
          <w:b w:val="1"/>
          <w:bCs w:val="1"/>
          <w:color w:val="auto"/>
        </w:rPr>
      </w:pPr>
    </w:p>
    <w:p>
      <w:pPr>
        <w:ind w:left="660" w:right="7420" w:hanging="652"/>
        <w:spacing w:after="0" w:line="52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w:t>
      </w:r>
    </w:p>
    <w:p>
      <w:pPr>
        <w:jc w:val="both"/>
        <w:ind w:left="6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June 2016, the FASB issued new guidance on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operating leases and off-balance-sheet credit exposures. The guidance became effective for the Company on January 1, 2020 and did not have a material impact on the Company's consolidated financial statements.</w:t>
      </w:r>
    </w:p>
    <w:p>
      <w:pPr>
        <w:spacing w:after="0" w:line="192"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August 2018, the FASB issued new guidance which aligns the accounting for implementation costs incurred in a cloud computing arrangement that is a service arrangement (i.e. hosting arrangement) with the guidance on capitalizing costs for internal use software. The Company adopted the guidance on a prospective basis on January 1, 2020. The guidance did not have a material impact on the Company's consolidated financial statements.</w:t>
      </w:r>
    </w:p>
    <w:p>
      <w:pPr>
        <w:spacing w:after="0" w:line="18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Recently Issued Accounting Standards</w:t>
      </w:r>
    </w:p>
    <w:p>
      <w:pPr>
        <w:spacing w:after="0" w:line="225" w:lineRule="exact"/>
        <w:rPr>
          <w:rFonts w:ascii="Arial" w:cs="Arial" w:eastAsia="Arial" w:hAnsi="Arial"/>
          <w:sz w:val="16"/>
          <w:szCs w:val="16"/>
          <w:b w:val="1"/>
          <w:bCs w:val="1"/>
          <w:color w:val="auto"/>
        </w:rPr>
      </w:pPr>
    </w:p>
    <w:p>
      <w:pPr>
        <w:ind w:left="6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is currently evaluating the impact of adopting this standard and does not expect the guidance to have a material impact on its consolidated financial statements.</w:t>
      </w:r>
    </w:p>
    <w:p>
      <w:pPr>
        <w:spacing w:after="0" w:line="186" w:lineRule="exact"/>
        <w:rPr>
          <w:rFonts w:ascii="Arial" w:cs="Arial" w:eastAsia="Arial" w:hAnsi="Arial"/>
          <w:sz w:val="16"/>
          <w:szCs w:val="16"/>
          <w:b w:val="1"/>
          <w:bCs w:val="1"/>
          <w:color w:val="auto"/>
        </w:rPr>
      </w:pPr>
    </w:p>
    <w:p>
      <w:pPr>
        <w:ind w:left="660" w:right="2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March 2020, the FASB issued guidance which provides optional expedients and exceptions for applying GAAP to certain contract modifications and hedging relationships that reference London Inter-bank Offered Rate (LIBOR) or another reference rate expected to be discontinued. The guidance is effective upon issuance and can be applied through December 31, 2022. The Company is currently evaluating the impact of this guidance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2019</w:t>
            </w:r>
          </w:p>
        </w:tc>
      </w:tr>
      <w:tr>
        <w:trPr>
          <w:trHeight w:val="27"/>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324"/>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324"/>
        </w:trPr>
        <w:tc>
          <w:tcPr>
            <w:tcW w:w="59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6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b w:val="1"/>
                <w:bCs w:val="1"/>
                <w:color w:val="auto"/>
              </w:rPr>
              <w:t>D.</w:t>
            </w: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15"/>
        </w:trPr>
        <w:tc>
          <w:tcPr>
            <w:tcW w:w="6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2019</w:t>
            </w:r>
          </w:p>
        </w:tc>
      </w:tr>
      <w:tr>
        <w:trPr>
          <w:trHeight w:val="27"/>
        </w:trPr>
        <w:tc>
          <w:tcPr>
            <w:tcW w:w="6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43"/>
        </w:trPr>
        <w:tc>
          <w:tcPr>
            <w:tcW w:w="660" w:type="dxa"/>
            <w:vAlign w:val="bottom"/>
          </w:tcPr>
          <w:p>
            <w:pPr>
              <w:spacing w:after="0"/>
              <w:rPr>
                <w:sz w:val="21"/>
                <w:szCs w:val="21"/>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660" w:type="dxa"/>
            <w:vAlign w:val="bottom"/>
          </w:tcPr>
          <w:p>
            <w:pPr>
              <w:spacing w:after="0"/>
              <w:rPr>
                <w:sz w:val="21"/>
                <w:szCs w:val="21"/>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60" w:type="dxa"/>
            <w:vAlign w:val="bottom"/>
          </w:tcPr>
          <w:p>
            <w:pPr>
              <w:spacing w:after="0"/>
              <w:rPr>
                <w:sz w:val="23"/>
                <w:szCs w:val="23"/>
                <w:color w:val="auto"/>
              </w:rPr>
            </w:pP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660" w:type="dxa"/>
            <w:vAlign w:val="bottom"/>
          </w:tcPr>
          <w:p>
            <w:pPr>
              <w:spacing w:after="0"/>
              <w:rPr>
                <w:sz w:val="22"/>
                <w:szCs w:val="22"/>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1,554</w:t>
            </w:r>
          </w:p>
        </w:tc>
        <w:tc>
          <w:tcPr>
            <w:tcW w:w="6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0"/>
        </w:trPr>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Inventories are stated at the lower of cost or market, with cost principally determined under the first-in first-out ("FIFO") or average cost method.</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1,668</w:t>
            </w:r>
          </w:p>
        </w:tc>
        <w:tc>
          <w:tcPr>
            <w:tcW w:w="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6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March 31, 2020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2"/>
        </w:trPr>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Net</w:t>
            </w:r>
          </w:p>
        </w:tc>
      </w:tr>
      <w:tr>
        <w:trPr>
          <w:trHeight w:val="27"/>
        </w:trPr>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3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2,379</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r>
      <w:tr>
        <w:trPr>
          <w:trHeight w:val="27"/>
        </w:trPr>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amortization expense of intangible assets was $45 and $47 for the three months ended March 31, 2020 and 2019.</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recorded restructuring and other charges / (benefits)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10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20" w:type="dxa"/>
            <w:vAlign w:val="bottom"/>
            <w:gridSpan w:val="3"/>
          </w:tcPr>
          <w:p>
            <w:pPr>
              <w:jc w:val="right"/>
              <w:ind w:right="430"/>
              <w:spacing w:after="0"/>
              <w:rPr>
                <w:sz w:val="20"/>
                <w:szCs w:val="20"/>
                <w:color w:val="auto"/>
              </w:rPr>
            </w:pPr>
            <w:r>
              <w:rPr>
                <w:rFonts w:ascii="Arial" w:cs="Arial" w:eastAsia="Arial" w:hAnsi="Arial"/>
                <w:sz w:val="18"/>
                <w:szCs w:val="18"/>
                <w:color w:val="auto"/>
                <w:w w:val="97"/>
              </w:rPr>
              <w:t>March 31,</w:t>
            </w:r>
          </w:p>
        </w:tc>
        <w:tc>
          <w:tcPr>
            <w:tcW w:w="30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costs /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62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6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months ended March 31, 2020, restructuring included charges related to internal reorganizations within the Transit Packaging division, including headcount reductions.</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months ended March 31, 2019, asset impairments and sales included $6 related to a fire at a production facility in Asia and restructuring included a charge of $8 related to headcount reductions in the Company's European Division. Asset impairment and sales also included gains on asset sales related to prior restructuring actions.</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 the three months ended March 31, 2019, other income related to gains arising from favorable court rulings related to the recovery of indirect taxes paid in prior years by certain of the Company's Brazilian subsidiaries.</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March 31, 2020, the Company had restructuring accruals of $15, primarily related to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39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6"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1" w:right="339" w:bottom="1440" w:gutter="0" w:footer="0" w:header="0"/>
          <w:type w:val="continuous"/>
        </w:sectPr>
      </w:pPr>
    </w:p>
    <w:bookmarkStart w:id="9" w:name="page10"/>
    <w:bookmarkEnd w:id="9"/>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Company paid $1 to settle outstanding claims and had claims activity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56,000</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56,000</w:t>
            </w:r>
          </w:p>
        </w:tc>
      </w:tr>
      <w:tr>
        <w:trPr>
          <w:trHeight w:val="27"/>
        </w:trPr>
        <w:tc>
          <w:tcPr>
            <w:tcW w:w="83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2019, the Company's outstanding claims were: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16,500</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8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8380" w:type="dxa"/>
            <w:vAlign w:val="bottom"/>
          </w:tcPr>
          <w:p>
            <w:pPr>
              <w:ind w:left="380"/>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19,000</w:t>
            </w:r>
          </w:p>
        </w:tc>
      </w:tr>
      <w:tr>
        <w:trPr>
          <w:trHeight w:val="27"/>
        </w:trPr>
        <w:tc>
          <w:tcPr>
            <w:tcW w:w="83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4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2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2018</w:t>
            </w:r>
          </w:p>
        </w:tc>
      </w:tr>
      <w:tr>
        <w:trPr>
          <w:trHeight w:val="27"/>
        </w:trPr>
        <w:tc>
          <w:tcPr>
            <w:tcW w:w="6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4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2020.</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2020, the Company’s accrual for pending and future asbestos-related claims and related legal costs was $270, including $227 for unasserted claims. The Company determines its accrual without limitation to a specific time period.</w:t>
      </w:r>
    </w:p>
    <w:p>
      <w:pPr>
        <w:spacing w:after="0" w:line="170" w:lineRule="exact"/>
        <w:rPr>
          <w:sz w:val="20"/>
          <w:szCs w:val="20"/>
          <w:color w:val="auto"/>
        </w:rPr>
      </w:pPr>
    </w:p>
    <w:p>
      <w:pPr>
        <w:jc w:val="both"/>
        <w:ind w:left="660"/>
        <w:spacing w:after="0" w:line="284"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2019),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w:t>
      </w:r>
    </w:p>
    <w:p>
      <w:pPr>
        <w:spacing w:after="0" w:line="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along with others in most cases, has been identified by the U.S. Environmental Protection Agency or a comparable state environmental agency as a Potentially Responsible Party (“PRP”) at a number of sites and has recorded aggregate accruals of $8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4" w:lineRule="exact"/>
        <w:rPr>
          <w:rFonts w:ascii="Arial" w:cs="Arial" w:eastAsia="Arial" w:hAnsi="Arial"/>
          <w:sz w:val="18"/>
          <w:szCs w:val="18"/>
          <w:b w:val="1"/>
          <w:bCs w:val="1"/>
          <w:color w:val="auto"/>
        </w:rPr>
      </w:pPr>
    </w:p>
    <w:p>
      <w:pPr>
        <w:ind w:left="6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has also recorded aggregate accruals of $6 for remediation activities at various worldwide locations that are owned by the Company and for which the Company is not a member of a PRP group. Although the Company believes</w:t>
      </w:r>
    </w:p>
    <w:p>
      <w:pPr>
        <w:spacing w:after="0" w:line="1" w:lineRule="exact"/>
        <w:rPr>
          <w:rFonts w:ascii="Arial" w:cs="Arial" w:eastAsia="Arial" w:hAnsi="Arial"/>
          <w:sz w:val="18"/>
          <w:szCs w:val="18"/>
          <w:b w:val="1"/>
          <w:bCs w:val="1"/>
          <w:color w:val="auto"/>
        </w:rPr>
      </w:pPr>
    </w:p>
    <w:p>
      <w:pPr>
        <w:jc w:val="both"/>
        <w:ind w:left="66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78"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78"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March 31, 2020,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396" w:lineRule="exact"/>
        <w:rPr>
          <w:sz w:val="20"/>
          <w:szCs w:val="20"/>
          <w:color w:val="auto"/>
        </w:rPr>
      </w:pPr>
    </w:p>
    <w:p>
      <w:pPr>
        <w:ind w:left="660" w:right="7200" w:hanging="652"/>
        <w:spacing w:after="0" w:line="50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and Other Financial Instruments </w:t>
      </w:r>
      <w:r>
        <w:rPr>
          <w:rFonts w:ascii="Arial" w:cs="Arial" w:eastAsia="Arial" w:hAnsi="Arial"/>
          <w:sz w:val="18"/>
          <w:szCs w:val="18"/>
          <w:u w:val="single" w:color="auto"/>
          <w:color w:val="auto"/>
        </w:rPr>
        <w:t>Fair Value Measurements</w:t>
      </w: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188"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8">
        <w:r>
          <w:rPr>
            <w:rFonts w:ascii="Arial" w:cs="Arial" w:eastAsia="Arial" w:hAnsi="Arial"/>
            <w:sz w:val="18"/>
            <w:szCs w:val="18"/>
            <w:u w:val="single" w:color="auto"/>
            <w:color w:val="0000EE"/>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2020 mature between one and thirty months.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interest rate swaps to convert interest on floating rate debt to a fixed-rate.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980" w:top="121" w:right="339" w:bottom="1440" w:gutter="0" w:footer="0" w:header="0"/>
        </w:sectPr>
      </w:pPr>
    </w:p>
    <w:bookmarkStart w:id="13" w:name="page14"/>
    <w:bookmarkEnd w:id="1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color w:val="auto"/>
                <w:w w:val="94"/>
              </w:rPr>
              <w:t>Amount of gain/(loss)</w:t>
            </w:r>
          </w:p>
        </w:tc>
        <w:tc>
          <w:tcPr>
            <w:tcW w:w="2340" w:type="dxa"/>
            <w:vAlign w:val="bottom"/>
          </w:tcPr>
          <w:p>
            <w:pPr>
              <w:spacing w:after="0"/>
              <w:rPr>
                <w:sz w:val="20"/>
                <w:szCs w:val="20"/>
                <w:color w:val="auto"/>
              </w:rPr>
            </w:pP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recognized in OCI</w:t>
            </w:r>
          </w:p>
        </w:tc>
        <w:tc>
          <w:tcPr>
            <w:tcW w:w="2340" w:type="dxa"/>
            <w:vAlign w:val="bottom"/>
          </w:tcPr>
          <w:p>
            <w:pPr>
              <w:spacing w:after="0"/>
              <w:rPr>
                <w:sz w:val="23"/>
                <w:szCs w:val="23"/>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340" w:type="dxa"/>
            <w:vAlign w:val="bottom"/>
          </w:tcPr>
          <w:p>
            <w:pPr>
              <w:spacing w:after="0"/>
              <w:rPr>
                <w:sz w:val="20"/>
                <w:szCs w:val="20"/>
                <w:color w:val="auto"/>
              </w:rPr>
            </w:pP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27"/>
        </w:trPr>
        <w:tc>
          <w:tcPr>
            <w:tcW w:w="29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Pr>
          <w:p>
            <w:pPr>
              <w:spacing w:after="0"/>
              <w:rPr>
                <w:sz w:val="21"/>
                <w:szCs w:val="21"/>
                <w:color w:val="auto"/>
              </w:rPr>
            </w:pP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21"/>
                <w:szCs w:val="2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237"/>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40"/>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color w:val="auto"/>
                <w:w w:val="93"/>
              </w:rPr>
              <w:t>Amount of gain/</w:t>
            </w:r>
          </w:p>
        </w:tc>
        <w:tc>
          <w:tcPr>
            <w:tcW w:w="2340" w:type="dxa"/>
            <w:vAlign w:val="bottom"/>
          </w:tcPr>
          <w:p>
            <w:pPr>
              <w:spacing w:after="0"/>
              <w:rPr>
                <w:sz w:val="24"/>
                <w:szCs w:val="24"/>
                <w:color w:val="auto"/>
              </w:rPr>
            </w:pP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(loss) reclassified from</w:t>
            </w:r>
          </w:p>
        </w:tc>
        <w:tc>
          <w:tcPr>
            <w:tcW w:w="2340" w:type="dxa"/>
            <w:vAlign w:val="bottom"/>
          </w:tcPr>
          <w:p>
            <w:pPr>
              <w:spacing w:after="0"/>
              <w:rPr>
                <w:sz w:val="23"/>
                <w:szCs w:val="23"/>
                <w:color w:val="auto"/>
              </w:rPr>
            </w:pP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AOCI into income</w:t>
            </w:r>
          </w:p>
        </w:tc>
        <w:tc>
          <w:tcPr>
            <w:tcW w:w="2340" w:type="dxa"/>
            <w:vAlign w:val="bottom"/>
          </w:tcPr>
          <w:p>
            <w:pPr>
              <w:spacing w:after="0"/>
              <w:rPr>
                <w:sz w:val="23"/>
                <w:szCs w:val="23"/>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340" w:type="dxa"/>
            <w:vAlign w:val="bottom"/>
          </w:tcPr>
          <w:p>
            <w:pPr>
              <w:spacing w:after="0"/>
              <w:rPr>
                <w:sz w:val="20"/>
                <w:szCs w:val="20"/>
                <w:color w:val="auto"/>
              </w:rPr>
            </w:pPr>
          </w:p>
        </w:tc>
      </w:tr>
      <w:tr>
        <w:trPr>
          <w:trHeight w:val="270"/>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Affected line items in the</w:t>
            </w:r>
          </w:p>
        </w:tc>
      </w:tr>
      <w:tr>
        <w:trPr>
          <w:trHeight w:val="27"/>
        </w:trPr>
        <w:tc>
          <w:tcPr>
            <w:tcW w:w="29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Statement of Operations</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3"/>
          </w:tcPr>
          <w:p>
            <w:pPr>
              <w:jc w:val="right"/>
              <w:ind w:right="690"/>
              <w:spacing w:after="0"/>
              <w:rPr>
                <w:sz w:val="20"/>
                <w:szCs w:val="20"/>
                <w:color w:val="auto"/>
              </w:rPr>
            </w:pPr>
            <w:r>
              <w:rPr>
                <w:rFonts w:ascii="Arial" w:cs="Arial" w:eastAsia="Arial" w:hAnsi="Arial"/>
                <w:sz w:val="18"/>
                <w:szCs w:val="18"/>
                <w:color w:val="auto"/>
              </w:rPr>
              <w:t>—   Cost of products sold</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180" w:type="dxa"/>
            <w:vAlign w:val="bottom"/>
            <w:gridSpan w:val="3"/>
          </w:tcPr>
          <w:p>
            <w:pPr>
              <w:spacing w:after="0"/>
              <w:rPr>
                <w:sz w:val="2"/>
                <w:szCs w:val="2"/>
                <w:color w:val="auto"/>
              </w:rPr>
            </w:pPr>
          </w:p>
        </w:tc>
      </w:tr>
      <w:tr>
        <w:trPr>
          <w:trHeight w:val="27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(10)  Cost of products sold</w:t>
            </w:r>
          </w:p>
        </w:tc>
      </w:tr>
      <w:tr>
        <w:trPr>
          <w:trHeight w:val="237"/>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Income before taxes</w:t>
            </w:r>
          </w:p>
        </w:tc>
      </w:tr>
      <w:tr>
        <w:trPr>
          <w:trHeight w:val="27"/>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r>
      <w:tr>
        <w:trPr>
          <w:trHeight w:val="263"/>
        </w:trPr>
        <w:tc>
          <w:tcPr>
            <w:tcW w:w="2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57"/>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twelve-month period ending March 31, 2021, a net loss of $51 ($41, net of tax) is expected to be reclassified to earnings for commodity and foreign exchange contracts. No amounts were reclassified during the three months ended March 31, 2020 and 2019 in connection with anticipated transactions that were no longer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and 2019, the Company recorded a loss of less than $1 and a gain of less than $1 from foreign exchange contracts designated as fair value hedges. These adjustments were reported within foreign exchange in the Consolidated Statements of Operations.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98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0" w:type="dxa"/>
            <w:vAlign w:val="bottom"/>
            <w:gridSpan w:val="5"/>
          </w:tcPr>
          <w:p>
            <w:pPr>
              <w:ind w:left="60"/>
              <w:spacing w:after="0"/>
              <w:rPr>
                <w:sz w:val="20"/>
                <w:szCs w:val="20"/>
                <w:color w:val="auto"/>
              </w:rPr>
            </w:pPr>
            <w:r>
              <w:rPr>
                <w:rFonts w:ascii="Arial" w:cs="Arial" w:eastAsia="Arial" w:hAnsi="Arial"/>
                <w:sz w:val="18"/>
                <w:szCs w:val="18"/>
                <w:b w:val="1"/>
                <w:bCs w:val="1"/>
                <w:color w:val="auto"/>
              </w:rPr>
              <w:t>Crown Holdings, Inc.</w:t>
            </w:r>
          </w:p>
        </w:tc>
      </w:tr>
      <w:tr>
        <w:trPr>
          <w:trHeight w:val="810"/>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jc w:val="right"/>
              <w:ind w:right="150"/>
              <w:spacing w:after="0"/>
              <w:rPr>
                <w:sz w:val="20"/>
                <w:szCs w:val="20"/>
                <w:color w:val="auto"/>
              </w:rPr>
            </w:pPr>
            <w:r>
              <w:rPr>
                <w:rFonts w:ascii="Arial" w:cs="Arial" w:eastAsia="Arial" w:hAnsi="Arial"/>
                <w:sz w:val="18"/>
                <w:szCs w:val="18"/>
                <w:color w:val="auto"/>
                <w:w w:val="95"/>
              </w:rPr>
              <w:t>Pre-tax amount of gain/</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(loss) recognized in</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income on derivative</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March 31,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Affected line item in the</w:t>
            </w:r>
          </w:p>
        </w:tc>
      </w:tr>
      <w:tr>
        <w:trPr>
          <w:trHeight w:val="27"/>
        </w:trPr>
        <w:tc>
          <w:tcPr>
            <w:tcW w:w="3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w w:val="96"/>
              </w:rPr>
              <w:t>Statement of Operations</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Foreign exchange</w:t>
            </w: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and 2019, the Company recorded a gain of $26 ($26, net of tax) and a gain of $28 ($28, net of tax) in other comprehensive income for certain debt instruments that are designated as hedges of its net investment in a euro-based subsidiary. As of March 31, 2020 a cumulative loss of $6 (gain of $17, net of tax) and as of December 31, 2019, a cumulative loss of $32 ($9, net of tax) were recognized in accumulated other comprehensive income related to these net investment hedges and the carrying amount of the hedged net investment was €1,138 ($1,253 at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impact on OCI from changes in the fair value of derivative instruments designated as net investment hedges.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4"/>
          </w:tcPr>
          <w:p>
            <w:pPr>
              <w:jc w:val="center"/>
              <w:ind w:left="230"/>
              <w:spacing w:after="0"/>
              <w:rPr>
                <w:sz w:val="20"/>
                <w:szCs w:val="20"/>
                <w:color w:val="auto"/>
              </w:rPr>
            </w:pPr>
            <w:r>
              <w:rPr>
                <w:rFonts w:ascii="Arial" w:cs="Arial" w:eastAsia="Arial" w:hAnsi="Arial"/>
                <w:sz w:val="18"/>
                <w:szCs w:val="18"/>
                <w:color w:val="auto"/>
                <w:w w:val="94"/>
              </w:rPr>
              <w:t>Amount of gain/(loss)</w:t>
            </w:r>
          </w:p>
        </w:tc>
        <w:tc>
          <w:tcPr>
            <w:tcW w:w="300" w:type="dxa"/>
            <w:vAlign w:val="bottom"/>
          </w:tcPr>
          <w:p>
            <w:pPr>
              <w:spacing w:after="0"/>
              <w:rPr>
                <w:sz w:val="20"/>
                <w:szCs w:val="20"/>
                <w:color w:val="auto"/>
              </w:rPr>
            </w:pPr>
          </w:p>
        </w:tc>
      </w:tr>
      <w:tr>
        <w:trPr>
          <w:trHeight w:val="270"/>
        </w:trPr>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4"/>
          </w:tcPr>
          <w:p>
            <w:pPr>
              <w:jc w:val="center"/>
              <w:ind w:left="230"/>
              <w:spacing w:after="0"/>
              <w:rPr>
                <w:sz w:val="20"/>
                <w:szCs w:val="20"/>
                <w:color w:val="auto"/>
              </w:rPr>
            </w:pPr>
            <w:r>
              <w:rPr>
                <w:rFonts w:ascii="Arial" w:cs="Arial" w:eastAsia="Arial" w:hAnsi="Arial"/>
                <w:sz w:val="18"/>
                <w:szCs w:val="18"/>
                <w:color w:val="auto"/>
                <w:w w:val="91"/>
              </w:rPr>
              <w:t>recognized in OCI</w:t>
            </w:r>
          </w:p>
        </w:tc>
        <w:tc>
          <w:tcPr>
            <w:tcW w:w="300" w:type="dxa"/>
            <w:vAlign w:val="bottom"/>
          </w:tcPr>
          <w:p>
            <w:pPr>
              <w:spacing w:after="0"/>
              <w:rPr>
                <w:sz w:val="23"/>
                <w:szCs w:val="23"/>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4"/>
          </w:tcPr>
          <w:p>
            <w:pPr>
              <w:jc w:val="center"/>
              <w:ind w:left="230"/>
              <w:spacing w:after="0"/>
              <w:rPr>
                <w:sz w:val="20"/>
                <w:szCs w:val="20"/>
                <w:color w:val="auto"/>
              </w:rPr>
            </w:pPr>
            <w:r>
              <w:rPr>
                <w:rFonts w:ascii="Arial" w:cs="Arial" w:eastAsia="Arial" w:hAnsi="Arial"/>
                <w:sz w:val="18"/>
                <w:szCs w:val="18"/>
                <w:color w:val="auto"/>
                <w:w w:val="89"/>
              </w:rPr>
              <w:t>Three months ended</w:t>
            </w:r>
          </w:p>
        </w:tc>
        <w:tc>
          <w:tcPr>
            <w:tcW w:w="300" w:type="dxa"/>
            <w:vAlign w:val="bottom"/>
          </w:tcPr>
          <w:p>
            <w:pPr>
              <w:spacing w:after="0"/>
              <w:rPr>
                <w:sz w:val="20"/>
                <w:szCs w:val="20"/>
                <w:color w:val="auto"/>
              </w:rPr>
            </w:pPr>
          </w:p>
        </w:tc>
      </w:tr>
      <w:tr>
        <w:trPr>
          <w:trHeight w:val="270"/>
        </w:trPr>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60" w:type="dxa"/>
            <w:vAlign w:val="bottom"/>
            <w:gridSpan w:val="3"/>
          </w:tcPr>
          <w:p>
            <w:pPr>
              <w:jc w:val="center"/>
              <w:ind w:right="35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23"/>
                <w:szCs w:val="23"/>
                <w:color w:val="auto"/>
              </w:rPr>
            </w:pPr>
          </w:p>
        </w:tc>
      </w:tr>
      <w:tr>
        <w:trPr>
          <w:trHeight w:val="27"/>
        </w:trPr>
        <w:tc>
          <w:tcPr>
            <w:tcW w:w="4460" w:type="dxa"/>
            <w:vAlign w:val="bottom"/>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March 31, 2020 and December 31, 2019, respectively. The fair values of these financial instruments were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98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Crown Holdings, Inc.</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16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24"/>
                <w:szCs w:val="2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Balance Sheet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color w:val="auto"/>
                <w:w w:val="92"/>
              </w:rPr>
              <w:t>March 31,</w:t>
            </w:r>
          </w:p>
        </w:tc>
        <w:tc>
          <w:tcPr>
            <w:tcW w:w="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classification</w:t>
            </w: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classification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c>
          <w:tcPr>
            <w:tcW w:w="9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0" w:type="dxa"/>
            <w:vAlign w:val="bottom"/>
            <w:tcBorders>
              <w:right w:val="single" w:sz="8" w:color="CCEEFF"/>
            </w:tcBorders>
          </w:tcPr>
          <w:p>
            <w:pPr>
              <w:spacing w:after="0"/>
              <w:rPr>
                <w:sz w:val="15"/>
                <w:szCs w:val="15"/>
                <w:color w:val="auto"/>
              </w:rPr>
            </w:pPr>
          </w:p>
        </w:tc>
        <w:tc>
          <w:tcPr>
            <w:tcW w:w="1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7"/>
              </w:rPr>
              <w:t>Derivatives designated</w:t>
            </w:r>
          </w:p>
        </w:tc>
        <w:tc>
          <w:tcPr>
            <w:tcW w:w="1280" w:type="dxa"/>
            <w:vAlign w:val="bottom"/>
            <w:tcBorders>
              <w:top w:val="single" w:sz="8" w:color="auto"/>
            </w:tcBorders>
            <w:gridSpan w:val="4"/>
            <w:shd w:val="clear" w:color="auto" w:fill="CCEEFF"/>
          </w:tcPr>
          <w:p>
            <w:pPr>
              <w:ind w:left="60"/>
              <w:spacing w:after="0" w:line="182" w:lineRule="exact"/>
              <w:rPr>
                <w:sz w:val="20"/>
                <w:szCs w:val="20"/>
                <w:color w:val="auto"/>
              </w:rPr>
            </w:pPr>
            <w:r>
              <w:rPr>
                <w:rFonts w:ascii="Arial" w:cs="Arial" w:eastAsia="Arial" w:hAnsi="Arial"/>
                <w:sz w:val="18"/>
                <w:szCs w:val="18"/>
                <w:color w:val="auto"/>
              </w:rPr>
              <w:t>as hedging</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instruments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9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non-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w:t>
            </w:r>
          </w:p>
        </w:tc>
        <w:tc>
          <w:tcPr>
            <w:tcW w:w="1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cash flow</w:t>
            </w:r>
          </w:p>
        </w:tc>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Other non-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Other 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non-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cash flow</w:t>
            </w:r>
          </w:p>
        </w:tc>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Net investment</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Other non-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Other 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hedge</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722"/>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24"/>
                <w:szCs w:val="2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Balance Sheet</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classification</w:t>
            </w: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classification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0"/>
                <w:szCs w:val="20"/>
                <w:color w:val="auto"/>
              </w:rPr>
            </w:pPr>
          </w:p>
        </w:tc>
        <w:tc>
          <w:tcPr>
            <w:tcW w:w="9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0" w:type="dxa"/>
            <w:vAlign w:val="bottom"/>
            <w:tcBorders>
              <w:right w:val="single" w:sz="8" w:color="CCEEFF"/>
            </w:tcBorders>
          </w:tcPr>
          <w:p>
            <w:pPr>
              <w:spacing w:after="0"/>
              <w:rPr>
                <w:sz w:val="15"/>
                <w:szCs w:val="15"/>
                <w:color w:val="auto"/>
              </w:rPr>
            </w:pPr>
          </w:p>
        </w:tc>
        <w:tc>
          <w:tcPr>
            <w:tcW w:w="290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color w:val="auto"/>
                <w:w w:val="94"/>
              </w:rPr>
              <w:t>Derivatives not designated as hedging</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instruments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1380" w:type="dxa"/>
            <w:vAlign w:val="bottom"/>
            <w:gridSpan w:val="5"/>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9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non-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380" w:type="dxa"/>
            <w:vAlign w:val="bottom"/>
            <w:tcBorders>
              <w:right w:val="single" w:sz="8" w:color="CCEEFF"/>
            </w:tcBorders>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9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380" w:type="dxa"/>
            <w:vAlign w:val="bottom"/>
            <w:gridSpan w:val="8"/>
            <w:vMerge w:val="restart"/>
          </w:tcPr>
          <w:p>
            <w:pPr>
              <w:spacing w:after="0"/>
              <w:rPr>
                <w:sz w:val="20"/>
                <w:szCs w:val="20"/>
                <w:color w:val="auto"/>
              </w:rPr>
            </w:pPr>
            <w:r>
              <w:rPr>
                <w:rFonts w:ascii="Arial" w:cs="Arial" w:eastAsia="Arial" w:hAnsi="Arial"/>
                <w:sz w:val="18"/>
                <w:szCs w:val="18"/>
                <w:color w:val="auto"/>
              </w:rPr>
              <w:t>Fair Value Hedge Carrying Amounts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gridSpan w:val="8"/>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60" w:type="dxa"/>
            <w:vAlign w:val="bottom"/>
          </w:tcPr>
          <w:p>
            <w:pPr>
              <w:spacing w:after="0"/>
              <w:rPr>
                <w:sz w:val="24"/>
                <w:szCs w:val="24"/>
                <w:color w:val="auto"/>
              </w:rPr>
            </w:pPr>
          </w:p>
        </w:tc>
        <w:tc>
          <w:tcPr>
            <w:tcW w:w="33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10"/>
          </w:tcPr>
          <w:p>
            <w:pPr>
              <w:jc w:val="center"/>
              <w:spacing w:after="0"/>
              <w:rPr>
                <w:sz w:val="20"/>
                <w:szCs w:val="20"/>
                <w:color w:val="auto"/>
              </w:rPr>
            </w:pPr>
            <w:r>
              <w:rPr>
                <w:rFonts w:ascii="Arial" w:cs="Arial" w:eastAsia="Arial" w:hAnsi="Arial"/>
                <w:sz w:val="18"/>
                <w:szCs w:val="18"/>
                <w:color w:val="auto"/>
                <w:w w:val="90"/>
              </w:rPr>
              <w:t>Carrying amount of the hedged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6"/>
          </w:tcPr>
          <w:p>
            <w:pPr>
              <w:jc w:val="center"/>
              <w:spacing w:after="0"/>
              <w:rPr>
                <w:sz w:val="20"/>
                <w:szCs w:val="20"/>
                <w:color w:val="auto"/>
              </w:rPr>
            </w:pPr>
            <w:r>
              <w:rPr>
                <w:rFonts w:ascii="Arial" w:cs="Arial" w:eastAsia="Arial" w:hAnsi="Arial"/>
                <w:sz w:val="18"/>
                <w:szCs w:val="18"/>
                <w:color w:val="auto"/>
                <w:w w:val="91"/>
              </w:rPr>
              <w:t>assets/(liabilities)</w:t>
            </w: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center"/>
              <w:ind w:left="230"/>
              <w:spacing w:after="0"/>
              <w:rPr>
                <w:sz w:val="20"/>
                <w:szCs w:val="20"/>
                <w:color w:val="auto"/>
              </w:rPr>
            </w:pPr>
            <w:r>
              <w:rPr>
                <w:rFonts w:ascii="Arial" w:cs="Arial" w:eastAsia="Arial" w:hAnsi="Arial"/>
                <w:sz w:val="18"/>
                <w:szCs w:val="18"/>
                <w:color w:val="auto"/>
                <w:w w:val="92"/>
              </w:rPr>
              <w:t>March 31,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jc w:val="right"/>
              <w:ind w:right="150"/>
              <w:spacing w:after="0"/>
              <w:rPr>
                <w:sz w:val="20"/>
                <w:szCs w:val="20"/>
                <w:color w:val="auto"/>
              </w:rPr>
            </w:pPr>
            <w:r>
              <w:rPr>
                <w:rFonts w:ascii="Arial" w:cs="Arial" w:eastAsia="Arial" w:hAnsi="Arial"/>
                <w:sz w:val="18"/>
                <w:szCs w:val="18"/>
                <w:color w:val="auto"/>
              </w:rPr>
              <w:t>December 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gridSpan w:val="12"/>
          </w:tcPr>
          <w:p>
            <w:pPr>
              <w:ind w:left="40"/>
              <w:spacing w:after="0"/>
              <w:rPr>
                <w:sz w:val="20"/>
                <w:szCs w:val="20"/>
                <w:color w:val="auto"/>
              </w:rPr>
            </w:pPr>
            <w:r>
              <w:rPr>
                <w:rFonts w:ascii="Arial" w:cs="Arial" w:eastAsia="Arial" w:hAnsi="Arial"/>
                <w:sz w:val="18"/>
                <w:szCs w:val="18"/>
                <w:color w:val="auto"/>
                <w:w w:val="98"/>
              </w:rPr>
              <w:t>Line item in the Balance Sheet in which the hedged item is included</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60" w:type="dxa"/>
            <w:vAlign w:val="bottom"/>
            <w:gridSpan w:val="5"/>
          </w:tcPr>
          <w:p>
            <w:pPr>
              <w:jc w:val="right"/>
              <w:ind w:right="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70"/>
              <w:spacing w:after="0"/>
              <w:rPr>
                <w:sz w:val="20"/>
                <w:szCs w:val="20"/>
                <w:color w:val="auto"/>
              </w:rPr>
            </w:pPr>
            <w:r>
              <w:rPr>
                <w:rFonts w:ascii="Arial" w:cs="Arial" w:eastAsia="Arial" w:hAnsi="Arial"/>
                <w:sz w:val="18"/>
                <w:szCs w:val="18"/>
                <w:color w:val="auto"/>
                <w:w w:val="84"/>
              </w:rPr>
              <w:t>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(90)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As of March 31, 2020, the cumulative amounts of fair value hedging adjustments included in the carrying amount of the hedge assets and liabilities were a gain of $13. As of December 31, 2019, the cumulative amounts of fair value hedging adjustments included in the carrying amount of the hedge assets and liabilities were a loss of $2.</w:t>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880"/>
          </w:cols>
          <w:pgMar w:left="320" w:top="121" w:right="699" w:bottom="1440" w:gutter="0" w:footer="0" w:header="0"/>
          <w:type w:val="continuous"/>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00" w:type="dxa"/>
            <w:vAlign w:val="bottom"/>
          </w:tcPr>
          <w:p>
            <w:pPr>
              <w:jc w:val="center"/>
              <w:ind w:left="430"/>
              <w:spacing w:after="0"/>
              <w:rPr>
                <w:sz w:val="20"/>
                <w:szCs w:val="20"/>
                <w:color w:val="auto"/>
              </w:rPr>
            </w:pPr>
            <w:r>
              <w:rPr>
                <w:rFonts w:ascii="Arial" w:cs="Arial" w:eastAsia="Arial" w:hAnsi="Arial"/>
                <w:sz w:val="18"/>
                <w:szCs w:val="18"/>
                <w:color w:val="auto"/>
                <w:w w:val="89"/>
              </w:rPr>
              <w:t>Gross amounts recognized in</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90"/>
              </w:rPr>
              <w:t>Gross amounts not offset in the</w:t>
            </w:r>
          </w:p>
        </w:tc>
        <w:tc>
          <w:tcPr>
            <w:tcW w:w="13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00" w:type="dxa"/>
            <w:vAlign w:val="bottom"/>
          </w:tcPr>
          <w:p>
            <w:pPr>
              <w:jc w:val="center"/>
              <w:ind w:left="410"/>
              <w:spacing w:after="0"/>
              <w:rPr>
                <w:sz w:val="20"/>
                <w:szCs w:val="20"/>
                <w:color w:val="auto"/>
              </w:rPr>
            </w:pPr>
            <w:r>
              <w:rPr>
                <w:rFonts w:ascii="Arial" w:cs="Arial" w:eastAsia="Arial" w:hAnsi="Arial"/>
                <w:sz w:val="18"/>
                <w:szCs w:val="18"/>
                <w:color w:val="auto"/>
                <w:w w:val="86"/>
              </w:rPr>
              <w:t>the Balance Sheet</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87"/>
              </w:rPr>
              <w:t>Balance Sheet</w:t>
            </w:r>
          </w:p>
        </w:tc>
        <w:tc>
          <w:tcPr>
            <w:tcW w:w="1340" w:type="dxa"/>
            <w:vAlign w:val="bottom"/>
          </w:tcPr>
          <w:p>
            <w:pPr>
              <w:ind w:left="18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760" w:type="dxa"/>
            <w:vAlign w:val="bottom"/>
            <w:gridSpan w:val="3"/>
          </w:tcPr>
          <w:p>
            <w:pPr>
              <w:spacing w:after="0" w:line="196" w:lineRule="exact"/>
              <w:rPr>
                <w:sz w:val="20"/>
                <w:szCs w:val="20"/>
                <w:color w:val="auto"/>
              </w:rPr>
            </w:pPr>
            <w:r>
              <w:rPr>
                <w:rFonts w:ascii="Arial" w:cs="Arial" w:eastAsia="Arial" w:hAnsi="Arial"/>
                <w:sz w:val="18"/>
                <w:szCs w:val="18"/>
                <w:color w:val="auto"/>
              </w:rPr>
              <w:t>Balance at March 31, 2020</w:t>
            </w:r>
          </w:p>
        </w:tc>
        <w:tc>
          <w:tcPr>
            <w:tcW w:w="2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0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$200</w:t>
            </w:r>
          </w:p>
        </w:tc>
        <w:tc>
          <w:tcPr>
            <w:tcW w:w="25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6"/>
              </w:rPr>
              <w:t>$21</w:t>
            </w:r>
          </w:p>
        </w:tc>
        <w:tc>
          <w:tcPr>
            <w:tcW w:w="13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$179</w:t>
            </w:r>
          </w:p>
        </w:tc>
      </w:tr>
      <w:tr>
        <w:trPr>
          <w:trHeight w:val="243"/>
        </w:trPr>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00" w:type="dxa"/>
            <w:vAlign w:val="bottom"/>
          </w:tcPr>
          <w:p>
            <w:pPr>
              <w:jc w:val="center"/>
              <w:ind w:left="410"/>
              <w:spacing w:after="0"/>
              <w:rPr>
                <w:sz w:val="20"/>
                <w:szCs w:val="20"/>
                <w:color w:val="auto"/>
              </w:rPr>
            </w:pPr>
            <w:r>
              <w:rPr>
                <w:rFonts w:ascii="Arial" w:cs="Arial" w:eastAsia="Arial" w:hAnsi="Arial"/>
                <w:sz w:val="18"/>
                <w:szCs w:val="18"/>
                <w:color w:val="auto"/>
                <w:w w:val="93"/>
              </w:rPr>
              <w:t>103</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89"/>
              </w:rPr>
              <w:t>21</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82</w:t>
            </w: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76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2019</w:t>
            </w:r>
          </w:p>
        </w:tc>
        <w:tc>
          <w:tcPr>
            <w:tcW w:w="2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0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9"/>
              </w:rPr>
              <w:t>83</w:t>
            </w:r>
          </w:p>
        </w:tc>
        <w:tc>
          <w:tcPr>
            <w:tcW w:w="25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16</w:t>
            </w:r>
          </w:p>
        </w:tc>
        <w:tc>
          <w:tcPr>
            <w:tcW w:w="13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67</w:t>
            </w:r>
          </w:p>
        </w:tc>
      </w:tr>
      <w:tr>
        <w:trPr>
          <w:trHeight w:val="243"/>
        </w:trPr>
        <w:tc>
          <w:tcPr>
            <w:tcW w:w="2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00" w:type="dxa"/>
            <w:vAlign w:val="bottom"/>
          </w:tcPr>
          <w:p>
            <w:pPr>
              <w:jc w:val="center"/>
              <w:ind w:left="430"/>
              <w:spacing w:after="0"/>
              <w:rPr>
                <w:sz w:val="20"/>
                <w:szCs w:val="20"/>
                <w:color w:val="auto"/>
              </w:rPr>
            </w:pPr>
            <w:r>
              <w:rPr>
                <w:rFonts w:ascii="Arial" w:cs="Arial" w:eastAsia="Arial" w:hAnsi="Arial"/>
                <w:sz w:val="18"/>
                <w:szCs w:val="18"/>
                <w:color w:val="auto"/>
                <w:w w:val="89"/>
              </w:rPr>
              <w:t>49</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89"/>
              </w:rPr>
              <w:t>16</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33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March 31, 2020 and December 31, 2019 were: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March 31, 2020</w:t>
            </w:r>
          </w:p>
        </w:tc>
        <w:tc>
          <w:tcPr>
            <w:tcW w:w="14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w w:val="88"/>
              </w:rPr>
              <w:t>December 31, 2019</w:t>
            </w:r>
          </w:p>
        </w:tc>
      </w:tr>
      <w:tr>
        <w:trPr>
          <w:trHeight w:val="27"/>
        </w:trPr>
        <w:tc>
          <w:tcPr>
            <w:tcW w:w="4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807</w:t>
            </w:r>
          </w:p>
        </w:tc>
        <w:tc>
          <w:tcPr>
            <w:tcW w:w="8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4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Interest rate</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4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1,075</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4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921</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891"/>
        </w:trPr>
        <w:tc>
          <w:tcPr>
            <w:tcW w:w="4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580"/>
          </w:cols>
          <w:pgMar w:left="98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Company's outstanding debt was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ind w:left="640"/>
              <w:spacing w:after="0"/>
              <w:rPr>
                <w:sz w:val="20"/>
                <w:szCs w:val="20"/>
                <w:color w:val="auto"/>
              </w:rPr>
            </w:pPr>
            <w:r>
              <w:rPr>
                <w:rFonts w:ascii="Arial" w:cs="Arial" w:eastAsia="Arial" w:hAnsi="Arial"/>
                <w:sz w:val="18"/>
                <w:szCs w:val="18"/>
                <w:color w:val="auto"/>
              </w:rPr>
              <w:t>March 31, 2020</w:t>
            </w:r>
          </w:p>
        </w:tc>
        <w:tc>
          <w:tcPr>
            <w:tcW w:w="160" w:type="dxa"/>
            <w:vAlign w:val="bottom"/>
          </w:tcPr>
          <w:p>
            <w:pPr>
              <w:spacing w:after="0"/>
              <w:rPr>
                <w:sz w:val="20"/>
                <w:szCs w:val="20"/>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color w:val="auto"/>
              </w:rPr>
              <w:t>December 31, 2019</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20"/>
                <w:szCs w:val="20"/>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0"/>
                <w:szCs w:val="2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Carrying</w:t>
            </w: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60" w:type="dxa"/>
            <w:vAlign w:val="bottom"/>
          </w:tcPr>
          <w:p>
            <w:pPr>
              <w:spacing w:after="0"/>
              <w:rPr>
                <w:sz w:val="23"/>
                <w:szCs w:val="23"/>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3"/>
                <w:szCs w:val="23"/>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75</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Term loan facilities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dollar at LIBOR + 1.5%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70"/>
        </w:trPr>
        <w:tc>
          <w:tcPr>
            <w:tcW w:w="20" w:type="dxa"/>
            <w:vAlign w:val="bottom"/>
          </w:tcPr>
          <w:p>
            <w:pPr>
              <w:spacing w:after="0"/>
              <w:rPr>
                <w:sz w:val="23"/>
                <w:szCs w:val="23"/>
                <w:color w:val="auto"/>
              </w:rPr>
            </w:pPr>
          </w:p>
        </w:tc>
        <w:tc>
          <w:tcPr>
            <w:tcW w:w="4120" w:type="dxa"/>
            <w:vAlign w:val="bottom"/>
            <w:gridSpan w:val="3"/>
          </w:tcPr>
          <w:p>
            <w:pPr>
              <w:ind w:left="680"/>
              <w:spacing w:after="0" w:line="270" w:lineRule="exact"/>
              <w:rPr>
                <w:sz w:val="20"/>
                <w:szCs w:val="20"/>
                <w:color w:val="auto"/>
              </w:rPr>
            </w:pPr>
            <w:r>
              <w:rPr>
                <w:rFonts w:ascii="Arial" w:cs="Arial" w:eastAsia="Arial" w:hAnsi="Arial"/>
                <w:sz w:val="18"/>
                <w:szCs w:val="18"/>
                <w:color w:val="auto"/>
              </w:rPr>
              <w:t>Euro at EURIBOR + 1.5% due 2024</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€650 at 4.0% due 2022</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711</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€335 at 2.25% due 2023</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€500 at 0.75%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€600 at 2.625% due 2024</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€600 at 3.375% due 2025</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U.S. dollar at 4.25% due 2026</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4.75%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U.S. dollar at 7.375% due 2026</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€500 at 2.875%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43"/>
        </w:trPr>
        <w:tc>
          <w:tcPr>
            <w:tcW w:w="20" w:type="dxa"/>
            <w:vAlign w:val="bottom"/>
          </w:tcPr>
          <w:p>
            <w:pPr>
              <w:spacing w:after="0"/>
              <w:rPr>
                <w:sz w:val="21"/>
                <w:szCs w:val="21"/>
                <w:color w:val="auto"/>
              </w:rPr>
            </w:pP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U.S. dollar at 7.50% due 2096</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20" w:type="dxa"/>
            <w:vAlign w:val="bottom"/>
          </w:tcPr>
          <w:p>
            <w:pPr>
              <w:spacing w:after="0"/>
              <w:rPr>
                <w:sz w:val="20"/>
                <w:szCs w:val="20"/>
                <w:color w:val="auto"/>
              </w:rPr>
            </w:pPr>
          </w:p>
        </w:tc>
        <w:tc>
          <w:tcPr>
            <w:tcW w:w="4120" w:type="dxa"/>
            <w:vAlign w:val="bottom"/>
            <w:gridSpan w:val="3"/>
          </w:tcPr>
          <w:p>
            <w:pPr>
              <w:ind w:left="6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8,709</w:t>
            </w:r>
          </w:p>
        </w:tc>
        <w:tc>
          <w:tcPr>
            <w:tcW w:w="3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7,944</w:t>
            </w:r>
          </w:p>
        </w:tc>
        <w:tc>
          <w:tcPr>
            <w:tcW w:w="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20" w:type="dxa"/>
            <w:vAlign w:val="bottom"/>
          </w:tcPr>
          <w:p>
            <w:pPr>
              <w:spacing w:after="0"/>
              <w:rPr>
                <w:sz w:val="20"/>
                <w:szCs w:val="20"/>
                <w:color w:val="auto"/>
              </w:rPr>
            </w:pPr>
          </w:p>
        </w:tc>
        <w:tc>
          <w:tcPr>
            <w:tcW w:w="4120" w:type="dxa"/>
            <w:vAlign w:val="bottom"/>
            <w:gridSpan w:val="3"/>
          </w:tcPr>
          <w:p>
            <w:pPr>
              <w:ind w:left="680"/>
              <w:spacing w:after="0"/>
              <w:rPr>
                <w:sz w:val="20"/>
                <w:szCs w:val="20"/>
                <w:color w:val="auto"/>
              </w:rPr>
            </w:pPr>
            <w:r>
              <w:rPr>
                <w:rFonts w:ascii="Arial" w:cs="Arial" w:eastAsia="Arial" w:hAnsi="Arial"/>
                <w:sz w:val="18"/>
                <w:szCs w:val="18"/>
                <w:color w:val="auto"/>
                <w:w w:val="98"/>
              </w:rPr>
              <w:t>Total long-term debt, less current maturities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8,631</w:t>
            </w:r>
          </w:p>
        </w:tc>
        <w:tc>
          <w:tcPr>
            <w:tcW w:w="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7,882</w:t>
            </w:r>
          </w:p>
        </w:tc>
        <w:tc>
          <w:tcPr>
            <w:tcW w:w="4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7,818</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€447 and €450 at March 31, 2020 and December 31, 2019</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$8,792 at March 31, 2020 and $8,410 at December 31, 2019.</w:t>
      </w:r>
    </w:p>
    <w:p>
      <w:pPr>
        <w:spacing w:after="0" w:line="38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and other postretirement benefits costs for the three months ended March 31, 2020 and 2019 were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jc w:val="right"/>
              <w:ind w:right="350"/>
              <w:spacing w:after="0"/>
              <w:rPr>
                <w:sz w:val="20"/>
                <w:szCs w:val="20"/>
                <w:color w:val="auto"/>
              </w:rPr>
            </w:pPr>
            <w:r>
              <w:rPr>
                <w:rFonts w:ascii="Arial" w:cs="Arial" w:eastAsia="Arial" w:hAnsi="Arial"/>
                <w:sz w:val="18"/>
                <w:szCs w:val="18"/>
                <w:color w:val="auto"/>
              </w:rPr>
              <w:t>Three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Pension benefits – U.S. plans</w:t>
            </w:r>
          </w:p>
        </w:tc>
        <w:tc>
          <w:tcPr>
            <w:tcW w:w="26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4"/>
              </w:rPr>
              <w:t>2019</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Recognized net loss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20" w:type="dxa"/>
            <w:vAlign w:val="bottom"/>
            <w:gridSpan w:val="6"/>
          </w:tcPr>
          <w:p>
            <w:pPr>
              <w:ind w:left="820"/>
              <w:spacing w:after="0"/>
              <w:rPr>
                <w:sz w:val="20"/>
                <w:szCs w:val="20"/>
                <w:color w:val="auto"/>
              </w:rPr>
            </w:pPr>
            <w:r>
              <w:rPr>
                <w:rFonts w:ascii="Arial" w:cs="Arial" w:eastAsia="Arial" w:hAnsi="Arial"/>
                <w:sz w:val="18"/>
                <w:szCs w:val="18"/>
                <w:b w:val="1"/>
                <w:bCs w:val="1"/>
                <w:color w:val="auto"/>
                <w:w w:val="99"/>
              </w:rPr>
              <w:t>Crown Holdings, Inc.</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9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6"/>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jc w:val="center"/>
              <w:ind w:left="49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4"/>
              </w:rPr>
              <w:t>2019</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 / (benefit)</w:t>
            </w:r>
          </w:p>
        </w:tc>
        <w:tc>
          <w:tcPr>
            <w:tcW w:w="1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6"/>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jc w:val="center"/>
              <w:ind w:left="49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0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4"/>
              </w:rPr>
              <w:t>2019</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1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1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three months ended March 31, 2020, the Company recorded settlement charges related to the payment of lump sum buy-outs to settle certain non-U.S. pension obligations using plan assets. The Company may incur additional settlement charges in 2020.</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three months ended March 31, 2019, the Company recorded a curtailment gain to recognize prior service credits that were previously recorded in accumulated other comprehensive income in connection with the closure of a non-U.S. defined benefit pension plan.</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Details about accumulated other</w:t>
            </w:r>
          </w:p>
        </w:tc>
        <w:tc>
          <w:tcPr>
            <w:tcW w:w="200" w:type="dxa"/>
            <w:vAlign w:val="bottom"/>
          </w:tcPr>
          <w:p>
            <w:pPr>
              <w:spacing w:after="0"/>
              <w:rPr>
                <w:sz w:val="23"/>
                <w:szCs w:val="23"/>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23"/>
                <w:szCs w:val="23"/>
                <w:color w:val="auto"/>
              </w:rPr>
            </w:pPr>
          </w:p>
        </w:tc>
        <w:tc>
          <w:tcPr>
            <w:tcW w:w="2340" w:type="dxa"/>
            <w:vAlign w:val="bottom"/>
          </w:tcPr>
          <w:p>
            <w:pPr>
              <w:ind w:left="30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220" w:type="dxa"/>
            <w:vAlign w:val="bottom"/>
            <w:gridSpan w:val="2"/>
            <w:vMerge w:val="restart"/>
          </w:tcPr>
          <w:p>
            <w:pPr>
              <w:ind w:left="260"/>
              <w:spacing w:after="0"/>
              <w:rPr>
                <w:sz w:val="20"/>
                <w:szCs w:val="20"/>
                <w:color w:val="auto"/>
              </w:rPr>
            </w:pPr>
            <w:r>
              <w:rPr>
                <w:rFonts w:ascii="Arial" w:cs="Arial" w:eastAsia="Arial" w:hAnsi="Arial"/>
                <w:sz w:val="18"/>
                <w:szCs w:val="18"/>
                <w:color w:val="auto"/>
              </w:rPr>
              <w:t>comprehensive income components</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vMerge w:val="restart"/>
          </w:tcPr>
          <w:p>
            <w:pPr>
              <w:ind w:left="3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Actuarial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Curtailments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36"/>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580"/>
          </w:cols>
          <w:pgMar w:left="98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currency</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losses on cash</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plans</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flow hedges</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
        <w:r>
          <w:rPr>
            <w:rFonts w:ascii="Arial" w:cs="Arial" w:eastAsia="Arial" w:hAnsi="Arial"/>
            <w:sz w:val="18"/>
            <w:szCs w:val="18"/>
            <w:u w:val="single" w:color="auto"/>
            <w:color w:val="0000EE"/>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8">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and deferred stock transactions during the three months ended March 31, 2020 is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Number of shares</w:t>
            </w:r>
          </w:p>
        </w:tc>
      </w:tr>
      <w:tr>
        <w:trPr>
          <w:trHeight w:val="27"/>
        </w:trPr>
        <w:tc>
          <w:tcPr>
            <w:tcW w:w="7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2020</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2,102,654</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Awarded:</w:t>
            </w:r>
          </w:p>
        </w:tc>
        <w:tc>
          <w:tcPr>
            <w:tcW w:w="162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 shares</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68,824</w:t>
            </w:r>
          </w:p>
        </w:tc>
      </w:tr>
      <w:tr>
        <w:trPr>
          <w:trHeight w:val="243"/>
        </w:trPr>
        <w:tc>
          <w:tcPr>
            <w:tcW w:w="792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161,426</w:t>
            </w:r>
          </w:p>
        </w:tc>
      </w:tr>
      <w:tr>
        <w:trPr>
          <w:trHeight w:val="27"/>
        </w:trPr>
        <w:tc>
          <w:tcPr>
            <w:tcW w:w="79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380"/>
              <w:spacing w:after="0"/>
              <w:rPr>
                <w:sz w:val="20"/>
                <w:szCs w:val="20"/>
                <w:color w:val="auto"/>
              </w:rPr>
            </w:pPr>
            <w:r>
              <w:rPr>
                <w:rFonts w:ascii="Arial" w:cs="Arial" w:eastAsia="Arial" w:hAnsi="Arial"/>
                <w:sz w:val="18"/>
                <w:szCs w:val="18"/>
                <w:color w:val="auto"/>
              </w:rPr>
              <w:t>Time-vesting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(82,427)</w:t>
            </w:r>
          </w:p>
        </w:tc>
      </w:tr>
      <w:tr>
        <w:trPr>
          <w:trHeight w:val="27"/>
        </w:trPr>
        <w:tc>
          <w:tcPr>
            <w:tcW w:w="79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shares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(163,458)</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62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Time-vesting shares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(47,700)</w:t>
            </w:r>
          </w:p>
        </w:tc>
      </w:tr>
      <w:tr>
        <w:trPr>
          <w:trHeight w:val="243"/>
        </w:trPr>
        <w:tc>
          <w:tcPr>
            <w:tcW w:w="792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March 31, 2020</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2,039,319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weighted average grant-date fair values of awards issued during the three months ended March 31, 2020 were $70.31 for the time-vesting stock awards and $72.47 for the performance-based stock awards.</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fair value of the performance-based shares subject to a market condition awarded in 2020 was calculated using a Monte Carlo valuation model, including a weighted average stock price volatility of 22.0%, an expected term of three years, and a weighted average risk-free interest rate of 1.60%.</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March 31, 2020, unrecognized compensation cost related to outstanding non-vested stock awards was $70. The weighted average period over which the expense is expected to be recognized is 2.83 years. The aggregate market value of the shares released on the vesting dates was $12 for the three months ended March 31, 2020.</w:t>
      </w:r>
    </w:p>
    <w:p>
      <w:pPr>
        <w:spacing w:after="0" w:line="396"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2020 and 2019, the Company recognized revenue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r>
      <w:tr>
        <w:trPr>
          <w:trHeight w:val="270"/>
        </w:trPr>
        <w:tc>
          <w:tcPr>
            <w:tcW w:w="4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94"/>
              </w:rPr>
              <w:t>2019</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2">
        <w:r>
          <w:rPr>
            <w:rFonts w:ascii="Arial" w:cs="Arial" w:eastAsia="Arial" w:hAnsi="Arial"/>
            <w:sz w:val="18"/>
            <w:szCs w:val="18"/>
            <w:u w:val="single" w:color="auto"/>
            <w:color w:val="0000EE"/>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8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2019</w:t>
            </w:r>
          </w:p>
        </w:tc>
      </w:tr>
      <w:tr>
        <w:trPr>
          <w:trHeight w:val="27"/>
        </w:trPr>
        <w:tc>
          <w:tcPr>
            <w:tcW w:w="5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32</w:t>
            </w: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15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28</w:t>
            </w: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5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Contract assets at March 31, 2020 primarily relates to revenue recognized for customized work-in-process inventory in the Company's equipment business and European three-piece food can product businesses.</w:t>
      </w:r>
    </w:p>
    <w:p>
      <w:pPr>
        <w:spacing w:after="0" w:line="170"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During the three months ended March 31, 2020, the Company recognized revenue of $1 related to contract liabilities at December 31, 2019 for performance obligations satisfied during the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171"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Dilutive restricted stock</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67"/>
        </w:trPr>
        <w:tc>
          <w:tcPr>
            <w:tcW w:w="4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For the three months ended March 31, 2020 and 2019, 0.4 million and 0.2 million contingently issuable common shares were excluded from the computation of diluted earnings per share because the effect would be anti-dilutive.</w:t>
      </w:r>
    </w:p>
    <w:p>
      <w:pPr>
        <w:spacing w:after="0" w:line="382"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rFonts w:ascii="Arial" w:cs="Arial" w:eastAsia="Arial" w:hAnsi="Arial"/>
          <w:sz w:val="18"/>
          <w:szCs w:val="18"/>
          <w:b w:val="1"/>
          <w:bCs w:val="1"/>
          <w:color w:val="auto"/>
        </w:rPr>
      </w:pPr>
    </w:p>
    <w:p>
      <w:pPr>
        <w:jc w:val="both"/>
        <w:ind w:left="6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183"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tables below present information about the Company's operating segments.</w:t>
      </w:r>
    </w:p>
    <w:p>
      <w:pPr>
        <w:spacing w:after="0" w:line="38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External Sales</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The primary sources of revenue included in non-reportable segments are the Company's food can and closures business in North America, aerosol can businesses in North America and Europe, its promotional packaging business in Europe and its tooling and equipment operations in the U.S. and U.K.</w:t>
      </w:r>
    </w:p>
    <w:p>
      <w:pPr>
        <w:sectPr>
          <w:pgSz w:w="11900" w:h="16838" w:orient="portrait"/>
          <w:cols w:equalWidth="0" w:num="1">
            <w:col w:w="11232"/>
          </w:cols>
          <w:pgMar w:left="328" w:top="121" w:right="339" w:bottom="1440" w:gutter="0" w:footer="0" w:header="0"/>
        </w:sect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32"/>
          </w:cols>
          <w:pgMar w:left="328"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920" w:type="dxa"/>
            <w:vAlign w:val="bottom"/>
            <w:gridSpan w:val="4"/>
          </w:tcPr>
          <w:p>
            <w:pPr>
              <w:ind w:left="1140"/>
              <w:spacing w:after="0"/>
              <w:rPr>
                <w:sz w:val="20"/>
                <w:szCs w:val="20"/>
                <w:color w:val="auto"/>
              </w:rPr>
            </w:pPr>
            <w:r>
              <w:rPr>
                <w:rFonts w:ascii="Arial" w:cs="Arial" w:eastAsia="Arial" w:hAnsi="Arial"/>
                <w:sz w:val="18"/>
                <w:szCs w:val="18"/>
                <w:b w:val="1"/>
                <w:bCs w:val="1"/>
                <w:color w:val="auto"/>
                <w:w w:val="98"/>
              </w:rPr>
              <w:t>Crown Holdings, Inc.</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10"/>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3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center"/>
              <w:ind w:right="11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30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3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2019</w:t>
            </w:r>
          </w:p>
        </w:tc>
      </w:tr>
      <w:tr>
        <w:trPr>
          <w:trHeight w:val="27"/>
        </w:trPr>
        <w:tc>
          <w:tcPr>
            <w:tcW w:w="30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0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0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gridSpan w:val="4"/>
          </w:tcPr>
          <w:p>
            <w:pPr>
              <w:jc w:val="center"/>
              <w:ind w:left="290"/>
              <w:spacing w:after="0"/>
              <w:rPr>
                <w:sz w:val="20"/>
                <w:szCs w:val="20"/>
                <w:color w:val="auto"/>
              </w:rPr>
            </w:pPr>
            <w:r>
              <w:rPr>
                <w:rFonts w:ascii="Arial" w:cs="Arial" w:eastAsia="Arial" w:hAnsi="Arial"/>
                <w:sz w:val="18"/>
                <w:szCs w:val="18"/>
                <w:color w:val="auto"/>
                <w:w w:val="89"/>
              </w:rPr>
              <w:t>Segment Income</w:t>
            </w:r>
          </w:p>
        </w:tc>
        <w:tc>
          <w:tcPr>
            <w:tcW w:w="3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04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317</w:t>
            </w:r>
          </w:p>
        </w:tc>
        <w:tc>
          <w:tcPr>
            <w:tcW w:w="2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318</w:t>
            </w: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r>
      <w:tr>
        <w:trPr>
          <w:trHeight w:val="270"/>
        </w:trPr>
        <w:tc>
          <w:tcPr>
            <w:tcW w:w="4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right"/>
              <w:ind w:right="350"/>
              <w:spacing w:after="0"/>
              <w:rPr>
                <w:sz w:val="20"/>
                <w:szCs w:val="20"/>
                <w:color w:val="auto"/>
              </w:rPr>
            </w:pPr>
            <w:r>
              <w:rPr>
                <w:rFonts w:ascii="Arial" w:cs="Arial" w:eastAsia="Arial" w:hAnsi="Arial"/>
                <w:sz w:val="18"/>
                <w:szCs w:val="18"/>
                <w:color w:val="auto"/>
              </w:rPr>
              <w:t>March 31,</w:t>
            </w:r>
          </w:p>
        </w:tc>
        <w:tc>
          <w:tcPr>
            <w:tcW w:w="38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317</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Accelerated depreciation</w:t>
            </w:r>
          </w:p>
        </w:tc>
        <w:tc>
          <w:tcPr>
            <w:tcW w:w="740" w:type="dxa"/>
            <w:vAlign w:val="bottom"/>
          </w:tcPr>
          <w:p>
            <w:pPr>
              <w:spacing w:after="0"/>
              <w:rPr>
                <w:sz w:val="21"/>
                <w:szCs w:val="2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740" w:type="dxa"/>
            <w:vAlign w:val="bottom"/>
          </w:tcPr>
          <w:p>
            <w:pPr>
              <w:spacing w:after="0"/>
              <w:rPr>
                <w:sz w:val="21"/>
                <w:szCs w:val="2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46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151</w:t>
            </w:r>
          </w:p>
        </w:tc>
        <w:tc>
          <w:tcPr>
            <w:tcW w:w="2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178</w:t>
            </w:r>
          </w:p>
        </w:tc>
      </w:tr>
      <w:tr>
        <w:trPr>
          <w:trHeight w:val="27"/>
        </w:trPr>
        <w:tc>
          <w:tcPr>
            <w:tcW w:w="46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2020, intercompany profits of less than $1 were eliminated within segment income of non-reportable segments.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2019, intercompany profits of $1 were eliminated within segment income of non-reportable segments.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ectPr>
          <w:pgSz w:w="11900" w:h="16838" w:orient="portrait"/>
          <w:cols w:equalWidth="0" w:num="1">
            <w:col w:w="10580"/>
          </w:cols>
          <w:pgMar w:left="980" w:top="121" w:right="339" w:bottom="1440" w:gutter="0" w:footer="0" w:header="0"/>
        </w:sectPr>
      </w:pP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580"/>
          </w:cols>
          <w:pgMar w:left="98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60" w:right="368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months ended March 31, 2020 compared to 2019 and changes in financial condition and liquidity from December 31, 2019. This discussion should be read in conjunction with the consolidated financial statements and notes thereto included in the Company's Annual Report on Form 10-K for the year ended December 31, 2019, along with the consolidated financial statements and related notes included in and referred to within this report.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18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For several years, global industry demand for beverage cans has been growing. After many years of relatively flat volumes, beverage can growth in North America has accelerated mainly due to the outsized portion of new beverage products being introduced in cans versus other packaging formats. In addition, markets such as Brazil, Europe and Southeast Asia have also experienced higher volumes and market expansion. While the Company expects beverage can demand to continue to grow in the coming years, the impact of the coronavirus pandemic is expected to weaken demand in the near term in certain areas such as Brazil, Mexico and Southeast Asia.</w:t>
      </w:r>
    </w:p>
    <w:p>
      <w:pPr>
        <w:spacing w:after="0" w:line="17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to its beverage can operations, the Company continues to generate strong returns on invested capital and significant cash flow from its non-beverage can operations including its global food can and transit packaging businesses. Due to the impact of the coronavirus pandemic, the Company expects lower demand in several of the industries served by its transit packaging businesses.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primary capital allocation focus will be to reduce leverage, as was successfully accomplished following previous acquisitions, and begin to return capital to its shareholders. In November 2019, the Company announced a Board-led review of the Company's portfolio and capital allocation, which is ongoing.</w:t>
      </w:r>
    </w:p>
    <w:p>
      <w:pPr>
        <w:spacing w:after="0" w:line="18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direct response to the coronavirus pandemic, the Company has taken specific actions to ensure the safety of its employees. Following the implementation of travel and visitor restrictions in February, the Company continues to update its policies as new information becomes available. The Company has increased safety measures in its manufacturing facilities to protect the safety of its employees and the products they produce. In addition, as many employees as possible are working remotely.</w:t>
      </w:r>
    </w:p>
    <w:p>
      <w:pPr>
        <w:spacing w:after="0" w:line="18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 in transit.</w:t>
      </w:r>
    </w:p>
    <w:p>
      <w:pPr>
        <w:spacing w:after="0" w:line="18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1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segments, the Canadian dollar and Mexican peso in the Company's Americas segments and the euro in the Company's Transit Packaging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391"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Three Months Ended</w:t>
      </w:r>
    </w:p>
    <w:p>
      <w:pPr>
        <w:spacing w:after="0" w:line="63"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9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4448810"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48810" cy="179705"/>
                    </a:xfrm>
                    <a:prstGeom prst="rect">
                      <a:avLst/>
                    </a:prstGeom>
                    <a:noFill/>
                  </pic:spPr>
                </pic:pic>
              </a:graphicData>
            </a:graphic>
          </wp:anchor>
        </w:drawing>
      </w:r>
    </w:p>
    <w:p>
      <w:pPr>
        <w:spacing w:after="0" w:line="43" w:lineRule="exact"/>
        <w:rPr>
          <w:sz w:val="20"/>
          <w:szCs w:val="20"/>
          <w:color w:val="auto"/>
        </w:rPr>
      </w:pPr>
    </w:p>
    <w:p>
      <w:pPr>
        <w:ind w:left="680"/>
        <w:spacing w:after="0"/>
        <w:tabs>
          <w:tab w:leader="none" w:pos="5280" w:val="left"/>
          <w:tab w:leader="none" w:pos="5880" w:val="left"/>
          <w:tab w:leader="none" w:pos="6580" w:val="left"/>
          <w:tab w:leader="none" w:pos="7180" w:val="left"/>
        </w:tabs>
        <w:rPr>
          <w:sz w:val="20"/>
          <w:szCs w:val="20"/>
          <w:color w:val="auto"/>
        </w:rPr>
      </w:pPr>
      <w:r>
        <w:rPr>
          <w:rFonts w:ascii="Arial" w:cs="Arial" w:eastAsia="Arial" w:hAnsi="Arial"/>
          <w:sz w:val="18"/>
          <w:szCs w:val="18"/>
          <w:color w:val="auto"/>
        </w:rPr>
        <w:t>Net 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2,755</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Net sales increased primarily due to 10% higher beverage can sales unit volumes partially offset by the pass-through of lower aluminum costs and $40 from the impact of foreign currency translation.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market growth due to the introduction of new beverage products in cans versus other packaging formats. To meet volume requirements in the U.S. and Canadian beverage can markets, the Company began construction of a third line at its Nichols, NY facility which is expected to begin production during the second quarter of 2020 and announced a new beverage can facility in Bowling Green, Kentucky, which is expected to begin production in the second quarter of 2021. Additionally, a new beverage can line at the Weston, Ontario plant began production in January 2020.</w:t>
      </w:r>
    </w:p>
    <w:p>
      <w:pPr>
        <w:spacing w:after="0" w:line="19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packaging formats. In November 2019, the Company commenced operations at a new one-line beverage can facility in Rio Verde, Brazil.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871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788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134</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113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Net sales increased primarily due to 15% higher sales unit volumes partially offset by the pass-through of lower aluminum costs and $9 from the impact of foreign currency translation.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Segment income increased primarily due to higher sales unit volume and improved pricing in North America partially offset by $2 from the impact of foreign currency translation.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February 2019, the second line of the beverage can plant in Valencia, Spain began operations. The multi-year project to convert beverage can capacity in Spain from steel to aluminum is nearing completion as both lines in the Seville, Spain plant, which have multi-size capability, are expected to be in commercial production in the second quarter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346</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Net sales increased primarily due to 5% higher sales unit volumes partially offset by the pass-through of lower aluminum costs and $6 from the impact of foreign currency translation.</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was comparable as the impact of higher sales unit volumes was partially offset by cost inflation.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European Food segment manufactures steel and aluminum food cans and ends and metal vacuum closures, and supplies a variety of customers from its operations throughout Europe and Africa. The European food can market is a mature market where consumer preference continues to favor the can due to product protection and food preservation; however, challenging harvest yields have led to volume declines in recent years.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402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423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Net sales decreased primarily due to $12 from the impact of foreign currency translation, 1% lower sales unit volumes and the pass-through of lower raw material costs.</w:t>
      </w:r>
    </w:p>
    <w:p>
      <w:pPr>
        <w:spacing w:after="0" w:line="116" w:lineRule="exact"/>
        <w:rPr>
          <w:sz w:val="20"/>
          <w:szCs w:val="20"/>
          <w:color w:val="auto"/>
        </w:rPr>
      </w:pPr>
    </w:p>
    <w:p>
      <w:pPr>
        <w:ind w:left="660" w:right="440"/>
        <w:spacing w:after="0" w:line="340" w:lineRule="auto"/>
        <w:rPr>
          <w:sz w:val="20"/>
          <w:szCs w:val="20"/>
          <w:color w:val="auto"/>
        </w:rPr>
      </w:pPr>
      <w:r>
        <w:rPr>
          <w:rFonts w:ascii="Arial" w:cs="Arial" w:eastAsia="Arial" w:hAnsi="Arial"/>
          <w:sz w:val="18"/>
          <w:szCs w:val="18"/>
          <w:color w:val="auto"/>
        </w:rPr>
        <w:t>Segment income decreased primarily due to $18 arising from the carryover of tinplate costs from prior year-end inventory, partially offset by improved cost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The Company has begun construction of a new beverage can plant in Nong Khae, Thailand, which will begin production during the third quarter of 2020. In response to market conditions in China, the Company closed its Huizhou facility in early 2019. Following this closure, the Company has three beverage can plants in China with approximately $75 in annual sales.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321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decreased primarily due to the pass-through of lower aluminum costs and lower sales unit volumes related to the recent plant closures in China, partially offset by 6% higher sales unit volumes in Southeast Asia.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was comparable as the impact of higher sales unit volumes was offset by cost inflation.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Transit Packaging segment includes the Company's global industrial and protective solutions and equipment and tools businesses.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are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522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569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Net sales decreased primarily due to lower sales unit volumes due to lower economic activity, the pass-through of lower raw material prices and $10 from the impact of foreign currency translation.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Segment income decreased primarily due to lower sales unit volumes partially offset by favorable product mix and improved cost performance.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Company's non-reportable segments include its food can and closures businesses in North America, its aerosol can businesses in North America and Europe, and its tooling and equipment operations in the U.S. and U.K.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00" w:type="dxa"/>
            <w:vAlign w:val="bottom"/>
            <w:gridSpan w:val="4"/>
          </w:tcPr>
          <w:p>
            <w:pPr>
              <w:ind w:left="140"/>
              <w:spacing w:after="0"/>
              <w:rPr>
                <w:sz w:val="20"/>
                <w:szCs w:val="20"/>
                <w:color w:val="auto"/>
              </w:rPr>
            </w:pPr>
            <w:r>
              <w:rPr>
                <w:rFonts w:ascii="Arial" w:cs="Arial" w:eastAsia="Arial" w:hAnsi="Arial"/>
                <w:sz w:val="18"/>
                <w:szCs w:val="18"/>
                <w:b w:val="1"/>
                <w:bCs w:val="1"/>
                <w:color w:val="auto"/>
                <w:w w:val="97"/>
              </w:rPr>
              <w:t>Crown Holdings, Inc.</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48"/>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Item 2. Management's Discussion and Analysis </w:t>
            </w:r>
            <w:r>
              <w:rPr>
                <w:rFonts w:ascii="Arial" w:cs="Arial" w:eastAsia="Arial" w:hAnsi="Arial"/>
                <w:sz w:val="18"/>
                <w:szCs w:val="18"/>
                <w:color w:val="auto"/>
                <w:w w:val="92"/>
              </w:rPr>
              <w:t>(Continued)</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94"/>
        </w:trPr>
        <w:tc>
          <w:tcPr>
            <w:tcW w:w="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6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23"/>
                <w:szCs w:val="23"/>
                <w:color w:val="auto"/>
              </w:rPr>
            </w:pPr>
          </w:p>
        </w:tc>
      </w:tr>
      <w:tr>
        <w:trPr>
          <w:trHeight w:val="27"/>
        </w:trPr>
        <w:tc>
          <w:tcPr>
            <w:tcW w:w="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94"/>
              </w:rPr>
              <w:t>2019</w:t>
            </w:r>
          </w:p>
        </w:tc>
      </w:tr>
      <w:tr>
        <w:trPr>
          <w:trHeight w:val="27"/>
        </w:trPr>
        <w:tc>
          <w:tcPr>
            <w:tcW w:w="66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66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2019</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were comparable as higher sales in the Company's equipment operations were partially offset by lower sales unit volumes in the Company's global aerosol can businesses and $2 from the impact of foreign currency translation.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$16 arising from the carryover of tinplate costs from the prior year-end inventory.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Corporate and Unallocated Expense</w:t>
      </w:r>
    </w:p>
    <w:p>
      <w:pPr>
        <w:spacing w:after="0" w:line="175"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Three Months Ended</w:t>
      </w:r>
    </w:p>
    <w:p>
      <w:pPr>
        <w:spacing w:after="0" w:line="63"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31750</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57" w:lineRule="exact"/>
        <w:rPr>
          <w:sz w:val="20"/>
          <w:szCs w:val="20"/>
          <w:color w:val="auto"/>
        </w:rPr>
      </w:pPr>
    </w:p>
    <w:p>
      <w:pPr>
        <w:ind w:left="5540"/>
        <w:spacing w:after="0"/>
        <w:tabs>
          <w:tab w:leader="none" w:pos="680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4380230"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80230" cy="179705"/>
                    </a:xfrm>
                    <a:prstGeom prst="rect">
                      <a:avLst/>
                    </a:prstGeom>
                    <a:noFill/>
                  </pic:spPr>
                </pic:pic>
              </a:graphicData>
            </a:graphic>
          </wp:anchor>
        </w:drawing>
      </w:r>
    </w:p>
    <w:p>
      <w:pPr>
        <w:spacing w:after="0" w:line="43" w:lineRule="exact"/>
        <w:rPr>
          <w:sz w:val="20"/>
          <w:szCs w:val="20"/>
          <w:color w:val="auto"/>
        </w:rPr>
      </w:pPr>
    </w:p>
    <w:p>
      <w:pPr>
        <w:ind w:left="680"/>
        <w:spacing w:after="0"/>
        <w:tabs>
          <w:tab w:leader="none" w:pos="5180" w:val="left"/>
          <w:tab w:leader="none" w:pos="5900" w:val="left"/>
          <w:tab w:leader="none" w:pos="6460" w:val="left"/>
          <w:tab w:leader="none" w:pos="7200" w:val="left"/>
        </w:tabs>
        <w:rPr>
          <w:sz w:val="20"/>
          <w:szCs w:val="20"/>
          <w:color w:val="auto"/>
        </w:rPr>
      </w:pPr>
      <w:r>
        <w:rPr>
          <w:rFonts w:ascii="Arial" w:cs="Arial" w:eastAsia="Arial" w:hAnsi="Arial"/>
          <w:sz w:val="18"/>
          <w:szCs w:val="18"/>
          <w:color w:val="auto"/>
        </w:rPr>
        <w:t>Corporate and unallocated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w:t>
        <w:tab/>
        <w:t>$</w:t>
      </w:r>
      <w:r>
        <w:rPr>
          <w:sz w:val="20"/>
          <w:szCs w:val="20"/>
          <w:color w:val="auto"/>
        </w:rPr>
        <w:tab/>
      </w:r>
      <w:r>
        <w:rPr>
          <w:rFonts w:ascii="Arial" w:cs="Arial" w:eastAsia="Arial" w:hAnsi="Arial"/>
          <w:sz w:val="16"/>
          <w:szCs w:val="16"/>
          <w:color w:val="auto"/>
        </w:rPr>
        <w:t>(39)</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in 2019 and 2020.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March 31, 2020 compared to 2019, interest expense decreased from $98 to $80 due to lower average outstanding debt and lower interest rates.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Taxes on Income</w:t>
            </w: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53"/>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The Company's effective income tax rate was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12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2019</w:t>
            </w:r>
          </w:p>
        </w:tc>
      </w:tr>
      <w:tr>
        <w:trPr>
          <w:trHeight w:val="27"/>
        </w:trPr>
        <w:tc>
          <w:tcPr>
            <w:tcW w:w="12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2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tax rate for the three months ended March 31, 2020, included a benefit of $4 arising from a tax law change in India.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29"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For the three months ended March 31, 2020 compared to 2019, net income attributable to noncontrolling interests decreased from $28 to $26 primarily due to a benefit in 2019 related to a favorable court ruling for one of the Company's Brazilian subsidiaries related to indirect taxes.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Cash used for operating activities decreased from $666 for the three months ended March 31, 2019 to $607 for the three months ended March 31, 2020. The improvement was primarily due to changes in working capital.</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right="20"/>
        <w:spacing w:after="0" w:line="342" w:lineRule="auto"/>
        <w:rPr>
          <w:sz w:val="20"/>
          <w:szCs w:val="20"/>
          <w:color w:val="auto"/>
        </w:rPr>
      </w:pPr>
      <w:r>
        <w:rPr>
          <w:rFonts w:ascii="Arial" w:cs="Arial" w:eastAsia="Arial" w:hAnsi="Arial"/>
          <w:sz w:val="16"/>
          <w:szCs w:val="16"/>
          <w:color w:val="auto"/>
        </w:rPr>
        <w:t>Days sales outstanding for trade receivables, excluding the impact of unbilled receivables, was 41 days as of March 31, 2019 compared to 36 days as of March 31, 2020 primarily related to the derecognition of receivables under the Company's securitization and factoring programs.</w:t>
      </w:r>
    </w:p>
    <w:p>
      <w:pPr>
        <w:spacing w:after="0" w:line="124"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Inventory turnover was 70 days at March 31, 2019 compared to 65 days at March 31, 2020 primarily due to lower inventory levels in the Transit Packaging segment. Inventory turnover at March 31, 2020 increased compared to 63 days at December 31, 2019 due to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 outstanding for trade payables was 88 days at March 31, 2019 compared to 85 days at March 31,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Cash used for investing activities increased from $64 for the three months ended March 31, 2019 to $96 for the three months ended March 31, 2020 primarily due to increased capital expenditures.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Cash provided by financing activities increased from $417 for the three months ended March 31, 2019 to $882 for the three months ended March 31, 2020 due to higher net borrowings. Additionally, the Company repurchased $57 of capital stock during the three months ended March 31,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March 31, 2020, $391 of the Company's $765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$333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19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As of March 31, 2020, the Company had $757 of borrowing capacity available under its revolving credit facility, equal to the total facility of $1,650 less borrowings of $828 and outstanding standby letters of credit of $65. The Company could have borrowed this amount at March 31, 2020 and still been in compliance with its leverage ratio covenants. The Company's net total leverage ratio, as defined by the credit agreement, of 4.47 to 1.0 at March 31, 2020 was in compliance with the covenant requiring a ratio of no greater than 5.75 to 1.0. The required net total leverage ratio under the agreement reduces to 5.0 to 1.0 at December 31, 2020 and 4.5 to 1.0 at December 31, 2022.</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As of March 31, 2020, the Company had approximately $96 of capital commitments primarily related to its Americas Beverage and European Beverage segments. The Company expects to fund these commitments primarily through cash flows generated from operations.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During the three months ended March 31, 2020 there were no material changes to the Company's contractual obligations provided within Part II, Item 7, “Management's Discussion and Analysis of Financial Condition and Results of Operations” of the Company's Annual Report on Form 10-K for the year ended December 31, 2019, which information is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disclosed in Note K, the Company has senior notes and debentures outstanding, which have various guarantees.</w:t>
      </w:r>
    </w:p>
    <w:p>
      <w:pPr>
        <w:spacing w:after="0" w:line="225"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Company’s outstanding $350 principal amount of 7.375% senior notes due 2026 and $40 principal amount 7.5% senior notes due 2096 were issued by Crown Cork &amp; Seal Company, Inc. (Crown Cork Issuer), a 100% owned subsidiary of the Company and are fully and unconditionally guaranteed by Crown Holdings, Inc. (Parent). No other subsidiary guarantees the debt and the guarantees are made on a joint and several basis.</w:t>
      </w:r>
    </w:p>
    <w:p>
      <w:pPr>
        <w:spacing w:after="0" w:line="14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Company’s $1,000 principal amount 4.5% senior notes due 2023, $400 principal amount of 4.25% senior notes due 2026, and $875 principal amount of 4.75% senior notes due 2026 were issued by Crown Americas LLC and Crown Americas Capital Corp. IV, Crown Americas Capital Corp. V and Crown Americas Capital Corp. VI, respectively (collectively, the Crown Americas Issuer), each a 100% owned subsidiary of the Company, and are fully and unconditionally guaranteed by the Parent and substantially all of its subsidiaries in the United States. Each of the guarantors to these senior notes (collectively, the Crown Americas Guarantors) is a 100% owned subsidiary of the Company and the guarantees are made on a joint and several basis. The other subsidiaries of the Company do not guarantee the debt.</w:t>
      </w:r>
    </w:p>
    <w:p>
      <w:pPr>
        <w:spacing w:after="0" w:line="178" w:lineRule="exact"/>
        <w:rPr>
          <w:sz w:val="20"/>
          <w:szCs w:val="20"/>
          <w:color w:val="auto"/>
        </w:rPr>
      </w:pPr>
    </w:p>
    <w:p>
      <w:pPr>
        <w:jc w:val="both"/>
        <w:ind w:left="660"/>
        <w:spacing w:after="0" w:line="220" w:lineRule="exact"/>
        <w:rPr>
          <w:sz w:val="20"/>
          <w:szCs w:val="20"/>
          <w:color w:val="auto"/>
        </w:rPr>
      </w:pPr>
      <w:r>
        <w:rPr>
          <w:rFonts w:ascii="Arial" w:cs="Arial" w:eastAsia="Arial" w:hAnsi="Arial"/>
          <w:sz w:val="18"/>
          <w:szCs w:val="18"/>
          <w:color w:val="auto"/>
        </w:rPr>
        <w:t>The senior notes described above and issued by the Crown Cork Issuer and the Crown Americas Issuer are collectively referred to as the senior notes, the Crown Cork Issuer and the Crown Americas Issuer are collectively referred to as the issuers, the Parent and the Crown Americas Guarantors are collectively referred to as the guarantors and the subsidiaries of the Company that do not guarantee the senior notes are collectively referred to as the non</w:t>
      </w:r>
      <w:r>
        <w:rPr>
          <w:rFonts w:ascii="MS PGothic" w:cs="MS PGothic" w:eastAsia="MS PGothic" w:hAnsi="MS PGothic"/>
          <w:sz w:val="18"/>
          <w:szCs w:val="18"/>
          <w:color w:val="auto"/>
        </w:rPr>
        <w:t>‑</w:t>
      </w:r>
      <w:r>
        <w:rPr>
          <w:rFonts w:ascii="Arial" w:cs="Arial" w:eastAsia="Arial" w:hAnsi="Arial"/>
          <w:sz w:val="18"/>
          <w:szCs w:val="18"/>
          <w:color w:val="auto"/>
        </w:rPr>
        <w:t>guarantors.</w:t>
      </w:r>
    </w:p>
    <w:p>
      <w:pPr>
        <w:spacing w:after="0" w:line="20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Each of the Parent (in the case of the senior notes issued by the Crown Cork Issuer) and the Crown Americas Guarantors (in the case of the senior notes issued by the Crown Americas Issuer) guarantee the payment of the principal and premium, if any, and interest on the senior notes when due, whether at stated maturity of the senior notes, by acceleration, call for redemption or otherwise, together with interest on the overdue principal, if any, and interest on any overdue interest, to the extent lawful, and all other obligations of the Company to the holders of the senior notes and to the trustee under the applicable indenture governing the senior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notes and guarantees are senior unsecured obligations of the issuers and the guarantors, and are</w:t>
      </w:r>
    </w:p>
    <w:p>
      <w:pPr>
        <w:spacing w:after="0" w:line="225" w:lineRule="exact"/>
        <w:rPr>
          <w:sz w:val="20"/>
          <w:szCs w:val="20"/>
          <w:color w:val="auto"/>
        </w:rPr>
      </w:pPr>
    </w:p>
    <w:p>
      <w:pPr>
        <w:ind w:left="1300" w:right="160" w:hanging="320"/>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2" w:lineRule="exact"/>
        <w:rPr>
          <w:rFonts w:ascii="Arial" w:cs="Arial" w:eastAsia="Arial" w:hAnsi="Arial"/>
          <w:sz w:val="18"/>
          <w:szCs w:val="18"/>
          <w:color w:val="auto"/>
        </w:rPr>
      </w:pPr>
    </w:p>
    <w:p>
      <w:pPr>
        <w:ind w:left="1300" w:right="260" w:hanging="320"/>
        <w:spacing w:after="0" w:line="28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ranked equal in right of payment to any existing or future senior indebtedness of the issuers and the guarantors;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ranked senior in right of payment to all existing and future subordinated indebtedness of the issuers and the guarantors.</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guarantee of a guarantor other than the Parent will be unconditionally released and discharged upon any of the following:</w:t>
      </w:r>
    </w:p>
    <w:p>
      <w:pPr>
        <w:spacing w:after="0" w:line="225" w:lineRule="exact"/>
        <w:rPr>
          <w:sz w:val="20"/>
          <w:szCs w:val="20"/>
          <w:color w:val="auto"/>
        </w:rPr>
      </w:pPr>
    </w:p>
    <w:p>
      <w:pPr>
        <w:jc w:val="both"/>
        <w:ind w:left="1340" w:right="20" w:hanging="333"/>
        <w:spacing w:after="0" w:line="263"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transfer (including, without limitation, by way of consolidation or merger) by the Parent or any subsidiary of the Parent to any person or entity that is not the Parent or a subsidiary of the Parent of all of the equity interests of, or all or substantially all of the properties and assets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1340" w:hanging="333"/>
        <w:spacing w:after="0" w:line="269" w:lineRule="auto"/>
        <w:tabs>
          <w:tab w:leader="none" w:pos="1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transfer (including, without limitation, by way of consolidation or merger) by the Parent or any subsidiary of the Parent to any person or entity that is not the Parent or a subsidiary of the Parent of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1" w:lineRule="exact"/>
        <w:rPr>
          <w:rFonts w:ascii="Arial" w:cs="Arial" w:eastAsia="Arial" w:hAnsi="Arial"/>
          <w:sz w:val="17"/>
          <w:szCs w:val="17"/>
          <w:color w:val="auto"/>
        </w:rPr>
      </w:pPr>
    </w:p>
    <w:p>
      <w:pPr>
        <w:ind w:left="1340" w:hanging="333"/>
        <w:spacing w:after="0" w:line="250"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1340" w:hanging="333"/>
        <w:spacing w:after="0" w:line="260"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provide a guarantee under the applicable indenture.</w:t>
      </w:r>
    </w:p>
    <w:p>
      <w:pPr>
        <w:spacing w:after="0" w:line="18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each of Crown Cork and Crown Americas on a combined basis for each issuer and its guarantors after elimination of (i) intercompany transactions and balances among the Parent and the guarantors and (ii) equity in earnings from and investments in any subsidiary that is a non-guarantor.</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60" w:type="dxa"/>
            <w:vAlign w:val="bottom"/>
            <w:gridSpan w:val="3"/>
          </w:tcPr>
          <w:p>
            <w:pPr>
              <w:spacing w:after="0"/>
              <w:rPr>
                <w:sz w:val="20"/>
                <w:szCs w:val="20"/>
                <w:color w:val="auto"/>
              </w:rPr>
            </w:pPr>
            <w:r>
              <w:rPr>
                <w:rFonts w:ascii="Arial" w:cs="Arial" w:eastAsia="Arial" w:hAnsi="Arial"/>
                <w:sz w:val="18"/>
                <w:szCs w:val="18"/>
                <w:i w:val="1"/>
                <w:iCs w:val="1"/>
                <w:color w:val="auto"/>
              </w:rPr>
              <w:t>Crown Cork Issuer and Guarantor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98"/>
        </w:trPr>
        <w:tc>
          <w:tcPr>
            <w:tcW w:w="2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center"/>
              <w:ind w:left="430"/>
              <w:spacing w:after="0"/>
              <w:rPr>
                <w:sz w:val="20"/>
                <w:szCs w:val="20"/>
                <w:color w:val="auto"/>
              </w:rPr>
            </w:pPr>
            <w:r>
              <w:rPr>
                <w:rFonts w:ascii="Arial" w:cs="Arial" w:eastAsia="Arial" w:hAnsi="Arial"/>
                <w:sz w:val="18"/>
                <w:szCs w:val="18"/>
                <w:color w:val="auto"/>
                <w:w w:val="92"/>
              </w:rPr>
              <w:t>March 31, 2020</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4"/>
        </w:trPr>
        <w:tc>
          <w:tcPr>
            <w:tcW w:w="45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0" w:type="dxa"/>
            <w:vAlign w:val="bottom"/>
            <w:tcBorders>
              <w:top w:val="single" w:sz="8" w:color="auto"/>
              <w:bottom w:val="single" w:sz="8" w:color="CCEEFF"/>
            </w:tcBorders>
            <w:gridSpan w:val="3"/>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0"/>
        </w:trPr>
        <w:tc>
          <w:tcPr>
            <w:tcW w:w="456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45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182"/>
        </w:trPr>
        <w:tc>
          <w:tcPr>
            <w:tcW w:w="6360" w:type="dxa"/>
            <w:vAlign w:val="bottom"/>
            <w:gridSpan w:val="6"/>
          </w:tcPr>
          <w:p>
            <w:pPr>
              <w:spacing w:after="0"/>
              <w:rPr>
                <w:sz w:val="20"/>
                <w:szCs w:val="20"/>
                <w:color w:val="auto"/>
              </w:rPr>
            </w:pPr>
            <w:r>
              <w:rPr>
                <w:rFonts w:ascii="Arial" w:cs="Arial" w:eastAsia="Arial" w:hAnsi="Arial"/>
                <w:sz w:val="14"/>
                <w:szCs w:val="14"/>
                <w:color w:val="auto"/>
              </w:rPr>
              <w:t>(1) Includes $8 of expense related to intercompany interest with non-guarantor subsidiaries</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574"/>
        </w:trPr>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jc w:val="center"/>
              <w:ind w:left="470"/>
              <w:spacing w:after="0"/>
              <w:rPr>
                <w:sz w:val="20"/>
                <w:szCs w:val="20"/>
                <w:color w:val="auto"/>
              </w:rPr>
            </w:pPr>
            <w:r>
              <w:rPr>
                <w:rFonts w:ascii="Arial" w:cs="Arial" w:eastAsia="Arial" w:hAnsi="Arial"/>
                <w:sz w:val="18"/>
                <w:szCs w:val="18"/>
                <w:color w:val="auto"/>
                <w:w w:val="92"/>
              </w:rPr>
              <w:t>March 31, 2020</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2019</w:t>
            </w:r>
          </w:p>
        </w:tc>
      </w:tr>
      <w:tr>
        <w:trPr>
          <w:trHeight w:val="27"/>
        </w:trPr>
        <w:tc>
          <w:tcPr>
            <w:tcW w:w="25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0" w:type="dxa"/>
            <w:vAlign w:val="bottom"/>
            <w:tcBorders>
              <w:bottom w:val="single" w:sz="8" w:color="CCEEFF"/>
            </w:tcBorders>
            <w:gridSpan w:val="3"/>
            <w:shd w:val="clear" w:color="auto" w:fill="CCEEFF"/>
          </w:tcPr>
          <w:p>
            <w:pPr>
              <w:jc w:val="right"/>
              <w:ind w:right="15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1"/>
        </w:trPr>
        <w:tc>
          <w:tcPr>
            <w:tcW w:w="4560" w:type="dxa"/>
            <w:vAlign w:val="bottom"/>
            <w:gridSpan w:val="3"/>
          </w:tcPr>
          <w:p>
            <w:pPr>
              <w:ind w:left="20"/>
              <w:spacing w:after="0" w:line="251" w:lineRule="exact"/>
              <w:rPr>
                <w:sz w:val="20"/>
                <w:szCs w:val="20"/>
                <w:color w:val="auto"/>
              </w:rPr>
            </w:pPr>
            <w:r>
              <w:rPr>
                <w:rFonts w:ascii="Arial" w:cs="Arial" w:eastAsia="Arial" w:hAnsi="Arial"/>
                <w:sz w:val="18"/>
                <w:szCs w:val="18"/>
                <w:color w:val="auto"/>
              </w:rPr>
              <w:t>Non-current liabilities</w:t>
            </w:r>
            <w:r>
              <w:rPr>
                <w:rFonts w:ascii="Arial" w:cs="Arial" w:eastAsia="Arial" w:hAnsi="Arial"/>
                <w:sz w:val="25"/>
                <w:szCs w:val="25"/>
                <w:color w:val="auto"/>
                <w:vertAlign w:val="superscript"/>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4,286</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182"/>
        </w:trPr>
        <w:tc>
          <w:tcPr>
            <w:tcW w:w="7280" w:type="dxa"/>
            <w:vAlign w:val="bottom"/>
            <w:gridSpan w:val="8"/>
          </w:tcPr>
          <w:p>
            <w:pPr>
              <w:spacing w:after="0"/>
              <w:rPr>
                <w:sz w:val="20"/>
                <w:szCs w:val="20"/>
                <w:color w:val="auto"/>
              </w:rPr>
            </w:pPr>
            <w:r>
              <w:rPr>
                <w:rFonts w:ascii="Arial" w:cs="Arial" w:eastAsia="Arial" w:hAnsi="Arial"/>
                <w:sz w:val="14"/>
                <w:szCs w:val="14"/>
                <w:color w:val="auto"/>
                <w:w w:val="94"/>
              </w:rPr>
              <w:t>(1) Includes payables of $3,588 and $3,538 due to non-guarantor subsidiaries as of March 31, 2020 and December 31, 2019</w:t>
            </w:r>
          </w:p>
        </w:tc>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90"/>
        </w:trPr>
        <w:tc>
          <w:tcPr>
            <w:tcW w:w="4560" w:type="dxa"/>
            <w:vAlign w:val="bottom"/>
            <w:gridSpan w:val="3"/>
          </w:tcPr>
          <w:p>
            <w:pPr>
              <w:spacing w:after="0"/>
              <w:rPr>
                <w:sz w:val="20"/>
                <w:szCs w:val="20"/>
                <w:color w:val="auto"/>
              </w:rPr>
            </w:pPr>
            <w:r>
              <w:rPr>
                <w:rFonts w:ascii="Arial" w:cs="Arial" w:eastAsia="Arial" w:hAnsi="Arial"/>
                <w:sz w:val="18"/>
                <w:szCs w:val="18"/>
                <w:i w:val="1"/>
                <w:iCs w:val="1"/>
                <w:color w:val="auto"/>
              </w:rPr>
              <w:t>Crown Americas Issuer and Guarantors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98"/>
        </w:trPr>
        <w:tc>
          <w:tcPr>
            <w:tcW w:w="2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center"/>
              <w:ind w:left="450"/>
              <w:spacing w:after="0"/>
              <w:rPr>
                <w:sz w:val="20"/>
                <w:szCs w:val="20"/>
                <w:color w:val="auto"/>
              </w:rPr>
            </w:pPr>
            <w:r>
              <w:rPr>
                <w:rFonts w:ascii="Arial" w:cs="Arial" w:eastAsia="Arial" w:hAnsi="Arial"/>
                <w:sz w:val="18"/>
                <w:szCs w:val="18"/>
                <w:color w:val="auto"/>
                <w:w w:val="91"/>
              </w:rPr>
              <w:t>March 31, 2020</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63"/>
        </w:trPr>
        <w:tc>
          <w:tcPr>
            <w:tcW w:w="4560" w:type="dxa"/>
            <w:vAlign w:val="bottom"/>
            <w:gridSpan w:val="3"/>
            <w:shd w:val="clear" w:color="auto" w:fill="CCEEFF"/>
          </w:tcPr>
          <w:p>
            <w:pPr>
              <w:ind w:left="20"/>
              <w:spacing w:after="0" w:line="263" w:lineRule="exact"/>
              <w:rPr>
                <w:sz w:val="20"/>
                <w:szCs w:val="20"/>
                <w:color w:val="auto"/>
              </w:rPr>
            </w:pPr>
            <w:r>
              <w:rPr>
                <w:rFonts w:ascii="Arial" w:cs="Arial" w:eastAsia="Arial" w:hAnsi="Arial"/>
                <w:sz w:val="18"/>
                <w:szCs w:val="18"/>
                <w:color w:val="auto"/>
              </w:rPr>
              <w:t>Net sales</w:t>
            </w:r>
            <w:r>
              <w:rPr>
                <w:rFonts w:ascii="Arial" w:cs="Arial" w:eastAsia="Arial" w:hAnsi="Arial"/>
                <w:sz w:val="25"/>
                <w:szCs w:val="25"/>
                <w:color w:val="auto"/>
                <w:vertAlign w:val="superscript"/>
              </w:rPr>
              <w:t>1</w:t>
            </w:r>
          </w:p>
        </w:tc>
        <w:tc>
          <w:tcPr>
            <w:tcW w:w="1800" w:type="dxa"/>
            <w:vAlign w:val="bottom"/>
            <w:gridSpan w:val="3"/>
            <w:shd w:val="clear" w:color="auto" w:fill="CCEEFF"/>
          </w:tcPr>
          <w:p>
            <w:pPr>
              <w:jc w:val="right"/>
              <w:ind w:right="15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456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45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83"/>
        </w:trPr>
        <w:tc>
          <w:tcPr>
            <w:tcW w:w="4560" w:type="dxa"/>
            <w:vAlign w:val="bottom"/>
            <w:gridSpan w:val="3"/>
          </w:tcPr>
          <w:p>
            <w:pPr>
              <w:ind w:left="20"/>
              <w:spacing w:after="0" w:line="282"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1"/>
        </w:trPr>
        <w:tc>
          <w:tcPr>
            <w:tcW w:w="4560" w:type="dxa"/>
            <w:vAlign w:val="bottom"/>
            <w:gridSpan w:val="3"/>
          </w:tcPr>
          <w:p>
            <w:pPr>
              <w:ind w:left="20"/>
              <w:spacing w:after="0" w:line="251"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5"/>
                <w:szCs w:val="25"/>
                <w:color w:val="auto"/>
                <w:vertAlign w:val="superscript"/>
              </w:rPr>
              <w:t>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-166370</wp:posOffset>
            </wp:positionV>
            <wp:extent cx="43802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80230" cy="171450"/>
                    </a:xfrm>
                    <a:prstGeom prst="rect">
                      <a:avLst/>
                    </a:prstGeom>
                    <a:noFill/>
                  </pic:spPr>
                </pic:pic>
              </a:graphicData>
            </a:graphic>
          </wp:anchor>
        </w:drawing>
      </w: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$92 of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$9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$14 of income related to intercompany interest and technology royalties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3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8"/>
              </w:rPr>
              <w:t>Crown Holdings, Inc.</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86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2"/>
              </w:rPr>
              <w:t xml:space="preserve">Item 2. Management's Discussion and Analysis </w:t>
            </w:r>
            <w:r>
              <w:rPr>
                <w:rFonts w:ascii="Arial" w:cs="Arial" w:eastAsia="Arial" w:hAnsi="Arial"/>
                <w:sz w:val="18"/>
                <w:szCs w:val="18"/>
                <w:color w:val="auto"/>
                <w:w w:val="92"/>
              </w:rPr>
              <w:t>(Continued)</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94"/>
        </w:trPr>
        <w:tc>
          <w:tcPr>
            <w:tcW w:w="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2020</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2019</w:t>
            </w:r>
          </w:p>
        </w:tc>
      </w:tr>
      <w:tr>
        <w:trPr>
          <w:trHeight w:val="27"/>
        </w:trPr>
        <w:tc>
          <w:tcPr>
            <w:tcW w:w="66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40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Current assets</w:t>
            </w:r>
            <w:r>
              <w:rPr>
                <w:rFonts w:ascii="Arial" w:cs="Arial" w:eastAsia="Arial" w:hAnsi="Arial"/>
                <w:sz w:val="25"/>
                <w:szCs w:val="25"/>
                <w:color w:val="auto"/>
                <w:vertAlign w:val="superscript"/>
              </w:rPr>
              <w:t>1</w:t>
            </w:r>
          </w:p>
        </w:tc>
        <w:tc>
          <w:tcPr>
            <w:tcW w:w="2360" w:type="dxa"/>
            <w:vAlign w:val="bottom"/>
            <w:gridSpan w:val="2"/>
            <w:shd w:val="clear" w:color="auto" w:fill="CCEEFF"/>
          </w:tcPr>
          <w:p>
            <w:pPr>
              <w:jc w:val="right"/>
              <w:ind w:right="15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1,065</w:t>
            </w:r>
          </w:p>
        </w:tc>
        <w:tc>
          <w:tcPr>
            <w:tcW w:w="3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70"/>
        </w:trPr>
        <w:tc>
          <w:tcPr>
            <w:tcW w:w="660" w:type="dxa"/>
            <w:vAlign w:val="bottom"/>
          </w:tcPr>
          <w:p>
            <w:pPr>
              <w:spacing w:after="0"/>
              <w:rPr>
                <w:sz w:val="23"/>
                <w:szCs w:val="23"/>
                <w:color w:val="auto"/>
              </w:rPr>
            </w:pPr>
          </w:p>
        </w:tc>
        <w:tc>
          <w:tcPr>
            <w:tcW w:w="4000" w:type="dxa"/>
            <w:vAlign w:val="bottom"/>
          </w:tcPr>
          <w:p>
            <w:pPr>
              <w:ind w:left="20"/>
              <w:spacing w:after="0" w:line="270" w:lineRule="exact"/>
              <w:rPr>
                <w:sz w:val="20"/>
                <w:szCs w:val="20"/>
                <w:color w:val="auto"/>
              </w:rPr>
            </w:pPr>
            <w:r>
              <w:rPr>
                <w:rFonts w:ascii="Arial" w:cs="Arial" w:eastAsia="Arial" w:hAnsi="Arial"/>
                <w:sz w:val="18"/>
                <w:szCs w:val="18"/>
                <w:color w:val="auto"/>
              </w:rPr>
              <w:t>Non-current assets</w:t>
            </w:r>
            <w:r>
              <w:rPr>
                <w:rFonts w:ascii="Arial" w:cs="Arial" w:eastAsia="Arial" w:hAnsi="Arial"/>
                <w:sz w:val="25"/>
                <w:szCs w:val="25"/>
                <w:color w:val="auto"/>
                <w:vertAlign w:val="superscript"/>
              </w:rPr>
              <w:t>2</w:t>
            </w:r>
          </w:p>
        </w:tc>
        <w:tc>
          <w:tcPr>
            <w:tcW w:w="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3,246</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3,171</w:t>
            </w:r>
          </w:p>
        </w:tc>
      </w:tr>
      <w:tr>
        <w:trPr>
          <w:trHeight w:val="270"/>
        </w:trPr>
        <w:tc>
          <w:tcPr>
            <w:tcW w:w="660" w:type="dxa"/>
            <w:vAlign w:val="bottom"/>
          </w:tcPr>
          <w:p>
            <w:pPr>
              <w:spacing w:after="0"/>
              <w:rPr>
                <w:sz w:val="23"/>
                <w:szCs w:val="23"/>
                <w:color w:val="auto"/>
              </w:rPr>
            </w:pPr>
          </w:p>
        </w:tc>
        <w:tc>
          <w:tcPr>
            <w:tcW w:w="40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5"/>
                <w:szCs w:val="25"/>
                <w:color w:val="auto"/>
                <w:vertAlign w:val="superscript"/>
              </w:rPr>
              <w:t>3</w:t>
            </w: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63"/>
        </w:trPr>
        <w:tc>
          <w:tcPr>
            <w:tcW w:w="660" w:type="dxa"/>
            <w:vAlign w:val="bottom"/>
          </w:tcPr>
          <w:p>
            <w:pPr>
              <w:spacing w:after="0"/>
              <w:rPr>
                <w:sz w:val="22"/>
                <w:szCs w:val="22"/>
                <w:color w:val="auto"/>
              </w:rPr>
            </w:pPr>
          </w:p>
        </w:tc>
        <w:tc>
          <w:tcPr>
            <w:tcW w:w="4000" w:type="dxa"/>
            <w:vAlign w:val="bottom"/>
          </w:tcPr>
          <w:p>
            <w:pPr>
              <w:ind w:left="20"/>
              <w:spacing w:after="0" w:line="263" w:lineRule="exact"/>
              <w:rPr>
                <w:sz w:val="20"/>
                <w:szCs w:val="20"/>
                <w:color w:val="auto"/>
              </w:rPr>
            </w:pPr>
            <w:r>
              <w:rPr>
                <w:rFonts w:ascii="Arial" w:cs="Arial" w:eastAsia="Arial" w:hAnsi="Arial"/>
                <w:sz w:val="18"/>
                <w:szCs w:val="18"/>
                <w:color w:val="auto"/>
              </w:rPr>
              <w:t>Non-current liabilities</w:t>
            </w:r>
            <w:r>
              <w:rPr>
                <w:rFonts w:ascii="Arial" w:cs="Arial" w:eastAsia="Arial" w:hAnsi="Arial"/>
                <w:sz w:val="25"/>
                <w:szCs w:val="25"/>
                <w:color w:val="auto"/>
                <w:vertAlign w:val="superscript"/>
              </w:rPr>
              <w:t>4</w:t>
            </w:r>
          </w:p>
        </w:tc>
        <w:tc>
          <w:tcPr>
            <w:tcW w:w="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5,128</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4,709</w:t>
            </w:r>
          </w:p>
        </w:tc>
      </w:tr>
    </w:tbl>
    <w:p>
      <w:pPr>
        <w:ind w:left="860" w:hanging="204"/>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receivables of $40 and $46 due from non-guarantor subsidiaries as of March 31,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receivables of $141 and $128 due from non-guarantor subsidiaries as of March 31,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payables of $22 and $21 due to non-guarantor subsidiaries as of March 31,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payables of $251 and $245 due to non-guarantor subsidiaries as of March 31, 2020 and December 31, 2019</w:t>
      </w:r>
    </w:p>
    <w:p>
      <w:pPr>
        <w:spacing w:after="0" w:line="20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19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188"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Company’s or such guarantor’s remaining assets constituted unreasonably small capital; or</w:t>
      </w: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1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1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the basis of historical financial information, operating history and other factors, we believe that each of the guarantors, after giving effect to the issuance of its guarantee of the senior notes when such guarantee was issued, was not insolvent, did not have unreasonably small capital for the business in which it engaged and did not and has not incurred debts beyond its ability to pay such debts as they mature. The Company cannot assure, however, as to what standard a court would apply in making these determinations or that a court would agree with our conclusions in this regard.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1">
        <w:r>
          <w:rPr>
            <w:rFonts w:ascii="Arial" w:cs="Arial" w:eastAsia="Arial" w:hAnsi="Arial"/>
            <w:sz w:val="18"/>
            <w:szCs w:val="18"/>
            <w:u w:val="single" w:color="auto"/>
            <w:color w:val="0000EE"/>
          </w:rPr>
          <w:t>Note I</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1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w:t>
      </w:r>
    </w:p>
    <w:p>
      <w:pPr>
        <w:spacing w:after="0" w:line="3" w:lineRule="exact"/>
        <w:rPr>
          <w:sz w:val="20"/>
          <w:szCs w:val="20"/>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10-K for the year ended December 31, 2019 describe the significant accounting estimates and policies used in the preparation of the consolidated financial statements. Updates to the Company's accounting policies related to new accounting pronouncements are included in </w:t>
      </w:r>
      <w:hyperlink w:anchor="page7">
        <w:r>
          <w:rPr>
            <w:rFonts w:ascii="Arial" w:cs="Arial" w:eastAsia="Arial" w:hAnsi="Arial"/>
            <w:sz w:val="18"/>
            <w:szCs w:val="18"/>
            <w:u w:val="single" w:color="auto"/>
            <w:color w:val="0000EE"/>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1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discussion below supplements the discussion from the Company's Annual Report on Form 10-K for the year ended December 31, 2019 with respect to goodwill.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As of October 1, 2019, the estimated fair values of the Equipment &amp; Tools and Industrial Solutions reporting units, which are included in the Transit Packaging segment were 9% and 15% higher than their respective carrying values. The reporting units operate in low-growth environments that are expected to experience lower demand in the near term because of the impact of the coronavirus pandemic. If the reporting units' operating results are significantly impacted for an extended period of time, it is possible that the Company may record an impairment charge in the future. As of March 31, 2020, the Equipment and Tools reporting unit had $771 of goodwill and the Industrial Solutions reporting unit had $717 of goodwill. As previously disclosed in the Company's 2019 Form 10-K, based upon an internal reorganization, the Protective Packaging reporting unit was merged into the Industrial Solutions reporting unit, effective January 1, 2020. The amounts and percentages presented represent the combined Industrial Solutions reporting unit.</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March 31, 2020, the Company considered recent events and circumstances and determined it was more likely than not that fair value was more than carrying amount for all of its reporting units. To the extent future operating results may decline it is possible that material impairment charges may be recorded.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ind w:left="66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Statements included herein, including, but not limited to, those in “Management's Discussion and Analysis of Financial Condition and Results of Operations” and in the discussions of asbestos in </w:t>
      </w:r>
      <w:hyperlink w:anchor="page9">
        <w:r>
          <w:rPr>
            <w:rFonts w:ascii="Arial" w:cs="Arial" w:eastAsia="Arial" w:hAnsi="Arial"/>
            <w:sz w:val="16"/>
            <w:szCs w:val="16"/>
            <w:u w:val="single" w:color="auto"/>
            <w:color w:val="0000EE"/>
          </w:rPr>
          <w:t>Note H</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commitments and contingencies in </w:t>
      </w:r>
      <w:hyperlink w:anchor="page11">
        <w:r>
          <w:rPr>
            <w:rFonts w:ascii="Arial" w:cs="Arial" w:eastAsia="Arial" w:hAnsi="Arial"/>
            <w:sz w:val="16"/>
            <w:szCs w:val="16"/>
            <w:u w:val="single" w:color="auto"/>
            <w:color w:val="0000EE"/>
          </w:rPr>
          <w:t>Note 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2019, which are not historical facts (including any statements concerning the direct or indirect impact of COVID-19,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6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looking statements are not guarantees and that actual results could differ materially from those expressed or implied in the forward-looking statements.</w:t>
      </w:r>
    </w:p>
    <w:p>
      <w:pPr>
        <w:spacing w:after="0" w:line="18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2019 within Part II, Item 7: “Management's Discussion and Analysis of Financial Condition and Results of Operations”</w:t>
      </w:r>
    </w:p>
    <w:p>
      <w:pPr>
        <w:spacing w:after="0" w:line="3" w:lineRule="exact"/>
        <w:rPr>
          <w:sz w:val="20"/>
          <w:szCs w:val="20"/>
          <w:color w:val="auto"/>
        </w:rPr>
      </w:pPr>
    </w:p>
    <w:p>
      <w:pPr>
        <w:jc w:val="both"/>
        <w:ind w:left="660" w:right="20"/>
        <w:spacing w:after="0" w:line="255" w:lineRule="auto"/>
        <w:rPr>
          <w:sz w:val="20"/>
          <w:szCs w:val="20"/>
          <w:color w:val="auto"/>
        </w:rPr>
      </w:pPr>
      <w:r>
        <w:rPr>
          <w:rFonts w:ascii="Arial" w:cs="Arial" w:eastAsia="Arial" w:hAnsi="Arial"/>
          <w:sz w:val="18"/>
          <w:szCs w:val="18"/>
          <w:color w:val="auto"/>
        </w:rPr>
        <w:t>under the caption “Forward Looking Statements” and is incorporated herein by reference. Some of the factors are also discussed elsewhere in this Form 10-Q (including under Item 1A below) and in prior Company filings with the SEC. In addition, other factors have been or may be discussed from time to time in the Company's SEC filings.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March 31, 2020, see </w:t>
      </w:r>
      <w:hyperlink w:anchor="page12">
        <w:r>
          <w:rPr>
            <w:rFonts w:ascii="Arial" w:cs="Arial" w:eastAsia="Arial" w:hAnsi="Arial"/>
            <w:sz w:val="17"/>
            <w:szCs w:val="17"/>
            <w:u w:val="single" w:color="auto"/>
            <w:color w:val="0000EE"/>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2020, the Company had $2.5 billion principal floating interest rate debt. A change of 0.25% in these floating interest rates would change annual interest expense by approximately $6 million before tax.</w:t>
      </w:r>
    </w:p>
    <w:p>
      <w:pPr>
        <w:spacing w:after="0" w:line="170"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March 31 2020, the Company does have contracts that are indexed to LIBOR, including cross-currency swap contracts and certain of its term loan facilities, and continues to monitor this activity and evaluate the related risks. The discontinuation of LIBOR will require these arrangements to be modified in order to replace LIBOR with an alternative reference interest rate, which could impact the Company's cost of funds. The Company’s credit agreement includes a provision for the determination of a successor LIBOR rate when appropriate by reference to the then-prevailing market convention for determining an interest rate for syndicated loans in the United States, subject to a right of the lenders thereunder to reject the application of the determined rate by written notice.</w:t>
      </w:r>
    </w:p>
    <w:p>
      <w:pPr>
        <w:spacing w:after="0" w:line="3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7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340" w:firstLine="648"/>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9">
        <w:r>
          <w:rPr>
            <w:rFonts w:ascii="Arial" w:cs="Arial" w:eastAsia="Arial" w:hAnsi="Arial"/>
            <w:sz w:val="18"/>
            <w:szCs w:val="18"/>
            <w:u w:val="single" w:color="auto"/>
            <w:color w:val="0000EE"/>
          </w:rPr>
          <w:t>Note H</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1">
        <w:r>
          <w:rPr>
            <w:rFonts w:ascii="Arial" w:cs="Arial" w:eastAsia="Arial" w:hAnsi="Arial"/>
            <w:sz w:val="18"/>
            <w:szCs w:val="18"/>
            <w:u w:val="single" w:color="auto"/>
            <w:color w:val="0000EE"/>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set forth below and the risk factors discussed in Item 1A of the Company's Annual Report on Form 10-K for the year ended December 31, 2019. Such risks are not the only risks facing the Company. Additional risks and uncertainties not currently known to the Company or that the Company currently deems to be immaterial may also materially adversely effect the Company's business, financial condition and/or operating results.</w:t>
      </w:r>
    </w:p>
    <w:p>
      <w:pPr>
        <w:spacing w:after="0" w:line="26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Company’s business operations and financial position have been and are expected to continue to be adversely affected by the coronavirus outbreak.</w:t>
      </w:r>
    </w:p>
    <w:p>
      <w:pPr>
        <w:spacing w:after="0" w:line="17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ongoing global outbreak of coronavirus (also known as COVID-19), which was declared a pandemic by the World Health Organization on March 11, 2020 and a national emergency by the President of the United States on March 13, 2020, has caused and is continuing to cause business slowdowns and shutdowns and turmoil in the financial markets both in the U.S. and abroad. The Company is closely monitoring the impact of COVID-19 on all aspects of its business and geographies, including how it has impacted and will impact the Company’s employees, customers, suppliers and distribution channels. The pandemic, as well as the quarantines and other governmental and non</w:t>
      </w:r>
      <w:r>
        <w:rPr>
          <w:rFonts w:ascii="MS PGothic" w:cs="MS PGothic" w:eastAsia="MS PGothic" w:hAnsi="MS PGothic"/>
          <w:sz w:val="16"/>
          <w:szCs w:val="16"/>
          <w:color w:val="auto"/>
        </w:rPr>
        <w:t>‑</w:t>
      </w:r>
      <w:r>
        <w:rPr>
          <w:rFonts w:ascii="Arial" w:cs="Arial" w:eastAsia="Arial" w:hAnsi="Arial"/>
          <w:sz w:val="16"/>
          <w:szCs w:val="16"/>
          <w:color w:val="auto"/>
        </w:rPr>
        <w:t>governmental restrictions which have been imposed throughout the world in an effort to contain or mitigate it, has created significant volatility, uncertainty and economic disruption which is expected to adversely affect the Company’s business operations and may materially and adversely affect the Company’s results of operations, cash flows and financial position or the Company’s ability to execute its short- and long-term business strategies and initiatives. For example, governmental authorities in several regions (including Pennsylvania, where the Company’s world headquarters are located) have ordered the cessation of all business activity which is deemed non-essential and there is a risk that these shutdown orders will be extended or expanded or that similar shutdown orders will be implemented in other regions; while many food and beverage products are deemed essential, several jurisdictions have implemented restrictions or prohibitions on the sale of alcoholic beverages which have reduced the demand for some of the Company’s products. Likewise, the Company’s Transit Packaging Division supplies a wide array of industrial markets which are being negatively affected by a decline in global economic activity.</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magnitude of COVID-19’s ultimate impact on the Company will depend on numerous evolving factors, future developments and cascading effects of the coronavirus pandemic that the Company is not able to predict, including: the severity of the outbreak and the international actions that are being taken to contain and treat it; the duration of the outbreak and the myriad of business restrictions being imposed as a result of it; governmental, business and other responses to the outbreak (including limitations on the Company’s operations and/or mandates that the Company provide products or services); the extent and duration of the effect of the outbreak on consumer confidence and spending, customer demand and buying patterns; the promotion of “social distancing” and the adoption of shelter-in-place orders and restrictions on exports affecting customers’ demand for the Company’s products; the extent to which forced remote working arrangements reduce the Company’s ability to effectively manage its global operations; the impact of the outbreak on the Company’s supply chain (including reductions in supply that may result in an inability to meet customer demand); the impact of the outbreak on internal controls (including those over financial reporting); any impairment in value of the Company’s tangible or intangible assets which could be recorded as a result of a weaker economic conditions; and the effect of the ongoing disruption in the capital markets on the Company’s ability to access capital on favorable terms and continue to meet its liquidity needs. Moreover, employee absenteeism due to members of the Company’s workforce being quarantined or exposed to COVID-19 may impact the Company’s ability to meet staffing needs which, compounded with the effects of ongoing office and potential factory closures, disruptions to ports and other shipping infrastructure, border closures, and other travel or health-related restrictions, may in turn impair the Company in the manufacture, distribution and sale of its products.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while the Company cannot predict the magnitude of the impact that COVID-19 will have on its customers and suppliers or their financial conditions, any material effect on the Company’s customers or suppliers could adversely impact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Company. For example, certain of the Company’s suppliers have informed the Company that the coronavirus outbreak and the resulting business restrictions may constrain supply of necessary materials and the Company may face difficulty collecting accounts receivable from any of its customers that may be negatively impacted by the pandemic. The impact of COVID-19 may also exacerbate other risk factors discussed in Item 1A of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any of which could have a material effect on the Company. For example, significant volatility in the equity markets could have a negative impact on the market value of the Company's pension plan assets which may substantially increase the Company's future pension plan funding requirements and could have a negative impact on the Company's results of operations, pension plan funded status and future cash flows.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of the impact of COVID-19 on the Company’s business is highly uncertain and difficult to predict, as information is rapidly evolving with respect to the duration and severity of the pandemic. At this point, the Company cannot reasonably estimate the duration and severity of the COVID-19 outbreak or its overall impact on the Company’s business.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175" w:lineRule="exact"/>
        <w:rPr>
          <w:sz w:val="20"/>
          <w:szCs w:val="20"/>
          <w:color w:val="auto"/>
        </w:rPr>
      </w:pPr>
    </w:p>
    <w:p>
      <w:pPr>
        <w:ind w:right="2520"/>
        <w:spacing w:after="0" w:line="263" w:lineRule="auto"/>
        <w:rPr>
          <w:sz w:val="20"/>
          <w:szCs w:val="20"/>
          <w:color w:val="auto"/>
        </w:rPr>
      </w:pPr>
      <w:r>
        <w:rPr>
          <w:rFonts w:ascii="Arial" w:cs="Arial" w:eastAsia="Arial" w:hAnsi="Arial"/>
          <w:sz w:val="18"/>
          <w:szCs w:val="18"/>
          <w:color w:val="auto"/>
        </w:rPr>
        <w:t>The following table provides information about the Company's purchase of equity securities during the three months ended March 31, 2020. The table excludes 103,281 shares repurchased by the Company in connection with the surrender of shares to cover taxes on the vesting of restricted stock.</w:t>
      </w:r>
    </w:p>
    <w:p>
      <w:pPr>
        <w:spacing w:after="0" w:line="346"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140" w:type="dxa"/>
            <w:vAlign w:val="bottom"/>
          </w:tcPr>
          <w:p>
            <w:pPr>
              <w:jc w:val="center"/>
              <w:ind w:right="10"/>
              <w:spacing w:after="0"/>
              <w:rPr>
                <w:sz w:val="20"/>
                <w:szCs w:val="20"/>
                <w:color w:val="auto"/>
              </w:rPr>
            </w:pPr>
            <w:r>
              <w:rPr>
                <w:rFonts w:ascii="Arial" w:cs="Arial" w:eastAsia="Arial" w:hAnsi="Arial"/>
                <w:sz w:val="18"/>
                <w:szCs w:val="18"/>
                <w:color w:val="auto"/>
                <w:w w:val="92"/>
              </w:rPr>
              <w:t>Approximate Dollar Value of Shares</w:t>
            </w:r>
          </w:p>
        </w:tc>
      </w:tr>
      <w:tr>
        <w:trPr>
          <w:trHeight w:val="216"/>
        </w:trPr>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that May Yet Be Purchased</w:t>
            </w:r>
          </w:p>
        </w:tc>
      </w:tr>
      <w:tr>
        <w:trPr>
          <w:trHeight w:val="216"/>
        </w:trPr>
        <w:tc>
          <w:tcPr>
            <w:tcW w:w="1360" w:type="dxa"/>
            <w:vAlign w:val="bottom"/>
          </w:tcPr>
          <w:p>
            <w:pPr>
              <w:spacing w:after="0"/>
              <w:rPr>
                <w:sz w:val="18"/>
                <w:szCs w:val="18"/>
                <w:color w:val="auto"/>
              </w:rPr>
            </w:pPr>
          </w:p>
        </w:tc>
        <w:tc>
          <w:tcPr>
            <w:tcW w:w="1500" w:type="dxa"/>
            <w:vAlign w:val="bottom"/>
          </w:tcPr>
          <w:p>
            <w:pPr>
              <w:ind w:left="280"/>
              <w:spacing w:after="0"/>
              <w:rPr>
                <w:sz w:val="20"/>
                <w:szCs w:val="20"/>
                <w:color w:val="auto"/>
              </w:rPr>
            </w:pPr>
            <w:r>
              <w:rPr>
                <w:rFonts w:ascii="Arial" w:cs="Arial" w:eastAsia="Arial" w:hAnsi="Arial"/>
                <w:sz w:val="18"/>
                <w:szCs w:val="18"/>
                <w:color w:val="auto"/>
              </w:rPr>
              <w:t>Total Number</w:t>
            </w:r>
          </w:p>
        </w:tc>
        <w:tc>
          <w:tcPr>
            <w:tcW w:w="1360" w:type="dxa"/>
            <w:vAlign w:val="bottom"/>
          </w:tcPr>
          <w:p>
            <w:pPr>
              <w:spacing w:after="0"/>
              <w:rPr>
                <w:sz w:val="18"/>
                <w:szCs w:val="18"/>
                <w:color w:val="auto"/>
              </w:rPr>
            </w:pP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1"/>
              </w:rPr>
              <w:t>Total Number of Shares</w:t>
            </w:r>
          </w:p>
        </w:tc>
        <w:tc>
          <w:tcPr>
            <w:tcW w:w="3140" w:type="dxa"/>
            <w:vAlign w:val="bottom"/>
          </w:tcPr>
          <w:p>
            <w:pPr>
              <w:jc w:val="center"/>
              <w:spacing w:after="0"/>
              <w:rPr>
                <w:sz w:val="20"/>
                <w:szCs w:val="20"/>
                <w:color w:val="auto"/>
              </w:rPr>
            </w:pPr>
            <w:r>
              <w:rPr>
                <w:rFonts w:ascii="Arial" w:cs="Arial" w:eastAsia="Arial" w:hAnsi="Arial"/>
                <w:sz w:val="18"/>
                <w:szCs w:val="18"/>
                <w:color w:val="auto"/>
                <w:w w:val="87"/>
              </w:rPr>
              <w:t>under the Programs</w:t>
            </w:r>
          </w:p>
        </w:tc>
      </w:tr>
      <w:tr>
        <w:trPr>
          <w:trHeight w:val="216"/>
        </w:trPr>
        <w:tc>
          <w:tcPr>
            <w:tcW w:w="13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0"/>
              </w:rPr>
              <w:t>Average Price</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89"/>
              </w:rPr>
              <w:t>Purchased as Part of Publicly</w:t>
            </w:r>
          </w:p>
        </w:tc>
        <w:tc>
          <w:tcPr>
            <w:tcW w:w="3140" w:type="dxa"/>
            <w:vAlign w:val="bottom"/>
          </w:tcPr>
          <w:p>
            <w:pPr>
              <w:jc w:val="center"/>
              <w:ind w:right="10"/>
              <w:spacing w:after="0"/>
              <w:rPr>
                <w:sz w:val="20"/>
                <w:szCs w:val="20"/>
                <w:color w:val="auto"/>
              </w:rPr>
            </w:pPr>
            <w:r>
              <w:rPr>
                <w:rFonts w:ascii="Arial" w:cs="Arial" w:eastAsia="Arial" w:hAnsi="Arial"/>
                <w:sz w:val="18"/>
                <w:szCs w:val="18"/>
                <w:color w:val="auto"/>
                <w:w w:val="90"/>
              </w:rPr>
              <w:t>As of the end of the period</w:t>
            </w:r>
          </w:p>
        </w:tc>
      </w:tr>
      <w:tr>
        <w:trPr>
          <w:trHeight w:val="230"/>
        </w:trPr>
        <w:tc>
          <w:tcPr>
            <w:tcW w:w="13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Per Share</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Announced Programs</w:t>
            </w:r>
          </w:p>
        </w:tc>
        <w:tc>
          <w:tcPr>
            <w:tcW w:w="3140" w:type="dxa"/>
            <w:vAlign w:val="bottom"/>
          </w:tcPr>
          <w:p>
            <w:pPr>
              <w:jc w:val="center"/>
              <w:ind w:right="10"/>
              <w:spacing w:after="0"/>
              <w:rPr>
                <w:sz w:val="20"/>
                <w:szCs w:val="20"/>
                <w:color w:val="auto"/>
              </w:rPr>
            </w:pPr>
            <w:r>
              <w:rPr>
                <w:rFonts w:ascii="Arial" w:cs="Arial" w:eastAsia="Arial" w:hAnsi="Arial"/>
                <w:sz w:val="18"/>
                <w:szCs w:val="18"/>
                <w:color w:val="auto"/>
                <w:w w:val="95"/>
              </w:rPr>
              <w:t>(millions of dollars)</w:t>
            </w:r>
          </w:p>
        </w:tc>
      </w:tr>
      <w:tr>
        <w:trPr>
          <w:trHeight w:val="567"/>
        </w:trPr>
        <w:tc>
          <w:tcPr>
            <w:tcW w:w="1360" w:type="dxa"/>
            <w:vAlign w:val="bottom"/>
          </w:tcPr>
          <w:p>
            <w:pPr>
              <w:spacing w:after="0"/>
              <w:rPr>
                <w:sz w:val="20"/>
                <w:szCs w:val="20"/>
                <w:color w:val="auto"/>
              </w:rPr>
            </w:pPr>
            <w:r>
              <w:rPr>
                <w:rFonts w:ascii="Arial" w:cs="Arial" w:eastAsia="Arial" w:hAnsi="Arial"/>
                <w:sz w:val="18"/>
                <w:szCs w:val="18"/>
                <w:color w:val="auto"/>
              </w:rPr>
              <w:t>March</w:t>
            </w:r>
          </w:p>
        </w:tc>
        <w:tc>
          <w:tcPr>
            <w:tcW w:w="1500" w:type="dxa"/>
            <w:vAlign w:val="bottom"/>
          </w:tcPr>
          <w:p>
            <w:pPr>
              <w:ind w:left="260"/>
              <w:spacing w:after="0"/>
              <w:rPr>
                <w:sz w:val="20"/>
                <w:szCs w:val="20"/>
                <w:color w:val="auto"/>
              </w:rPr>
            </w:pPr>
            <w:r>
              <w:rPr>
                <w:rFonts w:ascii="Arial" w:cs="Arial" w:eastAsia="Arial" w:hAnsi="Arial"/>
                <w:sz w:val="18"/>
                <w:szCs w:val="18"/>
                <w:color w:val="auto"/>
              </w:rPr>
              <w:t>1,038,821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$48.24</w:t>
            </w:r>
          </w:p>
        </w:tc>
        <w:tc>
          <w:tcPr>
            <w:tcW w:w="2440" w:type="dxa"/>
            <w:vAlign w:val="bottom"/>
          </w:tcPr>
          <w:p>
            <w:pPr>
              <w:jc w:val="right"/>
              <w:ind w:right="1050"/>
              <w:spacing w:after="0"/>
              <w:rPr>
                <w:sz w:val="20"/>
                <w:szCs w:val="20"/>
                <w:color w:val="auto"/>
              </w:rPr>
            </w:pPr>
            <w:r>
              <w:rPr>
                <w:rFonts w:ascii="Arial" w:cs="Arial" w:eastAsia="Arial" w:hAnsi="Arial"/>
                <w:sz w:val="18"/>
                <w:szCs w:val="18"/>
                <w:color w:val="auto"/>
              </w:rPr>
              <w:t>1,038,821</w:t>
            </w:r>
          </w:p>
        </w:tc>
        <w:tc>
          <w:tcPr>
            <w:tcW w:w="3140" w:type="dxa"/>
            <w:vAlign w:val="bottom"/>
          </w:tcPr>
          <w:p>
            <w:pPr>
              <w:jc w:val="right"/>
              <w:ind w:right="1350"/>
              <w:spacing w:after="0"/>
              <w:rPr>
                <w:sz w:val="20"/>
                <w:szCs w:val="20"/>
                <w:color w:val="auto"/>
              </w:rPr>
            </w:pPr>
            <w:r>
              <w:rPr>
                <w:rFonts w:ascii="Arial" w:cs="Arial" w:eastAsia="Arial" w:hAnsi="Arial"/>
                <w:sz w:val="18"/>
                <w:szCs w:val="18"/>
                <w:color w:val="auto"/>
              </w:rPr>
              <w:t>$200</w:t>
            </w:r>
          </w:p>
        </w:tc>
      </w:tr>
      <w:tr>
        <w:trPr>
          <w:trHeight w:val="27"/>
        </w:trPr>
        <w:tc>
          <w:tcPr>
            <w:tcW w:w="13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ind w:left="140"/>
              <w:spacing w:after="0"/>
              <w:rPr>
                <w:sz w:val="20"/>
                <w:szCs w:val="20"/>
                <w:color w:val="auto"/>
              </w:rPr>
            </w:pPr>
            <w:r>
              <w:rPr>
                <w:rFonts w:ascii="Arial" w:cs="Arial" w:eastAsia="Arial" w:hAnsi="Arial"/>
                <w:sz w:val="18"/>
                <w:szCs w:val="18"/>
                <w:color w:val="auto"/>
              </w:rPr>
              <w:t>Total</w:t>
            </w:r>
          </w:p>
        </w:tc>
        <w:tc>
          <w:tcPr>
            <w:tcW w:w="1500" w:type="dxa"/>
            <w:vAlign w:val="bottom"/>
          </w:tcPr>
          <w:p>
            <w:pPr>
              <w:ind w:left="260"/>
              <w:spacing w:after="0"/>
              <w:rPr>
                <w:sz w:val="20"/>
                <w:szCs w:val="20"/>
                <w:color w:val="auto"/>
              </w:rPr>
            </w:pPr>
            <w:r>
              <w:rPr>
                <w:rFonts w:ascii="Arial" w:cs="Arial" w:eastAsia="Arial" w:hAnsi="Arial"/>
                <w:sz w:val="18"/>
                <w:szCs w:val="18"/>
                <w:color w:val="auto"/>
              </w:rPr>
              <w:t>1,038,821</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$48.24</w:t>
            </w:r>
          </w:p>
        </w:tc>
        <w:tc>
          <w:tcPr>
            <w:tcW w:w="2440" w:type="dxa"/>
            <w:vAlign w:val="bottom"/>
          </w:tcPr>
          <w:p>
            <w:pPr>
              <w:jc w:val="right"/>
              <w:ind w:right="1050"/>
              <w:spacing w:after="0"/>
              <w:rPr>
                <w:sz w:val="20"/>
                <w:szCs w:val="20"/>
                <w:color w:val="auto"/>
              </w:rPr>
            </w:pPr>
            <w:r>
              <w:rPr>
                <w:rFonts w:ascii="Arial" w:cs="Arial" w:eastAsia="Arial" w:hAnsi="Arial"/>
                <w:sz w:val="18"/>
                <w:szCs w:val="18"/>
                <w:color w:val="auto"/>
              </w:rPr>
              <w:t>1,038,821</w:t>
            </w:r>
          </w:p>
        </w:tc>
        <w:tc>
          <w:tcPr>
            <w:tcW w:w="31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r>
      <w:tr>
        <w:trPr>
          <w:trHeight w:val="27"/>
        </w:trPr>
        <w:tc>
          <w:tcPr>
            <w:tcW w:w="13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115"/>
        </w:trPr>
        <w:tc>
          <w:tcPr>
            <w:tcW w:w="136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the Company's Board of Directors authorized the repurchase of an aggregate amount of $250 of the Company's common stock through June 30, 2020. Share repurchases under the Company's program could be made in the open market or through privately negotiated transactions, and at times and in such amounts as management deemed appropriate. The program was canceled in March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events required to be reported under Item 3 for the three months ended March 31, 2020.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20"/>
        <w:spacing w:after="0"/>
        <w:tabs>
          <w:tab w:leader="none" w:pos="740" w:val="left"/>
        </w:tabs>
        <w:rPr>
          <w:rFonts w:ascii="Arial" w:cs="Arial" w:eastAsia="Arial" w:hAnsi="Arial"/>
          <w:sz w:val="16"/>
          <w:szCs w:val="16"/>
          <w:u w:val="single" w:color="auto"/>
          <w:color w:val="0000FF"/>
        </w:rPr>
      </w:pPr>
      <w:r>
        <w:rPr>
          <w:rFonts w:ascii="Arial" w:cs="Arial" w:eastAsia="Arial" w:hAnsi="Arial"/>
          <w:sz w:val="18"/>
          <w:szCs w:val="18"/>
          <w:color w:val="auto"/>
        </w:rPr>
        <w:t>10.u</w:t>
      </w:r>
      <w:r>
        <w:rPr>
          <w:sz w:val="20"/>
          <w:szCs w:val="20"/>
          <w:color w:val="auto"/>
        </w:rPr>
        <w:tab/>
      </w:r>
      <w:hyperlink w:anchor="page39">
        <w:r>
          <w:rPr>
            <w:rFonts w:ascii="Arial" w:cs="Arial" w:eastAsia="Arial" w:hAnsi="Arial"/>
            <w:sz w:val="16"/>
            <w:szCs w:val="16"/>
            <w:u w:val="single" w:color="auto"/>
            <w:color w:val="0000FF"/>
          </w:rPr>
          <w:t>Amendment No. 1, effective February 28, 2020, to the Crown Holdings, Inc. 2013 Stock-Based Incentive Compensation Plan.</w:t>
        </w:r>
      </w:hyperlink>
    </w:p>
    <w:p>
      <w:pPr>
        <w:spacing w:after="0" w:line="333" w:lineRule="exact"/>
        <w:rPr>
          <w:sz w:val="20"/>
          <w:szCs w:val="20"/>
          <w:color w:val="auto"/>
        </w:rPr>
      </w:pPr>
    </w:p>
    <w:p>
      <w:pPr>
        <w:ind w:left="760" w:hanging="737"/>
        <w:spacing w:after="0"/>
        <w:tabs>
          <w:tab w:leader="none" w:pos="760" w:val="left"/>
        </w:tabs>
        <w:numPr>
          <w:ilvl w:val="0"/>
          <w:numId w:val="24"/>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List of Guarantor Subsidiaries</w:t>
        </w:r>
      </w:hyperlink>
    </w:p>
    <w:p>
      <w:pPr>
        <w:spacing w:after="0" w:line="333" w:lineRule="exact"/>
        <w:rPr>
          <w:sz w:val="20"/>
          <w:szCs w:val="20"/>
          <w:color w:val="auto"/>
        </w:rPr>
      </w:pPr>
    </w:p>
    <w:p>
      <w:pPr>
        <w:ind w:left="760" w:hanging="741"/>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2">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pursuant to Section 302 of the Sarbanes-Oxley Act of 2002.</w:t>
        </w:r>
      </w:hyperlink>
    </w:p>
    <w:p>
      <w:pPr>
        <w:spacing w:after="0" w:line="278" w:lineRule="exact"/>
        <w:rPr>
          <w:sz w:val="20"/>
          <w:szCs w:val="20"/>
          <w:color w:val="auto"/>
        </w:rPr>
      </w:pPr>
    </w:p>
    <w:p>
      <w:pPr>
        <w:ind w:left="760" w:right="20" w:hanging="741"/>
        <w:spacing w:after="0" w:line="27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3">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pursuant to Section 302 of the Sarbanes-Oxley Act of 2002.</w:t>
        </w:r>
      </w:hyperlink>
    </w:p>
    <w:p>
      <w:pPr>
        <w:spacing w:after="0" w:line="278" w:lineRule="exact"/>
        <w:rPr>
          <w:sz w:val="20"/>
          <w:szCs w:val="20"/>
          <w:color w:val="auto"/>
        </w:rPr>
      </w:pPr>
    </w:p>
    <w:p>
      <w:pPr>
        <w:jc w:val="both"/>
        <w:ind w:left="760" w:hanging="737"/>
        <w:spacing w:after="0" w:line="263" w:lineRule="auto"/>
        <w:tabs>
          <w:tab w:leader="none" w:pos="760" w:val="left"/>
        </w:tabs>
        <w:numPr>
          <w:ilvl w:val="0"/>
          <w:numId w:val="25"/>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Chief Financial Officer of Crown Holdings, Inc.</w:t>
        </w:r>
      </w:hyperlink>
    </w:p>
    <w:p>
      <w:pPr>
        <w:spacing w:after="0" w:line="292" w:lineRule="exact"/>
        <w:rPr>
          <w:rFonts w:ascii="Arial" w:cs="Arial" w:eastAsia="Arial" w:hAnsi="Arial"/>
          <w:sz w:val="18"/>
          <w:szCs w:val="18"/>
          <w:u w:val="single" w:color="auto"/>
          <w:color w:val="0000FF"/>
        </w:rPr>
      </w:pPr>
    </w:p>
    <w:p>
      <w:pPr>
        <w:jc w:val="both"/>
        <w:ind w:left="760" w:hanging="737"/>
        <w:spacing w:after="0" w:line="273"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March 31, 2020 formatted in inline XBRL (eXtensible Business Reporting Language): (i) Consolidated Statements of Operations for the three months ended March 31, 2020 and 2019, (ii) Consolidated Statements of Comprehensive Income for the three months ended March 31, 2020 and 2019, (iii) Consolidated Balance Sheets as of March 31, 2020 and December 31, 2019, (iv) Consolidated Statements of Cash Flows for the three months ended March 31, 2020 and 2019, (v) Consolidated Statements of Changes in Equity for the three months ended March 31, 2020 and 2019 and (vi) Notes to Consolidated Financial Statements.</w:t>
      </w:r>
    </w:p>
    <w:p>
      <w:pPr>
        <w:spacing w:after="0" w:line="286" w:lineRule="exact"/>
        <w:rPr>
          <w:rFonts w:ascii="Arial" w:cs="Arial" w:eastAsia="Arial" w:hAnsi="Arial"/>
          <w:sz w:val="18"/>
          <w:szCs w:val="18"/>
          <w:u w:val="single" w:color="auto"/>
          <w:color w:val="0000FF"/>
        </w:rPr>
      </w:pPr>
    </w:p>
    <w:p>
      <w:pPr>
        <w:ind w:left="4880" w:right="3220" w:hanging="4857"/>
        <w:spacing w:after="0" w:line="559" w:lineRule="auto"/>
        <w:tabs>
          <w:tab w:leader="none" w:pos="7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37</w:t>
      </w:r>
    </w:p>
    <w:p>
      <w:pPr>
        <w:sectPr>
          <w:pgSz w:w="11900" w:h="16838" w:orient="portrait"/>
          <w:cols w:equalWidth="0" w:num="1">
            <w:col w:w="10560"/>
          </w:cols>
          <w:pgMar w:left="980" w:top="121" w:right="359" w:bottom="1440" w:gutter="0" w:footer="0" w:header="0"/>
        </w:sectPr>
      </w:pPr>
    </w:p>
    <w:bookmarkStart w:id="37" w:name="page38"/>
    <w:bookmarkEnd w:id="3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82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31750</wp:posOffset>
            </wp:positionV>
            <wp:extent cx="270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0"/>
          </w:cols>
          <w:pgMar w:left="980" w:top="121"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22"/>
          <w:szCs w:val="22"/>
          <w:u w:val="single" w:color="auto"/>
          <w:color w:val="auto"/>
        </w:rPr>
        <w:t>Amendment No. 1</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CROWN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2013 STOCK-BASED INCENTIVE COMPENSATION PLAN</w:t>
      </w:r>
    </w:p>
    <w:p>
      <w:pPr>
        <w:spacing w:after="0" w:line="242" w:lineRule="exact"/>
        <w:rPr>
          <w:sz w:val="20"/>
          <w:szCs w:val="20"/>
          <w:color w:val="auto"/>
        </w:rPr>
      </w:pPr>
    </w:p>
    <w:p>
      <w:pPr>
        <w:ind w:right="240" w:firstLine="1296"/>
        <w:spacing w:after="0" w:line="253" w:lineRule="auto"/>
        <w:rPr>
          <w:sz w:val="20"/>
          <w:szCs w:val="20"/>
          <w:color w:val="auto"/>
        </w:rPr>
      </w:pPr>
      <w:r>
        <w:rPr>
          <w:rFonts w:ascii="Arial" w:cs="Arial" w:eastAsia="Arial" w:hAnsi="Arial"/>
          <w:sz w:val="22"/>
          <w:szCs w:val="22"/>
          <w:color w:val="auto"/>
        </w:rPr>
        <w:t>Pursuant to the power reserved to it in Section 12.1 of the Crown Holdings, Inc. 2013 Stock-Based Incentive Compensation Plan ( the "2013 Plan"), the Board of Directors of Crown Holdings, Inc. hereby amends the 2013 Plan, effective February 28, 2020, as follows:</w:t>
      </w:r>
    </w:p>
    <w:p>
      <w:pPr>
        <w:spacing w:after="0" w:line="199" w:lineRule="exact"/>
        <w:rPr>
          <w:sz w:val="20"/>
          <w:szCs w:val="20"/>
          <w:color w:val="auto"/>
        </w:rPr>
      </w:pPr>
    </w:p>
    <w:p>
      <w:pPr>
        <w:ind w:left="1300" w:right="5080" w:hanging="1292"/>
        <w:spacing w:after="0" w:line="480" w:lineRule="auto"/>
        <w:tabs>
          <w:tab w:leader="none" w:pos="814"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Section 14 is hereby amended and restated to read as follows: "14. </w:t>
      </w:r>
      <w:r>
        <w:rPr>
          <w:rFonts w:ascii="Arial" w:cs="Arial" w:eastAsia="Arial" w:hAnsi="Arial"/>
          <w:sz w:val="22"/>
          <w:szCs w:val="22"/>
          <w:u w:val="single" w:color="auto"/>
          <w:color w:val="auto"/>
        </w:rPr>
        <w:t>Taxes</w:t>
      </w:r>
    </w:p>
    <w:p>
      <w:pPr>
        <w:spacing w:after="0" w:line="1" w:lineRule="exact"/>
        <w:rPr>
          <w:sz w:val="20"/>
          <w:szCs w:val="20"/>
          <w:color w:val="auto"/>
        </w:rPr>
      </w:pPr>
    </w:p>
    <w:p>
      <w:pPr>
        <w:ind w:left="1300" w:firstLine="1296"/>
        <w:spacing w:after="0" w:line="287" w:lineRule="auto"/>
        <w:rPr>
          <w:sz w:val="20"/>
          <w:szCs w:val="20"/>
          <w:color w:val="auto"/>
        </w:rPr>
      </w:pPr>
      <w:r>
        <w:rPr>
          <w:rFonts w:ascii="Arial" w:cs="Arial" w:eastAsia="Arial" w:hAnsi="Arial"/>
          <w:sz w:val="19"/>
          <w:szCs w:val="19"/>
          <w:color w:val="auto"/>
        </w:rPr>
        <w:t>The Company, any Subsidiary or Affiliate is authorized to withhold from any payment relating to an Award under the Plan, including from a distribution of Common Stock or any payroll or other payment to a Participant amounts of withholding and other taxes due in connection with any transaction involving an Award, and to take such other action as the Committee may deem advisable to enable the Company, the Subsidiary or Affiliate and Participants to satisfy obligations for the payment of withholding taxes and other tax obligations relating to any A ward. This authority shall include authority to withhold or receive Common Stock or other property and to make cash payments in respect thereof in satisfaction of a Participant's tax obligations. Withholding of taxes in the form of shares of Common Stock shall not occur at a rate that exceeds the maximum required individual statutory tax withholding rate in a Participant's applicable tax jurisdiction. Participants who are subject to the reporting requirements of Section 16 of the 1934 Act may elect to pay all or a portion of any withholding or other taxes due in connection with an Award by directing the Company to withhold shares of Common Stock that would otherwise be received in connection with such Award."</w:t>
      </w:r>
    </w:p>
    <w:p>
      <w:pPr>
        <w:spacing w:after="0" w:line="199" w:lineRule="exact"/>
        <w:rPr>
          <w:sz w:val="20"/>
          <w:szCs w:val="20"/>
          <w:color w:val="auto"/>
        </w:rPr>
      </w:pPr>
    </w:p>
    <w:p>
      <w:pPr>
        <w:ind w:left="7200"/>
        <w:spacing w:after="0"/>
        <w:tabs>
          <w:tab w:leader="none" w:pos="7500" w:val="left"/>
          <w:tab w:leader="none" w:pos="7820" w:val="left"/>
        </w:tabs>
        <w:rPr>
          <w:sz w:val="20"/>
          <w:szCs w:val="20"/>
          <w:color w:val="auto"/>
        </w:rPr>
      </w:pPr>
      <w:r>
        <w:rPr>
          <w:rFonts w:ascii="Arial" w:cs="Arial" w:eastAsia="Arial" w:hAnsi="Arial"/>
          <w:sz w:val="22"/>
          <w:szCs w:val="22"/>
          <w:color w:val="auto"/>
        </w:rPr>
        <w:t>*</w:t>
        <w:tab/>
        <w:t>*</w:t>
        <w:tab/>
        <w:t>*</w:t>
      </w:r>
    </w:p>
    <w:p>
      <w:pPr>
        <w:spacing w:after="0" w:line="260"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To record the adoption of this Amendment No. 1 to the 2013 Plan, Crown Holdings, Inc. has authorized its officers to affix its corporate name and seal effective as of the date first written above.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12553004.3.TAX</w:t>
      </w:r>
    </w:p>
    <w:p>
      <w:pPr>
        <w:sectPr>
          <w:pgSz w:w="11900" w:h="16838" w:orient="portrait"/>
          <w:cols w:equalWidth="0" w:num="1">
            <w:col w:w="11220"/>
          </w:cols>
          <w:pgMar w:left="320" w:top="564" w:right="359" w:bottom="1440" w:gutter="0" w:footer="0" w:header="0"/>
        </w:sectPr>
      </w:pPr>
    </w:p>
    <w:bookmarkStart w:id="39" w:name="page40"/>
    <w:bookmarkEnd w:id="39"/>
    <w:p>
      <w:pPr>
        <w:spacing w:after="0" w:line="150"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CROWN HOLDINGS, INC.</w:t>
      </w:r>
    </w:p>
    <w:p>
      <w:pPr>
        <w:spacing w:after="0" w:line="200" w:lineRule="exact"/>
        <w:rPr>
          <w:sz w:val="20"/>
          <w:szCs w:val="20"/>
          <w:color w:val="auto"/>
        </w:rPr>
      </w:pPr>
    </w:p>
    <w:p>
      <w:pPr>
        <w:spacing w:after="0" w:line="328"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Timothy J. Donahue</w:t>
      </w:r>
    </w:p>
    <w:p>
      <w:pPr>
        <w:spacing w:after="0" w:line="33"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Name: Timothy J. Donahue</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Title: Chief Executive Officer</w:t>
      </w:r>
    </w:p>
    <w:p>
      <w:pPr>
        <w:sectPr>
          <w:pgSz w:w="11900" w:h="16838" w:orient="portrait"/>
          <w:cols w:equalWidth="0" w:num="1">
            <w:col w:w="9019"/>
          </w:cols>
          <w:pgMar w:left="1440" w:top="1440" w:right="1440"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313"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March 31, 2020, guarantors of the Company's $350 principal 7.375% senior notes due 2026 and $40 principal 7.5% senior notes due 2096:</w:t>
      </w:r>
    </w:p>
    <w:p>
      <w:pPr>
        <w:spacing w:after="0" w:line="93" w:lineRule="exact"/>
        <w:rPr>
          <w:sz w:val="20"/>
          <w:szCs w:val="20"/>
          <w:color w:val="auto"/>
        </w:rPr>
      </w:pPr>
    </w:p>
    <w:tbl>
      <w:tblPr>
        <w:tblLayout w:type="fixed"/>
        <w:tblInd w:w="1090" w:type="dxa"/>
        <w:tblCellMar>
          <w:top w:w="0" w:type="dxa"/>
          <w:left w:w="0" w:type="dxa"/>
          <w:bottom w:w="0" w:type="dxa"/>
          <w:right w:w="0" w:type="dxa"/>
        </w:tblCellMar>
      </w:tblPr>
      <w:tr>
        <w:trPr>
          <w:trHeight w:val="247"/>
        </w:trPr>
        <w:tc>
          <w:tcPr>
            <w:tcW w:w="2940" w:type="dxa"/>
            <w:vAlign w:val="bottom"/>
            <w:tcBorders>
              <w:top w:val="single" w:sz="8" w:color="auto"/>
              <w:left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940" w:type="dxa"/>
            <w:vAlign w:val="bottom"/>
            <w:tcBorders>
              <w:top w:val="single" w:sz="8" w:color="auto"/>
              <w:right w:val="single" w:sz="8" w:color="auto"/>
            </w:tcBorders>
          </w:tcPr>
          <w:p>
            <w:pPr>
              <w:spacing w:after="0"/>
              <w:rPr>
                <w:sz w:val="21"/>
                <w:szCs w:val="21"/>
                <w:color w:val="auto"/>
              </w:rPr>
            </w:pPr>
          </w:p>
        </w:tc>
        <w:tc>
          <w:tcPr>
            <w:tcW w:w="26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7"/>
              </w:rPr>
              <w:t>STATE OR COUNTRY OF</w:t>
            </w:r>
          </w:p>
        </w:tc>
      </w:tr>
      <w:tr>
        <w:trPr>
          <w:trHeight w:val="229"/>
        </w:trPr>
        <w:tc>
          <w:tcPr>
            <w:tcW w:w="2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2940" w:type="dxa"/>
            <w:vAlign w:val="bottom"/>
            <w:tcBorders>
              <w:left w:val="single" w:sz="8" w:color="auto"/>
            </w:tcBorders>
          </w:tcPr>
          <w:p>
            <w:pPr>
              <w:spacing w:after="0"/>
              <w:rPr>
                <w:sz w:val="18"/>
                <w:szCs w:val="18"/>
                <w:color w:val="auto"/>
              </w:rPr>
            </w:pPr>
          </w:p>
        </w:tc>
        <w:tc>
          <w:tcPr>
            <w:tcW w:w="356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500" w:type="dxa"/>
            <w:vAlign w:val="bottom"/>
          </w:tcPr>
          <w:p>
            <w:pPr>
              <w:spacing w:after="0"/>
              <w:rPr>
                <w:sz w:val="18"/>
                <w:szCs w:val="18"/>
                <w:color w:val="auto"/>
              </w:rPr>
            </w:pPr>
          </w:p>
        </w:tc>
        <w:tc>
          <w:tcPr>
            <w:tcW w:w="2120" w:type="dxa"/>
            <w:vAlign w:val="bottom"/>
            <w:tcBorders>
              <w:right w:val="single" w:sz="8" w:color="auto"/>
            </w:tcBorders>
            <w:gridSpan w:val="2"/>
          </w:tcPr>
          <w:p>
            <w:pPr>
              <w:jc w:val="center"/>
              <w:ind w:right="5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2940" w:type="dxa"/>
            <w:vAlign w:val="bottom"/>
            <w:tcBorders>
              <w:left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Pennsylvania</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subsidiaries of the Company were, as of March 31, 2020, guarantors of the Company's $1,000 principal 4.5% senior notes due 2023, $400 principal 4.25% senior notes due 2026, and $875 principal 4.75% senior notes due 2026:</w:t>
      </w:r>
    </w:p>
    <w:p>
      <w:pPr>
        <w:spacing w:after="0" w:line="93" w:lineRule="exact"/>
        <w:rPr>
          <w:sz w:val="20"/>
          <w:szCs w:val="20"/>
          <w:color w:val="auto"/>
        </w:rPr>
      </w:pPr>
    </w:p>
    <w:tbl>
      <w:tblPr>
        <w:tblLayout w:type="fixed"/>
        <w:tblInd w:w="1090" w:type="dxa"/>
        <w:tblCellMar>
          <w:top w:w="0" w:type="dxa"/>
          <w:left w:w="0" w:type="dxa"/>
          <w:bottom w:w="0" w:type="dxa"/>
          <w:right w:w="0" w:type="dxa"/>
        </w:tblCellMar>
      </w:tblPr>
      <w:tr>
        <w:trPr>
          <w:trHeight w:val="247"/>
        </w:trPr>
        <w:tc>
          <w:tcPr>
            <w:tcW w:w="2940" w:type="dxa"/>
            <w:vAlign w:val="bottom"/>
            <w:tcBorders>
              <w:top w:val="single" w:sz="8" w:color="auto"/>
              <w:left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940" w:type="dxa"/>
            <w:vAlign w:val="bottom"/>
            <w:tcBorders>
              <w:top w:val="single" w:sz="8" w:color="auto"/>
              <w:right w:val="single" w:sz="8" w:color="auto"/>
            </w:tcBorders>
          </w:tcPr>
          <w:p>
            <w:pPr>
              <w:spacing w:after="0"/>
              <w:rPr>
                <w:sz w:val="21"/>
                <w:szCs w:val="21"/>
                <w:color w:val="auto"/>
              </w:rPr>
            </w:pPr>
          </w:p>
        </w:tc>
        <w:tc>
          <w:tcPr>
            <w:tcW w:w="26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7"/>
              </w:rPr>
              <w:t>STATE OR COUNTRY OF</w:t>
            </w:r>
          </w:p>
        </w:tc>
      </w:tr>
      <w:tr>
        <w:trPr>
          <w:trHeight w:val="229"/>
        </w:trPr>
        <w:tc>
          <w:tcPr>
            <w:tcW w:w="294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2940" w:type="dxa"/>
            <w:vAlign w:val="bottom"/>
            <w:tcBorders>
              <w:left w:val="single" w:sz="8" w:color="auto"/>
            </w:tcBorders>
          </w:tcPr>
          <w:p>
            <w:pPr>
              <w:spacing w:after="0"/>
              <w:rPr>
                <w:sz w:val="18"/>
                <w:szCs w:val="18"/>
                <w:color w:val="auto"/>
              </w:rPr>
            </w:pPr>
          </w:p>
        </w:tc>
        <w:tc>
          <w:tcPr>
            <w:tcW w:w="356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500" w:type="dxa"/>
            <w:vAlign w:val="bottom"/>
          </w:tcPr>
          <w:p>
            <w:pPr>
              <w:spacing w:after="0"/>
              <w:rPr>
                <w:sz w:val="18"/>
                <w:szCs w:val="18"/>
                <w:color w:val="auto"/>
              </w:rPr>
            </w:pPr>
          </w:p>
        </w:tc>
        <w:tc>
          <w:tcPr>
            <w:tcW w:w="2120" w:type="dxa"/>
            <w:vAlign w:val="bottom"/>
            <w:tcBorders>
              <w:right w:val="single" w:sz="8" w:color="auto"/>
            </w:tcBorders>
            <w:gridSpan w:val="2"/>
          </w:tcPr>
          <w:p>
            <w:pPr>
              <w:jc w:val="center"/>
              <w:ind w:right="5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2940" w:type="dxa"/>
            <w:vAlign w:val="bottom"/>
            <w:tcBorders>
              <w:left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Pennsylvania</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Pennsylvania</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Pennsylvania</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7"/>
              </w:rPr>
              <w:t>Delaware</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20"/>
                <w:szCs w:val="20"/>
                <w:color w:val="auto"/>
                <w:w w:val="94"/>
              </w:rPr>
              <w:t>Michigan</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254"/>
        </w:trPr>
        <w:tc>
          <w:tcPr>
            <w:tcW w:w="6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50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20"/>
                <w:szCs w:val="20"/>
                <w:color w:val="auto"/>
                <w:w w:val="89"/>
              </w:rPr>
              <w:t>Ohio</w:t>
            </w:r>
          </w:p>
        </w:tc>
      </w:tr>
      <w:tr>
        <w:trPr>
          <w:trHeight w:val="23"/>
        </w:trPr>
        <w:tc>
          <w:tcPr>
            <w:tcW w:w="29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80"/>
          </w:cols>
          <w:pgMar w:left="320" w:top="549"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1" w:lineRule="auto"/>
        <w:tabs>
          <w:tab w:leader="none" w:pos="86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61"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rPr>
              <w:t>Date: April 30, 2020</w:t>
            </w:r>
          </w:p>
        </w:tc>
        <w:tc>
          <w:tcPr>
            <w:tcW w:w="3780" w:type="dxa"/>
            <w:vAlign w:val="bottom"/>
            <w:gridSpan w:val="2"/>
          </w:tcPr>
          <w:p>
            <w:pPr>
              <w:spacing w:after="0"/>
              <w:rPr>
                <w:sz w:val="20"/>
                <w:szCs w:val="20"/>
                <w:color w:val="auto"/>
              </w:rPr>
            </w:pPr>
            <w:r>
              <w:rPr>
                <w:rFonts w:ascii="Arial" w:cs="Arial" w:eastAsia="Arial" w:hAnsi="Arial"/>
                <w:sz w:val="18"/>
                <w:szCs w:val="18"/>
                <w:color w:val="auto"/>
              </w:rPr>
              <w:t>/s/ Timothy J. Donahue</w:t>
            </w:r>
          </w:p>
        </w:tc>
        <w:tc>
          <w:tcPr>
            <w:tcW w:w="2060" w:type="dxa"/>
            <w:vAlign w:val="bottom"/>
          </w:tcPr>
          <w:p>
            <w:pPr>
              <w:ind w:left="460"/>
              <w:spacing w:after="0"/>
              <w:rPr>
                <w:sz w:val="20"/>
                <w:szCs w:val="20"/>
                <w:color w:val="auto"/>
              </w:rPr>
            </w:pPr>
            <w:r>
              <w:rPr>
                <w:rFonts w:ascii="Arial" w:cs="Arial" w:eastAsia="Arial" w:hAnsi="Arial"/>
                <w:sz w:val="18"/>
                <w:szCs w:val="18"/>
                <w:color w:val="auto"/>
                <w:w w:val="98"/>
              </w:rPr>
              <w:t>Timothy J. Donahue</w:t>
            </w:r>
          </w:p>
        </w:tc>
      </w:tr>
      <w:tr>
        <w:trPr>
          <w:trHeight w:val="20"/>
        </w:trPr>
        <w:tc>
          <w:tcPr>
            <w:tcW w:w="24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37"/>
        </w:trPr>
        <w:tc>
          <w:tcPr>
            <w:tcW w:w="2400" w:type="dxa"/>
            <w:vAlign w:val="bottom"/>
          </w:tcPr>
          <w:p>
            <w:pPr>
              <w:spacing w:after="0"/>
              <w:rPr>
                <w:sz w:val="20"/>
                <w:szCs w:val="20"/>
                <w:color w:val="auto"/>
              </w:rPr>
            </w:pPr>
          </w:p>
        </w:tc>
        <w:tc>
          <w:tcPr>
            <w:tcW w:w="3780" w:type="dxa"/>
            <w:vAlign w:val="bottom"/>
            <w:gridSpan w:val="2"/>
          </w:tcPr>
          <w:p>
            <w:pPr>
              <w:ind w:left="150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spacing w:after="0"/>
              <w:rPr>
                <w:sz w:val="20"/>
                <w:szCs w:val="20"/>
                <w:color w:val="auto"/>
              </w:rPr>
            </w:pPr>
          </w:p>
        </w:tc>
      </w:tr>
    </w:tbl>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1" w:lineRule="auto"/>
        <w:tabs>
          <w:tab w:leader="none" w:pos="86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61"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2020 (the “Report”), each of the undersigned officers certify, pursuant to 18 U.S.C. § 1350, as adopted pursuant to § 906 of the Sarbanes-Oxley Act of 2002, that:</w:t>
      </w:r>
    </w:p>
    <w:p>
      <w:pPr>
        <w:spacing w:after="0" w:line="248" w:lineRule="exact"/>
        <w:rPr>
          <w:sz w:val="20"/>
          <w:szCs w:val="20"/>
          <w:color w:val="auto"/>
        </w:rPr>
      </w:pPr>
    </w:p>
    <w:p>
      <w:pPr>
        <w:ind w:firstLine="8"/>
        <w:spacing w:after="0" w:line="249" w:lineRule="auto"/>
        <w:tabs>
          <w:tab w:leader="none" w:pos="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44" w:lineRule="exact"/>
        <w:rPr>
          <w:rFonts w:ascii="Arial" w:cs="Arial" w:eastAsia="Arial" w:hAnsi="Arial"/>
          <w:sz w:val="22"/>
          <w:szCs w:val="22"/>
          <w:color w:val="auto"/>
        </w:rPr>
      </w:pPr>
    </w:p>
    <w:p>
      <w:pPr>
        <w:ind w:firstLine="8"/>
        <w:spacing w:after="0" w:line="249" w:lineRule="auto"/>
        <w:tabs>
          <w:tab w:leader="none" w:pos="514"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420" w:type="dxa"/>
            <w:vAlign w:val="bottom"/>
          </w:tcPr>
          <w:p>
            <w:pPr>
              <w:ind w:left="120"/>
              <w:spacing w:after="0"/>
              <w:rPr>
                <w:sz w:val="20"/>
                <w:szCs w:val="20"/>
                <w:color w:val="auto"/>
              </w:rPr>
            </w:pPr>
            <w:r>
              <w:rPr>
                <w:rFonts w:ascii="Arial" w:cs="Arial" w:eastAsia="Arial" w:hAnsi="Arial"/>
                <w:sz w:val="22"/>
                <w:szCs w:val="22"/>
                <w:color w:val="auto"/>
              </w:rPr>
              <w:t>April 30, 2020</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284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60" w:type="dxa"/>
            <w:vAlign w:val="bottom"/>
            <w:gridSpan w:val="3"/>
          </w:tcPr>
          <w:p>
            <w:pPr>
              <w:ind w:left="148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060" w:type="dxa"/>
            <w:vAlign w:val="bottom"/>
            <w:gridSpan w:val="3"/>
          </w:tcPr>
          <w:p>
            <w:pPr>
              <w:ind w:left="1480"/>
              <w:spacing w:after="0"/>
              <w:rPr>
                <w:sz w:val="20"/>
                <w:szCs w:val="20"/>
                <w:color w:val="auto"/>
              </w:rPr>
            </w:pPr>
            <w:r>
              <w:rPr>
                <w:rFonts w:ascii="Arial" w:cs="Arial" w:eastAsia="Arial" w:hAnsi="Arial"/>
                <w:sz w:val="22"/>
                <w:szCs w:val="22"/>
                <w:color w:val="auto"/>
                <w:w w:val="97"/>
              </w:rPr>
              <w:t>President and Chief Executive Officer</w:t>
            </w:r>
          </w:p>
        </w:tc>
      </w:tr>
      <w:tr>
        <w:trPr>
          <w:trHeight w:val="462"/>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420" w:type="dxa"/>
            <w:vAlign w:val="bottom"/>
          </w:tcPr>
          <w:p>
            <w:pPr>
              <w:ind w:left="120"/>
              <w:spacing w:after="0"/>
              <w:rPr>
                <w:sz w:val="20"/>
                <w:szCs w:val="20"/>
                <w:color w:val="auto"/>
              </w:rPr>
            </w:pPr>
            <w:r>
              <w:rPr>
                <w:rFonts w:ascii="Arial" w:cs="Arial" w:eastAsia="Arial" w:hAnsi="Arial"/>
                <w:sz w:val="22"/>
                <w:szCs w:val="22"/>
                <w:color w:val="auto"/>
              </w:rPr>
              <w:t>April 30, 2020</w:t>
            </w: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Thomas A. Kelly</w:t>
            </w:r>
          </w:p>
        </w:tc>
        <w:tc>
          <w:tcPr>
            <w:tcW w:w="3200" w:type="dxa"/>
            <w:vAlign w:val="bottom"/>
            <w:gridSpan w:val="2"/>
          </w:tcPr>
          <w:p>
            <w:pPr>
              <w:spacing w:after="0"/>
              <w:rPr>
                <w:sz w:val="24"/>
                <w:szCs w:val="24"/>
                <w:color w:val="auto"/>
              </w:rPr>
            </w:pPr>
          </w:p>
        </w:tc>
      </w:tr>
      <w:tr>
        <w:trPr>
          <w:trHeight w:val="284"/>
        </w:trPr>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60" w:type="dxa"/>
            <w:vAlign w:val="bottom"/>
            <w:gridSpan w:val="3"/>
          </w:tcPr>
          <w:p>
            <w:pPr>
              <w:ind w:left="1480"/>
              <w:spacing w:after="0"/>
              <w:rPr>
                <w:sz w:val="20"/>
                <w:szCs w:val="20"/>
                <w:color w:val="auto"/>
              </w:rPr>
            </w:pPr>
            <w:r>
              <w:rPr>
                <w:rFonts w:ascii="Arial" w:cs="Arial" w:eastAsia="Arial" w:hAnsi="Arial"/>
                <w:sz w:val="22"/>
                <w:szCs w:val="22"/>
                <w:color w:val="auto"/>
              </w:rPr>
              <w:t>Thomas A. Kelly</w:t>
            </w:r>
          </w:p>
        </w:tc>
      </w:tr>
      <w:tr>
        <w:trPr>
          <w:trHeight w:val="256"/>
        </w:trPr>
        <w:tc>
          <w:tcPr>
            <w:tcW w:w="6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060" w:type="dxa"/>
            <w:vAlign w:val="bottom"/>
            <w:gridSpan w:val="3"/>
          </w:tcPr>
          <w:p>
            <w:pPr>
              <w:ind w:left="1480"/>
              <w:spacing w:after="0"/>
              <w:rPr>
                <w:sz w:val="20"/>
                <w:szCs w:val="20"/>
                <w:color w:val="auto"/>
              </w:rPr>
            </w:pPr>
            <w:r>
              <w:rPr>
                <w:rFonts w:ascii="Arial" w:cs="Arial" w:eastAsia="Arial" w:hAnsi="Arial"/>
                <w:sz w:val="22"/>
                <w:szCs w:val="22"/>
                <w:color w:val="auto"/>
              </w:rPr>
              <w:t>Senior Vice President</w:t>
            </w:r>
          </w:p>
        </w:tc>
      </w:tr>
      <w:tr>
        <w:trPr>
          <w:trHeight w:val="259"/>
        </w:trPr>
        <w:tc>
          <w:tcPr>
            <w:tcW w:w="6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060" w:type="dxa"/>
            <w:vAlign w:val="bottom"/>
            <w:gridSpan w:val="3"/>
          </w:tcPr>
          <w:p>
            <w:pPr>
              <w:ind w:left="148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8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1."/>
      <w:numFmt w:val="upperLetter"/>
      <w:start w:val="3"/>
    </w:lvl>
  </w:abstractNum>
  <w:abstractNum w:abstractNumId="4">
    <w:nsid w:val="431BD7B7"/>
    <w:multiLevelType w:val="hybridMultilevel"/>
    <w:lvl w:ilvl="0">
      <w:lvlJc w:val="left"/>
      <w:lvlText w:val="%1."/>
      <w:numFmt w:val="upperLetter"/>
      <w:start w:val="5"/>
    </w:lvl>
  </w:abstractNum>
  <w:abstractNum w:abstractNumId="5">
    <w:nsid w:val="3F2DBA31"/>
    <w:multiLevelType w:val="hybridMultilevel"/>
    <w:lvl w:ilvl="0">
      <w:lvlJc w:val="left"/>
      <w:lvlText w:val="%1."/>
      <w:numFmt w:val="upperLetter"/>
      <w:start w:val="6"/>
    </w:lvl>
  </w:abstractNum>
  <w:abstractNum w:abstractNumId="6">
    <w:nsid w:val="7C83E458"/>
    <w:multiLevelType w:val="hybridMultilevel"/>
    <w:lvl w:ilvl="0">
      <w:lvlJc w:val="left"/>
      <w:lvlText w:val="%1."/>
      <w:numFmt w:val="upperLetter"/>
      <w:start w:val="7"/>
    </w:lvl>
  </w:abstractNum>
  <w:abstractNum w:abstractNumId="7">
    <w:nsid w:val="257130A3"/>
    <w:multiLevelType w:val="hybridMultilevel"/>
    <w:lvl w:ilvl="0">
      <w:lvlJc w:val="left"/>
      <w:lvlText w:val="%1."/>
      <w:numFmt w:val="upperLetter"/>
      <w:start w:val="8"/>
    </w:lvl>
  </w:abstractNum>
  <w:abstractNum w:abstractNumId="8">
    <w:nsid w:val="62BBD95A"/>
    <w:multiLevelType w:val="hybridMultilevel"/>
    <w:lvl w:ilvl="0">
      <w:lvlJc w:val="left"/>
      <w:lvlText w:val="%1."/>
      <w:numFmt w:val="upperLetter"/>
      <w:start w:val="9"/>
    </w:lvl>
  </w:abstractNum>
  <w:abstractNum w:abstractNumId="9">
    <w:nsid w:val="436C6125"/>
    <w:multiLevelType w:val="hybridMultilevel"/>
    <w:lvl w:ilvl="0">
      <w:lvlJc w:val="left"/>
      <w:lvlText w:val="%1."/>
      <w:numFmt w:val="upperLetter"/>
      <w:start w:val="10"/>
    </w:lvl>
  </w:abstractNum>
  <w:abstractNum w:abstractNumId="10">
    <w:nsid w:val="628C895D"/>
    <w:multiLevelType w:val="hybridMultilevel"/>
    <w:lvl w:ilvl="0">
      <w:lvlJc w:val="left"/>
      <w:lvlText w:val="%1."/>
      <w:numFmt w:val="upperLetter"/>
      <w:start w:val="11"/>
    </w:lvl>
  </w:abstractNum>
  <w:abstractNum w:abstractNumId="11">
    <w:nsid w:val="333AB105"/>
    <w:multiLevelType w:val="hybridMultilevel"/>
    <w:lvl w:ilvl="0">
      <w:lvlJc w:val="left"/>
      <w:lvlText w:val="%1."/>
      <w:numFmt w:val="upperLetter"/>
      <w:start w:val="12"/>
    </w:lvl>
  </w:abstractNum>
  <w:abstractNum w:abstractNumId="12">
    <w:nsid w:val="721DA317"/>
    <w:multiLevelType w:val="hybridMultilevel"/>
    <w:lvl w:ilvl="0">
      <w:lvlJc w:val="left"/>
      <w:lvlText w:val="%1."/>
      <w:numFmt w:val="upperLetter"/>
      <w:start w:val="13"/>
    </w:lvl>
  </w:abstractNum>
  <w:abstractNum w:abstractNumId="13">
    <w:nsid w:val="2443A858"/>
    <w:multiLevelType w:val="hybridMultilevel"/>
    <w:lvl w:ilvl="0">
      <w:lvlJc w:val="left"/>
      <w:lvlText w:val="%1."/>
      <w:numFmt w:val="upperLetter"/>
      <w:start w:val="14"/>
    </w:lvl>
  </w:abstractNum>
  <w:abstractNum w:abstractNumId="14">
    <w:nsid w:val="2D1D5AE9"/>
    <w:multiLevelType w:val="hybridMultilevel"/>
    <w:lvl w:ilvl="0">
      <w:lvlJc w:val="left"/>
      <w:lvlText w:val="%1."/>
      <w:numFmt w:val="upperLetter"/>
      <w:start w:val="15"/>
    </w:lvl>
  </w:abstractNum>
  <w:abstractNum w:abstractNumId="15">
    <w:nsid w:val="6763845E"/>
    <w:multiLevelType w:val="hybridMultilevel"/>
    <w:lvl w:ilvl="0">
      <w:lvlJc w:val="left"/>
      <w:lvlText w:val="%1."/>
      <w:numFmt w:val="upperLetter"/>
      <w:start w:val="16"/>
    </w:lvl>
  </w:abstractNum>
  <w:abstractNum w:abstractNumId="16">
    <w:nsid w:val="75A2A8D4"/>
    <w:multiLevelType w:val="hybridMultilevel"/>
    <w:lvl w:ilvl="0">
      <w:lvlJc w:val="left"/>
      <w:lvlText w:val="%1."/>
      <w:numFmt w:val="upperLetter"/>
      <w:start w:val="17"/>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22"/>
    </w:lvl>
  </w:abstractNum>
  <w:abstractNum w:abstractNumId="24">
    <w:nsid w:val="2CA88611"/>
    <w:multiLevelType w:val="hybridMultilevel"/>
    <w:lvl w:ilvl="0">
      <w:lvlJc w:val="left"/>
      <w:lvlText w:val="%1"/>
      <w:numFmt w:val="decimal"/>
      <w:start w:val="32"/>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2020-04-30T13:15:59Z</dcterms:created>
  <dcterms:modified xsi:type="dcterms:W3CDTF">2020-04-30T13:15:59Z</dcterms:modified>
</cp:coreProperties>
</file>