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4"/>
          <w:szCs w:val="24"/>
          <w:color w:val="auto"/>
        </w:rPr>
      </w:pPr>
    </w:p>
    <w:p>
      <w:pPr>
        <w:spacing w:after="0" w:line="25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333-268350</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171450</wp:posOffset>
            </wp:positionV>
            <wp:extent cx="27857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Crown Americas LLC</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$500,000,000 5.250% Senior Notes due 2030 and related Guarantees for all outstanding</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5.250% Senior Notes due 2030</w:t>
      </w:r>
    </w:p>
    <w:p>
      <w:pPr>
        <w:spacing w:after="0" w:line="211" w:lineRule="exact"/>
        <w:rPr>
          <w:sz w:val="24"/>
          <w:szCs w:val="24"/>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exchange offer expires at 5:00 p.m., New York City time, on January 11, 2023, unless extended. Crown Americas LLC (“Crown Americas” and the “Issuer”) will exchange all old notes that are validly tendered and not validly withdrawn prior to the expiration of the exchange offer. You may withdraw tenders of old notes at any time before the exchange offer expires.</w:t>
      </w:r>
    </w:p>
    <w:p>
      <w:pPr>
        <w:spacing w:after="0" w:line="184" w:lineRule="exact"/>
        <w:rPr>
          <w:sz w:val="24"/>
          <w:szCs w:val="24"/>
          <w:color w:val="auto"/>
        </w:rPr>
      </w:pPr>
    </w:p>
    <w:p>
      <w:pPr>
        <w:ind w:left="120"/>
        <w:spacing w:after="0"/>
        <w:rPr>
          <w:sz w:val="20"/>
          <w:szCs w:val="20"/>
          <w:color w:val="auto"/>
        </w:rPr>
      </w:pPr>
      <w:r>
        <w:rPr>
          <w:rFonts w:ascii="Arial" w:cs="Arial" w:eastAsia="Arial" w:hAnsi="Arial"/>
          <w:sz w:val="17"/>
          <w:szCs w:val="17"/>
          <w:color w:val="auto"/>
        </w:rPr>
        <w:t>The form and terms of the new notes will be identical in all material respects to the form and terms of the old notes, except that the new notes:</w:t>
      </w:r>
    </w:p>
    <w:p>
      <w:pPr>
        <w:spacing w:after="0" w:line="264" w:lineRule="exact"/>
        <w:rPr>
          <w:sz w:val="24"/>
          <w:szCs w:val="24"/>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have been registered under the Securities Act;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bear restrictive legends restricting their transfer under the Securities Act;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be entitled to the registration rights that apply to the old notes; and</w:t>
      </w:r>
    </w:p>
    <w:p>
      <w:pPr>
        <w:spacing w:after="0" w:line="25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not contain provisions relating to increased interest rates in connection with the old notes under circumstances related to the timing of the exchange offer.</w:t>
      </w:r>
    </w:p>
    <w:p>
      <w:pPr>
        <w:spacing w:after="0" w:line="170" w:lineRule="exact"/>
        <w:rPr>
          <w:sz w:val="24"/>
          <w:szCs w:val="24"/>
          <w:color w:val="auto"/>
        </w:rPr>
      </w:pPr>
    </w:p>
    <w:p>
      <w:pPr>
        <w:ind w:left="120" w:right="60"/>
        <w:spacing w:after="0" w:line="291" w:lineRule="auto"/>
        <w:rPr>
          <w:sz w:val="20"/>
          <w:szCs w:val="20"/>
          <w:color w:val="auto"/>
        </w:rPr>
      </w:pPr>
      <w:r>
        <w:rPr>
          <w:rFonts w:ascii="Arial" w:cs="Arial" w:eastAsia="Arial" w:hAnsi="Arial"/>
          <w:sz w:val="16"/>
          <w:szCs w:val="16"/>
          <w:color w:val="auto"/>
        </w:rPr>
        <w:t>The new notes will be senior obligations of the Issuer and initially will be guaranteed on a senior basis by its indirect parent, Crown Holdings, Inc. (“we” or “Crown”), and by each of Crown’s U.S. subsidiaries (other than the Issuer, Crown Americas Capital Corp., Crown Americas Capital Corp. II, Crown Americas Capital Corp. III, Crown Americas Capital Corp. IV, Crown Americas Capital Corp. V and Crown Americas Capital Corp.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 and the guarantors to the extent of the value of the assets securing such indebtedness and will be junior in right of payment to all indebtedness of Crown’s non-guarantor subsidiaries.</w:t>
      </w:r>
    </w:p>
    <w:p>
      <w:pPr>
        <w:spacing w:after="0" w:line="166" w:lineRule="exact"/>
        <w:rPr>
          <w:sz w:val="24"/>
          <w:szCs w:val="24"/>
          <w:color w:val="auto"/>
        </w:rPr>
      </w:pPr>
    </w:p>
    <w:p>
      <w:pPr>
        <w:ind w:left="120" w:right="60"/>
        <w:spacing w:after="0" w:line="272"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177" w:lineRule="exact"/>
        <w:rPr>
          <w:sz w:val="24"/>
          <w:szCs w:val="24"/>
          <w:color w:val="auto"/>
        </w:rPr>
      </w:pPr>
    </w:p>
    <w:p>
      <w:pPr>
        <w:ind w:left="120"/>
        <w:spacing w:after="0"/>
        <w:rPr>
          <w:sz w:val="20"/>
          <w:szCs w:val="20"/>
          <w:color w:val="auto"/>
        </w:rPr>
      </w:pPr>
      <w:r>
        <w:rPr>
          <w:rFonts w:ascii="Arial" w:cs="Arial" w:eastAsia="Arial" w:hAnsi="Arial"/>
          <w:sz w:val="16"/>
          <w:szCs w:val="16"/>
          <w:b w:val="1"/>
          <w:bCs w:val="1"/>
          <w:i w:val="1"/>
          <w:iCs w:val="1"/>
          <w:color w:val="auto"/>
        </w:rPr>
        <w:t>See “</w:t>
      </w:r>
      <w:r>
        <w:rPr>
          <w:rFonts w:ascii="Arial" w:cs="Arial" w:eastAsia="Arial" w:hAnsi="Arial"/>
          <w:sz w:val="16"/>
          <w:szCs w:val="16"/>
          <w:b w:val="1"/>
          <w:bCs w:val="1"/>
          <w:i w:val="1"/>
          <w:iCs w:val="1"/>
          <w:u w:val="single" w:color="auto"/>
          <w:color w:val="0000EE"/>
        </w:rPr>
        <w:t>Risk Factors</w:t>
      </w:r>
      <w:r>
        <w:rPr>
          <w:rFonts w:ascii="Arial" w:cs="Arial" w:eastAsia="Arial" w:hAnsi="Arial"/>
          <w:sz w:val="16"/>
          <w:szCs w:val="16"/>
          <w:b w:val="1"/>
          <w:bCs w:val="1"/>
          <w:i w:val="1"/>
          <w:iCs w:val="1"/>
          <w:color w:val="auto"/>
        </w:rPr>
        <w:t>” beginning on page 7 for a discussion of risks that should be considered by holders prior to tendering their old notes.</w:t>
      </w:r>
    </w:p>
    <w:p>
      <w:pPr>
        <w:spacing w:after="0" w:line="244" w:lineRule="exact"/>
        <w:rPr>
          <w:sz w:val="24"/>
          <w:szCs w:val="24"/>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December 9, 2022.</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700" w:type="dxa"/>
            <w:vAlign w:val="bottom"/>
            <w:gridSpan w:val="2"/>
            <w:vMerge w:val="restart"/>
          </w:tcPr>
          <w:p>
            <w:pPr>
              <w:spacing w:after="0"/>
              <w:rPr>
                <w:sz w:val="20"/>
                <w:szCs w:val="20"/>
                <w:color w:val="auto"/>
              </w:rPr>
            </w:pPr>
            <w:r>
              <w:rPr>
                <w:rFonts w:ascii="Arial" w:cs="Arial" w:eastAsia="Arial" w:hAnsi="Arial"/>
                <w:sz w:val="18"/>
                <w:szCs w:val="18"/>
                <w:color w:val="0000EE"/>
                <w:w w:val="88"/>
              </w:rPr>
              <w:t>Summary</w:t>
            </w:r>
          </w:p>
        </w:tc>
        <w:tc>
          <w:tcPr>
            <w:tcW w:w="3320" w:type="dxa"/>
            <w:vAlign w:val="bottom"/>
            <w:gridSpan w:val="10"/>
            <w:vMerge w:val="restart"/>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700" w:type="dxa"/>
            <w:vAlign w:val="bottom"/>
            <w:tcBorders>
              <w:bottom w:val="single" w:sz="8" w:color="0000EE"/>
            </w:tcBorders>
            <w:gridSpan w:val="2"/>
            <w:vMerge w:val="continue"/>
          </w:tcPr>
          <w:p>
            <w:pPr>
              <w:spacing w:after="0"/>
              <w:rPr>
                <w:sz w:val="13"/>
                <w:szCs w:val="13"/>
                <w:color w:val="auto"/>
              </w:rPr>
            </w:pPr>
          </w:p>
        </w:tc>
        <w:tc>
          <w:tcPr>
            <w:tcW w:w="3320" w:type="dxa"/>
            <w:vAlign w:val="bottom"/>
            <w:gridSpan w:val="10"/>
            <w:vMerge w:val="continue"/>
          </w:tcPr>
          <w:p>
            <w:pPr>
              <w:spacing w:after="0"/>
              <w:rPr>
                <w:sz w:val="13"/>
                <w:szCs w:val="13"/>
                <w:color w:val="auto"/>
              </w:rPr>
            </w:pPr>
          </w:p>
        </w:tc>
        <w:tc>
          <w:tcPr>
            <w:tcW w:w="66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20" w:type="dxa"/>
            <w:vAlign w:val="bottom"/>
            <w:gridSpan w:val="12"/>
          </w:tcPr>
          <w:p>
            <w:pPr>
              <w:spacing w:after="0"/>
              <w:rPr>
                <w:sz w:val="20"/>
                <w:szCs w:val="20"/>
                <w:color w:val="auto"/>
              </w:rPr>
            </w:pPr>
            <w:r>
              <w:rPr>
                <w:rFonts w:ascii="Arial" w:cs="Arial" w:eastAsia="Arial" w:hAnsi="Arial"/>
                <w:sz w:val="18"/>
                <w:szCs w:val="18"/>
                <w:color w:val="0000EE"/>
              </w:rPr>
              <w:t>Risk Factors</w:t>
            </w:r>
          </w:p>
        </w:tc>
        <w:tc>
          <w:tcPr>
            <w:tcW w:w="69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Use of Proceeds</w:t>
            </w:r>
          </w:p>
        </w:tc>
        <w:tc>
          <w:tcPr>
            <w:tcW w:w="1920" w:type="dxa"/>
            <w:vAlign w:val="bottom"/>
            <w:gridSpan w:val="4"/>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The Exchange Offer</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2260" w:type="dxa"/>
            <w:vAlign w:val="bottom"/>
            <w:gridSpan w:val="5"/>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Certain U.S. Federal Income Tax Considerations</w:t>
            </w:r>
          </w:p>
        </w:tc>
        <w:tc>
          <w:tcPr>
            <w:tcW w:w="520" w:type="dxa"/>
            <w:vAlign w:val="bottom"/>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Plan of Distribution</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2560" w:type="dxa"/>
            <w:vAlign w:val="bottom"/>
            <w:gridSpan w:val="6"/>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020" w:type="dxa"/>
            <w:vAlign w:val="bottom"/>
            <w:gridSpan w:val="8"/>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Incorporation of Documents by Reference</w:t>
            </w:r>
          </w:p>
        </w:tc>
        <w:tc>
          <w:tcPr>
            <w:tcW w:w="200" w:type="dxa"/>
            <w:vAlign w:val="bottom"/>
            <w:tcBorders>
              <w:top w:val="single" w:sz="8" w:color="0000EE"/>
            </w:tcBorders>
          </w:tcPr>
          <w:p>
            <w:pPr>
              <w:spacing w:after="0"/>
              <w:rPr>
                <w:sz w:val="17"/>
                <w:szCs w:val="17"/>
                <w:color w:val="auto"/>
              </w:rPr>
            </w:pPr>
          </w:p>
        </w:tc>
        <w:tc>
          <w:tcPr>
            <w:tcW w:w="780" w:type="dxa"/>
            <w:vAlign w:val="bottom"/>
            <w:gridSpan w:val="2"/>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 later than five business days before the expiration date. The expiration date is January 11, 2023. See “Incorporation of Documents by Reference.”</w:t>
      </w:r>
    </w:p>
    <w:p>
      <w:pPr>
        <w:spacing w:after="0" w:line="180"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the Issuer nor Crown has authorized anyone to provide you with information that is different. If anyone provides you with different or inconsistent information, you should not rely on it. Neither the Issuer nor Crown is making an offer to sell these securities in any jurisdiction where the offer or sale is not permitted, where the person making the offer is not qualified to do so, or to any person who cannot legally be offered the securities.</w:t>
      </w:r>
    </w:p>
    <w:p>
      <w:pPr>
        <w:spacing w:after="0" w:line="19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distribution of this prospectus and the offer or sale of the new notes may be restricted by law in certain jurisdictions. Persons who possess this prospectus must inform themselves about, and observe, any such restrictions. See “Plan of Distribution.” Neither the Issuer, nor Crown nor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neither the Issuer, nor Crown nor any of their respective representatives shall have any responsibility therefor.</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MARKETS, RANKING AND OTHER DATA</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1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“old notes” refers to the $500 million aggregate principal amount of 5.250% Senior Notes due 2030 issued on March 17, 2022; (vi) “new notes” refers to the $500 million aggregate principal amount of 5.250% Senior Notes due 2030 offered in exchange for the old notes pursuant to this prospectus; and (vii) “notes” refers collectively to the old notes and the new notes.</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consumables and equipment, paper-based protective packaging, and plastic film consumables and equipment, which are sold into the metals, food and beverage, construction, agricultural, corrugated and general industries.</w:t>
      </w:r>
    </w:p>
    <w:p>
      <w:pPr>
        <w:spacing w:after="0" w:line="157"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These products are manufactured in Crown’s plants both within and outside the United States and are sold through Crown’s sales organization to the soft drink, food, citrus, brewing, household products, personal care and various other industries. As of December 31, 2021, the Company operated 200 plants along with sales and service facilities throughout 40 countries and had approximately 26,000 employees. In 2021, consolidated net sales for the Company were $11.4 billion with 63% derived from operations outside the United States.</w:t>
      </w:r>
    </w:p>
    <w:p>
      <w:pPr>
        <w:spacing w:after="0" w:line="171" w:lineRule="exact"/>
        <w:rPr>
          <w:sz w:val="20"/>
          <w:szCs w:val="20"/>
          <w:color w:val="auto"/>
        </w:rPr>
      </w:pPr>
    </w:p>
    <w:p>
      <w:pPr>
        <w:ind w:left="300" w:right="160"/>
        <w:spacing w:after="0" w:line="257" w:lineRule="auto"/>
        <w:rPr>
          <w:sz w:val="20"/>
          <w:szCs w:val="20"/>
          <w:color w:val="auto"/>
        </w:rPr>
      </w:pPr>
      <w:r>
        <w:rPr>
          <w:rFonts w:ascii="Arial" w:cs="Arial" w:eastAsia="Arial" w:hAnsi="Arial"/>
          <w:sz w:val="18"/>
          <w:szCs w:val="18"/>
          <w:color w:val="auto"/>
        </w:rPr>
        <w:t xml:space="preserve">Crown is a Pennsylvania corporation. Crown’s principal executive offices are located at 770 Township Line Road, Yardley, Pennsylvania, 19067, and its telephone number is (215) 698-5100. Crown Cork is a Pennsylvania corporation. Crown Americas (formerly known as Crown Americas, Inc.) is a Pennsylvania limited liability company. Crown European Holdings (formerly known as CarnaudMetalbox SA)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Each of Crown Americas and Crown European Holdings is an indirect, wholly-owned subsidiary of Crown, and Crown Cork is a direct, wholly-owned subsidiary of Crown.</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00" w:right="300"/>
        <w:spacing w:after="0" w:line="263" w:lineRule="auto"/>
        <w:rPr>
          <w:sz w:val="20"/>
          <w:szCs w:val="20"/>
          <w:color w:val="auto"/>
        </w:rPr>
      </w:pPr>
      <w:r>
        <w:rPr>
          <w:rFonts w:ascii="Arial" w:cs="Arial" w:eastAsia="Arial" w:hAnsi="Arial"/>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84" w:lineRule="exact"/>
        <w:rPr>
          <w:sz w:val="20"/>
          <w:szCs w:val="20"/>
          <w:color w:val="auto"/>
        </w:rPr>
      </w:pPr>
    </w:p>
    <w:p>
      <w:pPr>
        <w:jc w:val="both"/>
        <w:ind w:left="300" w:right="440"/>
        <w:spacing w:after="0" w:line="263" w:lineRule="auto"/>
        <w:rPr>
          <w:sz w:val="20"/>
          <w:szCs w:val="20"/>
          <w:color w:val="auto"/>
        </w:rPr>
      </w:pPr>
      <w:r>
        <w:rPr>
          <w:rFonts w:ascii="Arial" w:cs="Arial" w:eastAsia="Arial" w:hAnsi="Arial"/>
          <w:sz w:val="18"/>
          <w:szCs w:val="18"/>
          <w:color w:val="auto"/>
        </w:rPr>
        <w:t>On March 17, 2022, we issued and sold $500,000,000 of 5.250% Senior Notes due 2030. In connection with this sale, we entered into a separate registration rights agreement with the initial purchasers of the old notes in which we agreed to deliver this prospectus to you and to complete an exchange offer for the old notes.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420" w:type="dxa"/>
            <w:vAlign w:val="bottom"/>
          </w:tcPr>
          <w:p>
            <w:pPr>
              <w:ind w:left="620"/>
              <w:spacing w:after="0"/>
              <w:rPr>
                <w:sz w:val="20"/>
                <w:szCs w:val="20"/>
                <w:color w:val="auto"/>
              </w:rPr>
            </w:pPr>
            <w:r>
              <w:rPr>
                <w:rFonts w:ascii="Arial" w:cs="Arial" w:eastAsia="Arial" w:hAnsi="Arial"/>
                <w:sz w:val="18"/>
                <w:szCs w:val="18"/>
                <w:color w:val="auto"/>
              </w:rPr>
              <w:t>$500,000,000 of 5.250% Senior Notes due 2030.</w:t>
            </w:r>
          </w:p>
        </w:tc>
      </w:tr>
      <w:tr>
        <w:trPr>
          <w:trHeight w:val="458"/>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The issuance of the new notes will be registered under the Securities Act. The terms of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new notes and old notes are identical in all material respects, except for transfer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8"/>
              </w:rPr>
              <w:t>restrictions, registration rights relating to the old notes and certain provisions relating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increased interest rates in connection with the old notes under circumstances related to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timing of the exchange offer. You are urged to read the discussions under the heading “The</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New Notes” in this Summary for further information regarding the new notes.</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The Exchange Offer</w:t>
            </w:r>
          </w:p>
        </w:tc>
        <w:tc>
          <w:tcPr>
            <w:tcW w:w="7420" w:type="dxa"/>
            <w:vAlign w:val="bottom"/>
          </w:tcPr>
          <w:p>
            <w:pPr>
              <w:ind w:left="620"/>
              <w:spacing w:after="0"/>
              <w:rPr>
                <w:sz w:val="20"/>
                <w:szCs w:val="20"/>
                <w:color w:val="auto"/>
              </w:rPr>
            </w:pPr>
            <w:r>
              <w:rPr>
                <w:rFonts w:ascii="Arial" w:cs="Arial" w:eastAsia="Arial" w:hAnsi="Arial"/>
                <w:sz w:val="18"/>
                <w:szCs w:val="18"/>
                <w:color w:val="auto"/>
              </w:rPr>
              <w:t>We are offering to exchange the new notes for up to $500 million aggregate principal</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amount of the old notes.</w:t>
            </w:r>
          </w:p>
        </w:tc>
      </w:tr>
      <w:tr>
        <w:trPr>
          <w:trHeight w:val="445"/>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5"/>
              </w:rPr>
              <w:t>Old notes may be exchanged only in denominations of $2,000 and any integral multiple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5"/>
              </w:rPr>
              <w:t>$1,000 in excess thereof. In this prospectus, the term “exchange offer” means this offer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4"/>
              </w:rPr>
              <w:t>exchange new notes for old notes in accordance with the terms set forth in this prospectus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4"/>
              </w:rPr>
              <w:t>and the accompanying letter of transmittal. You are entitled to exchange your old notes for</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new notes.</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Expiration Date; Withdrawal of Tender</w:t>
            </w:r>
          </w:p>
        </w:tc>
        <w:tc>
          <w:tcPr>
            <w:tcW w:w="7420" w:type="dxa"/>
            <w:vAlign w:val="bottom"/>
          </w:tcPr>
          <w:p>
            <w:pPr>
              <w:ind w:left="620"/>
              <w:spacing w:after="0"/>
              <w:rPr>
                <w:sz w:val="20"/>
                <w:szCs w:val="20"/>
                <w:color w:val="auto"/>
              </w:rPr>
            </w:pPr>
            <w:r>
              <w:rPr>
                <w:rFonts w:ascii="Arial" w:cs="Arial" w:eastAsia="Arial" w:hAnsi="Arial"/>
                <w:sz w:val="18"/>
                <w:szCs w:val="18"/>
                <w:color w:val="auto"/>
                <w:w w:val="96"/>
              </w:rPr>
              <w:t>The exchange offer will expire at 5:00 p.m., New York City time, on January 11, 2023,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such later date and time to which it may be extended by us. The tender of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pursuant to the exchange offer may be withdrawn at any time prior to the expiration date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the exchange offer. Any old notes not accepted for exchange for any reason will be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7"/>
              </w:rPr>
              <w:t>returned without expense to the tendering holder thereof promptly after the expiration or</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termination of the exchange offer.</w:t>
            </w:r>
          </w:p>
        </w:tc>
      </w:tr>
      <w:tr>
        <w:trPr>
          <w:trHeight w:val="445"/>
        </w:trPr>
        <w:tc>
          <w:tcPr>
            <w:tcW w:w="3600" w:type="dxa"/>
            <w:vAlign w:val="bottom"/>
          </w:tcPr>
          <w:p>
            <w:pPr>
              <w:ind w:left="180"/>
              <w:spacing w:after="0"/>
              <w:rPr>
                <w:sz w:val="20"/>
                <w:szCs w:val="20"/>
                <w:color w:val="auto"/>
              </w:rPr>
            </w:pPr>
            <w:r>
              <w:rPr>
                <w:rFonts w:ascii="Arial" w:cs="Arial" w:eastAsia="Arial" w:hAnsi="Arial"/>
                <w:sz w:val="18"/>
                <w:szCs w:val="18"/>
                <w:color w:val="auto"/>
              </w:rPr>
              <w:t>Conditions to the Exchange Offer</w:t>
            </w:r>
          </w:p>
        </w:tc>
        <w:tc>
          <w:tcPr>
            <w:tcW w:w="7420" w:type="dxa"/>
            <w:vAlign w:val="bottom"/>
          </w:tcPr>
          <w:p>
            <w:pPr>
              <w:ind w:left="620"/>
              <w:spacing w:after="0"/>
              <w:rPr>
                <w:sz w:val="20"/>
                <w:szCs w:val="20"/>
                <w:color w:val="auto"/>
              </w:rPr>
            </w:pPr>
            <w:r>
              <w:rPr>
                <w:rFonts w:ascii="Arial" w:cs="Arial" w:eastAsia="Arial" w:hAnsi="Arial"/>
                <w:sz w:val="18"/>
                <w:szCs w:val="18"/>
                <w:color w:val="auto"/>
                <w:w w:val="93"/>
              </w:rPr>
              <w:t>Our obligation to accept for exchange, or to issue new notes in exchange for, any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7"/>
              </w:rPr>
              <w:t>is subject to customary conditions relating to compliance with any applicable law or any</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applicable interpretation by the staff of the Securities and Exchange Commission,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receipt of any applicable governmental approvals and the absence of any actions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proceedings of any governmental agency or court which could materially impair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4"/>
              </w:rPr>
              <w:t>Issuer’s or Crown’s ability to consummate the exchange offer. See “The Exchange Offer—</w:t>
            </w:r>
          </w:p>
        </w:tc>
      </w:tr>
      <w:tr>
        <w:trPr>
          <w:trHeight w:val="230"/>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rPr>
              <w:t>Conditions to the Exchange Offer.”</w:t>
            </w:r>
          </w:p>
        </w:tc>
      </w:tr>
      <w:tr>
        <w:trPr>
          <w:trHeight w:val="159"/>
        </w:trPr>
        <w:tc>
          <w:tcPr>
            <w:tcW w:w="3600" w:type="dxa"/>
            <w:vAlign w:val="bottom"/>
            <w:tcBorders>
              <w:bottom w:val="single" w:sz="8" w:color="auto"/>
            </w:tcBorders>
          </w:tcPr>
          <w:p>
            <w:pPr>
              <w:spacing w:after="0"/>
              <w:rPr>
                <w:sz w:val="13"/>
                <w:szCs w:val="13"/>
                <w:color w:val="auto"/>
              </w:rPr>
            </w:pPr>
          </w:p>
        </w:tc>
        <w:tc>
          <w:tcPr>
            <w:tcW w:w="7420" w:type="dxa"/>
            <w:vAlign w:val="bottom"/>
            <w:tcBorders>
              <w:bottom w:val="single" w:sz="8" w:color="auto"/>
            </w:tcBorders>
          </w:tcPr>
          <w:p>
            <w:pPr>
              <w:spacing w:after="0"/>
              <w:rPr>
                <w:sz w:val="13"/>
                <w:szCs w:val="13"/>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8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Old Notes</w:t>
            </w:r>
          </w:p>
        </w:tc>
        <w:tc>
          <w:tcPr>
            <w:tcW w:w="73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If you wish to accept the exchange offer and tender your old notes, you must either:</w:t>
            </w:r>
          </w:p>
        </w:tc>
      </w:tr>
      <w:tr>
        <w:trPr>
          <w:trHeight w:val="337"/>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   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Transmittal, in accordance with its instructions and the instructions in this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prospectus, and mail or otherwise deliver such Letter of Transmittal, or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5"/>
              </w:rPr>
              <w:t>facsimile, together with the old notes and any other required documentation, to the</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exchange agent at the address set forth herein; or</w:t>
            </w:r>
          </w:p>
        </w:tc>
      </w:tr>
      <w:tr>
        <w:trPr>
          <w:trHeight w:val="323"/>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   if old notes are tendered pursuant to book-entry procedures, the tendering holder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must arrange with the Depository Trust Company, or DTC, to cause an agent’s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3"/>
              </w:rPr>
              <w:t>message to be transmitted through DTC’s Automated Tender Offer Program System</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5"/>
              </w:rPr>
              <w:t>with the required information (including a book-entry confirmation) to the exchange</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agent.</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4"/>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7"/>
              </w:rPr>
              <w:t>activities or other trading activities, must acknowledge that it will deliver a prospectus in</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58"/>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U.S. Bank Trust Company, National Association (as successor to U.S. Bank National</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Association) is serving as the exchange agent in connection with the exchange offer.</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6"/>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w w:val="93"/>
              </w:rPr>
              <w:t>taxable event for U.S. federal income tax purposes. See “Certain U.S. Federal Income Tax</w:t>
            </w:r>
          </w:p>
        </w:tc>
      </w:tr>
      <w:tr>
        <w:trPr>
          <w:trHeight w:val="230"/>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Considerations.”</w:t>
            </w:r>
          </w:p>
        </w:tc>
      </w:tr>
      <w:tr>
        <w:trPr>
          <w:trHeight w:val="159"/>
        </w:trPr>
        <w:tc>
          <w:tcPr>
            <w:tcW w:w="3640" w:type="dxa"/>
            <w:vAlign w:val="bottom"/>
            <w:tcBorders>
              <w:left w:val="single" w:sz="8" w:color="auto"/>
              <w:bottom w:val="single" w:sz="8" w:color="auto"/>
            </w:tcBorders>
          </w:tcPr>
          <w:p>
            <w:pPr>
              <w:spacing w:after="0"/>
              <w:rPr>
                <w:sz w:val="13"/>
                <w:szCs w:val="13"/>
                <w:color w:val="auto"/>
              </w:rPr>
            </w:pPr>
          </w:p>
        </w:tc>
        <w:tc>
          <w:tcPr>
            <w:tcW w:w="7380" w:type="dxa"/>
            <w:vAlign w:val="bottom"/>
            <w:tcBorders>
              <w:bottom w:val="single" w:sz="8" w:color="auto"/>
              <w:right w:val="single" w:sz="8" w:color="auto"/>
            </w:tcBorders>
          </w:tcPr>
          <w:p>
            <w:pPr>
              <w:spacing w:after="0"/>
              <w:rPr>
                <w:sz w:val="13"/>
                <w:szCs w:val="13"/>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8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Consequences of Exchanging Old Notes Pursuant to the Exchange Offer</w:t>
      </w:r>
    </w:p>
    <w:p>
      <w:pPr>
        <w:spacing w:after="0" w:line="229"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 xml:space="preserve">Based on certain interpretive letters issued by the staff of the Securities and Exchange Commission to third parties in unrelated transactions, the Issuer is of the view that holders of old notes (other than any holder who is an “affiliate” of the Issuer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93" w:lineRule="exact"/>
        <w:rPr>
          <w:sz w:val="20"/>
          <w:szCs w:val="20"/>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the holders’ business;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holders have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95"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76" w:lineRule="exact"/>
        <w:rPr>
          <w:sz w:val="20"/>
          <w:szCs w:val="20"/>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exchange offer is not completed within 360 days of the issue date of the old notes, or</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the exchange offer:</w:t>
      </w:r>
    </w:p>
    <w:p>
      <w:pPr>
        <w:spacing w:after="0" w:line="130" w:lineRule="exact"/>
        <w:rPr>
          <w:rFonts w:ascii="Arial" w:cs="Arial" w:eastAsia="Arial" w:hAnsi="Arial"/>
          <w:sz w:val="18"/>
          <w:szCs w:val="18"/>
          <w:color w:val="auto"/>
        </w:rPr>
      </w:pPr>
    </w:p>
    <w:p>
      <w:pPr>
        <w:ind w:left="1240" w:right="340" w:hanging="415"/>
        <w:spacing w:after="0" w:line="277"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the exchange offer; or</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initial purchaser of the old notes notifies us that it will not receive freely tradable new notes in exchange for old notes constituting any portion of an unsold allotment.</w:t>
      </w:r>
    </w:p>
    <w:p>
      <w:pPr>
        <w:spacing w:after="0" w:line="170"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ind w:left="300" w:right="260"/>
        <w:spacing w:after="0" w:line="263" w:lineRule="auto"/>
        <w:rPr>
          <w:sz w:val="20"/>
          <w:szCs w:val="20"/>
          <w:color w:val="auto"/>
        </w:rPr>
      </w:pPr>
      <w:r>
        <w:rPr>
          <w:rFonts w:ascii="Arial" w:cs="Arial" w:eastAsia="Arial" w:hAnsi="Arial"/>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Crown Americas LLC, a Pennsylvania limited liability company.</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principal amount of 5.250% of Senior Notes due 2030.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1140"/>
              <w:spacing w:after="0"/>
              <w:rPr>
                <w:sz w:val="20"/>
                <w:szCs w:val="20"/>
                <w:color w:val="auto"/>
              </w:rPr>
            </w:pPr>
            <w:r>
              <w:rPr>
                <w:rFonts w:ascii="Arial" w:cs="Arial" w:eastAsia="Arial" w:hAnsi="Arial"/>
                <w:sz w:val="18"/>
                <w:szCs w:val="18"/>
                <w:color w:val="auto"/>
              </w:rPr>
              <w:t>April 1, 2030.</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Interest on the new notes will accrue from and including the issue date of the old notes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will be payable semi-annually on April 1 and October 1 of each year, commencing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October 1, 2022.</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Ranking and Guarantees</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new notes will be senior obligations of the Issuer, ranking senior in right of payment to</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all its subordinated indebtedness, and will be unconditionally guaranteed on an unsecured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senior basis by Crown and each of Crown’s present and future U.S. subsidiaries (other than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Issuer, Crown Americas Capital Corp., Crown Americas Capital Corp. II, Crown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Americas Capital Corp. III, Crown Americas Capital Corp. IV, Crown Americas Capital</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7"/>
              </w:rPr>
              <w:t>Corp. V and Crown Americas Capital Corp. VI) that from time to time are obligors under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or guarantee Crown’s senior secured credit facilities.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new notes and new note guarantees will be senior unsecured obligations of the Issuer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and the guarantors,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4"/>
              </w:rPr>
              <w:t>•   effectively subordinated to all existing and future secured indebtedness of the Issuer</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and the guarantors to the extent of the value of the assets securing such</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indebtedness, including any borrowings under Crown’s senior secured credit</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facilities, to the extent of the value of the assets securing such indebtedness;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9"/>
              </w:rPr>
              <w:t>•   structurally subordinated to all indebtedness of subsidiaries of Crown that do not</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guarantee the notes offered hereby which include all of Crown’s foreign</w:t>
            </w:r>
          </w:p>
        </w:tc>
      </w:tr>
      <w:tr>
        <w:trPr>
          <w:trHeight w:val="216"/>
        </w:trPr>
        <w:tc>
          <w:tcPr>
            <w:tcW w:w="3080" w:type="dxa"/>
            <w:vAlign w:val="bottom"/>
          </w:tcPr>
          <w:p>
            <w:pPr>
              <w:spacing w:after="0"/>
              <w:rPr>
                <w:sz w:val="18"/>
                <w:szCs w:val="18"/>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w w:val="97"/>
              </w:rPr>
              <w:t>subsidiaries, and any U.S. subsidiaries that are neither obligors nor guarantors of</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Crown’s senior secured credit facilities;</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9"/>
              </w:rPr>
              <w:t>•   ranking equal in right of payment to any existing or future senior indebtedness of</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the Issuer and the guarantors; and</w:t>
            </w:r>
          </w:p>
        </w:tc>
      </w:tr>
      <w:tr>
        <w:trPr>
          <w:trHeight w:val="323"/>
        </w:trPr>
        <w:tc>
          <w:tcPr>
            <w:tcW w:w="308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ranking senior in right of payment to all existing and future subordinated</w:t>
            </w:r>
          </w:p>
        </w:tc>
      </w:tr>
      <w:tr>
        <w:trPr>
          <w:trHeight w:val="230"/>
        </w:trPr>
        <w:tc>
          <w:tcPr>
            <w:tcW w:w="3080" w:type="dxa"/>
            <w:vAlign w:val="bottom"/>
          </w:tcPr>
          <w:p>
            <w:pPr>
              <w:spacing w:after="0"/>
              <w:rPr>
                <w:sz w:val="20"/>
                <w:szCs w:val="20"/>
                <w:color w:val="auto"/>
              </w:rPr>
            </w:pPr>
          </w:p>
        </w:tc>
        <w:tc>
          <w:tcPr>
            <w:tcW w:w="7940" w:type="dxa"/>
            <w:vAlign w:val="bottom"/>
          </w:tcPr>
          <w:p>
            <w:pPr>
              <w:ind w:left="1640"/>
              <w:spacing w:after="0"/>
              <w:rPr>
                <w:sz w:val="20"/>
                <w:szCs w:val="20"/>
                <w:color w:val="auto"/>
              </w:rPr>
            </w:pPr>
            <w:r>
              <w:rPr>
                <w:rFonts w:ascii="Arial" w:cs="Arial" w:eastAsia="Arial" w:hAnsi="Arial"/>
                <w:sz w:val="18"/>
                <w:szCs w:val="18"/>
                <w:color w:val="auto"/>
              </w:rPr>
              <w:t>indebtedness of the Issuer and the guarantors.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Upon the release of any new note guarantor from its obligations under Crown’s senior</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secured credit facilities, unless there is a default or event of default existing or continuing</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under the indenture governing the new notes, the guarantee of such new notes by such new</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note guarantor will also be released.</w:t>
            </w:r>
          </w:p>
        </w:tc>
      </w:tr>
      <w:tr>
        <w:trPr>
          <w:trHeight w:val="159"/>
        </w:trPr>
        <w:tc>
          <w:tcPr>
            <w:tcW w:w="308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967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Additional Indebtedness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and the Issuer may be able to incur additional debt in the future. Although Crown’s senior secured credit facilities contain restrictions on Crown’s ability to incur indebtedness, those restrictions are subject to a number of exceptions.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The Issuer may redeem some or all of the new notes at any time prior to January 1, 2030 at a price equal to 100% of the principal amount of the notes redeemed, plus accrued and unpaid interest, if any, to, but excluding, the redemption date and a “make whole” premium, as described in this prospectus. Thereafter, the Issuer may redeem all or some of the notes at the redemption prices set forth in this prospectus. In addition, at any time on or after January 1, 2030, the notes will be redeemable at a redemption price equal to 100% of the principal amount of the notes redeemed, plus accrued and unpaid interest, if any, to, but excluding, the redemption date. See “Description of the Notes—Optional Redemption.”</w:t>
      </w:r>
    </w:p>
    <w:p>
      <w:pPr>
        <w:spacing w:after="0" w:line="192"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ind w:right="100"/>
        <w:spacing w:after="0" w:line="290" w:lineRule="auto"/>
        <w:rPr>
          <w:sz w:val="20"/>
          <w:szCs w:val="20"/>
          <w:color w:val="auto"/>
        </w:rPr>
      </w:pPr>
      <w:r>
        <w:rPr>
          <w:rFonts w:ascii="Arial" w:cs="Arial" w:eastAsia="Arial" w:hAnsi="Arial"/>
          <w:sz w:val="16"/>
          <w:szCs w:val="16"/>
          <w:color w:val="auto"/>
        </w:rPr>
        <w:t>Upon a “change of control repurchase event” of Crown or the Issuer, as defined under the caption “Description of the Notes—Repurchase at the Option of Holders,” you will have the right, as a holder of new notes, to require the Issuer to repurchase all or part of your new notes at a repurchase price equal to 101% of their principal amount, plus accrued and unpaid interest, if any, to, but excluding,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pacing w:after="0" w:line="192"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Restrictive Covenants</w:t>
      </w:r>
    </w:p>
    <w:p>
      <w:pPr>
        <w:spacing w:after="0" w:line="20" w:lineRule="exact"/>
        <w:rPr>
          <w:sz w:val="20"/>
          <w:szCs w:val="20"/>
          <w:color w:val="auto"/>
        </w:rPr>
      </w:pPr>
      <w:r>
        <w:rPr>
          <w:sz w:val="20"/>
          <w:szCs w:val="20"/>
          <w:color w:val="auto"/>
        </w:rPr>
        <w:br w:type="column"/>
      </w:r>
    </w:p>
    <w:p>
      <w:pPr>
        <w:jc w:val="both"/>
        <w:ind w:right="80"/>
        <w:spacing w:after="0" w:line="263" w:lineRule="auto"/>
        <w:rPr>
          <w:sz w:val="20"/>
          <w:szCs w:val="20"/>
          <w:color w:val="auto"/>
        </w:rPr>
      </w:pPr>
      <w:r>
        <w:rPr>
          <w:rFonts w:ascii="Arial" w:cs="Arial" w:eastAsia="Arial" w:hAnsi="Arial"/>
          <w:sz w:val="18"/>
          <w:szCs w:val="18"/>
          <w:color w:val="auto"/>
        </w:rPr>
        <w:t>The indenture governing the new notes will limit, among other things, Crown’s ability and the ability of certain of its subsidiaries (including the Issuer) to incur secured indebtedness and engage in certain sale and leaseback transactions.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4340" w:right="220"/>
        <w:spacing w:after="0" w:line="308" w:lineRule="auto"/>
        <w:rPr>
          <w:sz w:val="20"/>
          <w:szCs w:val="20"/>
          <w:color w:val="auto"/>
        </w:rPr>
      </w:pPr>
      <w:r>
        <w:rPr>
          <w:rFonts w:ascii="Arial" w:cs="Arial" w:eastAsia="Arial" w:hAnsi="Arial"/>
          <w:sz w:val="17"/>
          <w:szCs w:val="17"/>
          <w:color w:val="auto"/>
        </w:rPr>
        <w:t>These covenants are subject to a number of important exceptions and limitations that are described under the caption “Description of the Notes—Certain Covenants.”</w:t>
      </w:r>
    </w:p>
    <w:p>
      <w:pPr>
        <w:sectPr>
          <w:pgSz w:w="11900" w:h="16838" w:orient="portrait"/>
          <w:cols w:equalWidth="0" w:num="1">
            <w:col w:w="10920"/>
          </w:cols>
          <w:pgMar w:left="320" w:top="459" w:right="659" w:bottom="1440" w:gutter="0" w:footer="0" w:header="0"/>
          <w:type w:val="continuous"/>
        </w:sect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you fail to exchange your old notes for new notes your old notes will continue to be subject to restrictions on transfer and may become less liquid.</w:t>
      </w:r>
    </w:p>
    <w:p>
      <w:pPr>
        <w:spacing w:after="0" w:line="15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did not register the old notes under the Securities Act or any state securities laws, nor do we intend to do so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5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an active trading market for the new notes does not develop, the liquidity and value of the new notes could be harmed.</w:t>
      </w:r>
    </w:p>
    <w:p>
      <w:pPr>
        <w:spacing w:after="0" w:line="117"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There is no existing market for the new notes. An active public market for the new notes may not develop or, if developed, may not continue. If an active public market does not develop or is not maintained, you may not be able to sell your new notes at their fair market value or at all.</w:t>
      </w:r>
    </w:p>
    <w:p>
      <w:pPr>
        <w:spacing w:after="0" w:line="124"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Even if a public market for the new notes develops, trading prices of the new notes will depend on many factors, including, among other things, prevailing interest rates, the Issuer’s and Crown’s financial performance or prospects or the prospects of the companies in their industry, operating results and the market for similar securities. Historically, the market for non-investment grade debt has been subject to disruptions that have caused substantial volatility in the prices of securities similar to the new notes. Declines in the market for debt securities generally may also materially and adversely affect the liquidity of the new notes, independent of Crown’s financial performance.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notes.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new notes.</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 Furthermore, we will not seek our own interpretive letter. As a result, we cannot assure you that the staff will take the same position on this exchange offer as it did in interpretive letters to other parties in similar transactions.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Crown and the Issuer are holding companies with no direct operations and the new notes will be structurally subordinated to all indebtedness of Crown’s subsidiaries that are not guarantors of the new notes.</w:t>
      </w:r>
    </w:p>
    <w:p>
      <w:pPr>
        <w:spacing w:after="0" w:line="6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Crown and the Issuer are holding companies with no direct operations. The principal assets of Crown and the Issuer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the Issuer’s subsidiaries will guarantee the new notes. Specifically, none of Crown’s or the Issuer’s foreign subsidiaries are expected to guarantee the new notes. A holder of new notes will not have any claim as a creditor against subsidiaries of Crown or the Issuer that are not guarantors of the new notes, and the indebtedness and other liabilities, including trade payables, whether secured or unsecured, of those non-guarantor subsidiaries will be effectively senior to your claims.</w:t>
      </w:r>
    </w:p>
    <w:p>
      <w:pPr>
        <w:spacing w:after="0" w:line="27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new notes and the new note guarantees will be effectively subordinated to the prior payment in full of Crown’s, the Issuer’s and the guarantors’ current and future secured indebtedness to the extent of the value of the assets securing such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w:t>
      </w:r>
    </w:p>
    <w:p>
      <w:pPr>
        <w:spacing w:after="0" w:line="272"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1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6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cannot assure you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new notes and the new note guarantees may be voidable, subordinated or limited in scope under insolvency, fraudulent transfer, corporate or other laws.</w:t>
      </w:r>
    </w:p>
    <w:p>
      <w:pPr>
        <w:spacing w:after="0" w:line="6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creditor, or received less than reasonably equivalent value or fair consideration for the incurrence of such indebtedness and either:</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Crown’s or such subsidiary guarantor’s remaining assets constituted unreasonably small capital;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Crown’s senior secured credit facilities, the notes and other indebtedness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76"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Crown, the Issuer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the Issuer experiences a change of control repurchase event, the Issuer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 could seek consent to offer to purchase the new notes or attempt to refinance the borrowings that contain such a prohibition. If it does not obtain the consent or refinance the borrowings, the Issuer would remain prohibited from offering to purchase the new notes. In such case, the failure by the Issuer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 and the holders of the new notes.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decline in the ratings of Crown’s corporate credit could adversely affect the trading price of the new notes.</w:t>
      </w:r>
    </w:p>
    <w:p>
      <w:pPr>
        <w:spacing w:after="0" w:line="117"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Crown’s Business</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For a discussion of certain risks applicable to our business and operations, see “Risk Factors” in our Annual Report on Form 10-K for the year ended December 31, 2021, as updated by our subsequently filed Quarterly Reports on Form 10-Q and Current Reports on Form 8-K.</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expected outcome of contingencies, including with respect to asbestos-related litigation and pension and postretirement liabilities.</w:t>
      </w:r>
    </w:p>
    <w:p>
      <w:pPr>
        <w:spacing w:after="0" w:line="23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 to:</w:t>
      </w:r>
    </w:p>
    <w:p>
      <w:pPr>
        <w:spacing w:after="0" w:line="154"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term impact of U.K.’s withdrawal from the European Union;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1080" w:right="26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or differences in U.S. or international economic or political conditions, such as the effects of Brexit,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collectability of receivables;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 (including the military conflict between Russia and Ukraine) or acts of terrorism that may disrupt Crown’s production or the supply or pricing of raw materials, including in Crown’s Middle East and European operations, impact the financial condition of customers or adversely affect Crown’s ability to refinance or restructure its remaining indebtedness;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1080" w:right="140" w:hanging="424"/>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relations and workforce and social costs, including Crown’s pension and postretirement obligations and other employee or retiree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products and product lines;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customers, including the loss of any significant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5540" w:right="120" w:hanging="4884"/>
        <w:spacing w:after="0" w:line="449"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including their effect on demand for beverages and on crop yields for fruits and vegetables stored in food containers; 12</w:t>
      </w:r>
    </w:p>
    <w:p>
      <w:pPr>
        <w:sectPr>
          <w:pgSz w:w="11900" w:h="16838" w:orient="portrait"/>
          <w:cols w:equalWidth="0" w:num="1">
            <w:col w:w="11060"/>
          </w:cols>
          <w:pgMar w:left="320" w:top="459"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and various strains of pandemic disease on Crown’s business and operations.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increased governmental regulation on Crown and its products, including the regulation or restriction of the use of bisphenol-A;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Crown’s initiatives to generate additional cash, including the reduction of working capital levels and capital spending;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Crown’s strategic areas of focus, which may impact Crown’s operations, financial profile or levels of indebtedness.</w:t>
      </w:r>
    </w:p>
    <w:p>
      <w:pPr>
        <w:spacing w:after="0" w:line="23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Net proceeds from the offering of the old notes were approximately $492 million, before deducting the initial purchasers’ discount. These net proceeds were used, together with other available funds, to pay for general corporate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March 17, 2022,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and file with the SEC the registration statement of which this prospectus is a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the exchange offer by 360 days from the issue date of the old notes (or if such 360th day is not a Business Day, the next succeeding Business Day);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a shelf registration statement for the resale of the old notes if we cannot effect an exchange offer within the time period listed above and in certain other circumstances.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not an affiliate of us, as that term is interpreted by the SEC;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of the new notes.</w:t>
      </w:r>
    </w:p>
    <w:p>
      <w:pPr>
        <w:spacing w:after="0" w:line="22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and the guarantors fail to meet certain specified deadlines under the registration rights agreement, we will be obligated to pay an increased interest rate on the old notes.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copy of the registration rights agreement has been filed with the SEC as Exhibit 4.2 of the Registrant’s Current Report on Form 8-K, dated March 17, 2022, and is incorporated by reference as an exhibit to the registration statement of which this prospectus is a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offering to exchange an aggregate principal amount of up to $500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Old notes tendered in the exchange offer must be in denominations of the principal amount of $2,000 and any integral multiple of $1,000 in excess thereof.</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(as applicable).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Neither Crown, the Issuer, any of the guarantors, nor any of their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expiration date is 5:00 p.m., New York City time, on January 11, 2023, or such later date and time to which the exchange offer is extended.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delay the acceptance of the old notes;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terminate the exchange offer and not accept any old notes for exchange if we determine that any of the conditions to the exchange offer have not occurred or have not been satisfied;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 and retain all old notes tendered in the exchange offer other than those notes properly withdrawn;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 in any manner.</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If we materially amend the exchange offer, we will as promptly as practicable distribute a prospectus supplement to the holders of the old notes disclosing the change and extend the exchange offer for a period of five (5) to ten (10) business days, depending upon the significance of the amendment and the manner of disclosure to the registered holders, if the exchange offer would otherwise expire during the five (5) to ten (10) business day period.</w:t>
      </w:r>
    </w:p>
    <w:p>
      <w:pPr>
        <w:spacing w:after="0" w:line="14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If we exercise any of the rights listed above, we will as promptly as practicable give oral or written notice of the action to the exchange agent and will make a public announcement of such action. In the case of an extension, an announcement will be made no later than 9:00 a.m., New York City time on the next business day after the previously scheduled expiration date. Without limiting the manner in which we may choose to make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We will accept all old notes validly tendered and not withdrawn. Promptly after the expiration date, we will issue new notes registered under the Securities Act to the exchange agent.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old notes;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old notes, free and clear of all liens, restrictions, charges and other encumbrances;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old notes tendered for exchange are not subject to any adverse claims or proxies.</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Valid Tender</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6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the procedures of DTC and:</w:t>
      </w:r>
    </w:p>
    <w:p>
      <w:pPr>
        <w:spacing w:after="0" w:line="76" w:lineRule="exact"/>
        <w:rPr>
          <w:sz w:val="20"/>
          <w:szCs w:val="20"/>
          <w:color w:val="auto"/>
        </w:rPr>
      </w:pPr>
    </w:p>
    <w:p>
      <w:pPr>
        <w:ind w:left="1080" w:right="3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lieu of delivering a letter of transmittal, instruct DTC to transmit on behalf of the holder a computer-generated message to the exchange agent in which the holder of the old notes acknowledges and agrees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20"/>
        <w:spacing w:after="0" w:line="263" w:lineRule="auto"/>
        <w:rPr>
          <w:sz w:val="20"/>
          <w:szCs w:val="20"/>
          <w:color w:val="auto"/>
        </w:rPr>
      </w:pPr>
      <w:r>
        <w:rPr>
          <w:rFonts w:ascii="Arial" w:cs="Arial" w:eastAsia="Arial" w:hAnsi="Arial"/>
          <w:sz w:val="18"/>
          <w:szCs w:val="18"/>
          <w:color w:val="auto"/>
        </w:rPr>
        <w:t>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agent must receive old notes along with the letter of transmittal;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65"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8"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4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by an eligible institution unless the old notes surrendered for exchange are tendered:</w:t>
      </w:r>
    </w:p>
    <w:p>
      <w:pPr>
        <w:spacing w:after="0" w:line="76" w:lineRule="exact"/>
        <w:rPr>
          <w:sz w:val="20"/>
          <w:szCs w:val="20"/>
          <w:color w:val="auto"/>
        </w:rPr>
      </w:pPr>
    </w:p>
    <w:p>
      <w:pPr>
        <w:ind w:left="1080" w:right="8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An “eligible institution” is a firm or other entity which is identified as an “Eligible Guarantor Institution” in Rule 17Ad-15 under the Exchange Act, including:</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broker, dealer, municipal securities broker or dealer or government securities broker or dealer;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savings association.</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 Book-Entry Transfers</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78"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Validity</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reject any tenders determined to be in improper form or unlawful;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old notes by any holder.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waiver to the exchange offer will apply to all old notes tendered.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Resales of New Notes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By tendering old notes, the holder, other than participating broker-dealers, as defined below, of those old notes will represent to us that, among other things:</w:t>
      </w:r>
    </w:p>
    <w:p>
      <w:pPr>
        <w:spacing w:after="0" w:line="76" w:lineRule="exact"/>
        <w:rPr>
          <w:sz w:val="20"/>
          <w:szCs w:val="20"/>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acquired in the exchange offer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4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connection with any offer to resell, resale or other retransfer of the new notes. Any such broker-dealer is referred to 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withdrawal to be effective, you must deliver a written notice of withdrawal to the exchange agent. The notice of withdrawal must:</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the name of the person tendering the old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total principal amount of old notes to be withdrawn;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certificates for old notes are transmitted, the name of the registered holder of the old notes if different from the person withdrawing the old notes.</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6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new notes to be received will not be tradable by the holder without restriction under the Securities Act and the Exchange Act;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not received all applicable governmental approvals;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old notes, would violate applicable law or any applicable interpretation or policy of the staff of the SEC; or</w:t>
      </w:r>
    </w:p>
    <w:p>
      <w:pPr>
        <w:spacing w:after="0" w:line="75" w:lineRule="exact"/>
        <w:rPr>
          <w:rFonts w:ascii="Arial" w:cs="Arial" w:eastAsia="Arial" w:hAnsi="Arial"/>
          <w:sz w:val="18"/>
          <w:szCs w:val="18"/>
          <w:color w:val="auto"/>
        </w:rPr>
      </w:pPr>
    </w:p>
    <w:p>
      <w:pPr>
        <w:ind w:left="1080" w:right="44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14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we terminate or suspend the exchange offer based on a determination that the exchange offer violates applicable law or SEC policy, the registration rights agreement requires that we, as promptly as practicable after such determination (but in no event more than 60 days after so required or requested pursuant to the registration rights agreement), file a shelf registration statement covering the resale of the old notes, and thereafter use our reasonable best efforts to cause such shelf registration statement to be declared effective by the SEC within 60 days after the filing thereof. See “—Registration Rights and Additional Interest on the Old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have appointed U.S. Bank Trust Company, National Association (as successor to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Mail, Overnight Courier or Hand: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Fax: (651) 466-7367</w:t>
      </w:r>
    </w:p>
    <w:p>
      <w:pPr>
        <w:spacing w:after="0" w:line="21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you deliver letters of transmittal and any other required documents to an address or facsimile number other than those listed above, your tender is invalid.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320" w:top="459" w:right="5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Holders who tender their old notes for exchange will not be obligated to pay any transfer taxes in connection with the exchange. If, however, new notes issued in the exchange offer are to be delivered to, or are to be issued 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new notes will be recorded at the same carrying value as the old notes. Accordingly, Crown will not recognize any gain or loss for accounting purposes for the exchange transaction. Crown intends to amortize the expenses of the exchange offer and issuance of the old notes over the term of the new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and Additional Interest on the Old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applicable interpretations of the staff of the SEC do not permit us to effect the exchange offer contemplated by this prospectus;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other reason this exchange offer is not completed within 360 days from the issue date of the old notes;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this exchange offer:</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this exchange offer; or</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initial purchaser notifies us that it will not or did not receive freely tradable new notes in exchange for old notes constituting any portion of an unsold allotment,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subject to certain conditions, at our cost:</w:t>
      </w:r>
    </w:p>
    <w:p>
      <w:pPr>
        <w:spacing w:after="0" w:line="131"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earliest of (1) one year from the effective date of the shelf registration statement and</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 the date on which all notes registered thereunder have been sold in accordance therewith.</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within 360 days from the issue date of the old notes, this exchange offer has not been completed; or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shelf registration statement (if required) has not been filed by the deadline provided for in the registration rights agreement or has not been declared effective by the deadline provided for in the registration rights agreement;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Crown Americas LLC (“Crown Americas” and the “Issuer”) issued the old notes and will issue the new notes (collectively, the “Notes”) under an indenture (the “Indenture”), dated as of March 17, 2022, among the Issuer, the Guarantors (as defined below) and U.S. Bank Trust Company, National Association (as successor to U.S. Bank National Association) as trustee (the “Trustee”).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terms of the new notes are the same as the terms of the old notes, except that:</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not bear restrictive legends restricting their transfer under the Securities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will not contain provisions relating to increased interest rates in connection with the old notes under circumstances related to timing of the exchange offer.</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4.1 of the Registrant’s Current Report on Form 8-K, dated March 17, 2022, and is incorporated by reference as an exhibit to the registration statement of which this prospectus is a part.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the exchange offer contemplated by this prospectus (the “Offering”), the Issuer will issue up to $500 million aggregate principal amount of Notes under the Indenture. The Issuer may issue additional Notes in an unlimited amount (the “Additional Notes”)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Notes will mature on April 1, 2030. Interest on the Notes will accrue at the rate of 5.250% per annum. Interest on the Notes will be payable in cash semi-annually in arrears on April 1 and October 1 of each year, commencing on October 1, 2022, to Holders of record on the immediately preceding March 15 and September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6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 xml:space="preserve">Principal of and premium, if any, and interest on the Notes will be payable at the office or agency of the Issuer maintained for such purpose in the Borough of Manhattan, The City of New York, the State of New York (the “Paying Agent”) or in the city in the United States in which the Trustee’s Corporate Trust Office is located or, at the option of the Issuer, payment of interest may be made by check mailed to the Holders of the Notes at their respective addresses set forth in the register of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Holder has given wire transfer instructions to the Issuer or the Paying Agent at least 15 days prior to the payment date, all payments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principal, premium, if any, and interest with respect to the Notes held by such Holder will be made by wire transfer of immediately available funds to the account specified by such Holder. Corporate Trust Office of the Trustee, or its Agent, in the Borough of Manhattan, The City of New York, is designated as such office or agency of the Issuer. The Issuer may change the Paying Agent or registrar without prior notice to the Holders, and Parent or any of the Subsidiaries may act as a Paying Agent or registrar.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and Guarantees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 xml:space="preserve">The Notes will be the senior obligations of the Issuer,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senior obligations of the Issuer, including obligations under other unsubordinated Indebtedness. The Notes will be effectively subordinated to all existing and future obligations of the Issuer that are secured by Liens on any property or assets of the Issuer, to the extent of the value of the collateral securing such obligations, and will rank senior in right of payment to all existing and future obligations of the Issuer that are, by their terms, subordinated in right of payment to the Notes.</w:t>
      </w:r>
    </w:p>
    <w:p>
      <w:pPr>
        <w:spacing w:after="0" w:line="188"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The Issuer’s obligations under the Notes and the Indenture will be unconditionally Guaranteed, jointly and severally, by Parent and each of Parent’s present and future Domestic Subsidiaries (other than the Issuer and the Subsidiaries identified in the following paragraph) that from time to time are obligors under or Guarantee any Credit Facility including, without limitation, the Existing Credit Facility.</w:t>
      </w:r>
    </w:p>
    <w:p>
      <w:pPr>
        <w:spacing w:after="0" w:line="16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The old notes are, and the new notes will be, Guaranteed by Parent and each of Parent’s Domestic Subsidiaries, (other than the Issuer, Crown Americas Capital Corp., Crown Americas Capital Corp. II, Crown Americas Capital Corp. III, Crown Americas Capital Corp. IV, Crown Americas Capital Corp. V and Crown Americas Capital Corp. VI). The Notes will not be Guaranteed by any of Parent’s Foreign Subsidiaries.</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Each Note Guarantee will be a senior obligation of the respective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effectively subordinated to the obligations of non-Guarantor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Guarantors will Guarantee the Notes on the terms and conditions set forth in the Indenture.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1080" w:right="2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29" w:lineRule="exact"/>
        <w:rPr>
          <w:rFonts w:ascii="Arial" w:cs="Arial" w:eastAsia="Arial" w:hAnsi="Arial"/>
          <w:sz w:val="16"/>
          <w:szCs w:val="16"/>
          <w:color w:val="auto"/>
        </w:rPr>
      </w:pPr>
    </w:p>
    <w:p>
      <w:pPr>
        <w:ind w:left="1080" w:right="2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 Additional Note Guarantees”;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4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 the Trustee shall execute and deliver an instrument evidencing such release.</w:t>
      </w:r>
    </w:p>
    <w:p>
      <w:pPr>
        <w:spacing w:after="0" w:line="18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On or after January 1, 2030,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4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Prior to January 1, 2030, the Issuer may redeem the Notes, at its option, in whole at any time or in part from time to time, at a redemption price equal to 100%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to but excluding the applicable Make-Whole Redemption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Make-Whole Premium (a “Make-Whole Redemption”). The Indenture will provide that with respect to any such redemption the Issuer will notify the Trustee of the Make-Whole Premium with respect to the Notes on or before the applicable Make-Whole Redemption Date, and the Trustee will not be responsible, for verifying or otherwise, for such calculation.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 Regarding Notes</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(or if the Notes are held through DTC and if the procedures of DTC at such time do not permit</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redemptions, then by lot or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other method consistent with the procedures of DTC that the Trustee in its sole discretion deems fair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reasonable);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Notes with a principal amount of $2,000 or less shall be redeemed in part. Notice of redemption shall be mailed electronically or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7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Any redemption and notice thereof pursuant to the Indenture may, in the Issuer’s discretion, be subject to the satisfaction of one or more conditions precedent.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Except as set forth below under “—Repurchase at the Option of Holders,” the Issuer are not required to make any mandatory redemption or sinking fund payments with respect to the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Repurchase Events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Upon the occurrence of a Change of Control Repurchase Event, each Holder of Notes will have the right to require the Issuer to repurchase all or any part (equal to $2,000 or an integral multiple of $1,000 in excess thereof) of such Holder’s Notes pursuant to the offer described below (the “Change of Control Offer”) at an offer price in cash equal to 101% of their aggregate principal amount, plus accrued and unpaid interest, if any, thereon to but excluding the purchase date (the “Change of Control Payment”). Within 30 days following any Change of Control Repurchase Event or, at the Issuer’s option, prior to the consummation of such Change of Control Repurchase Event but after the public announcement thereof, the Issuer will mail a notice to each Holder describing the transaction or transactions that constitute the Change of Control Repurchase Event and offering to repurchase Notes on the purchase date specified in such notice (which must be no earlier than 30 days nor later than 60 days from the date such notice is mailed, other than as required by law) (the “</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pursuant to the procedures required by the Indenture and described in such notice. Such obligation will not continue after a discharge of the Issuer or defeasance from their obligations with respect to the Notes. See “—Legal Defeasance and Covenant Defeasance.”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31" w:lineRule="exact"/>
        <w:rPr>
          <w:sz w:val="20"/>
          <w:szCs w:val="20"/>
          <w:color w:val="auto"/>
        </w:rPr>
      </w:pPr>
    </w:p>
    <w:p>
      <w:pPr>
        <w:ind w:left="540" w:right="50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75"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deposit with the Paying Agent an amount in U.S. Dollars equal to the Change of Control Payment in respect of all Notes or portions thereof properly tendered; and</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new Note will be in a principal amount of $2,000 or an integral multiple of $1,000 in excess thereof. The Issuer will publicly announce the results of the Change of Control Offer on or as soon as practicable after the Change of Control Payment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will comply with the applicable securities laws and regulations and will not be deemed to have breached their obligations under this covenant by virtue thereof.</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Except as described above with respect to a Change of Control Repurchase Event, the Indenture will not contain provisions that permit the Holders of the Notes to require that the Issuer repurchase or redeem the Notes in the event of a takeover, recapitalization or similar transaction with respect to Parent or the Issuer.</w:t>
      </w:r>
    </w:p>
    <w:p>
      <w:pPr>
        <w:spacing w:after="0" w:line="18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Issuer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 and purchases all Notes validly tendered and not withdrawn under such Change of Control Offer or (2) 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7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 to repurchase the Notes could cause a default under the Existing Credit Facility and/or such Indebtedness, even if the Change of Control Repurchase Event itself does not. Finally, the Issuer’s ability to pay cash to the Holders of Notes following the occurrence of a Change of Control Repurchase Event may be limited by their then-existing financial resources. There can be no assurance that sufficient funds will be available when necessary to make any required repurchases and there can be no assurance that the Issuer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8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existence of a Holder’s right to require the Issuer to make a Change of Control Offer upon a Change of Control Repurchase Event may deter a third party from acquiring Parent or the Issuer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transfer of less than all of the assets of Parent and its Subsidiaries taken as a whole to another Person may be uncertain.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are summaries of certain covenants contained in the Indenture: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Indenture provides that Parent will not, nor will it permit any of its Restricted Subsidiaries to, create, incur or assume any Lien (other than Permitted Liens) upon any Principal Property or upon the Capital Stock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Liens” means</w:t>
      </w:r>
    </w:p>
    <w:p>
      <w:pPr>
        <w:spacing w:after="0" w:line="131" w:lineRule="exact"/>
        <w:rPr>
          <w:sz w:val="20"/>
          <w:szCs w:val="20"/>
          <w:color w:val="auto"/>
        </w:rPr>
      </w:pPr>
    </w:p>
    <w:p>
      <w:pPr>
        <w:ind w:left="540" w:right="40" w:hanging="424"/>
        <w:spacing w:after="0" w:line="25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93"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97"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30"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89" w:lineRule="exact"/>
        <w:rPr>
          <w:rFonts w:ascii="Arial" w:cs="Arial" w:eastAsia="Arial" w:hAnsi="Arial"/>
          <w:sz w:val="18"/>
          <w:szCs w:val="18"/>
          <w:color w:val="auto"/>
        </w:rPr>
      </w:pPr>
    </w:p>
    <w:p>
      <w:pPr>
        <w:ind w:left="540" w:right="100" w:hanging="424"/>
        <w:spacing w:after="0" w:line="31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54" w:lineRule="exact"/>
        <w:rPr>
          <w:rFonts w:ascii="Arial" w:cs="Arial" w:eastAsia="Arial" w:hAnsi="Arial"/>
          <w:sz w:val="16"/>
          <w:szCs w:val="16"/>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30" w:lineRule="exact"/>
        <w:rPr>
          <w:rFonts w:ascii="Arial" w:cs="Arial" w:eastAsia="Arial" w:hAnsi="Arial"/>
          <w:sz w:val="18"/>
          <w:szCs w:val="18"/>
          <w:color w:val="auto"/>
        </w:rPr>
      </w:pPr>
    </w:p>
    <w:p>
      <w:pPr>
        <w:ind w:left="540" w:hanging="424"/>
        <w:spacing w:after="0" w:line="27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82" w:lineRule="exact"/>
        <w:rPr>
          <w:rFonts w:ascii="Arial" w:cs="Arial" w:eastAsia="Arial" w:hAnsi="Arial"/>
          <w:sz w:val="17"/>
          <w:szCs w:val="17"/>
          <w:color w:val="auto"/>
        </w:rPr>
      </w:pPr>
    </w:p>
    <w:p>
      <w:pPr>
        <w:ind w:left="540" w:right="2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89"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308"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30"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taken together with the amount of all Attributable Debt of Parent and its Restricted 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83" w:lineRule="exact"/>
        <w:rPr>
          <w:rFonts w:ascii="Arial" w:cs="Arial" w:eastAsia="Arial" w:hAnsi="Arial"/>
          <w:sz w:val="17"/>
          <w:szCs w:val="17"/>
          <w:color w:val="auto"/>
        </w:rPr>
      </w:pPr>
    </w:p>
    <w:p>
      <w:pPr>
        <w:jc w:val="both"/>
        <w:ind w:left="540" w:right="30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89" w:lineRule="exact"/>
        <w:rPr>
          <w:rFonts w:ascii="Arial" w:cs="Arial" w:eastAsia="Arial" w:hAnsi="Arial"/>
          <w:sz w:val="18"/>
          <w:szCs w:val="18"/>
          <w:color w:val="auto"/>
        </w:rPr>
      </w:pPr>
    </w:p>
    <w:p>
      <w:pPr>
        <w:ind w:left="540" w:right="28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89" w:lineRule="exact"/>
        <w:rPr>
          <w:rFonts w:ascii="Arial" w:cs="Arial" w:eastAsia="Arial" w:hAnsi="Arial"/>
          <w:sz w:val="18"/>
          <w:szCs w:val="18"/>
          <w:color w:val="auto"/>
        </w:rPr>
      </w:pPr>
    </w:p>
    <w:p>
      <w:pPr>
        <w:ind w:left="540" w:hanging="424"/>
        <w:spacing w:after="0" w:line="273"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83" w:lineRule="exact"/>
        <w:rPr>
          <w:rFonts w:ascii="Arial" w:cs="Arial" w:eastAsia="Arial" w:hAnsi="Arial"/>
          <w:sz w:val="17"/>
          <w:szCs w:val="17"/>
          <w:color w:val="auto"/>
        </w:rPr>
      </w:pPr>
    </w:p>
    <w:p>
      <w:pPr>
        <w:ind w:left="540" w:right="260" w:hanging="424"/>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92"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following Sale and Leaseback Transactions are not subject to the limitation above and the provisions described in “—Limitation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Liens” above:</w:t>
      </w:r>
    </w:p>
    <w:p>
      <w:pPr>
        <w:spacing w:after="0" w:line="116"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30"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93"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Indenture provides that (i) neither Parent nor the Issuer will consolidate or merge with or into any other Person or Transfer all or substantially all of the properties or assets of Parent and its Subsidiaries, taken as a whole and (ii) neither Parent nor the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92" w:lineRule="exact"/>
        <w:rPr>
          <w:sz w:val="20"/>
          <w:szCs w:val="20"/>
          <w:color w:val="auto"/>
        </w:rPr>
      </w:pPr>
    </w:p>
    <w:p>
      <w:pPr>
        <w:ind w:left="1080" w:right="260" w:hanging="964"/>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102" w:lineRule="exact"/>
        <w:rPr>
          <w:rFonts w:ascii="Arial" w:cs="Arial" w:eastAsia="Arial" w:hAnsi="Arial"/>
          <w:sz w:val="18"/>
          <w:szCs w:val="18"/>
          <w:color w:val="auto"/>
        </w:rPr>
      </w:pPr>
    </w:p>
    <w:p>
      <w:pPr>
        <w:ind w:left="1080" w:right="580" w:hanging="532"/>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92" w:lineRule="exact"/>
        <w:rPr>
          <w:rFonts w:ascii="Arial" w:cs="Arial" w:eastAsia="Arial" w:hAnsi="Arial"/>
          <w:sz w:val="18"/>
          <w:szCs w:val="18"/>
          <w:color w:val="auto"/>
        </w:rPr>
      </w:pPr>
    </w:p>
    <w:p>
      <w:pPr>
        <w:ind w:left="540" w:right="100" w:hanging="424"/>
        <w:spacing w:after="0" w:line="31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the Indenture and the Registration Rights Agreement pursuant to a supplemental indenture or amendment of the relevant documents; and</w:t>
      </w:r>
    </w:p>
    <w:p>
      <w:pPr>
        <w:spacing w:after="0" w:line="54" w:lineRule="exact"/>
        <w:rPr>
          <w:rFonts w:ascii="Arial" w:cs="Arial" w:eastAsia="Arial" w:hAnsi="Arial"/>
          <w:sz w:val="16"/>
          <w:szCs w:val="16"/>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 none of the following shall be permitted:</w:t>
      </w:r>
    </w:p>
    <w:p>
      <w:pPr>
        <w:spacing w:after="0" w:line="131" w:lineRule="exact"/>
        <w:rPr>
          <w:sz w:val="20"/>
          <w:szCs w:val="20"/>
          <w:color w:val="auto"/>
        </w:rPr>
      </w:pPr>
    </w:p>
    <w:p>
      <w:pPr>
        <w:ind w:left="1080" w:right="54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will not prohibit:</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between the Issuer and a Guarantor other than Crown;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consolidation or merger between a Subsidiary (other than the Issuer) that is not a Guarantor and any other Subsidiary other than Crown;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Guarantor to the Issuer and/or any other Guarantor other than Crown;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the Issuer) that is not a Guarantor to any other Subsidiary other than Crown;</w:t>
      </w:r>
    </w:p>
    <w:p>
      <w:pPr>
        <w:spacing w:after="0" w:line="170"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involving the Issuer or a Guarantor, if the Issuer or such Guarantor is not the surviving entity of such transaction or the Person to which such Transfer is made, the surviving entity or the Person to which such Transfer is made shall comply with clause (2) above.</w:t>
      </w:r>
    </w:p>
    <w:p>
      <w:pPr>
        <w:spacing w:after="0" w:line="12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Upon any consolidation, combination or merger of Parent, the Issuer or any other Guarantor, or any Transfer of all or substantially all of the assets of Parent or the Issuer in accordance with the foregoing,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the Indenture, Notes and Note Guarantees with the same effect as if such surviving entity had been named therein as Parent, the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the Issuer’s or such Guarantor’s, as the case may be, other obligations and covenants under the Notes, the Indenture and its related Note Guarantee, if applicable.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of the date of issuance of the Notes, the Domestic Subsidiaries Crownway Insurance Company, Crown Americas Capital Corp., Crown Americas Capital Corp. II, Crown Americas Capital Corp. III, Crown Americas Capital Corp. IV, Crown Americas Capital Corp. V, Crown Americas Capital Corp. VI, Crown Cork and Seal Receivables II LLC, CROWN Packaging Holdings LLC, Crown Receivables III LLC, Signode International Holdings LLC, Signode International Investment LLC, TopFrame LLC will not Guarantee the Notes.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Note Guarantee of any Guarantor will be subject to release and discharge as described under the caption “—Ranking and Guarantees.”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Indenture provides that, whether or not required by the rules and regulations of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so long as any Notes are outstanding thereunder, the Issuer will furnish to the Trustee and Holders the following:</w:t>
      </w:r>
    </w:p>
    <w:p>
      <w:pPr>
        <w:spacing w:after="0" w:line="76" w:lineRule="exact"/>
        <w:rPr>
          <w:sz w:val="20"/>
          <w:szCs w:val="20"/>
          <w:color w:val="auto"/>
        </w:rPr>
      </w:pPr>
    </w:p>
    <w:p>
      <w:pPr>
        <w:ind w:left="540" w:right="20" w:hanging="424"/>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92"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each case, within the time periods specified in the SEC’s rules and regulations. The Issuer may satisfy its obligation to deliver the information and reports referred to in clauses (1) and (2) above by filing the same with the SEC.</w:t>
      </w:r>
    </w:p>
    <w:p>
      <w:pPr>
        <w:spacing w:after="0" w:line="170"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 and the Guarantors will,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Section 314(a) of the Trust Indenture Act of 1939.</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No director, officer, employee, incorporator or stockholder of Parent or of any Subsidiary of Parent, as such, shall have any liability for any obligations of the Issuer or the Guarantors under the Notes, the Indenture, the 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31" w:lineRule="exact"/>
        <w:rPr>
          <w:sz w:val="20"/>
          <w:szCs w:val="20"/>
          <w:color w:val="auto"/>
        </w:rPr>
      </w:pPr>
    </w:p>
    <w:p>
      <w:pPr>
        <w:ind w:left="5540" w:right="3400" w:hanging="5424"/>
        <w:spacing w:after="0" w:line="449" w:lineRule="auto"/>
        <w:tabs>
          <w:tab w:leader="none" w:pos="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 issued thereunder; 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default in payment when due of principal or premium, if any, on the Notes issued thereunder at maturity, upon redemption or otherwise;</w:t>
      </w:r>
    </w:p>
    <w:p>
      <w:pPr>
        <w:spacing w:after="0" w:line="142" w:lineRule="exact"/>
        <w:rPr>
          <w:rFonts w:ascii="Arial" w:cs="Arial" w:eastAsia="Arial" w:hAnsi="Arial"/>
          <w:sz w:val="17"/>
          <w:szCs w:val="17"/>
          <w:color w:val="auto"/>
        </w:rPr>
      </w:pPr>
    </w:p>
    <w:p>
      <w:pPr>
        <w:ind w:left="540" w:right="8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89" w:lineRule="exact"/>
        <w:rPr>
          <w:rFonts w:ascii="Arial" w:cs="Arial" w:eastAsia="Arial" w:hAnsi="Arial"/>
          <w:sz w:val="18"/>
          <w:szCs w:val="18"/>
          <w:color w:val="auto"/>
        </w:rPr>
      </w:pPr>
    </w:p>
    <w:p>
      <w:pPr>
        <w:jc w:val="both"/>
        <w:ind w:left="540" w:right="4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89" w:lineRule="exact"/>
        <w:rPr>
          <w:rFonts w:ascii="Arial" w:cs="Arial" w:eastAsia="Arial" w:hAnsi="Arial"/>
          <w:sz w:val="18"/>
          <w:szCs w:val="18"/>
          <w:color w:val="auto"/>
        </w:rPr>
      </w:pPr>
    </w:p>
    <w:p>
      <w:pPr>
        <w:ind w:left="540" w:right="80" w:hanging="424"/>
        <w:spacing w:after="0" w:line="290"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70" w:lineRule="exact"/>
        <w:rPr>
          <w:rFonts w:ascii="Arial" w:cs="Arial" w:eastAsia="Arial" w:hAnsi="Arial"/>
          <w:sz w:val="16"/>
          <w:szCs w:val="16"/>
          <w:color w:val="auto"/>
        </w:rPr>
      </w:pPr>
    </w:p>
    <w:p>
      <w:pPr>
        <w:ind w:left="540" w:right="18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89"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Parent, an Issuer or any other Subsidiary of Parent that is a Significant Subsidiary or group of Subsidiaries of Parent that, together, would constitute a Significant Subsidiary; and</w:t>
      </w:r>
    </w:p>
    <w:p>
      <w:pPr>
        <w:spacing w:after="0" w:line="75" w:lineRule="exact"/>
        <w:rPr>
          <w:rFonts w:ascii="Arial" w:cs="Arial" w:eastAsia="Arial" w:hAnsi="Arial"/>
          <w:sz w:val="18"/>
          <w:szCs w:val="18"/>
          <w:color w:val="auto"/>
        </w:rPr>
      </w:pPr>
    </w:p>
    <w:p>
      <w:pPr>
        <w:ind w:left="540" w:right="100" w:hanging="424"/>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If any Event of Default under the Indenture occurs and is continuing, the Trustee or the Holders of at least 25% in aggregate principal amount of the Notes then outstanding under the Indenture may declare all Notes issued under the Indenture to be due and payable by notice in writing to the Issuer and the Trustee, specifying the respective Event of Default and that it is a “notice of acceleration” and the same shall become immediately due and payable. Notwithstanding the foregoing, in the case of an Event of Default arising under clause (7) above with respect to Parent or the Issuer, all outstanding Notes then outstanding under the Indenture will become due and payable without any declaration, further action or notice. The Holders of any Notes may not enforce the Indenture relating to the Notes or the Notes except as provided in the Indenture. Subject to certain limitations, the Holders of a majority in principal amount of the then outstanding Notes issued under the Indenture may direct the Trustee in its exercise of any trust or power.</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Issuer is required to deliver to the Trustee annually a certificate regarding compliance with the Indenture, and the Issuer are required, within five</w:t>
      </w:r>
    </w:p>
    <w:p>
      <w:pPr>
        <w:spacing w:after="0" w:line="46" w:lineRule="exact"/>
        <w:rPr>
          <w:sz w:val="20"/>
          <w:szCs w:val="20"/>
          <w:color w:val="auto"/>
        </w:rPr>
      </w:pPr>
    </w:p>
    <w:p>
      <w:pPr>
        <w:ind w:left="120" w:right="620" w:hanging="4"/>
        <w:spacing w:after="0" w:line="260" w:lineRule="auto"/>
        <w:tabs>
          <w:tab w:leader="none" w:pos="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after an executive officer of the Issuer becomes aware of any Default or Event of Default, to deliver to the Trustee a statement specifying such Default or Event of Default.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Indenture will be discharged and will, subject to certain surviving provisions, cease to be of further effect as to all Notes issued thereunder when:</w:t>
      </w:r>
    </w:p>
    <w:p>
      <w:pPr>
        <w:spacing w:after="0" w:line="154" w:lineRule="exact"/>
        <w:rPr>
          <w:sz w:val="20"/>
          <w:szCs w:val="20"/>
          <w:color w:val="auto"/>
        </w:rPr>
      </w:pPr>
    </w:p>
    <w:p>
      <w:pPr>
        <w:ind w:left="540" w:right="72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Issuer deliver to the Trustee all outstanding Notes issued under the Indenture (other than Notes replaced because of mutilation, loss, destruction or wrongful taking) for cancellation; or</w:t>
      </w:r>
    </w:p>
    <w:p>
      <w:pPr>
        <w:spacing w:after="0" w:line="75" w:lineRule="exact"/>
        <w:rPr>
          <w:rFonts w:ascii="Arial" w:cs="Arial" w:eastAsia="Arial" w:hAnsi="Arial"/>
          <w:sz w:val="18"/>
          <w:szCs w:val="18"/>
          <w:color w:val="auto"/>
        </w:rPr>
      </w:pPr>
    </w:p>
    <w:p>
      <w:pPr>
        <w:ind w:left="540" w:hanging="424"/>
        <w:spacing w:after="0" w:line="287"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 or any Guarantor pays all other sums payable under the Indenture by it.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that such satisfaction and discharge does not result in a default under any agreement or instrument then known to such counsel which binds or affects the Issuer.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at the cost and expense of the Issuer.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Issuer may, at its option and at any time, elect to have all of its obligations and the obligations of the Guarantors discharged with respect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outstanding under the Indenture (“Legal Defeasance”), except for:</w:t>
      </w:r>
    </w:p>
    <w:p>
      <w:pPr>
        <w:spacing w:after="0" w:line="116" w:lineRule="exact"/>
        <w:rPr>
          <w:sz w:val="20"/>
          <w:szCs w:val="20"/>
          <w:color w:val="auto"/>
        </w:rPr>
      </w:pPr>
    </w:p>
    <w:p>
      <w:pPr>
        <w:ind w:left="540" w:right="10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obligations with respect to the Notes concerning issuing temporary Notes, registration of Notes, mutilated, destroyed, lost or stolen Notes and the maintenance of an office or agency for payment and money for security payments held in trust;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the Issuer may, at their option and at any time, elect to have all of their obligations and the obligations of the Guarantors released with respect to certain covenants that are described in the Indenture (“Covenant Defeasance”)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described under the caption “—Events of Default and Remedies” will no longer constitute an Event of Default under the Indenture.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31" w:lineRule="exact"/>
        <w:rPr>
          <w:sz w:val="20"/>
          <w:szCs w:val="20"/>
          <w:color w:val="auto"/>
        </w:rPr>
      </w:pPr>
    </w:p>
    <w:p>
      <w:pPr>
        <w:ind w:left="540" w:right="140" w:hanging="424"/>
        <w:spacing w:after="0" w:line="255"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date or on the applicable optional redemption date, as the case may be, and the Issuer must specify whether such Notes are being defeased to maturity or to a particular redemption date;</w:t>
      </w:r>
    </w:p>
    <w:p>
      <w:pPr>
        <w:spacing w:after="0" w:line="97" w:lineRule="exact"/>
        <w:rPr>
          <w:rFonts w:ascii="Arial" w:cs="Arial" w:eastAsia="Arial" w:hAnsi="Arial"/>
          <w:sz w:val="18"/>
          <w:szCs w:val="18"/>
          <w:color w:val="auto"/>
        </w:rPr>
      </w:pPr>
    </w:p>
    <w:p>
      <w:pPr>
        <w:ind w:left="540" w:hanging="424"/>
        <w:spacing w:after="0" w:line="293"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Legal Defeasance, the Issuer shall have delivered to the Trustee an Opinion of Counsel in the United States (upon which the Trustee shall have no liability in relying) confirming that (a) the Issuer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69" w:lineRule="exact"/>
        <w:rPr>
          <w:rFonts w:ascii="Arial" w:cs="Arial" w:eastAsia="Arial" w:hAnsi="Arial"/>
          <w:sz w:val="16"/>
          <w:szCs w:val="16"/>
          <w:color w:val="auto"/>
        </w:rPr>
      </w:pPr>
    </w:p>
    <w:p>
      <w:pPr>
        <w:ind w:left="540" w:right="20" w:hanging="424"/>
        <w:spacing w:after="0" w:line="30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Covenant Defeasance, the Issuer shall have delivered to the Trustee an Opinion of Counsel in the United States (upon which the Trustee shall have no liability in relying) confirming that the 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6"/>
          <w:szCs w:val="16"/>
          <w:color w:val="auto"/>
        </w:rPr>
      </w:pPr>
    </w:p>
    <w:p>
      <w:pPr>
        <w:ind w:left="540" w:right="40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89" w:lineRule="exact"/>
        <w:rPr>
          <w:rFonts w:ascii="Arial" w:cs="Arial" w:eastAsia="Arial" w:hAnsi="Arial"/>
          <w:sz w:val="18"/>
          <w:szCs w:val="18"/>
          <w:color w:val="auto"/>
        </w:rPr>
      </w:pPr>
    </w:p>
    <w:p>
      <w:pPr>
        <w:ind w:left="540" w:right="120" w:hanging="424"/>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29" w:lineRule="exact"/>
        <w:rPr>
          <w:rFonts w:ascii="Arial" w:cs="Arial" w:eastAsia="Arial" w:hAnsi="Arial"/>
          <w:sz w:val="16"/>
          <w:szCs w:val="16"/>
          <w:color w:val="auto"/>
        </w:rPr>
      </w:pPr>
    </w:p>
    <w:p>
      <w:pPr>
        <w:ind w:left="540" w:right="60" w:hanging="424"/>
        <w:spacing w:after="0" w:line="30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any applicable bankruptcy, insolvency, reorganization or similar laws affecting creditors’ rights generally;</w:t>
      </w:r>
    </w:p>
    <w:p>
      <w:pPr>
        <w:spacing w:after="0" w:line="62" w:lineRule="exact"/>
        <w:rPr>
          <w:rFonts w:ascii="Arial" w:cs="Arial" w:eastAsia="Arial" w:hAnsi="Arial"/>
          <w:sz w:val="16"/>
          <w:szCs w:val="16"/>
          <w:color w:val="auto"/>
        </w:rPr>
      </w:pPr>
    </w:p>
    <w:p>
      <w:pPr>
        <w:jc w:val="both"/>
        <w:ind w:left="540" w:right="10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must deliver to the Trustee an officers’ certificate (upon which the Trustee shall have no liability in relying) stating that the deposit was not made by the Issuer with the intent of preferring the Holders of Notes issued under the Indenture over the other creditors of the Issuer with the intent of defeating, hindering, delaying or defrauding creditors of the Issuer or others; and</w:t>
      </w:r>
    </w:p>
    <w:p>
      <w:pPr>
        <w:spacing w:after="0" w:line="89" w:lineRule="exact"/>
        <w:rPr>
          <w:rFonts w:ascii="Arial" w:cs="Arial" w:eastAsia="Arial" w:hAnsi="Arial"/>
          <w:sz w:val="18"/>
          <w:szCs w:val="18"/>
          <w:color w:val="auto"/>
        </w:rPr>
      </w:pPr>
    </w:p>
    <w:p>
      <w:pPr>
        <w:ind w:left="540" w:right="180" w:hanging="424"/>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 Holder of Notes may transfer or exchange Notes in accordance with the terms of the Indenture. The registrar and Trustee may require a Holder of Notes, among other things, to furnish appropriate endorsements and transfer documents and the applicable Issuer or the Trustee may require a Holder of Notes to pay any taxes and fees required by law or permitted by the Indenture. The Issuer is not required to transfer or exchange any Note selected for redemption. Also, the Issuer is not required to transfer or exchange any Note for a period of fifteen (15) days before a selection of Notes to be redeemed.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16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76"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 the principal amount of Notes issued under the Indenture whose Holders must consent to an amendment, supplement or waiver;</w:t>
      </w:r>
    </w:p>
    <w:p>
      <w:pPr>
        <w:spacing w:after="0" w:line="142" w:lineRule="exact"/>
        <w:rPr>
          <w:rFonts w:ascii="Arial" w:cs="Arial" w:eastAsia="Arial" w:hAnsi="Arial"/>
          <w:sz w:val="17"/>
          <w:szCs w:val="17"/>
          <w:color w:val="auto"/>
        </w:rPr>
      </w:pPr>
    </w:p>
    <w:p>
      <w:pPr>
        <w:ind w:left="540" w:hanging="424"/>
        <w:spacing w:after="0" w:line="25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reduce the principal amount of or change the fixed maturity date of any Notes, or alter the provisions with respect to the redemption of any such Notes other than, except as set forth in clause (7) below, the provisions relating to the covenant described under the caption “—Repurchase at the Option of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93"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30" w:lineRule="exact"/>
        <w:rPr>
          <w:rFonts w:ascii="Arial" w:cs="Arial" w:eastAsia="Arial" w:hAnsi="Arial"/>
          <w:sz w:val="18"/>
          <w:szCs w:val="18"/>
          <w:color w:val="auto"/>
        </w:rPr>
      </w:pPr>
    </w:p>
    <w:p>
      <w:pPr>
        <w:ind w:left="540" w:right="10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30"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75"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the Issuer’s obligation to purchase Notes arises thereunder,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89"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or change any provision of the Indenture affecting the ranking of the Notes or Note Guarantees issued thereunder in a manner adverse to the Holders of Notes issued thereunder.</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Without the consent of any Holder of Notes, the Issuer and the Trustee may amend the Indenture, the Notes governed thereby or the Note Guarantees issued thereunder:</w:t>
      </w:r>
    </w:p>
    <w:p>
      <w:pPr>
        <w:spacing w:after="0" w:line="7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of such Notes in the case of a merger or consolidation or sale of all or substantially all of such Issuer’s or such Guarantor’s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the Indenture;</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the covenants of the Issuer and the Guarantors for the benefit of the Holders of the Notes or to surrender any right or power conferred upon the Issuer and the Guarantors;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Indenture contains certain limitations on the rights of the Trustee, should the Trustee in its capacity as Trustee become a creditor of an Issuer, to obtain payment of claims in certain cases, or to realize on certain assets received in respect of any such claim as security or otherwise. The Trustee in its individual capacity or any other capacity is permitted to engage in other transactions with the Issuer; however, if the Trustee acquires any conflicting interest as defined under the Trust Indenture Act, it must eliminate such conflict within 90 days, apply to the SEC for permission to continue as Trustee or resign.</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Holders of a majority in principal amount of the then outstanding Notes under the Indenture have the right to direct the time, method and place of conducting any proceeding for exercising any remedy available to the 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same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indemnity satisfactory to it against any costs, expenses and liabilities. The Trustee’s fees, expenses and indemnities are included in the amounts guaranteed by the Note Guarantees.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i w:val="1"/>
          <w:iCs w:val="1"/>
          <w:color w:val="auto"/>
        </w:rPr>
        <w:t>amendment</w:t>
      </w:r>
      <w:r>
        <w:rPr>
          <w:rFonts w:ascii="Arial" w:cs="Arial" w:eastAsia="Arial" w:hAnsi="Arial"/>
          <w:sz w:val="17"/>
          <w:szCs w:val="17"/>
          <w:color w:val="auto"/>
        </w:rPr>
        <w:t>” shall have a correlative meaning.</w:t>
      </w:r>
    </w:p>
    <w:p>
      <w:pPr>
        <w:spacing w:after="0" w:line="23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Treasury Rate</w:t>
      </w:r>
      <w:r>
        <w:rPr>
          <w:rFonts w:ascii="Arial" w:cs="Arial" w:eastAsia="Arial" w:hAnsi="Arial"/>
          <w:sz w:val="17"/>
          <w:szCs w:val="17"/>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January 1, 2030;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period from the Make-Whole Redemption Date to January 1, 2030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January 1, 2030 is less than one year, the weekly average yield on actively traded United States Treasury securities adjusted to a constant maturity of one year shall be used.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31"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31" w:lineRule="exact"/>
        <w:rPr>
          <w:sz w:val="20"/>
          <w:szCs w:val="20"/>
          <w:color w:val="auto"/>
        </w:rPr>
      </w:pPr>
    </w:p>
    <w:p>
      <w:pPr>
        <w:jc w:val="both"/>
        <w:ind w:left="540" w:right="140" w:hanging="424"/>
        <w:spacing w:after="0" w:line="286"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70" w:lineRule="exact"/>
        <w:rPr>
          <w:rFonts w:ascii="Arial" w:cs="Arial" w:eastAsia="Arial" w:hAnsi="Arial"/>
          <w:sz w:val="17"/>
          <w:szCs w:val="17"/>
          <w:color w:val="auto"/>
        </w:rPr>
      </w:pPr>
    </w:p>
    <w:p>
      <w:pPr>
        <w:ind w:left="54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adoption of a plan for the liquidation or dissolution of Parent or an Issuer (other than in a transaction that complies with the covenant described under “—Certain Covenants—Merger, Consolidation or Sale of Assets”);</w:t>
      </w:r>
    </w:p>
    <w:p>
      <w:pPr>
        <w:spacing w:after="0" w:line="75" w:lineRule="exact"/>
        <w:rPr>
          <w:rFonts w:ascii="Arial" w:cs="Arial" w:eastAsia="Arial" w:hAnsi="Arial"/>
          <w:sz w:val="18"/>
          <w:szCs w:val="18"/>
          <w:color w:val="auto"/>
        </w:rPr>
      </w:pPr>
    </w:p>
    <w:p>
      <w:pPr>
        <w:ind w:left="540" w:right="80" w:hanging="424"/>
        <w:spacing w:after="0" w:line="288"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in which Parent becomes a Wholly Owned Subsidiary of another Person (other than a Person that is an individual) (the “New Parent”)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73" w:lineRule="exact"/>
        <w:rPr>
          <w:rFonts w:ascii="Arial" w:cs="Arial" w:eastAsia="Arial" w:hAnsi="Arial"/>
          <w:sz w:val="16"/>
          <w:szCs w:val="16"/>
          <w:color w:val="auto"/>
        </w:rPr>
      </w:pPr>
    </w:p>
    <w:p>
      <w:pPr>
        <w:ind w:left="540" w:right="10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76"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30" w:lineRule="exact"/>
        <w:rPr>
          <w:rFonts w:ascii="Arial" w:cs="Arial" w:eastAsia="Arial" w:hAnsi="Arial"/>
          <w:sz w:val="18"/>
          <w:szCs w:val="18"/>
          <w:color w:val="auto"/>
        </w:rPr>
      </w:pPr>
    </w:p>
    <w:p>
      <w:pPr>
        <w:ind w:left="540" w:right="400" w:hanging="424"/>
        <w:spacing w:after="0" w:line="286"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Consolidated Net Income to compute Consolidated EBITDA only to the extent (and in the same proportion) that the net income or loss of such Subsidiary was included in calculating the Consolidated Net Income of such Person.</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jc w:val="both"/>
        <w:ind w:left="540" w:right="20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30" w:lineRule="exact"/>
        <w:rPr>
          <w:rFonts w:ascii="Arial" w:cs="Arial" w:eastAsia="Arial" w:hAnsi="Arial"/>
          <w:sz w:val="18"/>
          <w:szCs w:val="18"/>
          <w:color w:val="auto"/>
        </w:rPr>
      </w:pPr>
    </w:p>
    <w:p>
      <w:pPr>
        <w:ind w:left="540" w:right="20" w:hanging="424"/>
        <w:spacing w:after="0" w:line="31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54" w:lineRule="exact"/>
        <w:rPr>
          <w:rFonts w:ascii="Arial" w:cs="Arial" w:eastAsia="Arial" w:hAnsi="Arial"/>
          <w:sz w:val="16"/>
          <w:szCs w:val="16"/>
          <w:color w:val="auto"/>
        </w:rPr>
      </w:pPr>
    </w:p>
    <w:p>
      <w:pPr>
        <w:ind w:left="540" w:right="50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30"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sz w:val="20"/>
          <w:szCs w:val="20"/>
          <w:color w:val="auto"/>
        </w:rPr>
      </w:pPr>
    </w:p>
    <w:p>
      <w:pPr>
        <w:ind w:left="120" w:right="600" w:hanging="4"/>
        <w:spacing w:after="0" w:line="260"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Secured Indebtedness</w:t>
      </w:r>
      <w:r>
        <w:rPr>
          <w:rFonts w:ascii="Arial" w:cs="Arial" w:eastAsia="Arial" w:hAnsi="Arial"/>
          <w:sz w:val="16"/>
          <w:szCs w:val="16"/>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Subsidiaries, as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total amount of Attributable Debt in respect of Sale and Leaseback Transactions of such Person and its Subsidiaries as of such date.</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31" w:lineRule="exact"/>
        <w:rPr>
          <w:sz w:val="20"/>
          <w:szCs w:val="20"/>
          <w:color w:val="auto"/>
        </w:rPr>
      </w:pPr>
    </w:p>
    <w:p>
      <w:pPr>
        <w:ind w:left="540" w:hanging="424"/>
        <w:spacing w:after="0" w:line="255"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97"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relevant Person who:</w:t>
      </w:r>
    </w:p>
    <w:p>
      <w:pPr>
        <w:spacing w:after="0" w:line="131"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of the old notes; or</w:t>
      </w:r>
    </w:p>
    <w:p>
      <w:pPr>
        <w:spacing w:after="0" w:line="130"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w:t>
      </w:r>
      <w:r>
        <w:rPr>
          <w:rFonts w:ascii="Arial" w:cs="Arial" w:eastAsia="Arial" w:hAnsi="Arial"/>
          <w:sz w:val="18"/>
          <w:szCs w:val="18"/>
          <w:color w:val="auto"/>
        </w:rPr>
        <w:t>” means Crown Cork &amp; Seal Company, Inc., a Pennsylvania corporation, until a successor replaces such party pursuant to Article Five of the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48"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Amended and Restated Credit Agreement, dated as of April 7, 2017, as amended, restated, supplemented,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Transaction</w:t>
      </w:r>
      <w:r>
        <w:rPr>
          <w:rFonts w:ascii="Arial" w:cs="Arial" w:eastAsia="Arial" w:hAnsi="Arial"/>
          <w:sz w:val="18"/>
          <w:szCs w:val="18"/>
          <w:color w:val="auto"/>
        </w:rPr>
        <w:t>” means issuance of the old notes and the application of the net proceeds thereof.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of the old notes.</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w:t>
      </w:r>
    </w:p>
    <w:p>
      <w:pPr>
        <w:spacing w:after="0" w:line="131"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Parent;</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the covenant described under “—Certain Covenants— Additional Note Guarantees”;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6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w:t>
      </w:r>
    </w:p>
    <w:p>
      <w:pPr>
        <w:spacing w:after="0" w:line="131" w:lineRule="exact"/>
        <w:rPr>
          <w:sz w:val="20"/>
          <w:szCs w:val="20"/>
          <w:color w:val="auto"/>
        </w:rPr>
      </w:pPr>
    </w:p>
    <w:p>
      <w:pPr>
        <w:ind w:left="540" w:right="18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75" w:lineRule="exact"/>
        <w:rPr>
          <w:rFonts w:ascii="Arial" w:cs="Arial" w:eastAsia="Arial" w:hAnsi="Arial"/>
          <w:sz w:val="18"/>
          <w:szCs w:val="18"/>
          <w:color w:val="auto"/>
        </w:rPr>
      </w:pPr>
    </w:p>
    <w:p>
      <w:pPr>
        <w:ind w:left="540" w:right="76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indemnity agreements and arrangements entered into in connection with the agreements and arrangements described in clauses (1), (2) and</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(3) above.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31"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avoidance of doubt, a letter of credit or analogous instrument will not constitute Indebtedness until it has been drawn upon.</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BBB-or better by S&amp;P (or its equivalent under any successor rating categories of S&amp;P) and the equivalent Investment Grade credit rating from any additional Rating Agency or Rating Agencies selected by Parent</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January 1, 2030 and all remaining interest payments to and including January 1, 2030 (but excluding any interest accrued to the Make-Whole Redemption Date), discounted on a semi-annual basis (assuming a 360-day year consisting of twelve 30-day months) from January 1, 2030 to the Make-Whole Redemption Date at a per annum interest rate equal to the Applicable Treasury Rate on such Make-Whole Redemption Date plus 0.50%, over (y) the outstanding principal amount of such Note.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Redemption Date</w:t>
      </w:r>
      <w:r>
        <w:rPr>
          <w:rFonts w:ascii="Arial" w:cs="Arial" w:eastAsia="Arial" w:hAnsi="Arial"/>
          <w:sz w:val="17"/>
          <w:szCs w:val="17"/>
          <w:color w:val="auto"/>
        </w:rPr>
        <w:t>” with respect to a Make-Whole Redemption, means the date such Make Whole Redemption is effectuated.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any Guarantee of the obligations of the Issuer under the Indenture and the Notes by any Person in accordance with the provisions of the Indenture.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Crown Holdings, Inc., a Pennsylvania corporation, until a successor replaces such party pursuant to the Indenture and thereafter the successor.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the executive officers of Parent on the issue date of the old notes.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120" w:right="2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Agency</w:t>
      </w:r>
      <w:r>
        <w:rPr>
          <w:rFonts w:ascii="Arial" w:cs="Arial" w:eastAsia="Arial" w:hAnsi="Arial"/>
          <w:sz w:val="17"/>
          <w:szCs w:val="17"/>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w:t>
      </w:r>
    </w:p>
    <w:p>
      <w:pPr>
        <w:ind w:left="120"/>
        <w:spacing w:after="0"/>
        <w:rPr>
          <w:sz w:val="20"/>
          <w:szCs w:val="20"/>
          <w:color w:val="auto"/>
        </w:rPr>
      </w:pPr>
      <w:r>
        <w:rPr>
          <w:rFonts w:ascii="Arial" w:cs="Arial" w:eastAsia="Arial" w:hAnsi="Arial"/>
          <w:sz w:val="17"/>
          <w:szCs w:val="17"/>
          <w:color w:val="auto"/>
        </w:rPr>
        <w:t>Rule 15c3-1(c)(2)(vi)(F) under the Exchange Act, selected by Parent as a replacement agency for Moody’s or S&amp;P, or both, as the case may be.</w:t>
      </w:r>
    </w:p>
    <w:p>
      <w:pPr>
        <w:spacing w:after="0" w:line="22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Ratings Event</w:t>
      </w:r>
      <w:r>
        <w:rPr>
          <w:rFonts w:ascii="Arial" w:cs="Arial" w:eastAsia="Arial" w:hAnsi="Arial"/>
          <w:sz w:val="16"/>
          <w:szCs w:val="16"/>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54" w:lineRule="exact"/>
        <w:rPr>
          <w:sz w:val="20"/>
          <w:szCs w:val="20"/>
          <w:color w:val="auto"/>
        </w:rPr>
      </w:pPr>
    </w:p>
    <w:p>
      <w:pPr>
        <w:ind w:left="540" w:right="12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March 17, 2022, among the Issuer, the Guarantors and the representatives to the initial purchasers party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Subsidiary</w:t>
      </w:r>
      <w:r>
        <w:rPr>
          <w:rFonts w:ascii="Arial" w:cs="Arial" w:eastAsia="Arial" w:hAnsi="Arial"/>
          <w:sz w:val="16"/>
          <w:szCs w:val="16"/>
          <w:color w:val="auto"/>
        </w:rPr>
        <w:t>” means a Subsidiary which is organized under the laws of the United States or any State thereof or the District of Columbia.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540" w:right="300" w:hanging="424"/>
        <w:spacing w:after="0" w:line="342"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29" w:lineRule="exact"/>
        <w:rPr>
          <w:rFonts w:ascii="Arial" w:cs="Arial" w:eastAsia="Arial" w:hAnsi="Arial"/>
          <w:sz w:val="16"/>
          <w:szCs w:val="16"/>
          <w:color w:val="auto"/>
        </w:rPr>
      </w:pPr>
    </w:p>
    <w:p>
      <w:pPr>
        <w:ind w:left="540" w:right="40" w:hanging="424"/>
        <w:spacing w:after="0" w:line="308"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46"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4"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Bankruptcy and Fraudulent Transfer Limitations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Guarantor intended to hinder, delay or defraud any present or future creditor; or received less than reasonably equivalent value or fair consideration for the incurrence of such indebtedness and either:</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Parent’s or such Guarantor’s remaining assets constituted unreasonably small capital;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6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92"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automatic stay;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avoidance of preferential transfers by a trustee or debtor-in-possession;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substantive consolidation;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collectibility of unmatured interest or attorney fees;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fraudulent conveyance;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forced restructuring of the Notes, including reduction of principal amounts and interest rates and extension of maturity dates, over the holders’ objections.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certificates representing the old notes have been, and in the case of the new notes will be issued, in fully registered form without interest coupons and represented by one or more global notes in fully registered form without interest coupons (each, a “Global Note”) deposited with the Trustee as a custodian for The Depositary Trust Company (“</w:t>
      </w:r>
      <w:r>
        <w:rPr>
          <w:rFonts w:ascii="Arial" w:cs="Arial" w:eastAsia="Arial" w:hAnsi="Arial"/>
          <w:sz w:val="18"/>
          <w:szCs w:val="18"/>
          <w:i w:val="1"/>
          <w:iCs w:val="1"/>
          <w:color w:val="auto"/>
        </w:rPr>
        <w:t>DTC</w:t>
      </w:r>
      <w:r>
        <w:rPr>
          <w:rFonts w:ascii="Arial" w:cs="Arial" w:eastAsia="Arial" w:hAnsi="Arial"/>
          <w:sz w:val="18"/>
          <w:szCs w:val="18"/>
          <w:color w:val="auto"/>
        </w:rPr>
        <w:t>”) and registered in the name of a nominee DTC.</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Old notes sold in reliance on Rule 144A promulgated under the Securities Act (“Rule 144A”) were initially represented by permanent global notes in fully registered form without interest coupons (each, a “Restricted Global Note”) and were deposited with the Trustee as a custodian for DTC and registered in the name of a nominee of such depositary.</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Old notes sold in offshore transactions in reliance on Regulation S under the Securities Act were initially represented by temporary global notes in fully registered form without interest coupons (each, a “Temporary Regulation S Global Note”) and were deposited with the Trustee as custodian for DTC, as depositary, and registered in the name of a nominee of such depositary. Each Temporary Regulation S Global Note was exchangeable for a single permanent global note after the expiration of the “distribution compliance period” (as defined in Regulation S) and the certification required by Regulation S. Prior to such time, a beneficial interest in the Temporary Regulation S Global Note was transferable in the form of an interest in the Restricted Global Note only upon receipt by the Trustee of a written certification from the transferor to the effect that such transfer is being made to a person whom the transferor reasonably believes is a “qualified institutional buyer” (as defined in Rule 144A) (“QIB”) in a transaction meeting the requirements of Rule 144A. Beneficial interests in a Restricted Global Note were transferable in the form of an interest in a Regulation S Global Note whether before, on or after such time, only upon receipt by the Trustee of a written certification to the effect that such transfer is being made in accordance with Regulation S.</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Any beneficial interest in a Regulation S Global Note or a Restricted Global Note (each a, “Transferrable Note”) that was transferred in the form of an interest in a Restricted Global Note or a Regulation S Global Note, as applicable, upon transfer, ceased to be an interest in the type of Transferrable Note previously held and became an interest in the other type of Transferrable Note and, accordingly, thereafter became subject to all transfer restrictions, if any, and other procedures applicable to beneficial interests in such other type of Transferrable Note for as long as it remained such an interest.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persons who have accounts with DTC (“participants”) or persons who hold interests through participants. Holders may hold their interests in the Global Notes directly through DTC if they are participants in such system, or indirectly through organizations which are participants in such system.</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 the Trustee or any Paying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4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Issuer expects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 also expects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61" w:lineRule="exact"/>
        <w:rPr>
          <w:sz w:val="20"/>
          <w:szCs w:val="20"/>
          <w:color w:val="auto"/>
        </w:rPr>
      </w:pPr>
    </w:p>
    <w:p>
      <w:pPr>
        <w:jc w:val="both"/>
        <w:ind w:left="120" w:right="220"/>
        <w:spacing w:after="0" w:line="279" w:lineRule="auto"/>
        <w:rPr>
          <w:sz w:val="20"/>
          <w:szCs w:val="20"/>
          <w:color w:val="auto"/>
        </w:rPr>
      </w:pPr>
      <w:r>
        <w:rPr>
          <w:rFonts w:ascii="Arial" w:cs="Arial" w:eastAsia="Arial" w:hAnsi="Arial"/>
          <w:sz w:val="17"/>
          <w:szCs w:val="17"/>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7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DTC has advised the Issuer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DTC has advised the Issuer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Arial" w:cs="Arial" w:eastAsia="Arial" w:hAnsi="Arial"/>
          <w:sz w:val="17"/>
          <w:szCs w:val="17"/>
          <w:i w:val="1"/>
          <w:iCs w:val="1"/>
          <w:color w:val="auto"/>
        </w:rPr>
        <w:t>indirect participants</w:t>
      </w:r>
      <w:r>
        <w:rPr>
          <w:rFonts w:ascii="Arial" w:cs="Arial" w:eastAsia="Arial" w:hAnsi="Arial"/>
          <w:sz w:val="17"/>
          <w:szCs w:val="17"/>
          <w:color w:val="auto"/>
        </w:rPr>
        <w:t>”).</w:t>
      </w:r>
    </w:p>
    <w:p>
      <w:pPr>
        <w:spacing w:after="0" w:line="17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Neither the Issuer nor the Trustee will have any responsibility for the performance by DTC or its participants or indirect participants of their respective obligations under the rules and procedures governing their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Securities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 within 90 days.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section describes certain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such as:</w:t>
      </w:r>
    </w:p>
    <w:p>
      <w:pPr>
        <w:spacing w:after="0" w:line="92"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partnership or other entity treated as a partnership for U.S. federal income tax purposes (and investors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expatriate,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that owns new notes that are a hedge or that are hedged against interest rate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that owns new notes as part of a straddle or conversion transaction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subject to the alternative minimum tax,</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required to accelerate the recognition of any item of gross income with respect to the notes as a result of such income being taken into account on an applicable financial statement,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U.S. holder (as defined below) that holds notes through a non-U.S. broker or other non-U.S. intermediary,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NON-U.S. TAX LAWS AND ANY PROPOSED CHANGES IN APPLICABLE TAX LAWS.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This section (i) does not address U.S. federal tax consequences other than income tax consequences, such as estate and gift tax consequences and alternative minimum tax consequences, (ii) does not deal with all tax considerations that may be relevant to a holder in light of such holder’s personal circumstances, and (iii) does not address any state, local or non-U.S. tax consequences.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section is based on the Internal Revenue Code of 1986, as amended (the “Internal Revenue Code”), its legislative history, existing and proposed regulations under the Internal Revenue Code (“U.S. Treasury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Regulations”), published rulings and court decisions, all as currently in effect, all of which are subject to change, or differing interpretations, possibly on a retroactive basis. Crown Americas is not seeking a ruling from the Internal Revenue Service (the “IRS”) regarding the tax consequences of the ownership, or exchange of the new notes. Accordingly, there can be no assurance that the IRS will not successfully challenge one or more of the conclusions stated herein.</w:t>
      </w:r>
    </w:p>
    <w:p>
      <w:pPr>
        <w:spacing w:after="0" w:line="18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If an entity taxable as a partnership holds the new notes, the tax treatment of a partner in the partnership generally will depend on the status of the particular partner and the activities of the partnership. Partners of partnerships considering exchanging their old notes for new notes pursuant to the exchange offer should consult their own tax advisors as to the specific tax consequences to them of owning and disposing of the new notes held indirectly through ownership of their partnership interests.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Subject to Certain Contingencies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certain circumstances, Crown Americas may be obligated to pay holders amounts in excess of the stated interest and principal payable on the new notes or in advance of their scheduled payment dates.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intends to take the position that the likelihood that such payments will be made is remote and/or that such payments will be incidental in the aggregate, and therefore the new notes are not subject to the rules governing contingent payment debt instruments.</w:t>
      </w:r>
    </w:p>
    <w:p>
      <w:pPr>
        <w:spacing w:after="0" w:line="1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Whether you are a U.S. holder or a non-U.S. holder (each as defined below), exchanging an old note for a new note will not be treated as a taxable exchange for U.S. federal income tax purposes. Consequently, you will not recognize gain or loss upon receipt of a new note. Your holding period for a new note will include the holding period for the old note and your initial basis in the new note will be the same as your adjusted basis in the old note.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subsection describes certain U.S. federal income tax consequences to a U.S. holder. You are a U.S. holder if you are a beneficial owner of a new note and you are for U.S. federal income tax purposes:</w:t>
      </w:r>
    </w:p>
    <w:p>
      <w:pPr>
        <w:spacing w:after="0" w:line="76"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Redemption, Retirement or Other Taxable Disposition of the Notes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Your adjusted tax basis in a new note generally will be the same as your adjusted basis in the old note exchanged therefor. You will generally recognize capital gain or loss on the sale,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will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You are a non-U.S. holder if you are a beneficial owner of a new note that is an individual, corporation, trust or estate for U.S. federal income tax purposes and you are not a U.S. holder.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Subject to the discussion below of backup withholding and FATCA (as defined below), if you are a non-U.S. holder of a new note and the interest paid on the new note is not effectively connected with your conduct of a trade or business in the United States, the applicable withholding agent generally will not be required to deduct a U.S. withholding tax at a 30% rate (or, if applicable, a lower income tax treaty rate) if:</w:t>
      </w:r>
    </w:p>
    <w:p>
      <w:pPr>
        <w:spacing w:after="0" w:line="71" w:lineRule="exact"/>
        <w:rPr>
          <w:sz w:val="20"/>
          <w:szCs w:val="20"/>
          <w:color w:val="auto"/>
        </w:rPr>
      </w:pPr>
    </w:p>
    <w:p>
      <w:pPr>
        <w:ind w:left="1080" w:right="3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stock of Crown Americas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Crown Americas through stock ownership,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are not a bank receiving the interest pursuant to a loan agreement entered into in your ordinary course of business,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have furnished to such agent an IRS Form W-8BEN, an IRS Form W-8BEN-E or an acceptable substitute form upon which you certify, under penalties of perjury, that you are not a United States person.</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income tax, and may be subject to the branch profits tax, it is not subject to withholding tax (whether or not it is subject to income tax) if the owner delivers a properly executed IRS Form W-8ECI to the applicable withholding agent.</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320" w:top="459" w:right="5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Redemption, Retirement or Other Taxable Disposition of the New Notes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you are a non-U.S. holder of a new note, you generally will not be subject to U.S. federal income tax or withholding tax on gain realized on the sale, redemption, retirement or other taxable disposition of a new note (other than any amount attributable to accrued but unpaid interest which will be treated as discussed above) unless:</w:t>
      </w:r>
    </w:p>
    <w:p>
      <w:pPr>
        <w:spacing w:after="0" w:line="89" w:lineRule="exact"/>
        <w:rPr>
          <w:sz w:val="20"/>
          <w:szCs w:val="20"/>
          <w:color w:val="auto"/>
        </w:rPr>
      </w:pPr>
    </w:p>
    <w:p>
      <w:pPr>
        <w:ind w:left="1080" w:right="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in which case such gain will be taxable in the same manner as effectively connected interest as discussed above (except to the extent otherwise provided by an applicable income tax treaty), or</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Information reporting on IRS Form 1099 will apply to payments of interest on, or the proceeds of the sale, exchange, redemption, retirement or other taxable disposition (including a redemption or retirement)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Backup withholding and information reporting on IRS Form 1099 will not apply to payments of interest to a non-U.S. holder provided that the non-U.S. holder is the beneficial owner of new notes and certifies to the applicable withholding agent, under penalties of perjury, that it is not a United States person and provides its name and address on a duly executed IRS Form W-8BEN or IRS Form W-8BEN-E, as applicable (or a suitable substitute form).</w:t>
      </w:r>
    </w:p>
    <w:p>
      <w:pPr>
        <w:spacing w:after="0" w:line="14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Information reporting and backup withholding generally will not apply to a payment of the proceeds of a sale, redemption, retirement or other taxable disposition of the new notes effected outside the United States by a foreign office of a foreign broker. However, information reporting requirements (but not backup withholding) will apply to a payment of the proceeds of a sale, redemption, retirement or other taxable disposition of the new notes effected outside the United States by a foreign office of a broker if the broker (i) is a United States person, (ii) derives 50 percent or more of its gross income for certain periods from the conduct of a trade or business in the United States, (iii) is a “controlled foreign corporation” for U.S. federal income tax purposes, or (iv) is a foreign partnership that, at any time during its taxable year is 50 percent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of the proceeds of a sale,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6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the Foreign Account Tax Compliance Act (“FATCA”), a 30 percent withholding tax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percent on payments to non-compliant foreign financial institutions and certain other account holders.</w:t>
      </w:r>
    </w:p>
    <w:p>
      <w:pPr>
        <w:spacing w:after="0" w:line="18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withholding provisions described above generally apply to interest payments on the notes. Although existing FATCA regulations would also impose FATCA withholding on payments of gross proceeds from the sale or disposition (including a retirement or redemption) of the notes, under proposed regulations, no such withholding would apply to gross proceeds. Taxpayers generally may rely on those proposed regulations until final regulations are issued. Persons considering an investment in the notes should consult their tax advisors regarding FATCA and the regulations thereunder.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7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 such resale. In addition, until March 13, 2023, all dealers effecting transactions in the new notes may be required to deliver a prospectus.</w:t>
      </w:r>
    </w:p>
    <w:p>
      <w:pPr>
        <w:spacing w:after="0" w:line="16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Certain legal matters with regard to the validity of the new notes and the new note guarantees will be passed upon for us and the guarantors by Dechert LLP, Philadelphia, Pennsylvania.</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In addition, Crown posts its filed documents on its website at</w:t>
      </w:r>
      <w:r>
        <w:rPr>
          <w:rFonts w:ascii="Arial" w:cs="Arial" w:eastAsia="Arial" w:hAnsi="Arial"/>
          <w:sz w:val="18"/>
          <w:szCs w:val="18"/>
          <w:i w:val="1"/>
          <w:iCs w:val="1"/>
          <w:color w:val="auto"/>
        </w:rPr>
        <w:t xml:space="preserve"> http://www.crowncork.com</w:t>
      </w:r>
      <w:r>
        <w:rPr>
          <w:rFonts w:ascii="Arial" w:cs="Arial" w:eastAsia="Arial" w:hAnsi="Arial"/>
          <w:sz w:val="18"/>
          <w:szCs w:val="18"/>
          <w:color w:val="auto"/>
        </w:rPr>
        <w:t>. Except for the documents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1080" w:hanging="424"/>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Crown’s Annual Report on Form 10-K for the year ended December 31, 2021, filed with the SEC on </w:t>
      </w:r>
      <w:hyperlink r:id="rId73">
        <w:r>
          <w:rPr>
            <w:rFonts w:ascii="Arial" w:cs="Arial" w:eastAsia="Arial" w:hAnsi="Arial"/>
            <w:sz w:val="16"/>
            <w:szCs w:val="16"/>
            <w:u w:val="single" w:color="auto"/>
            <w:color w:val="0000EE"/>
          </w:rPr>
          <w:t>February 28, 2022</w:t>
        </w:r>
      </w:hyperlink>
      <w:r>
        <w:rPr>
          <w:rFonts w:ascii="Arial" w:cs="Arial" w:eastAsia="Arial" w:hAnsi="Arial"/>
          <w:sz w:val="16"/>
          <w:szCs w:val="16"/>
          <w:color w:val="auto"/>
        </w:rPr>
        <w:t xml:space="preserve">, including portions of Crown’s Proxy Statement, filed with the SEC on </w:t>
      </w:r>
      <w:hyperlink r:id="rId74">
        <w:r>
          <w:rPr>
            <w:rFonts w:ascii="Arial" w:cs="Arial" w:eastAsia="Arial" w:hAnsi="Arial"/>
            <w:sz w:val="16"/>
            <w:szCs w:val="16"/>
            <w:u w:val="single" w:color="auto"/>
            <w:color w:val="0000EE"/>
          </w:rPr>
          <w:t>March 21, 2022</w:t>
        </w:r>
      </w:hyperlink>
      <w:r>
        <w:rPr>
          <w:rFonts w:ascii="Arial" w:cs="Arial" w:eastAsia="Arial" w:hAnsi="Arial"/>
          <w:sz w:val="16"/>
          <w:szCs w:val="16"/>
          <w:color w:val="auto"/>
        </w:rPr>
        <w:t>, to the extent specifically incorporated by reference therein;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March 31, 2022, filed with the SEC on </w:t>
      </w:r>
      <w:hyperlink r:id="rId75">
        <w:r>
          <w:rPr>
            <w:rFonts w:ascii="Arial" w:cs="Arial" w:eastAsia="Arial" w:hAnsi="Arial"/>
            <w:sz w:val="18"/>
            <w:szCs w:val="18"/>
            <w:u w:val="single" w:color="auto"/>
            <w:color w:val="0000EE"/>
          </w:rPr>
          <w:t>April 29,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June 30, 2022, filed with the SEC on </w:t>
      </w:r>
      <w:hyperlink r:id="rId76">
        <w:r>
          <w:rPr>
            <w:rFonts w:ascii="Arial" w:cs="Arial" w:eastAsia="Arial" w:hAnsi="Arial"/>
            <w:sz w:val="18"/>
            <w:szCs w:val="18"/>
            <w:u w:val="single" w:color="auto"/>
            <w:color w:val="0000EE"/>
          </w:rPr>
          <w:t>August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Crown’s Quarterly Report on Form 10-Q for the quarter ended September 30, 2022, filed with the SEC on </w:t>
      </w:r>
      <w:hyperlink r:id="rId77">
        <w:r>
          <w:rPr>
            <w:rFonts w:ascii="Arial" w:cs="Arial" w:eastAsia="Arial" w:hAnsi="Arial"/>
            <w:sz w:val="18"/>
            <w:szCs w:val="18"/>
            <w:u w:val="single" w:color="auto"/>
            <w:color w:val="0000EE"/>
          </w:rPr>
          <w:t>November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68"/>
        </w:numPr>
        <w:rPr>
          <w:rFonts w:ascii="Arial" w:cs="Arial" w:eastAsia="Arial" w:hAnsi="Arial"/>
          <w:sz w:val="18"/>
          <w:szCs w:val="18"/>
          <w:color w:val="000000"/>
        </w:rPr>
      </w:pPr>
      <w:r>
        <w:rPr>
          <w:rFonts w:ascii="Arial" w:cs="Arial" w:eastAsia="Arial" w:hAnsi="Arial"/>
          <w:sz w:val="18"/>
          <w:szCs w:val="18"/>
          <w:color w:val="auto"/>
        </w:rPr>
        <w:t xml:space="preserve">Crown’s Current Reports on Form 8-K filed with the SEC on </w:t>
      </w:r>
      <w:hyperlink r:id="rId78">
        <w:r>
          <w:rPr>
            <w:rFonts w:ascii="Arial" w:cs="Arial" w:eastAsia="Arial" w:hAnsi="Arial"/>
            <w:sz w:val="18"/>
            <w:szCs w:val="18"/>
            <w:u w:val="single" w:color="auto"/>
            <w:color w:val="0000EE"/>
          </w:rPr>
          <w:t>January 11, 2022</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January 21, 2022</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March 1, 2022</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March 21,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3">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4">
        <w:r>
          <w:rPr>
            <w:rFonts w:ascii="Arial" w:cs="Arial" w:eastAsia="Arial" w:hAnsi="Arial"/>
            <w:sz w:val="18"/>
            <w:szCs w:val="18"/>
            <w:u w:val="single" w:color="auto"/>
            <w:color w:val="0000EE"/>
          </w:rPr>
          <w:t xml:space="preserve">November 7, 2022 </w:t>
        </w:r>
      </w:hyperlink>
      <w:r>
        <w:rPr>
          <w:rFonts w:ascii="Arial" w:cs="Arial" w:eastAsia="Arial" w:hAnsi="Arial"/>
          <w:sz w:val="18"/>
          <w:szCs w:val="18"/>
          <w:color w:val="000000"/>
        </w:rPr>
        <w:t>(including</w:t>
      </w:r>
      <w:r>
        <w:rPr>
          <w:rFonts w:ascii="Arial" w:cs="Arial" w:eastAsia="Arial" w:hAnsi="Arial"/>
          <w:sz w:val="18"/>
          <w:szCs w:val="18"/>
          <w:color w:val="0000EE"/>
        </w:rPr>
        <w:t xml:space="preserve"> </w:t>
      </w:r>
      <w:r>
        <w:rPr>
          <w:rFonts w:ascii="Arial" w:cs="Arial" w:eastAsia="Arial" w:hAnsi="Arial"/>
          <w:sz w:val="18"/>
          <w:szCs w:val="18"/>
          <w:color w:val="000000"/>
        </w:rPr>
        <w:t>the corresponding filing on</w:t>
      </w:r>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 xml:space="preserve">Form 8-A </w:t>
        </w:r>
      </w:hyperlink>
      <w:r>
        <w:rPr>
          <w:rFonts w:ascii="Arial" w:cs="Arial" w:eastAsia="Arial" w:hAnsi="Arial"/>
          <w:sz w:val="18"/>
          <w:szCs w:val="18"/>
          <w:color w:val="000000"/>
        </w:rPr>
        <w:t>made</w:t>
      </w:r>
      <w:r>
        <w:rPr>
          <w:rFonts w:ascii="Arial" w:cs="Arial" w:eastAsia="Arial" w:hAnsi="Arial"/>
          <w:sz w:val="18"/>
          <w:szCs w:val="18"/>
          <w:color w:val="0000EE"/>
        </w:rPr>
        <w:t xml:space="preserve"> </w:t>
      </w:r>
      <w:r>
        <w:rPr>
          <w:rFonts w:ascii="Arial" w:cs="Arial" w:eastAsia="Arial" w:hAnsi="Arial"/>
          <w:sz w:val="18"/>
          <w:szCs w:val="18"/>
          <w:color w:val="000000"/>
        </w:rPr>
        <w:t>on November 7, 2022 in</w:t>
      </w:r>
      <w:r>
        <w:rPr>
          <w:rFonts w:ascii="Arial" w:cs="Arial" w:eastAsia="Arial" w:hAnsi="Arial"/>
          <w:sz w:val="18"/>
          <w:szCs w:val="18"/>
          <w:color w:val="0000EE"/>
        </w:rPr>
        <w:t xml:space="preserve"> </w:t>
      </w:r>
      <w:r>
        <w:rPr>
          <w:rFonts w:ascii="Arial" w:cs="Arial" w:eastAsia="Arial" w:hAnsi="Arial"/>
          <w:sz w:val="18"/>
          <w:szCs w:val="18"/>
          <w:color w:val="000000"/>
        </w:rPr>
        <w:t xml:space="preserve">connection therewith), and </w:t>
      </w:r>
      <w:hyperlink r:id="rId86">
        <w:r>
          <w:rPr>
            <w:rFonts w:ascii="Arial" w:cs="Arial" w:eastAsia="Arial" w:hAnsi="Arial"/>
            <w:sz w:val="18"/>
            <w:szCs w:val="18"/>
            <w:u w:val="single" w:color="auto"/>
            <w:color w:val="0000EE"/>
          </w:rPr>
          <w:t>November 16, 2022</w:t>
        </w:r>
      </w:hyperlink>
      <w:r>
        <w:rPr>
          <w:rFonts w:ascii="Arial" w:cs="Arial" w:eastAsia="Arial" w:hAnsi="Arial"/>
          <w:sz w:val="18"/>
          <w:szCs w:val="18"/>
          <w:color w:val="000000"/>
        </w:rPr>
        <w:t>, respectively.</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6" w:lineRule="exact"/>
        <w:rPr>
          <w:rFonts w:ascii="Arial" w:cs="Arial" w:eastAsia="Arial" w:hAnsi="Arial"/>
          <w:sz w:val="18"/>
          <w:szCs w:val="18"/>
          <w:color w:val="0000EE"/>
        </w:rPr>
      </w:pPr>
    </w:p>
    <w:p>
      <w:pPr>
        <w:ind w:left="120" w:right="260"/>
        <w:spacing w:after="0" w:line="277" w:lineRule="auto"/>
        <w:rPr>
          <w:sz w:val="20"/>
          <w:szCs w:val="20"/>
          <w:color w:val="auto"/>
        </w:rPr>
      </w:pPr>
      <w:r>
        <w:rPr>
          <w:rFonts w:ascii="Arial" w:cs="Arial" w:eastAsia="Arial" w:hAnsi="Arial"/>
          <w:sz w:val="18"/>
          <w:szCs w:val="18"/>
          <w:color w:val="auto"/>
        </w:rPr>
        <w:t>Any future filings Crown makes with the SEC under Sections 13(a), 13(c), 14 or 15(d) of the Exchange Act after (i) the date of the initial registration statement and prior to effectiveness of the registration statement and (ii) the</w:t>
      </w:r>
    </w:p>
    <w:p>
      <w:pPr>
        <w:spacing w:after="0" w:line="10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 698-5100</w:t>
      </w:r>
    </w:p>
    <w:p>
      <w:pPr>
        <w:spacing w:after="0" w:line="207"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In order to obtain timely delivery, you must request such documents no later than five business days before the expiration date. The expiration date is January 11, 2023.</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1891665</wp:posOffset>
            </wp:positionV>
            <wp:extent cx="2785745"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900"/>
        <w:spacing w:after="0"/>
        <w:rPr>
          <w:sz w:val="20"/>
          <w:szCs w:val="20"/>
          <w:color w:val="auto"/>
        </w:rPr>
      </w:pPr>
      <w:r>
        <w:rPr>
          <w:rFonts w:ascii="Arial" w:cs="Arial" w:eastAsia="Arial" w:hAnsi="Arial"/>
          <w:sz w:val="36"/>
          <w:szCs w:val="36"/>
          <w:b w:val="1"/>
          <w:bCs w:val="1"/>
          <w:color w:val="auto"/>
        </w:rPr>
        <w:t>Crown Americas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$500,000,000 5.250% Senior Unsecured Notes due 2030 and related Guarantees for all</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outstanding</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5.250% Senior Unsecured Notes due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1620520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1663065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lvl w:ilvl="1">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lvl w:ilvl="1">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0"/>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lvl w:ilvl="1">
      <w:lvlJc w:val="left"/>
      <w:lvlText w:val="(%2)"/>
      <w:numFmt w:val="lowerLetter"/>
      <w:start w:val="2"/>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1)"/>
      <w:numFmt w:val="decimal"/>
      <w:start w:val="5"/>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9"/>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3"/>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3"/>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lvl w:ilvl="1">
      <w:lvlJc w:val="left"/>
      <w:lvlText w:val="(%2)"/>
      <w:numFmt w:val="lowerLetter"/>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jpeg"/><Relationship Id="rId93" Type="http://schemas.openxmlformats.org/officeDocument/2006/relationships/image" Target="media/image72.png"/><Relationship Id="rId94" Type="http://schemas.openxmlformats.org/officeDocument/2006/relationships/image" Target="media/image73.png"/><Relationship Id="rId73" Type="http://schemas.openxmlformats.org/officeDocument/2006/relationships/hyperlink" Target="http://www.sec.gov/ix?doc=/Archives/edgar/data/1219601/000121960122000011/cck-20211231.htm" TargetMode="External"/><Relationship Id="rId74" Type="http://schemas.openxmlformats.org/officeDocument/2006/relationships/hyperlink" Target="http://www.sec.gov/Archives/edgar/data/1219601/000095015922000090/crowndef14a.htm" TargetMode="External"/><Relationship Id="rId75" Type="http://schemas.openxmlformats.org/officeDocument/2006/relationships/hyperlink" Target="http://www.sec.gov/ix?doc=/Archives/edgar/data/1219601/000121960122000019/cck-20220331.htm" TargetMode="External"/><Relationship Id="rId76" Type="http://schemas.openxmlformats.org/officeDocument/2006/relationships/hyperlink" Target="http://www.sec.gov/ix?doc=/Archives/edgar/data/1219601/000121960122000035/cck-20220630.htm" TargetMode="External"/><Relationship Id="rId77" Type="http://schemas.openxmlformats.org/officeDocument/2006/relationships/hyperlink" Target="http://www.sec.gov/ix?doc=/Archives/edgar/data/1219601/000121960122000043/cck-20220930.htm" TargetMode="External"/><Relationship Id="rId78" Type="http://schemas.openxmlformats.org/officeDocument/2006/relationships/hyperlink" Target="http://www.sec.gov/ix?doc=/Archives/edgar/data/1219601/000121960122000003/cck-20220107.htm" TargetMode="External"/><Relationship Id="rId79" Type="http://schemas.openxmlformats.org/officeDocument/2006/relationships/hyperlink" Target="http://www.sec.gov/ix?doc=/Archives/edgar/data/1219601/000121960122000005/cck-20220118.htm" TargetMode="External"/><Relationship Id="rId80" Type="http://schemas.openxmlformats.org/officeDocument/2006/relationships/hyperlink" Target="http://www.sec.gov/ix?doc=/Archives/edgar/data/1219601/000119312522061309/d323474d8k.htm" TargetMode="External"/><Relationship Id="rId81" Type="http://schemas.openxmlformats.org/officeDocument/2006/relationships/hyperlink" Target="http://www.sec.gov/ix?doc=/Archives/edgar/data/1219601/000119312522078481/d255990d8k.htm" TargetMode="External"/><Relationship Id="rId82" Type="http://schemas.openxmlformats.org/officeDocument/2006/relationships/hyperlink" Target="http://www.sec.gov/ix?doc=/Archives/edgar/data/1219601/000119312522080655/d328295d8k.htm" TargetMode="External"/><Relationship Id="rId83" Type="http://schemas.openxmlformats.org/officeDocument/2006/relationships/hyperlink" Target="http://www.sec.gov/ix?doc=/Archives/edgar/data/1219601/000119312522217895/d372551d8k.htm" TargetMode="External"/><Relationship Id="rId84" Type="http://schemas.openxmlformats.org/officeDocument/2006/relationships/hyperlink" Target="http://www.sec.gov/ix?doc=/Archives/edgar/data/1219601/000119312522278631/d400387d8k.htm" TargetMode="External"/><Relationship Id="rId85" Type="http://schemas.openxmlformats.org/officeDocument/2006/relationships/hyperlink" Target="http://www.sec.gov/Archives/edgar/data/1219601/000119312522278635/d398433d8a12b.htm" TargetMode="External"/><Relationship Id="rId86" Type="http://schemas.openxmlformats.org/officeDocument/2006/relationships/hyperlink" Target="http://www.sec.gov/ix?doc=/Archives/edgar/data/1219601/000121960122000050/cck-202211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2022-12-09T15:47:23Z</dcterms:created>
  <dcterms:modified xsi:type="dcterms:W3CDTF">2022-12-09T15:47:23Z</dcterms:modified>
</cp:coreProperties>
</file>