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2019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32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000-50189</w:t>
            </w:r>
          </w:p>
        </w:tc>
        <w:tc>
          <w:tcPr>
            <w:tcW w:w="252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75-3099507</w:t>
            </w:r>
          </w:p>
        </w:tc>
      </w:tr>
      <w:tr>
        <w:trPr>
          <w:trHeight w:val="252"/>
        </w:trPr>
        <w:tc>
          <w:tcPr>
            <w:tcW w:w="320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(Commission</w:t>
            </w:r>
          </w:p>
        </w:tc>
        <w:tc>
          <w:tcPr>
            <w:tcW w:w="25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2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File Number)</w:t>
            </w:r>
          </w:p>
        </w:tc>
        <w:tc>
          <w:tcPr>
            <w:tcW w:w="25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Township Line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Yardley, Pennsylvania 19067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Title of each class</w:t>
            </w:r>
          </w:p>
        </w:tc>
        <w:tc>
          <w:tcPr>
            <w:tcW w:w="1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Trading Symbols</w:t>
            </w: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1400" w:type="dxa"/>
            <w:vAlign w:val="bottom"/>
          </w:tcPr>
          <w:p>
            <w:pPr>
              <w:spacing w:after="0"/>
              <w:rPr>
                <w:sz w:val="18"/>
                <w:szCs w:val="18"/>
                <w:color w:val="auto"/>
              </w:rPr>
            </w:pPr>
          </w:p>
        </w:tc>
      </w:tr>
      <w:tr>
        <w:trPr>
          <w:trHeight w:val="33"/>
        </w:trPr>
        <w:tc>
          <w:tcPr>
            <w:tcW w:w="26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CCK</w:t>
            </w: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8"/>
                <w:szCs w:val="18"/>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CCK26</w:t>
            </w: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22"/>
                <w:szCs w:val="22"/>
                <w:color w:val="auto"/>
              </w:rPr>
            </w:pPr>
          </w:p>
        </w:tc>
      </w:tr>
      <w:tr>
        <w:trPr>
          <w:trHeight w:val="257"/>
        </w:trPr>
        <w:tc>
          <w:tcPr>
            <w:tcW w:w="26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8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CCK96</w:t>
            </w:r>
          </w:p>
        </w:tc>
        <w:tc>
          <w:tcPr>
            <w:tcW w:w="5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22"/>
                <w:szCs w:val="22"/>
                <w:color w:val="auto"/>
              </w:rPr>
            </w:pPr>
          </w:p>
        </w:tc>
      </w:tr>
      <w:tr>
        <w:trPr>
          <w:trHeight w:val="351"/>
        </w:trPr>
        <w:tc>
          <w:tcPr>
            <w:tcW w:w="26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94" w:right="239" w:bottom="1440" w:gutter="0" w:footer="0" w:header="0"/>
        </w:sectPr>
      </w:pPr>
    </w:p>
    <w:bookmarkStart w:id="1" w:name="page2"/>
    <w:bookmarkEnd w:id="1"/>
    <w:p>
      <w:pPr>
        <w:ind w:left="46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1.01. ENTRY INTO A MATERIAL DEFINITIVE AGREEMENT.</w:t>
      </w:r>
    </w:p>
    <w:p>
      <w:pPr>
        <w:spacing w:after="0" w:line="200" w:lineRule="exact"/>
        <w:rPr>
          <w:sz w:val="20"/>
          <w:szCs w:val="20"/>
          <w:color w:val="auto"/>
        </w:rPr>
      </w:pPr>
    </w:p>
    <w:p>
      <w:pPr>
        <w:spacing w:after="0" w:line="384" w:lineRule="exact"/>
        <w:rPr>
          <w:sz w:val="20"/>
          <w:szCs w:val="20"/>
          <w:color w:val="auto"/>
        </w:rPr>
      </w:pPr>
    </w:p>
    <w:p>
      <w:pPr>
        <w:ind w:left="980" w:right="100" w:hanging="971"/>
        <w:spacing w:after="0" w:line="271" w:lineRule="auto"/>
        <w:rPr>
          <w:sz w:val="20"/>
          <w:szCs w:val="20"/>
          <w:color w:val="auto"/>
        </w:rPr>
      </w:pPr>
      <w:r>
        <w:rPr>
          <w:rFonts w:ascii="Times New Roman" w:cs="Times New Roman" w:eastAsia="Times New Roman" w:hAnsi="Times New Roman"/>
          <w:sz w:val="22"/>
          <w:szCs w:val="22"/>
          <w:color w:val="auto"/>
        </w:rPr>
        <w:t>Item 2.03. CREATION OF A DIRECT FINANCIAL OBLIGATION OR AN OBLIGATION UNDER AN OFF-BALANCE SHEET ARRANGEMENT OF THE REGISTRANT.</w:t>
      </w:r>
    </w:p>
    <w:p>
      <w:pPr>
        <w:spacing w:after="0" w:line="200" w:lineRule="exact"/>
        <w:rPr>
          <w:sz w:val="20"/>
          <w:szCs w:val="20"/>
          <w:color w:val="auto"/>
        </w:rPr>
      </w:pPr>
    </w:p>
    <w:p>
      <w:pPr>
        <w:spacing w:after="0" w:line="323" w:lineRule="exact"/>
        <w:rPr>
          <w:sz w:val="20"/>
          <w:szCs w:val="20"/>
          <w:color w:val="auto"/>
        </w:rPr>
      </w:pPr>
    </w:p>
    <w:p>
      <w:pPr>
        <w:ind w:left="980" w:hanging="971"/>
        <w:spacing w:after="0" w:line="271" w:lineRule="auto"/>
        <w:rPr>
          <w:sz w:val="20"/>
          <w:szCs w:val="20"/>
          <w:color w:val="auto"/>
        </w:rPr>
      </w:pPr>
      <w:r>
        <w:rPr>
          <w:rFonts w:ascii="Times New Roman" w:cs="Times New Roman" w:eastAsia="Times New Roman" w:hAnsi="Times New Roman"/>
          <w:sz w:val="22"/>
          <w:szCs w:val="22"/>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860"/>
          </w:cols>
          <w:pgMar w:left="240" w:top="1071" w:right="799" w:bottom="9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860"/>
          </w:cols>
          <w:pgMar w:left="240" w:top="1071" w:right="799" w:bottom="966"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1.01. Entry into a Material Definitive Agreement.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December 13, 2019, Crown Holdings,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entered into that certain Incremental Amendment No. 2 and Third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to Amended and Restated Credit Agreement (such agreement, as previously and further amended, supplemented,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or otherwise modified from time to time prior to such amendment,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Credit Agreement as amended by such amendment,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 and such amendment,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among Crown Americas LLC, as U.S. Borrower, Crown European Holdings S.A., as European Borrower, Crown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Metal Packaging Canada LP, as Canadian Borrower, and each of the Subsidiary Borrowers party thereto, Crown Cork &amp; Seal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Inc., Crown International Holdings, Inc., each other Credit Party party thereto, Deutsche Bank AG New York Branch,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Administrative Agent, Deutsche Bank AG, London Branch, as U.K. Administrative Agent, Deutsche Bank AG, Canada Branch, 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Canadian Administrative Agent, the 2019 Additional Term Lenders party thereto and the Revolving Lenders party thereto.</w:t>
      </w:r>
    </w:p>
    <w:p>
      <w:pPr>
        <w:spacing w:after="0" w:line="23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Amendment, among other changes, provided for (a) the commitment to fund (x) $1,100 million Additional Term A Loans (under the Existing Credit Agreement) and (y) €450 million of Additional Term Euro Loans (under the Existing Credit Agreement), the proceeds of which, together with the proceeds from the issuance of €550 million of 0.750% senior notes due 2023 by Crown European Holdings S.A., cash on hand and borrowings under the Revolving Facilities under the Amended Credit Agreement were used, among other things, to refinance in full the Euro Term B Loans, the Term Euro Loans, the Dollar Term B Loans and the Term A Loans and pay all unpaid interest, fees and other amounts related thereto, in each case, outstanding under the Existing Credit Agreement and to pay costs and expenses related thereto, (b) the replacement in full of the Canadian Revolving Commitments under the Existing Credit Agreement with $50 million of Canadian Revolving Commitments (under the Amended Credit Agreement), (c) the replacement in full of the Dollar Revolving Commitments under the Existing Credit Agreement with $600 million of Dollar Revolving Commitments (under the Amended Credit Agreement) and (d) the replacement in full of the Multicurrency Revolving Commitments under the Existing Credit Agreement with $1,000 million of Multicurrency Revolving Commitments (under the Amended Credit Agreement). The maturity date for the Additional Term A Loans, Additional Term Euro Loans and the Revolving Facilities will be the fifth anniversary of the closing date of the Amendment. The interest rate on the Facilities (under the Amended Credit Agreement) is (i) at Crown Americas’ option with respect to the Dollar Revolving Loans and the Term A Loans (in each case, under the Amended Credit Agreement), either (A) the “eurocurrency rate” (which is the applicable interbank offered rate plus any applicable reserve requirements) plus 1.50% or (B) the “base rate” (which is the greatest of the prime rate most recently announced by the Administrative Agent, the federal funds rate plus 0.50% and the applicable interbank offered rate plus 1.00%) plus 0.50% and (ii) with respect to the Canadian Revolving Loans, Dollar Revolving Loans, Multicurrency Revolving Loans, Term Euro Loans and Term A Loans (in each case, under the Amended Credit Agreement), the eurocurrency rate plus 1.50%. In each case, the applicable margin is subject to step down based on the total leverage ratio for the test period ending as of the most recently ended fiscal quarter and, in the case of applicable margin relating to the eurocurrency rate, is subject to further step down based on the “Management Score” in respect of environment, social and governance factors most recently calculated and assigned to the Company by Sustainalytics B.V.</w:t>
      </w:r>
    </w:p>
    <w:p>
      <w:pPr>
        <w:spacing w:after="0" w:line="24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The foregoing description of the Amendment does not purport to be complete and is qualified in its entirety by reference to the Amendment, a copy of which will be filed as an exhibit to the Company’s next annual report on Form 10-K.</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554" w:right="239" w:bottom="1440" w:gutter="0" w:footer="0" w:header="0"/>
        </w:sectPr>
      </w:pPr>
    </w:p>
    <w:bookmarkStart w:id="3" w:name="page4"/>
    <w:bookmarkEnd w:id="3"/>
    <w:p>
      <w:pPr>
        <w:ind w:right="580"/>
        <w:spacing w:after="0" w:line="275" w:lineRule="auto"/>
        <w:rPr>
          <w:sz w:val="20"/>
          <w:szCs w:val="20"/>
          <w:color w:val="auto"/>
        </w:rPr>
      </w:pPr>
      <w:r>
        <w:rPr>
          <w:rFonts w:ascii="Times New Roman" w:cs="Times New Roman" w:eastAsia="Times New Roman" w:hAnsi="Times New Roman"/>
          <w:sz w:val="22"/>
          <w:szCs w:val="22"/>
          <w:b w:val="1"/>
          <w:bCs w:val="1"/>
          <w:color w:val="auto"/>
        </w:rPr>
        <w:t>Item 2.03. Creation of a Direct Financial Obligation or an Obligation under an Off-Balance Sheet Arrangement of the Registrant.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provided in Item 1.01 above is hereby incorporated herein by reference.</w:t>
      </w:r>
    </w:p>
    <w:p>
      <w:pPr>
        <w:spacing w:after="0" w:line="33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2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December 12, 2019, Richard Fearon, Stephen Hagge, and B. Craig Owens were elected to serve on the Board of Directors of the Company.</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Mr. Fearon currently serves as the Vice Chairman and Chief Financial and Planning Officer for Eaton Corporation Plc, a power management company with manufacturing facilities globally. Mr. Hagge is the former President and Chief Executive Officer of AptarGroup, Inc., a global packaging manufacturer of dispensing and closure systems for the fragrance/cosmetic, personal care, pharmaceutical, household and food/beverage markets. Mr. Owens is the former Chief Financial Officer of Campbell Soup Company, a manufacturer of soup and vegetable juices, and Delhaize Group S.A./N.V., an international food retailer and operator of supermarkets.</w:t>
      </w:r>
    </w:p>
    <w:p>
      <w:pPr>
        <w:spacing w:after="0" w:line="2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At this time, Mr. Fearon, Mr. Hagge, and Mr. Owens have not been appointed to serve on any committees of the Board. Mr. Fearon, Mr. Hagge, and Mr. Owens will each receive the same compensation that the other directors who are not employees of the Company receive for Board and committee membership, as described in the Company’s definitive proxy statement filed with the U.S. Securities and Exchange Commission on March 18, 2019.</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There are no arrangements between Mr. Fearon, Mr. Hagge, and Mr. Owens and any other person pursuant to which Mr. Fearon, Mr. Hagge, and Mr. Owens were appointed to serve as directors of the Company, nor are there any transactions in which the Company is a participant in which Mr. Fearon, Mr. Hagge, and Mr. Owens have a direct or indirect material interest.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Crown Holdings, Inc. press release dated December 17,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420"/>
          </w:cols>
          <w:pgMar w:left="240" w:top="810" w:right="239" w:bottom="1440" w:gutter="0" w:footer="0" w:header="0"/>
        </w:sectPr>
      </w:pPr>
    </w:p>
    <w:bookmarkStart w:id="4" w:name="page5"/>
    <w:bookmarkEnd w:id="4"/>
    <w:p>
      <w:pPr>
        <w:jc w:val="center"/>
        <w:ind w:right="-19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3310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18, 2019</w:t>
      </w:r>
    </w:p>
    <w:p>
      <w:pPr>
        <w:sectPr>
          <w:pgSz w:w="11900" w:h="16838" w:orient="portrait"/>
          <w:cols w:equalWidth="0" w:num="1">
            <w:col w:w="11240"/>
          </w:cols>
          <w:pgMar w:left="240" w:top="1057" w:right="41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240" w:top="1057" w:right="419" w:bottom="1047"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Number</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br w:type="column"/>
      </w:r>
    </w:p>
    <w:p>
      <w:pPr>
        <w:ind w:left="2060"/>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Description</w:t>
      </w:r>
    </w:p>
    <w:p>
      <w:pPr>
        <w:spacing w:after="0" w:line="341" w:lineRule="exact"/>
        <w:rPr>
          <w:sz w:val="20"/>
          <w:szCs w:val="20"/>
          <w:color w:val="auto"/>
        </w:rPr>
      </w:pPr>
    </w:p>
    <w:p>
      <w:pPr>
        <w:spacing w:after="0"/>
        <w:rPr>
          <w:rFonts w:ascii="Times New Roman" w:cs="Times New Roman" w:eastAsia="Times New Roman" w:hAnsi="Times New Roman"/>
          <w:sz w:val="22"/>
          <w:szCs w:val="22"/>
          <w:u w:val="single" w:color="auto"/>
          <w:color w:val="0000FF"/>
        </w:rPr>
      </w:pPr>
      <w:hyperlink w:anchor="page7">
        <w:r>
          <w:rPr>
            <w:rFonts w:ascii="Times New Roman" w:cs="Times New Roman" w:eastAsia="Times New Roman" w:hAnsi="Times New Roman"/>
            <w:sz w:val="22"/>
            <w:szCs w:val="22"/>
            <w:u w:val="single" w:color="auto"/>
            <w:color w:val="0000FF"/>
          </w:rPr>
          <w:t>Press release, dated December 17, 2019, issued by Crown Holdings, Inc.</w:t>
        </w:r>
      </w:hyperlink>
    </w:p>
    <w:p>
      <w:pPr>
        <w:spacing w:after="0" w:line="34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Cover Page Interactive Data File - the cover page XBRL tags are embedded within the Inline XBRL document.</w:t>
      </w:r>
    </w:p>
    <w:p>
      <w:pPr>
        <w:spacing w:after="0" w:line="200" w:lineRule="exact"/>
        <w:rPr>
          <w:sz w:val="20"/>
          <w:szCs w:val="20"/>
          <w:color w:val="auto"/>
        </w:rPr>
      </w:pPr>
    </w:p>
    <w:p>
      <w:pPr>
        <w:sectPr>
          <w:pgSz w:w="11900" w:h="16838" w:orient="portrait"/>
          <w:cols w:equalWidth="0" w:num="2">
            <w:col w:w="1400" w:space="700"/>
            <w:col w:w="8040"/>
          </w:cols>
          <w:pgMar w:left="760" w:top="1017" w:right="999" w:bottom="6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40"/>
          </w:cols>
          <w:pgMar w:left="760" w:top="1017" w:right="999" w:bottom="655" w:gutter="0" w:footer="0" w:header="0"/>
          <w:type w:val="continuous"/>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-160020</wp:posOffset>
            </wp:positionV>
            <wp:extent cx="1551940"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306070</wp:posOffset>
            </wp:positionV>
            <wp:extent cx="58572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CROWN HOLDINGS APPOINTS RICHARD H. FEARON,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STEPHEN J. HAGGE AND B. CRAIG OWENS TO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81915</wp:posOffset>
            </wp:positionV>
            <wp:extent cx="58572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Yardley, PA - December 17, 2019. </w:t>
      </w:r>
      <w:r>
        <w:rPr>
          <w:rFonts w:ascii="Times New Roman" w:cs="Times New Roman" w:eastAsia="Times New Roman" w:hAnsi="Times New Roman"/>
          <w:sz w:val="19"/>
          <w:szCs w:val="19"/>
          <w:color w:val="auto"/>
        </w:rPr>
        <w:t>Crown Holdings, Inc. (NYSE: CCK) today announced the appointment of three new independent directors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Company’s Board of Directors: Richard H. Fearon, Stephen J. Hagge and B. Craig Owens.</w:t>
      </w:r>
    </w:p>
    <w:p>
      <w:pPr>
        <w:spacing w:after="0" w:line="19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“We are proud to welcome Rick, Steve and Craig to the Board,” said John W. Conway, Chairman of the Company’s Board of Directors. “Their impressive mix of skills, expertise and industry-relevant experience will make them excellent additions to Crown’s Board. We are confident they will make valuable contributions to our ongoing review of the Company’s portfolio and capital allocation priorities along with the execution of our strategic plan to drive shareholder value.”</w:t>
      </w:r>
    </w:p>
    <w:p>
      <w:pPr>
        <w:spacing w:after="0" w:line="18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three new independent directors were appointed as part of the Company’s ongoing Board refreshment process. With these appointments, the Company’s Board has been expanded from 11 to 14 directors, 13 of whom are independent. William G. Little and Hans J. Löliger will not stand for reelection to the Board at the Company’s 2020 annual meeting as a result of having reached the mandatory retirement age for directors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Richard H. Fearon</w:t>
      </w:r>
    </w:p>
    <w:p>
      <w:pPr>
        <w:spacing w:after="0" w:line="220"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20"/>
          <w:szCs w:val="20"/>
          <w:color w:val="auto"/>
        </w:rPr>
        <w:t>Mr. Fearon is the Vice Chairman and Chief Financial and Planning Officer for Eaton Corporation Plc, a power management company with manufacturing facilities globally. He has served in this role for 17 years. Prior to his role at Eaton, he served in development and strategic planning management positions at several companies, including as Senior Vice President of Corporate Development at Transamerica Corporation and Director of Strategic Planning at The Walt Disney Company. Earlier in his career Mr. Fearon served as a management consultant at BoozAllen Hamilton Inc. and The Boston Consulting Group, Inc.</w:t>
      </w:r>
    </w:p>
    <w:p>
      <w:pPr>
        <w:spacing w:after="0" w:line="18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Mr. Fearon has a Bachelor of Economics degree from Stanford University and J.D. and M.B.A. degrees from Harvard University. He serves as a director of Manufacturers Alliance, a trade organization of leading manufacturing 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Stephen J. Hagge</w:t>
      </w:r>
    </w:p>
    <w:p>
      <w:pPr>
        <w:spacing w:after="0" w:line="22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Mr. Hagge is the former President and Chief Executive Officer of AptarGroup, Inc., a global packaging manufacturer of dispensing and closure systems for the fragrance/cosmetic, personal care, pharmaceutical, household and food/beverage markets. Throughout his 35-year career at AptarGroup, he also served as the company’s Chief Financial Officer, Chief Operating Officer and as a member of its board of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Hagge has a Bachelor of Science degree in Accounting from Illinois State University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420"/>
          </w:cols>
          <w:pgMar w:left="240" w:top="848"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-160020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Craig Owens</w:t>
      </w:r>
    </w:p>
    <w:p>
      <w:pPr>
        <w:spacing w:after="0" w:line="220"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Mr. Owens is the former Chief Financial Officer of Campbell Soup Company, the world’s largest manufacturer of soup and vegetable juices, and Delhaize Group S.A./N.V., an international food retailer and operator of supermarkets, and has held management positions at The Coca-Cola Company, the world’s largest beverage company.</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Mr. Owens has a Bachelor of Arts degree in Politics from Washington and Lee University, an M.B.A. degree from the Wharton School of the University of Pennsylvania and a Master of Arts degree from the Fletcher School of Law and Diplomacy at Tufts University. He is a member of the Northeast Audit Committee Network and a Board Leadership Fellow of the National Association of Corporate Directors.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Crown Holdings, Inc.</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t>
      </w:r>
      <w:r>
        <w:rPr>
          <w:rFonts w:ascii="Times New Roman" w:cs="Times New Roman" w:eastAsia="Times New Roman" w:hAnsi="Times New Roman"/>
          <w:sz w:val="20"/>
          <w:szCs w:val="20"/>
          <w:u w:val="single" w:color="auto"/>
          <w:color w:val="0000FF"/>
        </w:rPr>
        <w:t>www.crowncork.com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contact:</w:t>
      </w:r>
    </w:p>
    <w:p>
      <w:pPr>
        <w:spacing w:after="0" w:line="22" w:lineRule="exact"/>
        <w:rPr>
          <w:sz w:val="20"/>
          <w:szCs w:val="20"/>
          <w:color w:val="auto"/>
        </w:rPr>
      </w:pPr>
    </w:p>
    <w:p>
      <w:pPr>
        <w:ind w:right="4040"/>
        <w:spacing w:after="0" w:line="271" w:lineRule="auto"/>
        <w:rPr>
          <w:sz w:val="20"/>
          <w:szCs w:val="20"/>
          <w:color w:val="auto"/>
        </w:rPr>
      </w:pPr>
      <w:r>
        <w:rPr>
          <w:rFonts w:ascii="Times New Roman" w:cs="Times New Roman" w:eastAsia="Times New Roman" w:hAnsi="Times New Roman"/>
          <w:sz w:val="19"/>
          <w:szCs w:val="19"/>
          <w:color w:val="auto"/>
        </w:rPr>
        <w:t>Thomas A. Kelly, Senior Vice President and Chief Financial Officer, (215) 698-5341, or Thomas T. Fischer, Vice President, Investor Relations and Corporate Affairs, (215) 552-3720</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2 of 2</w:t>
      </w:r>
    </w:p>
    <w:sectPr>
      <w:pgSz w:w="11900" w:h="16838" w:orient="portrait"/>
      <w:cols w:equalWidth="0" w:num="1">
        <w:col w:w="11420"/>
      </w:cols>
      <w:pgMar w:left="240" w:top="8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2019-12-28T00:55:08Z</dcterms:created>
  <dcterms:modified xsi:type="dcterms:W3CDTF">2019-12-28T00:55:08Z</dcterms:modified>
</cp:coreProperties>
</file>