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Gifford Gerard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EVP &amp; COO</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YARDLEY</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35,726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145,633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01/05/2023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ind w:right="133"/>
              <w:spacing w:after="0"/>
              <w:rPr>
                <w:sz w:val="20"/>
                <w:szCs w:val="20"/>
                <w:color w:val="auto"/>
              </w:rPr>
            </w:pPr>
            <w:r>
              <w:rPr>
                <w:rFonts w:ascii="Times New Roman" w:cs="Times New Roman" w:eastAsia="Times New Roman" w:hAnsi="Times New Roman"/>
                <w:sz w:val="17"/>
                <w:szCs w:val="17"/>
                <w:color w:val="0000FF"/>
              </w:rPr>
              <w:t>899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83.27</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144,734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5,510</w:t>
            </w:r>
            <w:r>
              <w:rPr>
                <w:rFonts w:ascii="Times New Roman" w:cs="Times New Roman" w:eastAsia="Times New Roman" w:hAnsi="Times New Roman"/>
                <w:sz w:val="22"/>
                <w:szCs w:val="22"/>
                <w:color w:val="008000"/>
                <w:w w:val="93"/>
                <w:vertAlign w:val="superscript"/>
              </w:rPr>
              <w:t>(3)</w:t>
            </w:r>
          </w:p>
        </w:tc>
        <w:tc>
          <w:tcPr>
            <w:tcW w:w="300" w:type="dxa"/>
            <w:vAlign w:val="bottom"/>
          </w:tcPr>
          <w:p>
            <w:pPr>
              <w:spacing w:after="0"/>
              <w:rPr>
                <w:sz w:val="21"/>
                <w:szCs w:val="21"/>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35,726 shares of Restricted Common Stock under the 2022 Stock-Based Compensation Plan. 12,417 time-vested restricted shares vest over a three year period as follows: 4,139 time-vested restricted shares on January 4, 2024, January 6, 2025 and January 5, 2026, respectively. 10,783 performance-based restricted shares are targeted to vest on January 5, 2026 based on the Company's Total Shareholder Return versus a defined peer group of companies, with the final number of performance-based vested shares varying from 0 to 200% of 10,783. 12,526 performance-based restricted shares are targeted to vest on January 5, 2026 based on the Return on Invested Capital achieved by the Company compared to the ROIC target, with the final number of performance-based vested shares varying from 0 to 12,526.</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2022, the Reporting Person owned 5,510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01/06/2023</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2023-01-06T14:50:42Z</dcterms:created>
  <dcterms:modified xsi:type="dcterms:W3CDTF">2023-01-06T14:50:42Z</dcterms:modified>
</cp:coreProperties>
</file>