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1" w:lineRule="exact"/>
        <w:rPr>
          <w:sz w:val="24"/>
          <w:szCs w:val="24"/>
          <w:color w:val="auto"/>
        </w:rPr>
      </w:pPr>
    </w:p>
    <w:p>
      <w:pPr>
        <w:ind w:left="440" w:right="1180" w:hanging="414"/>
        <w:spacing w:after="0" w:line="238" w:lineRule="auto"/>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June 30, 2024</w:t>
      </w:r>
    </w:p>
    <w:p>
      <w:pPr>
        <w:spacing w:after="0" w:line="233" w:lineRule="exact"/>
        <w:rPr>
          <w:sz w:val="24"/>
          <w:szCs w:val="24"/>
          <w:color w:val="auto"/>
        </w:rPr>
      </w:pPr>
    </w:p>
    <w:p>
      <w:pPr>
        <w:ind w:left="440" w:right="1160" w:hanging="414"/>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001-41550</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CROWN HOLDINGS,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640" w:type="dxa"/>
            <w:vAlign w:val="bottom"/>
          </w:tcPr>
          <w:p>
            <w:pPr>
              <w:jc w:val="center"/>
              <w:ind w:left="122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68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146"/>
        </w:trPr>
        <w:tc>
          <w:tcPr>
            <w:tcW w:w="39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8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80" w:type="dxa"/>
            <w:vAlign w:val="bottom"/>
          </w:tcPr>
          <w:p>
            <w:pPr>
              <w:jc w:val="center"/>
              <w:ind w:right="20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Tampa</w:t>
            </w:r>
          </w:p>
        </w:tc>
        <w:tc>
          <w:tcPr>
            <w:tcW w:w="26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FL</w:t>
            </w:r>
          </w:p>
        </w:tc>
        <w:tc>
          <w:tcPr>
            <w:tcW w:w="168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33637</w:t>
            </w:r>
          </w:p>
        </w:tc>
      </w:tr>
      <w:tr>
        <w:trPr>
          <w:trHeight w:val="190"/>
        </w:trPr>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68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7"/>
        </w:trPr>
        <w:tc>
          <w:tcPr>
            <w:tcW w:w="2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tcPr>
          <w:p>
            <w:pPr>
              <w:jc w:val="right"/>
              <w:ind w:right="1156"/>
              <w:spacing w:after="0"/>
              <w:rPr>
                <w:sz w:val="20"/>
                <w:szCs w:val="20"/>
                <w:color w:val="auto"/>
              </w:rPr>
            </w:pPr>
            <w:r>
              <w:rPr>
                <w:rFonts w:ascii="Times New Roman" w:cs="Times New Roman" w:eastAsia="Times New Roman" w:hAnsi="Times New Roman"/>
                <w:sz w:val="18"/>
                <w:szCs w:val="18"/>
                <w:b w:val="1"/>
                <w:bCs w:val="1"/>
                <w:color w:val="auto"/>
              </w:rPr>
              <w:t>215-698-5100</w:t>
            </w:r>
          </w:p>
        </w:tc>
        <w:tc>
          <w:tcPr>
            <w:tcW w:w="1680" w:type="dxa"/>
            <w:vAlign w:val="bottom"/>
          </w:tcPr>
          <w:p>
            <w:pPr>
              <w:spacing w:after="0"/>
              <w:rPr>
                <w:sz w:val="24"/>
                <w:szCs w:val="24"/>
                <w:color w:val="auto"/>
              </w:rPr>
            </w:pPr>
          </w:p>
        </w:tc>
      </w:tr>
      <w:tr>
        <w:trPr>
          <w:trHeight w:val="164"/>
        </w:trPr>
        <w:tc>
          <w:tcPr>
            <w:tcW w:w="2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4"/>
                <w:szCs w:val="14"/>
                <w:color w:val="auto"/>
              </w:rPr>
            </w:pPr>
          </w:p>
        </w:tc>
      </w:tr>
      <w:tr>
        <w:trPr>
          <w:trHeight w:val="188"/>
        </w:trPr>
        <w:tc>
          <w:tcPr>
            <w:tcW w:w="2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tcPr>
          <w:p>
            <w:pPr>
              <w:jc w:val="right"/>
              <w:ind w:right="956"/>
              <w:spacing w:after="0"/>
              <w:rPr>
                <w:sz w:val="20"/>
                <w:szCs w:val="20"/>
                <w:color w:val="auto"/>
              </w:rPr>
            </w:pPr>
            <w:r>
              <w:rPr>
                <w:rFonts w:ascii="Times New Roman" w:cs="Times New Roman" w:eastAsia="Times New Roman" w:hAnsi="Times New Roman"/>
                <w:sz w:val="14"/>
                <w:szCs w:val="14"/>
                <w:color w:val="auto"/>
              </w:rPr>
              <w:t>____________________</w:t>
            </w:r>
          </w:p>
        </w:tc>
        <w:tc>
          <w:tcPr>
            <w:tcW w:w="1680" w:type="dxa"/>
            <w:vAlign w:val="bottom"/>
          </w:tcPr>
          <w:p>
            <w:pPr>
              <w:spacing w:after="0"/>
              <w:rPr>
                <w:sz w:val="16"/>
                <w:szCs w:val="16"/>
                <w:color w:val="auto"/>
              </w:rPr>
            </w:pPr>
          </w:p>
        </w:tc>
      </w:tr>
      <w:tr>
        <w:trPr>
          <w:trHeight w:val="301"/>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1680" w:type="dxa"/>
            <w:vAlign w:val="bottom"/>
          </w:tcPr>
          <w:p>
            <w:pPr>
              <w:spacing w:after="0"/>
              <w:rPr>
                <w:sz w:val="24"/>
                <w:szCs w:val="24"/>
                <w:color w:val="auto"/>
              </w:rPr>
            </w:pPr>
          </w:p>
        </w:tc>
      </w:tr>
      <w:tr>
        <w:trPr>
          <w:trHeight w:val="327"/>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Trading Symbols</w:t>
            </w:r>
          </w:p>
        </w:tc>
        <w:tc>
          <w:tcPr>
            <w:tcW w:w="34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680" w:type="dxa"/>
            <w:vAlign w:val="bottom"/>
            <w:tcBorders>
              <w:bottom w:val="single" w:sz="8" w:color="auto"/>
            </w:tcBorders>
          </w:tcPr>
          <w:p>
            <w:pPr>
              <w:spacing w:after="0"/>
              <w:rPr>
                <w:sz w:val="24"/>
                <w:szCs w:val="24"/>
                <w:color w:val="auto"/>
              </w:rPr>
            </w:pPr>
          </w:p>
        </w:tc>
      </w:tr>
      <w:tr>
        <w:trPr>
          <w:trHeight w:val="207"/>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7"/>
                <w:szCs w:val="17"/>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CCK26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CCK96</w:t>
            </w:r>
          </w:p>
        </w:tc>
        <w:tc>
          <w:tcPr>
            <w:tcW w:w="3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New York Stock Exchange</w:t>
            </w:r>
          </w:p>
        </w:tc>
        <w:tc>
          <w:tcPr>
            <w:tcW w:w="1680" w:type="dxa"/>
            <w:vAlign w:val="bottom"/>
          </w:tcPr>
          <w:p>
            <w:pPr>
              <w:spacing w:after="0"/>
              <w:rPr>
                <w:sz w:val="18"/>
                <w:szCs w:val="18"/>
                <w:color w:val="auto"/>
              </w:rPr>
            </w:pPr>
          </w:p>
        </w:tc>
      </w:tr>
    </w:tbl>
    <w:p>
      <w:pPr>
        <w:spacing w:after="0" w:line="100"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Accelerated filer</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6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5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120,640,575 shares of Common Stock outstanding as of July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20" w:type="dxa"/>
            <w:vAlign w:val="bottom"/>
            <w:gridSpan w:val="3"/>
          </w:tcPr>
          <w:p>
            <w:pPr>
              <w:ind w:left="3840"/>
              <w:spacing w:after="0"/>
              <w:rPr>
                <w:sz w:val="20"/>
                <w:szCs w:val="20"/>
                <w:color w:val="auto"/>
              </w:rPr>
            </w:pPr>
            <w:r>
              <w:rPr>
                <w:rFonts w:ascii="Times New Roman" w:cs="Times New Roman" w:eastAsia="Times New Roman" w:hAnsi="Times New Roman"/>
                <w:sz w:val="18"/>
                <w:szCs w:val="18"/>
                <w:color w:val="auto"/>
              </w:rPr>
              <w:t>TABLE OF CONTENTS</w:t>
            </w:r>
          </w:p>
        </w:tc>
        <w:tc>
          <w:tcPr>
            <w:tcW w:w="2140" w:type="dxa"/>
            <w:vAlign w:val="bottom"/>
          </w:tcPr>
          <w:p>
            <w:pPr>
              <w:spacing w:after="0"/>
              <w:rPr>
                <w:sz w:val="17"/>
                <w:szCs w:val="17"/>
                <w:color w:val="auto"/>
              </w:rPr>
            </w:pPr>
          </w:p>
        </w:tc>
      </w:tr>
      <w:tr>
        <w:trPr>
          <w:trHeight w:val="62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82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BALANCE SHEETS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CASH FLOWS (Condensed)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91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Basis of Presentation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B.  Recent Accounting and Reporting Pronouncements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C.  Cash, Cash Equivalents, and Restricted Cash</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w:t>
            </w:r>
          </w:p>
        </w:tc>
        <w:tc>
          <w:tcPr>
            <w:tcW w:w="8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G.  Supplier Finance Program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8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Asbestos-Related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J.  Commitments and Contingent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K.  Derivative and Other Financial Instruments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w:t>
            </w:r>
          </w:p>
        </w:tc>
        <w:tc>
          <w:tcPr>
            <w:tcW w:w="8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M.  Pension and Other Postretirement Benefits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 Stock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91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O.  Accumulated Other Comprehensive Loss Attributable to Crown Holdings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Q.</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w:t>
            </w:r>
          </w:p>
        </w:tc>
        <w:tc>
          <w:tcPr>
            <w:tcW w:w="8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Segment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9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992"/>
        </w:trPr>
        <w:tc>
          <w:tcPr>
            <w:tcW w:w="8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tbl>
      <w:tblPr>
        <w:tblLayout w:type="fixed"/>
        <w:tblInd w:w="16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9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788"/>
        </w:trPr>
        <w:tc>
          <w:tcPr>
            <w:tcW w:w="3400" w:type="dxa"/>
            <w:vAlign w:val="bottom"/>
          </w:tcPr>
          <w:p>
            <w:pPr>
              <w:spacing w:after="0"/>
              <w:rPr>
                <w:sz w:val="24"/>
                <w:szCs w:val="24"/>
                <w:color w:val="auto"/>
              </w:rPr>
            </w:pPr>
          </w:p>
        </w:tc>
        <w:tc>
          <w:tcPr>
            <w:tcW w:w="38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3400" w:type="dxa"/>
            <w:vAlign w:val="bottom"/>
          </w:tcPr>
          <w:p>
            <w:pPr>
              <w:spacing w:after="0"/>
              <w:rPr>
                <w:sz w:val="18"/>
                <w:szCs w:val="18"/>
                <w:color w:val="auto"/>
              </w:rPr>
            </w:pPr>
          </w:p>
        </w:tc>
        <w:tc>
          <w:tcPr>
            <w:tcW w:w="3840" w:type="dxa"/>
            <w:vAlign w:val="bottom"/>
            <w:gridSpan w:val="4"/>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530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384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3400" w:type="dxa"/>
            <w:vAlign w:val="bottom"/>
          </w:tcPr>
          <w:p>
            <w:pPr>
              <w:spacing w:after="0"/>
              <w:rPr>
                <w:sz w:val="20"/>
                <w:szCs w:val="20"/>
                <w:color w:val="auto"/>
              </w:rPr>
            </w:pPr>
          </w:p>
        </w:tc>
        <w:tc>
          <w:tcPr>
            <w:tcW w:w="29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8"/>
        </w:trPr>
        <w:tc>
          <w:tcPr>
            <w:tcW w:w="34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34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223"/>
        </w:trPr>
        <w:tc>
          <w:tcPr>
            <w:tcW w:w="6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products sold, excluding depreciation and amortization</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w:t>
            </w:r>
          </w:p>
        </w:tc>
      </w:tr>
      <w:tr>
        <w:trPr>
          <w:trHeight w:val="230"/>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9"/>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9"/>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3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 and equity in net earnings of affiliates</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3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3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26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63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6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340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bl>
    <w:p>
      <w:pPr>
        <w:ind w:left="180"/>
        <w:spacing w:after="0"/>
        <w:rPr>
          <w:sz w:val="20"/>
          <w:szCs w:val="20"/>
          <w:color w:val="auto"/>
        </w:rPr>
      </w:pPr>
      <w:r>
        <w:rPr>
          <w:rFonts w:ascii="Times New Roman" w:cs="Times New Roman" w:eastAsia="Times New Roman" w:hAnsi="Times New Roman"/>
          <w:sz w:val="18"/>
          <w:szCs w:val="18"/>
          <w:b w:val="1"/>
          <w:bCs w:val="1"/>
          <w:color w:val="auto"/>
        </w:rPr>
        <w:t>Earnings per common share attributable to Crown Holdings:</w:t>
      </w:r>
    </w:p>
    <w:p>
      <w:pPr>
        <w:spacing w:after="0" w:line="18"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6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4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 w:name="page4"/>
    <w:bookmarkEnd w:id="3"/>
    <w:tbl>
      <w:tblPr>
        <w:tblLayout w:type="fixed"/>
        <w:tblInd w:w="16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747"/>
        </w:trPr>
        <w:tc>
          <w:tcPr>
            <w:tcW w:w="8700" w:type="dxa"/>
            <w:vAlign w:val="bottom"/>
            <w:gridSpan w:val="8"/>
          </w:tcPr>
          <w:p>
            <w:pPr>
              <w:ind w:left="28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4460" w:type="dxa"/>
            <w:vAlign w:val="bottom"/>
          </w:tcPr>
          <w:p>
            <w:pPr>
              <w:spacing w:after="0"/>
              <w:rPr>
                <w:sz w:val="18"/>
                <w:szCs w:val="18"/>
                <w:color w:val="auto"/>
              </w:rPr>
            </w:pP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4460" w:type="dxa"/>
            <w:vAlign w:val="bottom"/>
          </w:tcPr>
          <w:p>
            <w:pPr>
              <w:spacing w:after="0"/>
              <w:rPr>
                <w:sz w:val="20"/>
                <w:szCs w:val="20"/>
                <w:color w:val="auto"/>
              </w:rPr>
            </w:pPr>
          </w:p>
        </w:tc>
        <w:tc>
          <w:tcPr>
            <w:tcW w:w="18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8"/>
        </w:trPr>
        <w:tc>
          <w:tcPr>
            <w:tcW w:w="4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50"/>
        </w:trPr>
        <w:tc>
          <w:tcPr>
            <w:tcW w:w="4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net of tax:</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Derivatives qualifying as hedges</w:t>
            </w:r>
          </w:p>
        </w:tc>
        <w:tc>
          <w:tcPr>
            <w:tcW w:w="1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4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1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50"/>
        </w:trPr>
        <w:tc>
          <w:tcPr>
            <w:tcW w:w="4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3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 adjustments attributable to noncontrolling interests</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Crown Holdings</w:t>
            </w:r>
          </w:p>
        </w:tc>
        <w:tc>
          <w:tcPr>
            <w:tcW w:w="15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1"/>
        </w:trPr>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747"/>
        </w:trPr>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ind w:left="180"/>
              <w:spacing w:after="0" w:line="20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7"/>
                <w:szCs w:val="17"/>
                <w:color w:val="auto"/>
              </w:rPr>
            </w:pPr>
          </w:p>
        </w:tc>
        <w:tc>
          <w:tcPr>
            <w:tcW w:w="136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9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5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2"/>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9"/>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5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29"/>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5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5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14,858</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3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29"/>
        </w:trPr>
        <w:tc>
          <w:tcPr>
            <w:tcW w:w="35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35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30"/>
        </w:trPr>
        <w:tc>
          <w:tcPr>
            <w:tcW w:w="35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5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Pension and postretirement liabilities</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3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10"/>
        </w:trPr>
        <w:tc>
          <w:tcPr>
            <w:tcW w:w="35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0000FF"/>
              </w:rPr>
              <w:t>Note J</w:t>
            </w:r>
            <w:r>
              <w:rPr>
                <w:rFonts w:ascii="Times New Roman" w:cs="Times New Roman" w:eastAsia="Times New Roman" w:hAnsi="Times New Roman"/>
                <w:sz w:val="18"/>
                <w:szCs w:val="18"/>
                <w:i w:val="1"/>
                <w:iCs w:val="1"/>
                <w:color w:val="auto"/>
              </w:rPr>
              <w:t>)</w:t>
            </w: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2980" w:type="dxa"/>
            <w:vAlign w:val="bottom"/>
            <w:tcBorders>
              <w:top w:val="single" w:sz="8" w:color="CCEE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5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r>
      <w:tr>
        <w:trPr>
          <w:trHeight w:val="230"/>
        </w:trPr>
        <w:tc>
          <w:tcPr>
            <w:tcW w:w="3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35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23"/>
        </w:trPr>
        <w:tc>
          <w:tcPr>
            <w:tcW w:w="358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5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r>
      <w:tr>
        <w:trPr>
          <w:trHeight w:val="223"/>
        </w:trPr>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5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14,858</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w:t>
            </w:r>
          </w:p>
        </w:tc>
      </w:tr>
      <w:tr>
        <w:trPr>
          <w:trHeight w:val="20"/>
        </w:trPr>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7" w:right="89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Crown Holdings, Inc.</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80"/>
        </w:trPr>
        <w:tc>
          <w:tcPr>
            <w:tcW w:w="846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(Condensed)</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2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82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8"/>
        </w:trPr>
        <w:tc>
          <w:tcPr>
            <w:tcW w:w="8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 earnings, net of distributions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2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3"/>
        </w:trPr>
        <w:tc>
          <w:tcPr>
            <w:tcW w:w="8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1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hedge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Distribution from equity method investment</w:t>
            </w:r>
          </w:p>
        </w:tc>
        <w:tc>
          <w:tcPr>
            <w:tcW w:w="26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26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2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for) / provided by financing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January 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June 30</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4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ind w:left="480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1"/>
        </w:trPr>
        <w:tc>
          <w:tcPr>
            <w:tcW w:w="37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17" w:right="1179" w:bottom="1440" w:gutter="0" w:footer="0" w:header="0"/>
        </w:sectPr>
      </w:pPr>
    </w:p>
    <w:bookmarkStart w:id="7" w:name="page8"/>
    <w:bookmarkEnd w:id="7"/>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Crown Holdings, Inc. Shareholders’ Equity</w:t>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131"/>
        </w:trPr>
        <w:tc>
          <w:tcPr>
            <w:tcW w:w="3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9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887" w:right="7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June 30, 2024 and the results of its operations for the three and six months ended June 30, 2024 and 2023 and of its cash flows for the six months ended June 30, 2024 and 2023.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18"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2023.</w:t>
      </w:r>
    </w:p>
    <w:p>
      <w:pPr>
        <w:spacing w:after="0" w:line="20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fourth quarter of 2023, the Company recast its segment reporting to reclassify European corporate costs that were previously included in Corporate and other unallocated items in the European Beverage segment. Prior periods have been recast to conform to the new presentation.</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first quarter of 2024, the Company completed a review of the useful lives of its beverage machinery and equipment and buildings based on the Company’s experience with the duration over which equipment and buildings of its aluminum beverage can business can be utilized. The Company engaged a third-party appraiser to assist in this review and, as a result, effective January 1, 2024, the Company revised the estimated useful lives of buildings up to 50 years and machinery and equipment up to 23 years. The change in useful lives resulted in a net reduction in depreciation expense of approximately $16 or $0.10 and $32 or $0.20 per diluted share for the three and six months ended June 30, 2024, respectively, as compared to the amount of depreciation expense that would have been recorded by utilizing the prior depreciable lives.</w:t>
      </w:r>
    </w:p>
    <w:p>
      <w:pPr>
        <w:spacing w:after="0" w:line="214"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first quarter of 2024, the Company corrected its presentation of certain borrowings and repayments of short-term debt that did not qualify for net presentation in our previously issued Consolidated Statements of Cash Flows. The Company now presents these borrowings and repayments of short-term debt on a gross basis within cash flows from financing activities. The Company determined that the corrections, which had no impact to cash flows (used for) provided by financing activities, were not material to any prior annual or interim periods and therefore, amendments of previously filed reports are not required.</w:t>
      </w:r>
    </w:p>
    <w:p>
      <w:pPr>
        <w:spacing w:after="0" w:line="210"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effects of the revisions on each of the impacted financial statement line items within the Company's Consolidated Statements of Cash Flows for the years ended December 31, 2021, 2022 and 2023, as well as the six months ended June 30, 2023 and the nine months ended September 30,</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2023 were as follows: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660" w:type="dxa"/>
        <w:tblCellMar>
          <w:top w:w="0" w:type="dxa"/>
          <w:left w:w="0" w:type="dxa"/>
          <w:bottom w:w="0" w:type="dxa"/>
          <w:right w:w="0" w:type="dxa"/>
        </w:tblCellMar>
      </w:tblPr>
      <w:tr>
        <w:trPr>
          <w:trHeight w:val="238"/>
        </w:trPr>
        <w:tc>
          <w:tcPr>
            <w:tcW w:w="6800" w:type="dxa"/>
            <w:vAlign w:val="bottom"/>
            <w:gridSpan w:val="3"/>
          </w:tcPr>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810"/>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Six Months Ended June 30, 2023</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95"/>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Nine Months Ended September 30, 2023</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95"/>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2023</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495"/>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2022</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95"/>
        </w:trPr>
        <w:tc>
          <w:tcPr>
            <w:tcW w:w="5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9"/>
              </w:rPr>
              <w:t>Year Ended December 31, 2021</w:t>
            </w:r>
          </w:p>
        </w:tc>
      </w:tr>
      <w:tr>
        <w:trPr>
          <w:trHeight w:val="169"/>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As Previously</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Reported</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As Revised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revolving credit facility and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w:t>
            </w:r>
          </w:p>
        </w:tc>
      </w:tr>
    </w:tbl>
    <w:p>
      <w:pPr>
        <w:spacing w:after="0" w:line="200" w:lineRule="exact"/>
        <w:rPr>
          <w:sz w:val="20"/>
          <w:szCs w:val="20"/>
          <w:color w:val="auto"/>
        </w:rPr>
      </w:pPr>
    </w:p>
    <w:p>
      <w:pPr>
        <w:spacing w:after="0" w:line="380" w:lineRule="exact"/>
        <w:rPr>
          <w:sz w:val="20"/>
          <w:szCs w:val="20"/>
          <w:color w:val="auto"/>
        </w:rPr>
      </w:pPr>
    </w:p>
    <w:p>
      <w:pPr>
        <w:ind w:left="660" w:right="6640" w:hanging="652"/>
        <w:spacing w:after="0" w:line="534" w:lineRule="auto"/>
        <w:tabs>
          <w:tab w:leader="none" w:pos="649"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Recent Accounting and Reporting Pronouncements </w:t>
      </w:r>
      <w:r>
        <w:rPr>
          <w:rFonts w:ascii="Times New Roman" w:cs="Times New Roman" w:eastAsia="Times New Roman" w:hAnsi="Times New Roman"/>
          <w:sz w:val="18"/>
          <w:szCs w:val="18"/>
          <w:u w:val="single" w:color="auto"/>
          <w:color w:val="auto"/>
        </w:rPr>
        <w:t>Recently Issued Accounting Standards</w:t>
      </w: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2023, the Financial Accounting Standards Board issued new guidance that requires incremental disclosures related to reportable segments. That standard requires disclosure, on an annual and interim basis, of significant segment expenses that are regularly provided to the chief operating decision maker ("CODM") and included within each reported measure of profit or loss. The title and position of the CODM and how the reported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measure of segment profit or loss is used by the CODM to assess segment performance and allocate resources is also required to be disclosed. The standard also permits disclosure of additional measures of segment profit. The standard is effective for fiscal years beginning after December 15, 2023, and interim periods within fiscal years beginning after December 15, 2024. As the guidance impacts disclosure only, it will not have an impact on the Company's financial results. These changes in disclosure will initially be reflected in the annual financial statement footnotes for the year ended December 31, 2024.</w:t>
      </w:r>
    </w:p>
    <w:p>
      <w:pPr>
        <w:spacing w:after="0" w:line="21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 final standard on improvements to income tax disclosures. The standard requires disclosure of specific categories within the effective tax rate reconciliation and details about significant reconciling items, subject to a quantitative threshold. The standard also requires information on income taxes paid disaggregated by federal, state and foreign based on a quantitative threshold. The standard is effective for fiscal years beginning after December 15, 2024. Early adoption is permitted. The standard is applied prospectively with an option for retrospective adoption. The Company is currently evaluating the impact of adopting this standard on its disclosures.</w:t>
      </w:r>
    </w:p>
    <w:p>
      <w:pPr>
        <w:spacing w:after="0" w:line="200" w:lineRule="exact"/>
        <w:rPr>
          <w:sz w:val="20"/>
          <w:szCs w:val="20"/>
          <w:color w:val="auto"/>
        </w:rPr>
      </w:pPr>
    </w:p>
    <w:p>
      <w:pPr>
        <w:spacing w:after="0" w:line="253"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cash equivalents, and restricted cash included in the Company's Consolidated Balance Sheets and Statement of Cash Flows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June 30, 2024</w:t>
            </w:r>
          </w:p>
        </w:tc>
        <w:tc>
          <w:tcPr>
            <w:tcW w:w="18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Receivables</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16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trade receivables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receivables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  Inventories</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7"/>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June 30, 2024</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6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6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June 30, 2024</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69"/>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43"/>
        </w:trPr>
        <w:tc>
          <w:tcPr>
            <w:tcW w:w="2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w:t>
            </w:r>
          </w:p>
        </w:tc>
        <w:tc>
          <w:tcPr>
            <w:tcW w:w="120" w:type="dxa"/>
            <w:vAlign w:val="bottom"/>
          </w:tcPr>
          <w:p>
            <w:pPr>
              <w:spacing w:after="0"/>
              <w:rPr>
                <w:sz w:val="21"/>
                <w:szCs w:val="21"/>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1"/>
                <w:szCs w:val="21"/>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Gross</w:t>
            </w:r>
          </w:p>
        </w:tc>
        <w:tc>
          <w:tcPr>
            <w:tcW w:w="180" w:type="dxa"/>
            <w:vAlign w:val="bottom"/>
          </w:tcPr>
          <w:p>
            <w:pPr>
              <w:spacing w:after="0"/>
              <w:rPr>
                <w:sz w:val="21"/>
                <w:szCs w:val="21"/>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amortization</w:t>
            </w:r>
          </w:p>
        </w:tc>
        <w:tc>
          <w:tcPr>
            <w:tcW w:w="180" w:type="dxa"/>
            <w:vAlign w:val="bottom"/>
          </w:tcPr>
          <w:p>
            <w:pPr>
              <w:spacing w:after="0"/>
              <w:rPr>
                <w:sz w:val="21"/>
                <w:szCs w:val="21"/>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for the three and six months ended June 30, 2024 and 2023 included amortization expense of $41 and $81, respectively.</w:t>
      </w:r>
    </w:p>
    <w:p>
      <w:pPr>
        <w:spacing w:after="0" w:line="248"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Supplier Finance Program Obligations</w:t>
      </w:r>
    </w:p>
    <w:p>
      <w:pPr>
        <w:spacing w:after="0" w:line="25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$783 and $862 confirmed obligations outstanding under these supplier finance programs as of June 30, 2024 and December 31, 2023 included in Accounts Payable.</w:t>
      </w:r>
    </w:p>
    <w:p>
      <w:pPr>
        <w:spacing w:after="0" w:line="212"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0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Six Months Ended</w:t>
            </w:r>
          </w:p>
        </w:tc>
        <w:tc>
          <w:tcPr>
            <w:tcW w:w="300" w:type="dxa"/>
            <w:vAlign w:val="bottom"/>
          </w:tcPr>
          <w:p>
            <w:pPr>
              <w:spacing w:after="0"/>
              <w:rPr>
                <w:sz w:val="19"/>
                <w:szCs w:val="19"/>
                <w:color w:val="auto"/>
              </w:rPr>
            </w:pPr>
          </w:p>
        </w:tc>
      </w:tr>
      <w:tr>
        <w:trPr>
          <w:trHeight w:val="234"/>
        </w:trPr>
        <w:tc>
          <w:tcPr>
            <w:tcW w:w="45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19"/>
                <w:szCs w:val="19"/>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sales and impairments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w:t>
            </w:r>
          </w:p>
        </w:tc>
        <w:tc>
          <w:tcPr>
            <w:tcW w:w="7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and June 30, 2023, restructuring primarily included headcount reductions and other exit costs in the Company's European Beverage and Other segments.</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Additionally, during the second quarter of 2024, the Company closed its food can plant in La Villa, Mexico and entered into an agreement to sell equipment for $30 to be paid in three annual installments. The first $10 installment was received during the quarter. The Company expects to recognize a gain of approximately $20 in the third quarter of 2024, when control of the equipment transfers.</w:t>
      </w:r>
    </w:p>
    <w:p>
      <w:pPr>
        <w:spacing w:after="0" w:line="203"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made payments of $28 and had a restructuring accrual of $23, primarily related to previously announced restructuring actions and the items referenced above. The Company expects to pay these amounts over the next twelve months. The Company continues to review its costs structure and may record additional restructuring charges in the future.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0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214" w:lineRule="exact"/>
        <w:rPr>
          <w:sz w:val="20"/>
          <w:szCs w:val="20"/>
          <w:color w:val="auto"/>
        </w:rPr>
      </w:pPr>
    </w:p>
    <w:p>
      <w:pPr>
        <w:jc w:val="both"/>
        <w:ind w:left="660"/>
        <w:spacing w:after="0" w:line="281" w:lineRule="auto"/>
        <w:rPr>
          <w:sz w:val="20"/>
          <w:szCs w:val="20"/>
          <w:color w:val="auto"/>
        </w:rPr>
      </w:pPr>
      <w:r>
        <w:rPr>
          <w:rFonts w:ascii="Times New Roman" w:cs="Times New Roman" w:eastAsia="Times New Roman" w:hAnsi="Times New Roman"/>
          <w:sz w:val="17"/>
          <w:szCs w:val="17"/>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9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20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at the time of enactment,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1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paid $5 to settle asbestos claims and pay related legal and defense costs and had approximate claims activity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claims</w:t>
            </w:r>
          </w:p>
        </w:tc>
        <w:tc>
          <w:tcPr>
            <w:tcW w:w="6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w:t>
            </w: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or dismissals</w:t>
            </w:r>
          </w:p>
        </w:tc>
        <w:tc>
          <w:tcPr>
            <w:tcW w:w="6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claims</w:t>
            </w:r>
          </w:p>
        </w:tc>
        <w:tc>
          <w:tcPr>
            <w:tcW w:w="50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000" w:type="dxa"/>
            <w:vAlign w:val="bottom"/>
            <w:vMerge w:val="restart"/>
          </w:tcPr>
          <w:p>
            <w:pPr>
              <w:jc w:val="right"/>
              <w:ind w:right="321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6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fourth quarter of each year, the Company performs an analysis of outstanding claims and categorizes these claims by year of exposure and state filed. As of December 31, 2023, the Company's outstanding claims were: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29"/>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Texas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30"/>
        </w:trPr>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Pennsylvania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8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8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percentage of outstanding claims related to claimants alleging serious diseases (primarily mesothelioma and other malignancies)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Pre-1965 claims in states without asbestos legislation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June 30,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Company’s accrual for pending and future asbestos-related claims and related legal costs was $198, including $133 for unasserted claims. The Company determines its accrual without limitation to a specific time period.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2023),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1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The Company is seeking annulment of the Commission’s fining decision on the basis that the referral of the case from the FCO to the Commission was unjustified. There can be no assurance regarding the outcome of such appeal.</w:t>
      </w:r>
    </w:p>
    <w:p>
      <w:pPr>
        <w:spacing w:after="0" w:line="21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1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On December 29, 2023, the FCA issued a decision imposing a fine of €4 million on the Company. The Company has appealed the decision of the FCA, however there can be no assurance regarding the outcome of such appeal.</w:t>
      </w:r>
    </w:p>
    <w:p>
      <w:pPr>
        <w:spacing w:after="0" w:line="21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June 2024, the Brazilian Federal Tax Authorities issued an assessment against the Company's Brazilian subsidiary in relation to the use of PIS and COFINS indirect tax credits arising from a favorable judicial decision received by the Company in 2019. The assessment disallowed credits of $42 taken by the Company for the years 2004 through 2015 when the PIS and COFINS indirect taxes were calculated by fixed rates and assessed interest and penalties. The Company does not believe that a loss for this assessment is probable and plans to challenge the assessment at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administrative and judicial level, if necessary. There can be no assurances that the Company will be successful in contesting the assessment.</w:t>
      </w:r>
    </w:p>
    <w:p>
      <w:pPr>
        <w:spacing w:after="0" w:line="25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21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June 30, 2024,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42" w:lineRule="exact"/>
        <w:rPr>
          <w:sz w:val="20"/>
          <w:szCs w:val="20"/>
          <w:color w:val="auto"/>
        </w:rPr>
      </w:pPr>
    </w:p>
    <w:p>
      <w:pPr>
        <w:ind w:left="660" w:right="7480" w:hanging="652"/>
        <w:spacing w:after="0" w:line="534" w:lineRule="auto"/>
        <w:tabs>
          <w:tab w:leader="none" w:pos="37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Derivative and Other Financial Instruments </w:t>
      </w:r>
      <w:r>
        <w:rPr>
          <w:rFonts w:ascii="Times New Roman" w:cs="Times New Roman" w:eastAsia="Times New Roman" w:hAnsi="Times New Roman"/>
          <w:sz w:val="18"/>
          <w:szCs w:val="18"/>
          <w:u w:val="single" w:color="auto"/>
          <w:color w:val="auto"/>
        </w:rPr>
        <w:t>Fair Value Measurements</w:t>
      </w:r>
    </w:p>
    <w:p>
      <w:pPr>
        <w:spacing w:after="0" w:line="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10"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 xml:space="preserve">Fair value disclosures for financial assets and liabilities that were accounted for at fair value on a recurring basis are provided later in this note. In addition, see </w:t>
      </w:r>
      <w:r>
        <w:rPr>
          <w:rFonts w:ascii="Times New Roman" w:cs="Times New Roman" w:eastAsia="Times New Roman" w:hAnsi="Times New Roman"/>
          <w:sz w:val="18"/>
          <w:szCs w:val="18"/>
          <w:u w:val="single" w:color="auto"/>
          <w:color w:val="0000FF"/>
        </w:rPr>
        <w:t>Note L</w:t>
      </w:r>
      <w:r>
        <w:rPr>
          <w:rFonts w:ascii="Times New Roman" w:cs="Times New Roman" w:eastAsia="Times New Roman" w:hAnsi="Times New Roman"/>
          <w:sz w:val="18"/>
          <w:szCs w:val="18"/>
          <w:color w:val="auto"/>
        </w:rPr>
        <w:t xml:space="preserve"> for fair value disclosures related to debt.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June 30, 2024 mature between one and thirty months.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commodity forward contracts to hedge anticipated purchases of various commodities, primarily aluminum as well as natural gas and electricity, and these exposures are hedged by a central treasury unit.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also use interest rate swaps to convert interest on floating rate debt to a fixed-rate.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00" w:lineRule="exact"/>
        <w:rPr>
          <w:sz w:val="20"/>
          <w:szCs w:val="20"/>
          <w:color w:val="auto"/>
        </w:rPr>
      </w:pPr>
    </w:p>
    <w:p>
      <w:pPr>
        <w:spacing w:after="0" w:line="2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756"/>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Amount of gain/(loss)</w:t>
            </w:r>
          </w:p>
        </w:tc>
        <w:tc>
          <w:tcPr>
            <w:tcW w:w="200" w:type="dxa"/>
            <w:vAlign w:val="bottom"/>
          </w:tcPr>
          <w:p>
            <w:pPr>
              <w:spacing w:after="0"/>
              <w:rPr>
                <w:sz w:val="24"/>
                <w:szCs w:val="24"/>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Amount of gain/(loss)</w:t>
            </w:r>
          </w:p>
        </w:tc>
        <w:tc>
          <w:tcPr>
            <w:tcW w:w="3200" w:type="dxa"/>
            <w:vAlign w:val="bottom"/>
          </w:tcPr>
          <w:p>
            <w:pPr>
              <w:spacing w:after="0"/>
              <w:rPr>
                <w:sz w:val="24"/>
                <w:szCs w:val="24"/>
                <w:color w:val="auto"/>
              </w:rPr>
            </w:pPr>
          </w:p>
        </w:tc>
      </w:tr>
      <w:tr>
        <w:trPr>
          <w:trHeight w:val="239"/>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recognized in OCI</w:t>
            </w:r>
          </w:p>
        </w:tc>
        <w:tc>
          <w:tcPr>
            <w:tcW w:w="20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recognized in OCI</w:t>
            </w:r>
          </w:p>
        </w:tc>
        <w:tc>
          <w:tcPr>
            <w:tcW w:w="3200" w:type="dxa"/>
            <w:vAlign w:val="bottom"/>
          </w:tcPr>
          <w:p>
            <w:pPr>
              <w:spacing w:after="0"/>
              <w:rPr>
                <w:sz w:val="20"/>
                <w:szCs w:val="20"/>
                <w:color w:val="auto"/>
              </w:rPr>
            </w:pPr>
          </w:p>
        </w:tc>
      </w:tr>
      <w:tr>
        <w:trPr>
          <w:trHeight w:val="173"/>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gridSpan w:val="4"/>
          </w:tcPr>
          <w:p>
            <w:pPr>
              <w:jc w:val="center"/>
              <w:ind w:right="30"/>
              <w:spacing w:after="0" w:line="173" w:lineRule="exact"/>
              <w:rPr>
                <w:sz w:val="20"/>
                <w:szCs w:val="20"/>
                <w:color w:val="auto"/>
              </w:rPr>
            </w:pPr>
            <w:r>
              <w:rPr>
                <w:rFonts w:ascii="Times New Roman" w:cs="Times New Roman" w:eastAsia="Times New Roman" w:hAnsi="Times New Roman"/>
                <w:sz w:val="18"/>
                <w:szCs w:val="18"/>
                <w:color w:val="auto"/>
              </w:rPr>
              <w:t>Three Months Ended June</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4"/>
          </w:tcPr>
          <w:p>
            <w:pPr>
              <w:jc w:val="center"/>
              <w:ind w:right="150"/>
              <w:spacing w:after="0" w:line="173" w:lineRule="exact"/>
              <w:rPr>
                <w:sz w:val="20"/>
                <w:szCs w:val="20"/>
                <w:color w:val="auto"/>
              </w:rPr>
            </w:pPr>
            <w:r>
              <w:rPr>
                <w:rFonts w:ascii="Times New Roman" w:cs="Times New Roman" w:eastAsia="Times New Roman" w:hAnsi="Times New Roman"/>
                <w:sz w:val="18"/>
                <w:szCs w:val="18"/>
                <w:color w:val="auto"/>
                <w:w w:val="99"/>
              </w:rPr>
              <w:t>Six Months Ended</w:t>
            </w:r>
          </w:p>
        </w:tc>
        <w:tc>
          <w:tcPr>
            <w:tcW w:w="10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237"/>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7"/>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12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Pr>
          <w:p>
            <w:pPr>
              <w:spacing w:after="0"/>
              <w:rPr>
                <w:sz w:val="19"/>
                <w:szCs w:val="19"/>
                <w:color w:val="auto"/>
              </w:rPr>
            </w:pPr>
          </w:p>
        </w:tc>
      </w:tr>
      <w:tr>
        <w:trPr>
          <w:trHeight w:val="229"/>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48"/>
        </w:trPr>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200" w:type="dxa"/>
            <w:vAlign w:val="bottom"/>
          </w:tcPr>
          <w:p>
            <w:pPr>
              <w:spacing w:after="0"/>
              <w:rPr>
                <w:sz w:val="21"/>
                <w:szCs w:val="2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84"/>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Amount of gain/(loss)</w:t>
            </w:r>
          </w:p>
        </w:tc>
        <w:tc>
          <w:tcPr>
            <w:tcW w:w="200" w:type="dxa"/>
            <w:vAlign w:val="bottom"/>
          </w:tcPr>
          <w:p>
            <w:pPr>
              <w:spacing w:after="0"/>
              <w:rPr>
                <w:sz w:val="24"/>
                <w:szCs w:val="24"/>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Amount of gain/(loss)</w:t>
            </w:r>
          </w:p>
        </w:tc>
        <w:tc>
          <w:tcPr>
            <w:tcW w:w="3200" w:type="dxa"/>
            <w:vAlign w:val="bottom"/>
          </w:tcPr>
          <w:p>
            <w:pPr>
              <w:spacing w:after="0"/>
              <w:rPr>
                <w:sz w:val="24"/>
                <w:szCs w:val="24"/>
                <w:color w:val="auto"/>
              </w:rPr>
            </w:pPr>
          </w:p>
        </w:tc>
      </w:tr>
      <w:tr>
        <w:trPr>
          <w:trHeight w:val="184"/>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6"/>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reclassified from AOCI into</w:t>
            </w:r>
          </w:p>
        </w:tc>
        <w:tc>
          <w:tcPr>
            <w:tcW w:w="2280" w:type="dxa"/>
            <w:vAlign w:val="bottom"/>
            <w:gridSpan w:val="6"/>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reclassified from AOCI into</w:t>
            </w:r>
          </w:p>
        </w:tc>
        <w:tc>
          <w:tcPr>
            <w:tcW w:w="3200" w:type="dxa"/>
            <w:vAlign w:val="bottom"/>
          </w:tcPr>
          <w:p>
            <w:pPr>
              <w:spacing w:after="0"/>
              <w:rPr>
                <w:sz w:val="16"/>
                <w:szCs w:val="16"/>
                <w:color w:val="auto"/>
              </w:rPr>
            </w:pPr>
          </w:p>
        </w:tc>
      </w:t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8"/>
              </w:rPr>
              <w:t>income</w:t>
            </w:r>
          </w:p>
        </w:tc>
        <w:tc>
          <w:tcPr>
            <w:tcW w:w="200" w:type="dxa"/>
            <w:vAlign w:val="bottom"/>
          </w:tcPr>
          <w:p>
            <w:pPr>
              <w:spacing w:after="0"/>
              <w:rPr>
                <w:sz w:val="20"/>
                <w:szCs w:val="20"/>
                <w:color w:val="auto"/>
              </w:rPr>
            </w:pPr>
          </w:p>
        </w:tc>
        <w:tc>
          <w:tcPr>
            <w:tcW w:w="12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income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169"/>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gridSpan w:val="4"/>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rPr>
              <w:t>Three Months Ended June</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4"/>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9"/>
              </w:rPr>
              <w:t>Six Months Ended</w:t>
            </w: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237"/>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7"/>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162"/>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Affected line items in the Statement of</w:t>
            </w:r>
          </w:p>
        </w:tc>
      </w:tr>
      <w:tr>
        <w:trPr>
          <w:trHeight w:val="24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hedges</w:t>
            </w:r>
          </w:p>
        </w:tc>
        <w:tc>
          <w:tcPr>
            <w:tcW w:w="12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32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Operations</w:t>
            </w: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r>
      <w:tr>
        <w:trPr>
          <w:trHeight w:val="175"/>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w:t>
            </w:r>
          </w:p>
        </w:tc>
      </w:tr>
      <w:tr>
        <w:trPr>
          <w:trHeight w:val="24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r>
      <w:tr>
        <w:trPr>
          <w:trHeight w:val="175"/>
        </w:trPr>
        <w:tc>
          <w:tcPr>
            <w:tcW w:w="2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products sold, excluding</w:t>
            </w:r>
          </w:p>
        </w:tc>
      </w:tr>
      <w:tr>
        <w:trPr>
          <w:trHeight w:val="24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r>
      <w:tr>
        <w:trPr>
          <w:trHeight w:val="155"/>
        </w:trPr>
        <w:tc>
          <w:tcPr>
            <w:tcW w:w="2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taxes and equity in net</w:t>
            </w:r>
          </w:p>
        </w:tc>
      </w:tr>
      <w:tr>
        <w:trPr>
          <w:trHeight w:val="243"/>
        </w:trPr>
        <w:tc>
          <w:tcPr>
            <w:tcW w:w="27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1"/>
                <w:szCs w:val="21"/>
                <w:color w:val="auto"/>
              </w:rPr>
            </w:pPr>
          </w:p>
        </w:tc>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of affiliates</w:t>
            </w:r>
          </w:p>
        </w:tc>
      </w:tr>
      <w:tr>
        <w:trPr>
          <w:trHeight w:val="223"/>
        </w:trPr>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3"/>
        </w:trPr>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r>
      <w:tr>
        <w:trPr>
          <w:trHeight w:val="21"/>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twelve-month period ending June 30, 2025, a net gain of $5 ($4, net of tax) is expected to be reclassified to earnings for commodity and foreign exchange contracts. No material amounts were reclassified during the six months ended June 30, 2024 and 2023 in connection with anticipated transactions that were considered probable of not occurring.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and Contracts Not Designated as Hedges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recorded a gain of $11 and $15, respectively, from foreign exchange contracts designated as fair value hedges. For the three and six months ended June 30, 2023, the Company recorded losses of $5 and $10 from foreign exchange contracts designated as fair value hedges. These adjustments were reported within foreign exchange in the Consolidated Statements of Operations.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impact on earnings from derivatives not designated as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60" w:type="dxa"/>
            <w:vAlign w:val="bottom"/>
            <w:gridSpan w:val="6"/>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8"/>
              </w:rPr>
              <w:t>Crown Holdings, Inc.</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Pre-tax amounts of</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Pre-tax amounts of gain/(loss)</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6"/>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w w:val="99"/>
              </w:rPr>
              <w:t>gain/(loss) recognized in</w:t>
            </w:r>
          </w:p>
        </w:tc>
        <w:tc>
          <w:tcPr>
            <w:tcW w:w="2220" w:type="dxa"/>
            <w:vAlign w:val="bottom"/>
            <w:gridSpan w:val="5"/>
          </w:tcPr>
          <w:p>
            <w:pPr>
              <w:jc w:val="center"/>
              <w:spacing w:after="0" w:line="184" w:lineRule="exact"/>
              <w:rPr>
                <w:sz w:val="20"/>
                <w:szCs w:val="20"/>
                <w:color w:val="auto"/>
              </w:rPr>
            </w:pPr>
            <w:r>
              <w:rPr>
                <w:rFonts w:ascii="Times New Roman" w:cs="Times New Roman" w:eastAsia="Times New Roman" w:hAnsi="Times New Roman"/>
                <w:sz w:val="18"/>
                <w:szCs w:val="18"/>
                <w:color w:val="auto"/>
              </w:rPr>
              <w:t>recognized in income on</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income on derivative</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9"/>
              </w:rPr>
              <w:t>derivative</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20" w:type="dxa"/>
            <w:vAlign w:val="bottom"/>
          </w:tcPr>
          <w:p>
            <w:pPr>
              <w:spacing w:after="0"/>
              <w:rPr>
                <w:sz w:val="19"/>
                <w:szCs w:val="19"/>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100" w:type="dxa"/>
            <w:vAlign w:val="bottom"/>
          </w:tcPr>
          <w:p>
            <w:pPr>
              <w:spacing w:after="0"/>
              <w:rPr>
                <w:sz w:val="19"/>
                <w:szCs w:val="19"/>
                <w:color w:val="auto"/>
              </w:rPr>
            </w:pPr>
          </w:p>
        </w:tc>
        <w:tc>
          <w:tcPr>
            <w:tcW w:w="2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Affected line item in the</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60" w:type="dxa"/>
            <w:vAlign w:val="bottom"/>
          </w:tcPr>
          <w:p>
            <w:pPr>
              <w:spacing w:after="0"/>
              <w:rPr>
                <w:sz w:val="21"/>
                <w:szCs w:val="21"/>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Statement of Operations</w:t>
            </w:r>
          </w:p>
        </w:tc>
        <w:tc>
          <w:tcPr>
            <w:tcW w:w="0" w:type="dxa"/>
            <w:vAlign w:val="bottom"/>
          </w:tcPr>
          <w:p>
            <w:pPr>
              <w:spacing w:after="0"/>
              <w:rPr>
                <w:sz w:val="1"/>
                <w:szCs w:val="1"/>
                <w:color w:val="auto"/>
              </w:rPr>
            </w:pPr>
          </w:p>
        </w:tc>
      </w:tr>
      <w:tr>
        <w:trPr>
          <w:trHeight w:val="169"/>
        </w:trPr>
        <w:tc>
          <w:tcPr>
            <w:tcW w:w="3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3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Cost of products sold, excluding</w:t>
            </w:r>
          </w:p>
        </w:tc>
        <w:tc>
          <w:tcPr>
            <w:tcW w:w="0" w:type="dxa"/>
            <w:vAlign w:val="bottom"/>
          </w:tcPr>
          <w:p>
            <w:pPr>
              <w:spacing w:after="0"/>
              <w:rPr>
                <w:sz w:val="1"/>
                <w:szCs w:val="1"/>
                <w:color w:val="auto"/>
              </w:rPr>
            </w:pPr>
          </w:p>
        </w:tc>
      </w:tr>
      <w:tr>
        <w:trPr>
          <w:trHeight w:val="243"/>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shd w:val="clear" w:color="auto" w:fill="CCEEFF"/>
          </w:tcPr>
          <w:p>
            <w:pPr>
              <w:spacing w:after="0"/>
              <w:rPr>
                <w:sz w:val="21"/>
                <w:szCs w:val="21"/>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gains of $12 ($10, net of tax) and $53 ($44, net of tax) in other comprehensive income for certain debt instruments that are designated as hedges of its net investment in a euro-based subsidiary. During the three and six months ended June 30, 2023, the Company recorded losses of $6 ($5, net of tax) and $22 ($19, net of tax) in other comprehensive income for certain debt instruments that are designated as hedges of its net investment in a euro-based subsidiary. As of June 30, 2024 and December 31, 2023, cumulative gains of $103 ($112, net of tax) and $49 ($68, net of tax) were recognized in accumulated other comprehensive income related to these net investment hedges and the carrying amount of the hedging instrument was approximately €1,653 ($1,771) at June 30, 2024.</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cross-currency swaps with an aggregate notional values of $875 designated as hedges of the Company's net investment in a euro-based subsidiary. These swaps mature in 2026 and reduced interest expense by $6 and $12 for the three and six months ended June 30, 2024 and 2023.</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the impact on accumulated other comprehensive income from changes in the fair value of derivative instruments designated as net investment hedges.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Amount of gain / (loss) recognized in</w:t>
            </w:r>
          </w:p>
        </w:tc>
        <w:tc>
          <w:tcPr>
            <w:tcW w:w="27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color w:val="auto"/>
              </w:rPr>
              <w:t>Amount of gain / (loss) recognized</w:t>
            </w:r>
          </w:p>
        </w:tc>
      </w:tr>
      <w:tr>
        <w:trPr>
          <w:trHeight w:val="239"/>
        </w:trPr>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AOCI</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color w:val="auto"/>
                <w:w w:val="99"/>
              </w:rPr>
              <w:t>in AOCI</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20" w:type="dxa"/>
            <w:vAlign w:val="bottom"/>
          </w:tcPr>
          <w:p>
            <w:pPr>
              <w:spacing w:after="0"/>
              <w:rPr>
                <w:sz w:val="19"/>
                <w:szCs w:val="19"/>
                <w:color w:val="auto"/>
              </w:rPr>
            </w:pPr>
          </w:p>
        </w:tc>
        <w:tc>
          <w:tcPr>
            <w:tcW w:w="228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Six months ended June 30,</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Gains or losses on net investment hedges remain in accumulated other comprehensive income until disposal of the underlying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Derivative Financial Instruments and Valuation Hierarchy</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assets and liabilities that were accounted for at fair value on a recurring basis as of June 30, 2024 and December 31, 2023, respectively. The fair values of these financial instruments were reported under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56"/>
        </w:trPr>
        <w:tc>
          <w:tcPr>
            <w:tcW w:w="1820" w:type="dxa"/>
            <w:vAlign w:val="bottom"/>
          </w:tcPr>
          <w:p>
            <w:pPr>
              <w:spacing w:after="0"/>
              <w:rPr>
                <w:sz w:val="24"/>
                <w:szCs w:val="24"/>
                <w:color w:val="auto"/>
              </w:rPr>
            </w:pPr>
          </w:p>
        </w:tc>
        <w:tc>
          <w:tcPr>
            <w:tcW w:w="1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Balance Sheet</w:t>
            </w:r>
          </w:p>
        </w:tc>
        <w:tc>
          <w:tcPr>
            <w:tcW w:w="16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30,</w:t>
            </w:r>
          </w:p>
        </w:tc>
        <w:tc>
          <w:tcPr>
            <w:tcW w:w="14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December</w:t>
            </w:r>
          </w:p>
        </w:tc>
        <w:tc>
          <w:tcPr>
            <w:tcW w:w="100" w:type="dxa"/>
            <w:vAlign w:val="bottom"/>
          </w:tcPr>
          <w:p>
            <w:pPr>
              <w:spacing w:after="0"/>
              <w:rPr>
                <w:sz w:val="24"/>
                <w:szCs w:val="24"/>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Balance Sheet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30,</w:t>
            </w:r>
          </w:p>
        </w:tc>
        <w:tc>
          <w:tcPr>
            <w:tcW w:w="1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w:t>
            </w:r>
          </w:p>
        </w:tc>
      </w:tr>
      <w:tr>
        <w:trPr>
          <w:trHeight w:val="239"/>
        </w:trPr>
        <w:tc>
          <w:tcPr>
            <w:tcW w:w="1820" w:type="dxa"/>
            <w:vAlign w:val="bottom"/>
          </w:tcPr>
          <w:p>
            <w:pPr>
              <w:spacing w:after="0"/>
              <w:rPr>
                <w:sz w:val="20"/>
                <w:szCs w:val="20"/>
                <w:color w:val="auto"/>
              </w:rPr>
            </w:pPr>
          </w:p>
        </w:tc>
        <w:tc>
          <w:tcPr>
            <w:tcW w:w="1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31, 2023</w:t>
            </w:r>
          </w:p>
        </w:tc>
        <w:tc>
          <w:tcPr>
            <w:tcW w:w="100" w:type="dxa"/>
            <w:vAlign w:val="bottom"/>
          </w:tcPr>
          <w:p>
            <w:pPr>
              <w:spacing w:after="0"/>
              <w:rPr>
                <w:sz w:val="20"/>
                <w:szCs w:val="20"/>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classification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31, 2023</w:t>
            </w:r>
          </w:p>
        </w:tc>
        <w:tc>
          <w:tcPr>
            <w:tcW w:w="20" w:type="dxa"/>
            <w:vAlign w:val="bottom"/>
          </w:tcPr>
          <w:p>
            <w:pPr>
              <w:spacing w:after="0"/>
              <w:rPr>
                <w:sz w:val="20"/>
                <w:szCs w:val="20"/>
                <w:color w:val="auto"/>
              </w:rPr>
            </w:pPr>
          </w:p>
        </w:tc>
      </w:tr>
      <w:tr>
        <w:trPr>
          <w:trHeight w:val="214"/>
        </w:trPr>
        <w:tc>
          <w:tcPr>
            <w:tcW w:w="1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Derivatives designated as</w:t>
            </w:r>
          </w:p>
        </w:tc>
        <w:tc>
          <w:tcPr>
            <w:tcW w:w="18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hedging instruments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169"/>
        </w:trPr>
        <w:tc>
          <w:tcPr>
            <w:tcW w:w="18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exchange</w:t>
            </w:r>
          </w:p>
        </w:tc>
        <w:tc>
          <w:tcPr>
            <w:tcW w:w="1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 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r>
      <w:tr>
        <w:trPr>
          <w:trHeight w:val="176"/>
        </w:trPr>
        <w:tc>
          <w:tcPr>
            <w:tcW w:w="1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w:t>
            </w: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 fair value</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21"/>
                <w:szCs w:val="21"/>
                <w:color w:val="auto"/>
              </w:rPr>
            </w:pPr>
          </w:p>
        </w:tc>
      </w:tr>
      <w:tr>
        <w:trPr>
          <w:trHeight w:val="176"/>
        </w:trPr>
        <w:tc>
          <w:tcPr>
            <w:tcW w:w="1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Commodities contracts</w:t>
            </w:r>
          </w:p>
        </w:tc>
        <w:tc>
          <w:tcPr>
            <w:tcW w:w="1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1"/>
                <w:szCs w:val="21"/>
                <w:color w:val="auto"/>
              </w:rPr>
            </w:pPr>
          </w:p>
        </w:tc>
      </w:tr>
      <w:tr>
        <w:trPr>
          <w:trHeight w:val="175"/>
        </w:trPr>
        <w:tc>
          <w:tcPr>
            <w:tcW w:w="1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investment hedge</w:t>
            </w: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18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8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auto"/>
              <w:bottom w:val="single" w:sz="8" w:color="auto"/>
            </w:tcBorders>
          </w:tcPr>
          <w:p>
            <w:pPr>
              <w:spacing w:after="0"/>
              <w:rPr>
                <w:sz w:val="19"/>
                <w:szCs w:val="19"/>
                <w:color w:val="auto"/>
              </w:rPr>
            </w:pPr>
          </w:p>
        </w:tc>
      </w:tr>
      <w:tr>
        <w:trPr>
          <w:trHeight w:val="210"/>
        </w:trPr>
        <w:tc>
          <w:tcPr>
            <w:tcW w:w="3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9"/>
        </w:trPr>
        <w:tc>
          <w:tcPr>
            <w:tcW w:w="18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Foreign exchange</w:t>
            </w:r>
          </w:p>
        </w:tc>
        <w:tc>
          <w:tcPr>
            <w:tcW w:w="18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r>
      <w:tr>
        <w:trPr>
          <w:trHeight w:val="270"/>
        </w:trPr>
        <w:tc>
          <w:tcPr>
            <w:tcW w:w="18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r>
      <w:tr>
        <w:trPr>
          <w:trHeight w:val="223"/>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tcPr>
          <w:p>
            <w:pPr>
              <w:spacing w:after="0"/>
              <w:rPr>
                <w:sz w:val="19"/>
                <w:szCs w:val="19"/>
                <w:color w:val="auto"/>
              </w:rPr>
            </w:pPr>
          </w:p>
        </w:tc>
      </w:tr>
      <w:tr>
        <w:trPr>
          <w:trHeight w:val="20"/>
        </w:trPr>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33"/>
        </w:trPr>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gridSpan w:val="10"/>
          </w:tcPr>
          <w:p>
            <w:pPr>
              <w:jc w:val="center"/>
              <w:ind w:right="40"/>
              <w:spacing w:after="0"/>
              <w:rPr>
                <w:sz w:val="20"/>
                <w:szCs w:val="20"/>
                <w:color w:val="auto"/>
              </w:rPr>
            </w:pPr>
            <w:r>
              <w:rPr>
                <w:rFonts w:ascii="Times New Roman" w:cs="Times New Roman" w:eastAsia="Times New Roman" w:hAnsi="Times New Roman"/>
                <w:sz w:val="18"/>
                <w:szCs w:val="18"/>
                <w:color w:val="auto"/>
              </w:rPr>
              <w:t>Carrying amount of the hedged assets /</w:t>
            </w:r>
          </w:p>
        </w:tc>
      </w:tr>
      <w:tr>
        <w:trPr>
          <w:trHeight w:val="239"/>
        </w:trPr>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liabilities</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3"/>
        </w:trPr>
        <w:tc>
          <w:tcPr>
            <w:tcW w:w="1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center"/>
              <w:ind w:left="250"/>
              <w:spacing w:after="0" w:line="173" w:lineRule="exact"/>
              <w:rPr>
                <w:sz w:val="20"/>
                <w:szCs w:val="20"/>
                <w:color w:val="auto"/>
              </w:rPr>
            </w:pPr>
            <w:r>
              <w:rPr>
                <w:rFonts w:ascii="Times New Roman" w:cs="Times New Roman" w:eastAsia="Times New Roman" w:hAnsi="Times New Roman"/>
                <w:sz w:val="18"/>
                <w:szCs w:val="18"/>
                <w:color w:val="auto"/>
                <w:w w:val="99"/>
              </w:rPr>
              <w:t>June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80" w:type="dxa"/>
            <w:vAlign w:val="bottom"/>
            <w:gridSpan w:val="4"/>
          </w:tcPr>
          <w:p>
            <w:pPr>
              <w:jc w:val="right"/>
              <w:ind w:right="90"/>
              <w:spacing w:after="0" w:line="173" w:lineRule="exact"/>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15"/>
                <w:szCs w:val="15"/>
                <w:color w:val="auto"/>
              </w:rPr>
            </w:pPr>
          </w:p>
        </w:tc>
      </w:tr>
      <w:tr>
        <w:trPr>
          <w:trHeight w:val="243"/>
        </w:trPr>
        <w:tc>
          <w:tcPr>
            <w:tcW w:w="49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Line item in the Balance Sheet in which the hedged item is included</w:t>
            </w:r>
          </w:p>
        </w:tc>
        <w:tc>
          <w:tcPr>
            <w:tcW w:w="9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2023</w:t>
            </w:r>
          </w:p>
        </w:tc>
        <w:tc>
          <w:tcPr>
            <w:tcW w:w="20" w:type="dxa"/>
            <w:vAlign w:val="bottom"/>
          </w:tcPr>
          <w:p>
            <w:pPr>
              <w:spacing w:after="0"/>
              <w:rPr>
                <w:sz w:val="21"/>
                <w:szCs w:val="21"/>
                <w:color w:val="auto"/>
              </w:rPr>
            </w:pPr>
          </w:p>
        </w:tc>
      </w:tr>
      <w:tr>
        <w:trPr>
          <w:trHeight w:val="223"/>
        </w:trPr>
        <w:tc>
          <w:tcPr>
            <w:tcW w:w="3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9"/>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r>
      <w:tr>
        <w:trPr>
          <w:trHeight w:val="230"/>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9"/>
                <w:szCs w:val="19"/>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cumulative amount of fair value hedging adjustments included in the carrying amount of the hedged assets and liabilities were a net loss of $4 and a net gain of $2.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In the table below, the aggregate fair values of the Company's derivative assets and liabilities are presented on both a gross and net basis, where appropriate.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Gross amounts recognized in the</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Gross amounts not offset in the</w:t>
            </w:r>
          </w:p>
        </w:tc>
        <w:tc>
          <w:tcPr>
            <w:tcW w:w="148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Balance Sheet</w:t>
            </w:r>
          </w:p>
        </w:tc>
        <w:tc>
          <w:tcPr>
            <w:tcW w:w="25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Balance Sheet</w:t>
            </w:r>
          </w:p>
        </w:tc>
        <w:tc>
          <w:tcPr>
            <w:tcW w:w="1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Net amount</w:t>
            </w: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Balance at June 30, 2024</w:t>
            </w:r>
          </w:p>
        </w:tc>
        <w:tc>
          <w:tcPr>
            <w:tcW w:w="2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$99</w:t>
            </w:r>
          </w:p>
        </w:tc>
        <w:tc>
          <w:tcPr>
            <w:tcW w:w="25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$6</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17</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6</w:t>
            </w: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11</w:t>
            </w:r>
          </w:p>
        </w:tc>
      </w:tr>
      <w:tr>
        <w:trPr>
          <w:trHeight w:val="162"/>
        </w:trPr>
        <w:tc>
          <w:tcPr>
            <w:tcW w:w="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31, 2023</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6"/>
              </w:rPr>
              <w:t>$64</w:t>
            </w:r>
          </w:p>
        </w:tc>
        <w:tc>
          <w:tcPr>
            <w:tcW w:w="254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$7</w:t>
            </w:r>
          </w:p>
        </w:tc>
        <w:tc>
          <w:tcPr>
            <w:tcW w:w="14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9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20</w:t>
            </w:r>
          </w:p>
        </w:tc>
        <w:tc>
          <w:tcPr>
            <w:tcW w:w="2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88"/>
              </w:rPr>
              <w:t>7</w:t>
            </w: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13</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Notional Values of Outstanding Derivative Instruments</w:t>
      </w:r>
    </w:p>
    <w:p>
      <w:pPr>
        <w:spacing w:after="0" w:line="25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aggregate U.S. dollar-equivalent notional values of outstanding derivative instruments in the Consolidated Balance Sheets at June 30, 2024 and December 31, 2023 were: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0" w:name="page21"/>
    <w:bookmarkEnd w:id="20"/>
    <w:tbl>
      <w:tblPr>
        <w:tblLayout w:type="fixed"/>
        <w:tblInd w:w="652"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29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810"/>
        </w:trPr>
        <w:tc>
          <w:tcPr>
            <w:tcW w:w="384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3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292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Commodities</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 net investment hedges:</w:t>
            </w: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9"/>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w:t>
            </w: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bl>
    <w:p>
      <w:pPr>
        <w:spacing w:after="0" w:line="200" w:lineRule="exact"/>
        <w:rPr>
          <w:sz w:val="20"/>
          <w:szCs w:val="20"/>
          <w:color w:val="auto"/>
        </w:rPr>
      </w:pPr>
    </w:p>
    <w:p>
      <w:pPr>
        <w:spacing w:after="0" w:line="358" w:lineRule="exact"/>
        <w:rPr>
          <w:sz w:val="20"/>
          <w:szCs w:val="20"/>
          <w:color w:val="auto"/>
        </w:rPr>
      </w:pPr>
    </w:p>
    <w:p>
      <w:pPr>
        <w:ind w:left="352" w:hanging="352"/>
        <w:spacing w:after="0"/>
        <w:tabs>
          <w:tab w:leader="none" w:pos="35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97" w:lineRule="exact"/>
        <w:rPr>
          <w:sz w:val="20"/>
          <w:szCs w:val="20"/>
          <w:color w:val="auto"/>
        </w:rPr>
      </w:pPr>
    </w:p>
    <w:tbl>
      <w:tblPr>
        <w:tblLayout w:type="fixed"/>
        <w:tblInd w:w="972"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June 30, 2024</w:t>
            </w:r>
          </w:p>
        </w:tc>
        <w:tc>
          <w:tcPr>
            <w:tcW w:w="120" w:type="dxa"/>
            <w:vAlign w:val="bottom"/>
          </w:tcPr>
          <w:p>
            <w:pPr>
              <w:spacing w:after="0"/>
              <w:rPr>
                <w:sz w:val="20"/>
                <w:szCs w:val="20"/>
                <w:color w:val="auto"/>
              </w:rPr>
            </w:pPr>
          </w:p>
        </w:tc>
        <w:tc>
          <w:tcPr>
            <w:tcW w:w="22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Principal</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Carrying</w:t>
            </w: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Carrying</w:t>
            </w: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13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amount</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CCEE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94</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4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Term loan facilities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U.S. dollar due 2027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640"/>
              <w:spacing w:after="0" w:line="230" w:lineRule="exact"/>
              <w:rPr>
                <w:sz w:val="20"/>
                <w:szCs w:val="20"/>
                <w:color w:val="auto"/>
              </w:rPr>
            </w:pPr>
            <w:r>
              <w:rPr>
                <w:rFonts w:ascii="Times New Roman" w:cs="Times New Roman" w:eastAsia="Times New Roman" w:hAnsi="Times New Roman"/>
                <w:sz w:val="18"/>
                <w:szCs w:val="18"/>
                <w:color w:val="auto"/>
              </w:rPr>
              <w:t>Euro due 2027</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€600 at 2.625% due 2024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€600 at 3.375% due 2025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4.25%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7.375%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€500 at 2.875%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€500 at 5.00% due 2028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€500 at 4.75% due 2029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U.S. dollar at 5.25% due 2030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dollar at 7.50% due 2096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2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indebtedness in various currencies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r>
      <w:tr>
        <w:trPr>
          <w:trHeight w:val="230"/>
        </w:trPr>
        <w:tc>
          <w:tcPr>
            <w:tcW w:w="2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4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long-term debt, less current maturities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(1) €520 and €533 at June 30, 2024 and December 31, 2023</w:t>
      </w:r>
    </w:p>
    <w:p>
      <w:pPr>
        <w:spacing w:after="0" w:line="27" w:lineRule="exact"/>
        <w:rPr>
          <w:sz w:val="20"/>
          <w:szCs w:val="20"/>
          <w:color w:val="auto"/>
        </w:rPr>
      </w:pPr>
    </w:p>
    <w:p>
      <w:pPr>
        <w:ind w:left="652" w:right="20"/>
        <w:spacing w:after="0" w:line="260" w:lineRule="auto"/>
        <w:rPr>
          <w:sz w:val="20"/>
          <w:szCs w:val="20"/>
          <w:color w:val="auto"/>
        </w:rPr>
      </w:pPr>
      <w:r>
        <w:rPr>
          <w:rFonts w:ascii="Times New Roman" w:cs="Times New Roman" w:eastAsia="Times New Roman" w:hAnsi="Times New Roman"/>
          <w:sz w:val="18"/>
          <w:szCs w:val="18"/>
          <w:color w:val="auto"/>
        </w:rPr>
        <w:t>The estimated fair value of the Company’s debt, using a market approach incorporating Level 2 inputs such as quoted market prices for the same or similar issues, was $7,405 at June 30, 2024 and $7,484 at December 31, 2023.</w:t>
      </w:r>
    </w:p>
    <w:p>
      <w:pPr>
        <w:spacing w:after="0" w:line="208"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The U.S. dollar term loan interest rate was SOFR plus 1.35% and the Euro term loan interest rate was EURIBOR plus 1.25% at June 30, 2024 and at December 31, 2023.</w:t>
      </w:r>
    </w:p>
    <w:p>
      <w:pPr>
        <w:sectPr>
          <w:pgSz w:w="11900" w:h="16838" w:orient="portrait"/>
          <w:cols w:equalWidth="0" w:num="1">
            <w:col w:w="11232"/>
          </w:cols>
          <w:pgMar w:left="328"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 w:hanging="392"/>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Benefits</w:t>
      </w:r>
    </w:p>
    <w:p>
      <w:pPr>
        <w:spacing w:after="0" w:line="25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and other postretirement benefits costs for the three and six months ended June 30, 2024 and 2023 were as follows:</w:t>
      </w:r>
    </w:p>
    <w:p>
      <w:pPr>
        <w:spacing w:after="0" w:line="8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9"/>
          </w:tcPr>
          <w:p>
            <w:pPr>
              <w:jc w:val="center"/>
              <w:ind w:right="6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center"/>
              <w:ind w:left="450"/>
              <w:spacing w:after="0"/>
              <w:rPr>
                <w:sz w:val="20"/>
                <w:szCs w:val="20"/>
                <w:color w:val="auto"/>
              </w:rPr>
            </w:pPr>
            <w:r>
              <w:rPr>
                <w:rFonts w:ascii="Times New Roman" w:cs="Times New Roman" w:eastAsia="Times New Roman" w:hAnsi="Times New Roman"/>
                <w:sz w:val="18"/>
                <w:szCs w:val="18"/>
                <w:color w:val="auto"/>
                <w:w w:val="99"/>
              </w:rPr>
              <w:t>June 30,</w:t>
            </w: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center"/>
              <w:ind w:left="45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U.S. plans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9"/>
          </w:tcPr>
          <w:p>
            <w:pPr>
              <w:jc w:val="center"/>
              <w:ind w:right="6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Pension benefits – Non-U.S. plans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Recognized net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 termination benefits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9"/>
          </w:tcPr>
          <w:p>
            <w:pPr>
              <w:jc w:val="center"/>
              <w:ind w:right="6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Other postretirement benefits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periodic cost</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components of net periodic cost other than the service cost component are included in other pension and postretirement in the Consolidated Statement of Operations.</w:t>
      </w:r>
    </w:p>
    <w:p>
      <w:pPr>
        <w:spacing w:after="0" w:line="18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July 2024, the Plan Administrator of the Company's Canadian defined benefit pension plan (the "Plan") entered into a transaction to insure a portion of its Canadian pension liabilities through the purchase of a bulk annuity insurance contract for the benefit of the Plan participants. Subsequent to the purchase of the bulk annuity contract, each of the Plan participants will be issued an individual annuity contract. The issuer of the individual annuity insurance contracts will be solely responsible for paying each participant's benefits in full. An irrevocable transfer of approximately $125 of the Plan's obligations occurred in July 2024. The Plan remains in an overfunded position after the transaction and the Company expects to record a settlement charge of approximately $60 in the third quarter of 2024.</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amounts reclassified from accumulated other comprehensive income.</w:t>
      </w:r>
    </w:p>
    <w:p>
      <w:pPr>
        <w:sectPr>
          <w:pgSz w:w="11900" w:h="16838" w:orient="portrait"/>
          <w:cols w:equalWidth="0" w:num="1">
            <w:col w:w="11240"/>
          </w:cols>
          <w:pgMar w:left="320" w:top="117" w:right="339" w:bottom="1440" w:gutter="0" w:footer="0" w:header="0"/>
        </w:sectPr>
      </w:pP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9"/>
                <w:szCs w:val="19"/>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2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Details about accumulated other</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9"/>
              </w:rPr>
              <w:t>June 30,</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w w:val="99"/>
              </w:rPr>
              <w:t>June 30,</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5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comprehensive income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components</w:t>
            </w:r>
          </w:p>
        </w:tc>
        <w:tc>
          <w:tcPr>
            <w:tcW w:w="160" w:type="dxa"/>
            <w:vAlign w:val="bottom"/>
          </w:tcPr>
          <w:p>
            <w:pPr>
              <w:spacing w:after="0"/>
              <w:rPr>
                <w:sz w:val="21"/>
                <w:szCs w:val="21"/>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94"/>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reclassified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-333375</wp:posOffset>
            </wp:positionV>
            <wp:extent cx="609473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4730" cy="1460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-753745</wp:posOffset>
            </wp:positionV>
            <wp:extent cx="609473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47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Affected line items in the statement of</w:t>
      </w:r>
    </w:p>
    <w:p>
      <w:pPr>
        <w:jc w:val="center"/>
        <w:ind w:right="1000"/>
        <w:spacing w:after="0"/>
        <w:rPr>
          <w:sz w:val="20"/>
          <w:szCs w:val="20"/>
          <w:color w:val="auto"/>
        </w:rPr>
      </w:pPr>
      <w:r>
        <w:rPr>
          <w:rFonts w:ascii="Times New Roman" w:cs="Times New Roman" w:eastAsia="Times New Roman" w:hAnsi="Times New Roman"/>
          <w:sz w:val="18"/>
          <w:szCs w:val="18"/>
          <w:color w:val="auto"/>
        </w:rPr>
        <w:t>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pension and postretirement</w:t>
      </w:r>
    </w:p>
    <w:p>
      <w:pPr>
        <w:spacing w:after="0" w:line="27" w:lineRule="exact"/>
        <w:rPr>
          <w:sz w:val="20"/>
          <w:szCs w:val="20"/>
          <w:color w:val="auto"/>
        </w:rPr>
      </w:pPr>
    </w:p>
    <w:p>
      <w:pPr>
        <w:ind w:right="1140"/>
        <w:spacing w:after="0" w:line="234" w:lineRule="auto"/>
        <w:rPr>
          <w:sz w:val="20"/>
          <w:szCs w:val="20"/>
          <w:color w:val="auto"/>
        </w:rPr>
      </w:pPr>
      <w:r>
        <w:rPr>
          <w:rFonts w:ascii="Times New Roman" w:cs="Times New Roman" w:eastAsia="Times New Roman" w:hAnsi="Times New Roman"/>
          <w:sz w:val="18"/>
          <w:szCs w:val="18"/>
          <w:color w:val="auto"/>
        </w:rPr>
        <w:t>Income before taxes and equity in net earnings of affiliates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54" w:lineRule="exact"/>
        <w:rPr>
          <w:sz w:val="20"/>
          <w:szCs w:val="20"/>
          <w:color w:val="auto"/>
        </w:rPr>
      </w:pPr>
    </w:p>
    <w:p>
      <w:pPr>
        <w:sectPr>
          <w:pgSz w:w="11900" w:h="16838" w:orient="portrait"/>
          <w:cols w:equalWidth="0" w:num="2">
            <w:col w:w="7240" w:space="140"/>
            <w:col w:w="3860"/>
          </w:cols>
          <w:pgMar w:left="320" w:top="117" w:right="339" w:bottom="1440" w:gutter="0" w:footer="0" w:header="0"/>
          <w:type w:val="continuous"/>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Capital Stock</w:t>
      </w:r>
    </w:p>
    <w:p>
      <w:pPr>
        <w:spacing w:after="0" w:line="25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July 25, 2024, the Company's Board of Directors authorized the repurchase of an aggregate amount of $2,000 of the Company's common stock through the end of 2027. The new authorization supersedes the previous authorization announced in December 2021, which authorized the repurchase of an aggregate amount of $3,000 of Company common stock through the end of 2024. As of June 30, 2024, the Company had remaining Board authorization to repurchase $2,300 of the Company's common stock under the December 2021 program.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w:t>
      </w:r>
    </w:p>
    <w:p>
      <w:pPr>
        <w:spacing w:after="0" w:line="21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the three months and six months ended June 30, 2024 and 2023, the Company declared and paid cash dividends of $0.25 per share and $0.50 per share and $0.24 per share and $0.48 per share, respectively. Additionally, on July 25, 2024, the Company's Board of Directors declared a dividend of $0.25 per share payable on August 29, 2024 to shareholders of record as of August 15, 2024.</w:t>
      </w:r>
    </w:p>
    <w:p>
      <w:pPr>
        <w:spacing w:after="0" w:line="200" w:lineRule="exact"/>
        <w:rPr>
          <w:sz w:val="20"/>
          <w:szCs w:val="20"/>
          <w:color w:val="auto"/>
        </w:rPr>
      </w:pPr>
    </w:p>
    <w:p>
      <w:pPr>
        <w:spacing w:after="0" w:line="242"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Accumulated Other Comprehensive Loss Attributable to Crown Holdings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the changes in each component of accumulated other comprehensive income/(loss).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Defined</w:t>
            </w:r>
          </w:p>
        </w:tc>
        <w:tc>
          <w:tcPr>
            <w:tcW w:w="140" w:type="dxa"/>
            <w:vAlign w:val="bottom"/>
          </w:tcPr>
          <w:p>
            <w:pPr>
              <w:spacing w:after="0"/>
              <w:rPr>
                <w:sz w:val="17"/>
                <w:szCs w:val="17"/>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Foreign</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Gains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color w:val="auto"/>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benefit</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currency</w:t>
            </w:r>
          </w:p>
        </w:tc>
        <w:tc>
          <w:tcPr>
            <w:tcW w:w="140" w:type="dxa"/>
            <w:vAlign w:val="bottom"/>
          </w:tcPr>
          <w:p>
            <w:pPr>
              <w:spacing w:after="0"/>
              <w:rPr>
                <w:sz w:val="16"/>
                <w:szCs w:val="16"/>
                <w:color w:val="auto"/>
              </w:rPr>
            </w:pPr>
          </w:p>
        </w:tc>
        <w:tc>
          <w:tcPr>
            <w:tcW w:w="112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cash flow</w:t>
            </w:r>
          </w:p>
        </w:tc>
        <w:tc>
          <w:tcPr>
            <w:tcW w:w="200" w:type="dxa"/>
            <w:vAlign w:val="bottom"/>
          </w:tcPr>
          <w:p>
            <w:pPr>
              <w:spacing w:after="0"/>
              <w:rPr>
                <w:sz w:val="16"/>
                <w:szCs w:val="16"/>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(686)</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 before reclassifications</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M</w:t>
      </w:r>
      <w:r>
        <w:rPr>
          <w:rFonts w:ascii="Times New Roman" w:cs="Times New Roman" w:eastAsia="Times New Roman" w:hAnsi="Times New Roman"/>
          <w:sz w:val="18"/>
          <w:szCs w:val="18"/>
          <w:color w:val="auto"/>
        </w:rPr>
        <w:t xml:space="preserve"> for further details of amounts related to cash flow hedges and defined benefit plans.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   Revenue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80"/>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recognized revenue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27"/>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4"/>
                <w:szCs w:val="24"/>
                <w:color w:val="auto"/>
              </w:rPr>
            </w:pPr>
          </w:p>
        </w:tc>
        <w:tc>
          <w:tcPr>
            <w:tcW w:w="2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R</w:t>
      </w:r>
      <w:r>
        <w:rPr>
          <w:rFonts w:ascii="Times New Roman" w:cs="Times New Roman" w:eastAsia="Times New Roman" w:hAnsi="Times New Roman"/>
          <w:sz w:val="18"/>
          <w:szCs w:val="18"/>
          <w:color w:val="auto"/>
        </w:rPr>
        <w:t xml:space="preserve"> for further disaggregation of the Company's revenue.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has applied the practical expedient to exclude disclosure of remaining performance obligations as its binding orders typically have a term of one year or less.</w:t>
      </w:r>
    </w:p>
    <w:p>
      <w:pPr>
        <w:spacing w:after="0" w:line="12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$9 and $8 as of June 30, 2024 and December 31, 2023, respectively, included in prepaid and other current assets. During the six months ended June 30, 2024, the Company satisfied performance obligations related to contract assets at December 31, 2023 and also recorded new contract assets primarily related to work in process for the equipment business.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Q.  Earnings Per Share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summarizes the computations of basic and diluted earnings per share attributable to the Company.</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21"/>
                <w:szCs w:val="21"/>
                <w:color w:val="auto"/>
              </w:rPr>
            </w:pPr>
          </w:p>
        </w:tc>
        <w:tc>
          <w:tcPr>
            <w:tcW w:w="21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Crown Holdings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Dilutive restricted stock</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and 2023, 0.18 million and 0.38 million and 0.04 million and 0.1 million contingently issuable common shares were excluded from the computation of diluted earnings per share because the effect would be anti-dilutive.</w:t>
      </w:r>
    </w:p>
    <w:p>
      <w:pPr>
        <w:spacing w:after="0" w:line="200" w:lineRule="exact"/>
        <w:rPr>
          <w:sz w:val="20"/>
          <w:szCs w:val="20"/>
          <w:color w:val="auto"/>
        </w:rPr>
      </w:pPr>
    </w:p>
    <w:p>
      <w:pPr>
        <w:spacing w:after="0" w:line="228"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restructuring and other and the impact of fair value adjustments related to inventory acquired in an acquisition. Segment income should not be considered in isolation or as a substitute for net income prepared in accordance with GAAP and may not be comparable to calculations of similarly titled measures by other companies.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operating segments.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External Sales</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8"/>
              </w:rPr>
              <w:t>External Sales</w:t>
            </w:r>
          </w:p>
        </w:tc>
      </w:tr>
      <w:tr>
        <w:trPr>
          <w:trHeight w:val="218"/>
        </w:trPr>
        <w:tc>
          <w:tcPr>
            <w:tcW w:w="4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4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6,083</w:t>
            </w:r>
          </w:p>
        </w:tc>
      </w:tr>
      <w:tr>
        <w:trPr>
          <w:trHeight w:val="21"/>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primary sources of revenue included in Other are the Company's food can, aerosol can, and closures businesses in North America, and beverage tooling and equipment operations in the U.S. and U.K.</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Intersegment Sales</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Intersegment Sales</w:t>
            </w:r>
          </w:p>
        </w:tc>
      </w:tr>
      <w:tr>
        <w:trPr>
          <w:trHeight w:val="218"/>
        </w:trPr>
        <w:tc>
          <w:tcPr>
            <w:tcW w:w="4640" w:type="dxa"/>
            <w:vAlign w:val="bottom"/>
          </w:tcPr>
          <w:p>
            <w:pPr>
              <w:spacing w:after="0"/>
              <w:rPr>
                <w:sz w:val="18"/>
                <w:szCs w:val="18"/>
                <w:color w:val="auto"/>
              </w:rPr>
            </w:pPr>
          </w:p>
        </w:tc>
        <w:tc>
          <w:tcPr>
            <w:tcW w:w="19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46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Intersegment sales primarily include sales of cans, ends and parts used in the manufacturing process.</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6"/>
        </w:trPr>
        <w:tc>
          <w:tcPr>
            <w:tcW w:w="4640" w:type="dxa"/>
            <w:vAlign w:val="bottom"/>
          </w:tcPr>
          <w:p>
            <w:pPr>
              <w:spacing w:after="0"/>
              <w:rPr>
                <w:sz w:val="22"/>
                <w:szCs w:val="22"/>
                <w:color w:val="auto"/>
              </w:rPr>
            </w:pPr>
          </w:p>
        </w:tc>
        <w:tc>
          <w:tcPr>
            <w:tcW w:w="1960" w:type="dxa"/>
            <w:vAlign w:val="bottom"/>
            <w:tcBorders>
              <w:bottom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color w:val="auto"/>
              </w:rPr>
              <w:t>Segment Income</w:t>
            </w:r>
          </w:p>
        </w:tc>
        <w:tc>
          <w:tcPr>
            <w:tcW w:w="3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color w:val="auto"/>
              </w:rPr>
              <w:t>Segment Income</w:t>
            </w:r>
          </w:p>
        </w:tc>
      </w:tr>
      <w:tr>
        <w:trPr>
          <w:trHeight w:val="218"/>
        </w:trPr>
        <w:tc>
          <w:tcPr>
            <w:tcW w:w="4640" w:type="dxa"/>
            <w:vAlign w:val="bottom"/>
          </w:tcPr>
          <w:p>
            <w:pPr>
              <w:spacing w:after="0"/>
              <w:rPr>
                <w:sz w:val="18"/>
                <w:szCs w:val="18"/>
                <w:color w:val="auto"/>
              </w:rPr>
            </w:pPr>
          </w:p>
        </w:tc>
        <w:tc>
          <w:tcPr>
            <w:tcW w:w="196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46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243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459</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407</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segment income of reportable segments to income before income taxes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9"/>
                <w:szCs w:val="19"/>
                <w:color w:val="auto"/>
              </w:rPr>
            </w:pPr>
          </w:p>
        </w:tc>
        <w:tc>
          <w:tcPr>
            <w:tcW w:w="22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of reportable segments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 of other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64"/>
        </w:trPr>
        <w:tc>
          <w:tcPr>
            <w:tcW w:w="49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Income from operations before taxes and equity in net earnings of</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2023, intercompany profits of $8 and $9 were eliminated within segment income of other.</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25" w:name="page26"/>
    <w:bookmarkEnd w:id="25"/>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95" w:lineRule="exact"/>
        <w:rPr>
          <w:sz w:val="20"/>
          <w:szCs w:val="20"/>
          <w:color w:val="auto"/>
        </w:rPr>
      </w:pPr>
    </w:p>
    <w:p>
      <w:pPr>
        <w:ind w:right="3520" w:hanging="17"/>
        <w:spacing w:after="0" w:line="286" w:lineRule="auto"/>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 xml:space="preserve"> </w:t>
      </w: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(dollars in millions)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56"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The following discussion presents management's analysis of the results of operations for the three and six months ended June 30, 2024 compared to 2023 and changes in financial condition and liquidity from December 31, 2023. This discussion should be read in conjunction with the consolidated financial statements and notes thereto included in the Company's Annual Report on Form 10-K for the year ended December 31, 2023, along with the consolidated financial statements and related notes included in and referred to within this report.</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u w:val="single" w:color="auto"/>
          <w:color w:val="auto"/>
        </w:rPr>
        <w:t>Business Strategy and Trends</w:t>
      </w:r>
    </w:p>
    <w:p>
      <w:pPr>
        <w:spacing w:after="0" w:line="243"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Company's strategy is to maximize long-term shareholder value by pursuing profitable growth opportunities while returning cash to shareholders through dividends and share repurchases.</w:t>
      </w:r>
    </w:p>
    <w:p>
      <w:pPr>
        <w:spacing w:after="0" w:line="189" w:lineRule="exact"/>
        <w:rPr>
          <w:sz w:val="20"/>
          <w:szCs w:val="20"/>
          <w:color w:val="auto"/>
        </w:rPr>
      </w:pPr>
    </w:p>
    <w:p>
      <w:pPr>
        <w:jc w:val="both"/>
        <w:ind w:left="480"/>
        <w:spacing w:after="0" w:line="238" w:lineRule="auto"/>
        <w:rPr>
          <w:sz w:val="20"/>
          <w:szCs w:val="20"/>
          <w:color w:val="auto"/>
        </w:rPr>
      </w:pPr>
      <w:r>
        <w:rPr>
          <w:rFonts w:ascii="Times New Roman" w:cs="Times New Roman" w:eastAsia="Times New Roman" w:hAnsi="Times New Roman"/>
          <w:sz w:val="18"/>
          <w:szCs w:val="18"/>
          <w:color w:val="auto"/>
        </w:rPr>
        <w:t>Global industry demand for beverage cans has been growing in recent years in North America, Brazil, Europe, and Southeast Asia. Growth has been driven by new product introductions in North America, customer and consumer focus on the sustainability benefits of aluminum, and population and GDP growth in many markets. To meet such demand, the Company made long-term investments of approximately $2,000 for new manufacturing facilities and additional production lines in existing facilities since 2021. In 2023, the impact of higher inflation and interest rates slowed growth in many markets. Based on current market conditions, the Company expects to have the ability to meet current and future demand growth with its current installed capital base and expects capital spending to be no more than $500 in 2024.</w:t>
      </w:r>
    </w:p>
    <w:p>
      <w:pPr>
        <w:spacing w:after="0" w:line="213" w:lineRule="exact"/>
        <w:rPr>
          <w:sz w:val="20"/>
          <w:szCs w:val="20"/>
          <w:color w:val="auto"/>
        </w:rPr>
      </w:pPr>
    </w:p>
    <w:p>
      <w:pPr>
        <w:jc w:val="both"/>
        <w:ind w:left="480"/>
        <w:spacing w:after="0" w:line="242" w:lineRule="auto"/>
        <w:rPr>
          <w:sz w:val="20"/>
          <w:szCs w:val="20"/>
          <w:color w:val="auto"/>
        </w:rPr>
      </w:pPr>
      <w:r>
        <w:rPr>
          <w:rFonts w:ascii="Times New Roman" w:cs="Times New Roman" w:eastAsia="Times New Roman" w:hAnsi="Times New Roman"/>
          <w:sz w:val="18"/>
          <w:szCs w:val="18"/>
          <w:color w:val="auto"/>
        </w:rPr>
        <w:t>The Company's strategy is anchored by strong cash flow generation and a healthy balance sheet with a long-term net leverage ratio target of 2.5x adjusted EBITDA (a non-GAAP measure). The Company believes it has the flexibility and resources to fund growth, repay debt and return excess cash flow to shareholders in the future. On July 25, 2024, the Company's Board of Directors authorized the repurchase of an aggregate amount of $2,000 of the Company's common stock through the end of 2027. The new authorization supersedes the previous authorization announced in December 2021, which authorized the repurchase of an aggregate amount of $3,000 of Company common stock through the end of 2024.</w:t>
      </w:r>
    </w:p>
    <w:p>
      <w:pPr>
        <w:spacing w:after="0" w:line="225" w:lineRule="exact"/>
        <w:rPr>
          <w:sz w:val="20"/>
          <w:szCs w:val="20"/>
          <w:color w:val="auto"/>
        </w:rPr>
      </w:pPr>
    </w:p>
    <w:p>
      <w:pPr>
        <w:jc w:val="both"/>
        <w:ind w:left="480"/>
        <w:spacing w:after="0" w:line="261" w:lineRule="auto"/>
        <w:rPr>
          <w:sz w:val="20"/>
          <w:szCs w:val="20"/>
          <w:color w:val="auto"/>
        </w:rPr>
      </w:pPr>
      <w:r>
        <w:rPr>
          <w:rFonts w:ascii="Times New Roman" w:cs="Times New Roman" w:eastAsia="Times New Roman" w:hAnsi="Times New Roman"/>
          <w:sz w:val="18"/>
          <w:szCs w:val="18"/>
          <w:color w:val="auto"/>
        </w:rPr>
        <w:t xml:space="preserve">The Company continues to actively elevate its commitment to sustainability, which is a core value of the Company. In 2020, the Company introduced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a robust program that outlines twenty measurable, science based, environmental, social and governance goals to be completed by 2030. In September 2021, the Company joined The Climate Pledge, a commitment to be net-zero carbon across business operations by 2040.</w:t>
      </w:r>
    </w:p>
    <w:p>
      <w:pPr>
        <w:spacing w:after="0" w:line="207" w:lineRule="exact"/>
        <w:rPr>
          <w:sz w:val="20"/>
          <w:szCs w:val="20"/>
          <w:color w:val="auto"/>
        </w:rPr>
      </w:pPr>
    </w:p>
    <w:p>
      <w:pPr>
        <w:jc w:val="both"/>
        <w:ind w:left="480"/>
        <w:spacing w:after="0" w:line="282" w:lineRule="auto"/>
        <w:rPr>
          <w:sz w:val="20"/>
          <w:szCs w:val="20"/>
          <w:color w:val="auto"/>
        </w:rPr>
      </w:pPr>
      <w:r>
        <w:rPr>
          <w:rFonts w:ascii="Times New Roman" w:cs="Times New Roman" w:eastAsia="Times New Roman" w:hAnsi="Times New Roman"/>
          <w:sz w:val="18"/>
          <w:szCs w:val="18"/>
          <w:color w:val="auto"/>
        </w:rPr>
        <w:t>To date the war between Russia and Ukraine and the conflicts in the Middle East have not had a direct material impact on the Company's business, financial condition, or results of operations.</w:t>
      </w:r>
    </w:p>
    <w:p>
      <w:pPr>
        <w:spacing w:after="0" w:line="189" w:lineRule="exact"/>
        <w:rPr>
          <w:sz w:val="20"/>
          <w:szCs w:val="20"/>
          <w:color w:val="auto"/>
        </w:rPr>
      </w:pPr>
    </w:p>
    <w:p>
      <w:pPr>
        <w:jc w:val="both"/>
        <w:ind w:left="480"/>
        <w:spacing w:after="0" w:line="255" w:lineRule="auto"/>
        <w:rPr>
          <w:sz w:val="20"/>
          <w:szCs w:val="20"/>
          <w:color w:val="auto"/>
        </w:rPr>
      </w:pPr>
      <w:r>
        <w:rPr>
          <w:rFonts w:ascii="Times New Roman" w:cs="Times New Roman" w:eastAsia="Times New Roman" w:hAnsi="Times New Roman"/>
          <w:sz w:val="18"/>
          <w:szCs w:val="18"/>
          <w:color w:val="auto"/>
        </w:rPr>
        <w:t>The Company continues to actively manage the challenges of supply chain disruptions, foreign exchange, interest rate fluctuations, and inflationary pressures, including increasing costs for raw materials, energy and transportation.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indices. The Company also uses commodity forward contracts to manage its exposure to raw material costs. The ability to mitigate inflationary risks through these measures varies by region and the impact on the results of the Company’s segments is discussed, as applicable, in the heading "Results of Operations" below.</w:t>
      </w:r>
    </w:p>
    <w:p>
      <w:pPr>
        <w:spacing w:after="0" w:line="2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p>
      <w:pPr>
        <w:jc w:val="both"/>
        <w:ind w:left="480"/>
        <w:spacing w:after="0" w:line="266" w:lineRule="auto"/>
        <w:rPr>
          <w:sz w:val="20"/>
          <w:szCs w:val="20"/>
          <w:color w:val="auto"/>
        </w:rPr>
      </w:pPr>
      <w:r>
        <w:rPr>
          <w:rFonts w:ascii="Times New Roman" w:cs="Times New Roman" w:eastAsia="Times New Roman" w:hAnsi="Times New Roman"/>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7" w:right="339" w:bottom="1440" w:gutter="0" w:footer="0" w:header="0"/>
        </w:sectPr>
      </w:pPr>
    </w:p>
    <w:bookmarkStart w:id="26" w:name="page27"/>
    <w:bookmarkEnd w:id="26"/>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impacts referred to in the discussion below were primarily due to changes in the Mexican peso in the Company's Americas Beverage segment and the Thai baht in the Company's Asia Pacific segment. The Company's Transit Packaging segment is a global business and the foreign currency translation impacts referred to in the discussion below are primarily related to the Indian rupee and the Mexican peso.</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calculates the impact of foreign currency translation by dividing current year U.S. dollar results by the current year average foreign exchange rates and then multiplying those amounts by the applicable prior year average exchange rates.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Sales and Segment Income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2"/>
        </w:trPr>
        <w:tc>
          <w:tcPr>
            <w:tcW w:w="2360" w:type="dxa"/>
            <w:vAlign w:val="bottom"/>
            <w:tcBorders>
              <w:top w:val="single" w:sz="8" w:color="auto"/>
            </w:tcBorders>
          </w:tcPr>
          <w:p>
            <w:pPr>
              <w:spacing w:after="0"/>
              <w:rPr>
                <w:sz w:val="23"/>
                <w:szCs w:val="23"/>
                <w:color w:val="auto"/>
              </w:rPr>
            </w:pPr>
          </w:p>
        </w:tc>
        <w:tc>
          <w:tcPr>
            <w:tcW w:w="2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8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3"/>
                <w:szCs w:val="23"/>
                <w:color w:val="auto"/>
              </w:rPr>
            </w:pPr>
          </w:p>
        </w:tc>
        <w:tc>
          <w:tcPr>
            <w:tcW w:w="20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2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23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2024 compared to 2023</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decreased primarily due to $94 from the pass-through of lower aluminum, steel and other commodity costs, lower overall volumes in Asia Pacific, Transit Packaging and Other segments and unfavorable foreign currency translation of $13, partially offset by higher beverage can shipments in the Americas and European Beverage segments.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2024 compared to 2023</w:t>
      </w:r>
    </w:p>
    <w:p>
      <w:pPr>
        <w:spacing w:after="0" w:line="25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Net sales decreased primarily due to $224 from the pass-through of lower aluminum, steel and other commodity costs and lower overall volumes in Asia Pacific, Transit Packaging and Other segments, partially offset by higher beverage can shipments in the Americas and European Beverage segments.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Beverage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and Canadian beverage can markets have experienced growth in recent years due to the introduction of new beverage products in cans versus other packaging formats. In Brazil and Mexico, the Company's volumes have increased in recent years primarily due to market growth driven by increased per capita incomes and consumption, combined with an increased preference for cans over other forms of beverage packing.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meet volume requirements in these markets, the Company added a new greenfield facility in Mesquite, Nevada in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9"/>
                <w:szCs w:val="19"/>
                <w:color w:val="auto"/>
              </w:rPr>
            </w:pPr>
          </w:p>
        </w:tc>
        <w:tc>
          <w:tcPr>
            <w:tcW w:w="21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2024 compared to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increased primarily due to 10% higher shipments, partially offset by $29 pass-through of lower aluminum costs.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increased due to higher shipments and lower start-up costs compared to 2023.</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7" w:name="page28"/>
    <w:bookmarkEnd w:id="27"/>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2024 compared to 2023</w:t>
      </w:r>
    </w:p>
    <w:p>
      <w:pPr>
        <w:spacing w:after="0" w:line="2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Net sales decreased due to the pass-through of $87 in lower aluminum costs, partially offset by 7% higher shipments and favorable foreign currency translation of $6.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income increased due to higher shipments and lower start-up costs compared to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Beverage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a market shift to cans versus other packaging formats. To meet volume requirements, in 2023 the Company added additional line capacity in Agoncillo, Spain, a new greenfield facility in Peterborough, U.K. and acquired Helvetia Packaging AG, a beverage can and end manufacturing facility in Saarlouis, Germany.</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the Company recast its segment reporting to reclassify European corporate costs that were previously included in Corporate and other unallocated items in the European Beverage segment. Prior periods were recast to conform to the new presentation.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9"/>
                <w:szCs w:val="19"/>
                <w:color w:val="auto"/>
              </w:rPr>
            </w:pPr>
          </w:p>
        </w:tc>
        <w:tc>
          <w:tcPr>
            <w:tcW w:w="206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4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and six months ended June 30, 2024 compared to 2023</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compared to 2023, net sales increased due to higher shipments of 7% and 6%, partially offset by $15 and $31 pass-through of lower aluminum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improved due to higher shipments, improved cost performance, including savings realized as part of prior year restructuring actions and lower start-up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Asia Pacific</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Asia Pacific segment consists of beverage can operations in Cambodia, China, Indonesia, Malaysia, Myanmar, Thailand and Vietnam and non-beverage can operations, primarily food cans and specialty packaging. Historically, growth in the beverage can market in Southeast Asia has been driven by increased per capita incomes and consumption, combined with an increased preference for cans over other forms of beverage packaging.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volume softness was noted across each country in the Asia Pacific segment as the region continued to struggle with the effects of higher inflation and interest rates. In the fourth quarter of 2023, the Company announced the closure of its beverage can facilities in Ho Chi Minh City, Vietnam and Singapore with capacity relocated to the Company's Vung Tau, Vietnam facility.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2022, the Company's Yangon, Myanmar beverage can plant was temporarily idled due to currency restrictions, which resulted in the inability to source U.S. dollars required to procure U.S. dollar raw materials. The Company began production on a limited basis in 2023 and had net sales of $4 for the six months ended June 30, 2024. Property, plant and equipment in Myanmar as of June 30, 2024 was $50, including $24 of land and buildings and $26 of machinery and equipment. The Company will continue to monitor the economic conditions and the impact to its business in Myanmar, including any alternative uses for its machinery and equipment.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Asia Pacific segment were as follows:</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322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805"/>
        </w:trPr>
        <w:tc>
          <w:tcPr>
            <w:tcW w:w="2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0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2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268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9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4"/>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2024 compared to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decreased primarily due to 5% lower shipments, the pass-through of $17 lower aluminum costs and unfavorable foreign currency of $6.</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improved matching of aluminum pass-through provisions as a result of lower inventory in 2024, favorable customer mix and cost savings realized as part of prior year restructuring 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2024 compared to 2023</w:t>
      </w:r>
    </w:p>
    <w:p>
      <w:pPr>
        <w:spacing w:after="0" w:line="2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6% lower shipments, the pass-through of $36 lower aluminum costs and unfavorable foreign currency of $12.</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Segment income increased primarily due to improved matching of aluminum pass-through provisions as a result of lower inventory in 2024, favorable customer mix and cost savings realized as part of prior year restructuring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 Packaging</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Transit Packaging segment includes the Company's worldwide automation and equipment technologies, protective packaging solutions and steel and plastic consumables Automation and equipment technologies include manual, semi-automatic and automatic equipment and tools, which are primarily used in end-of-line operations to apply and remove consumables such as strap and film. Protective solutions include standard and purpose designed products, such as airbags, edge protectors, and honeycomb products, among others, that help prevent movement of, and/or damage to, a wide range of industrial and consumer goods during transport. Steel and plastic consumables include steel strap, plastic strap, industrial film and other related products that are used across a wide range of industries.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and segment income in the Transit Packaging segment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960" w:type="dxa"/>
            <w:vAlign w:val="bottom"/>
            <w:gridSpan w:val="4"/>
          </w:tcPr>
          <w:p>
            <w:pPr>
              <w:jc w:val="center"/>
              <w:ind w:lef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46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June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550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597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2024 compared to 2023</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the pass-through of $20 lower material costs, $21 lower volumes, mainly in protective packaging solutions and steel and plastic consumables, and unfavorable foreign currency translation of $5.</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$15 lower volumes, mainly in protective packaging solutions and steel and plastic consumables, and lower material margins, partially offset by improved cost performance.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2024 compared to 2023</w:t>
      </w:r>
    </w:p>
    <w:p>
      <w:pPr>
        <w:spacing w:after="0" w:line="2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sales decreased primarily due to the pass-through of $44 lower material costs, $39 lower volumes, mainly in protective packaging solutions and steel and plastic consumables, and unfavorable foreign currency translation of $4.</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Segment income decreased primarily due to $23 lower volumes, mainly in protective packaging solutions and steel and plastic consumables, and lower material margins, partially offset by improved cost performance.</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29" w:name="page30"/>
    <w:bookmarkEnd w:id="29"/>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includes the Company's food can, aerosol can and closures businesses in North America, and beverage tooling and equipment operations in the U.S. and U.K. The Company added a pet food can line to its Dubuque, Iowa plant in the first half of 2024.</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2023, the Company right-sized the beverage can equipment operations in the U.K. to reflect the expected significant reduction in orders from global beverage can manufacturers. Additionally, in the fourth quarter of 2023, the Company announced the closure of its Decatur, IL aerosol can plant in response to lower aerosol can demand.</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Additionally, during the second quarter of 2024, the Company closed its food can plant in La Villa, Mexico and entered into an agreement to sell equipment for $30 to be paid in three annual installments. The first $10 installment was received during the quarter. The Company expects to recognize a gain of approximately $20 in the third quarter of 2024, when control of the equipment transfers.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sales and segment income in Other were as follows:</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95"/>
        </w:trPr>
        <w:tc>
          <w:tcPr>
            <w:tcW w:w="4580" w:type="dxa"/>
            <w:vAlign w:val="bottom"/>
          </w:tcPr>
          <w:p>
            <w:pPr>
              <w:spacing w:after="0"/>
              <w:rPr>
                <w:sz w:val="24"/>
                <w:szCs w:val="24"/>
                <w:color w:val="auto"/>
              </w:rPr>
            </w:pPr>
          </w:p>
        </w:tc>
        <w:tc>
          <w:tcPr>
            <w:tcW w:w="20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45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70"/>
              <w:spacing w:after="0"/>
              <w:rPr>
                <w:sz w:val="20"/>
                <w:szCs w:val="20"/>
                <w:color w:val="auto"/>
              </w:rPr>
            </w:pPr>
            <w:r>
              <w:rPr>
                <w:rFonts w:ascii="Times New Roman" w:cs="Times New Roman" w:eastAsia="Times New Roman" w:hAnsi="Times New Roman"/>
                <w:sz w:val="18"/>
                <w:szCs w:val="18"/>
                <w:color w:val="auto"/>
                <w:w w:val="99"/>
              </w:rPr>
              <w:t>June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315</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June 30, 2024 compared to 2023</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and segment income decreased primarily due to lower volumes in the food can, aerosol can and equipment businesses. Net sales were also negatively impacted by $12 due to the pass-through of lower steel costs and segment income was negatively impacted by the timing of the pass-through of steel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Six months ended June 30, 2024 compared to 2023</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and segment income decreased primarily due to lower volumes in the food can, aerosol can and equipment businesses. Net sales were also negatively impacted by $23 due to the pass-through of lower steel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unallocated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items include corporate and administrative costs, research and development, and unallocated items such as stock-based compensation and insurance costs.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9"/>
                <w:szCs w:val="19"/>
                <w:color w:val="auto"/>
              </w:rPr>
            </w:pPr>
          </w:p>
        </w:tc>
        <w:tc>
          <w:tcPr>
            <w:tcW w:w="204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4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June 30,</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unallocated expenses increased for the three and six months ended June 30, 2024 compared to 2023, primarily due to higher incentive compensation, including stock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Depreciation and Amortization</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periodically reviews the useful lives of property, plant and equipment. Based on the Company’s experience with the duration over which equipment and buildings of its aluminum beverage can business can be utilized, the Company engaged a third-party appraiser to assist in this review and, as a result, increased the estimated useful lives of buildings up to 50 years and machinery and equipment up to 23 years effective January 1, 2024. The change in accounting estimate will be applied on a prospective basis. The change in useful lives resulted in a net reduction in depreciation expense of $16 and $32 for the three and six months ended June 30, 2024, respectively, as compared to the amount of depreciation expense that would have been recorded by utilizing the prior depreciable lives.</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30" w:name="page31"/>
    <w:bookmarkEnd w:id="30"/>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other,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restructuring and other net charges of $17 and $40, respectively, primarily included business reorganization activities in the Company's European Beverage and Other segments. The Company continues to review its costs structure and may record additional restructuring charges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Taxes on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income tax rates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19"/>
                <w:szCs w:val="19"/>
                <w:color w:val="auto"/>
              </w:rPr>
            </w:pPr>
          </w:p>
        </w:tc>
        <w:tc>
          <w:tcPr>
            <w:tcW w:w="226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4"/>
        </w:trPr>
        <w:tc>
          <w:tcPr>
            <w:tcW w:w="4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w:t>
            </w:r>
          </w:p>
        </w:tc>
        <w:tc>
          <w:tcPr>
            <w:tcW w:w="860" w:type="dxa"/>
            <w:vAlign w:val="bottom"/>
            <w:tcBorders>
              <w:bottom w:val="single" w:sz="8" w:color="auto"/>
            </w:tcBorders>
          </w:tcPr>
          <w:p>
            <w:pPr>
              <w:spacing w:after="0"/>
              <w:rPr>
                <w:sz w:val="20"/>
                <w:szCs w:val="20"/>
                <w:color w:val="auto"/>
              </w:rPr>
            </w:pPr>
          </w:p>
        </w:tc>
      </w:tr>
      <w:tr>
        <w:trPr>
          <w:trHeight w:val="223"/>
        </w:trPr>
        <w:tc>
          <w:tcPr>
            <w:tcW w:w="4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155"/>
        </w:trPr>
        <w:tc>
          <w:tcPr>
            <w:tcW w:w="41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Income before taxes and equity in net earnings of</w:t>
            </w: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decrease in the effective tax rate for the three and six months ended June 30, 2024 compared to 2023, was primarily due a benefit of $16 taken in 2024 related to the release of a valuation allowance resulting from improved profitability in a European subsidiary, offset by an increase in earnings in higher-tax jurisdictions.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2024, various jurisdictions in which the Company operates have enacted the Pillar II directive which establishes a global minimum corporate tax rate of 15% initiated by the Organisation for Economic Co-operation and Development. The Company does not expect Pillar II to have a material impact on its financial results, including its annual estimated effective tax rate or liquidity for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compared to 2023, net income from noncontrolling interests increased from $30 to $33 and $50 to $59 primarily due to higher earnings in the Company's beverage can operations in Brazil.</w:t>
      </w:r>
    </w:p>
    <w:p>
      <w:pPr>
        <w:spacing w:after="0" w:line="18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increased from $293 for the six months ended June 30, 2023 to $343 for the six months ended June 30, 2024, primarily due to working capital improvements, partially offset by lower distributions from equity method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sales outstanding for trade receivables, excluding the impact of unbilled receivables, was 34 days as of June 30, 2023 and June 30, 2024.</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turnover decreased from 70 days at June 30, 2023 to 60 days at June 30, 2024, primarily due to efforts to reduce inventory levels across most businesses.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Days outstanding for trade payables increased from 81 days at June 30, 2023 to 87 days at June 30, 2024 primarily due to lower purchases in 2023 as a result of prior year inventory builds.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for investing activities decreased from $378 for the six months ended June 30, 2023 to $143 for the six months ended June 30, 2024, primarily due to lower capital expenditures. Additionally, the six months ended June 30, 2023 included a distribution from an equity method investment of $56.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capital expenditures in 2024 to be no more than $500.</w:t>
      </w:r>
    </w:p>
    <w:p>
      <w:pPr>
        <w:sectPr>
          <w:pgSz w:w="11900" w:h="16838" w:orient="portrait"/>
          <w:cols w:equalWidth="0" w:num="1">
            <w:col w:w="10580"/>
          </w:cols>
          <w:pgMar w:left="98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type w:val="continuous"/>
        </w:sectPr>
      </w:pPr>
    </w:p>
    <w:bookmarkStart w:id="31" w:name="page32"/>
    <w:bookmarkEnd w:id="31"/>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provided cash of $101 for the six months ended June 30, 2023 and used cash of $70 for the six months ended June 30, 2024. In May 2023, the Company issued €500 principal amount of 5.0% senior unsecured notes due 2028 and used a portion of the proceeds to pay down the senior secured credit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$836 of the Company's $1,414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 equivalents located outside the U.S., $505 was held by subsidiaries for which earnings are considered indefinitely reinvested.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revolving credit agreements provide capacity of $1,650 and as of June 30, 2024, the Company had available capacity of $1,613.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could have borrowed this amount at June 30, 2024 and still have been in compliance with its leverage ratio covenants.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3.1 to 1.0 at June 30, 2024 was in compliance with the covenant requiring a ratio no greater than 4.5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leverage and future interest payments, the Company may from time to time repurchase outstanding notes and debentures with cash or seek to refinance its existing credit facilities and other indebtedness. The Company will evaluate any such transactions in light of any required premiums and then existing market conditions and may determine not to pursue such transactions.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current sources of liquidity also include a securitization facility with a program limit up to a maximum of $800 that expires in July 2025 and securitization facilities with program limits of $230 and $160 that expire in November 2025.</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utilizes its cash flows from operations, borrowings under its revolving credit facilities and the acceleration of cash receipts under its receivables securitization and factoring programs to primarily fund its operations, capital expenditures and financing obligations.</w:t>
      </w:r>
    </w:p>
    <w:p>
      <w:pPr>
        <w:spacing w:after="0" w:line="19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Long-term debt payments due in the next twelve months include the Company's €600 ($643) 2.625% senior notes in September 2024 and its €600 ($643) 3.375% senior notes in May 2025. The Company expects to have sufficient liquidity to refinance the senior notes or repay them at maturity.</w:t>
      </w:r>
    </w:p>
    <w:p>
      <w:pPr>
        <w:spacing w:after="0" w:line="1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July 2024, the Company purchased an annuity insurance contract using plan assets to settle approximately $125 of its Canadian defined benefit pension plan obligation. The plan remains in an overfunded position after the transaction and the Company expects to record a settlement charge of approximately $60 in the third quarter of 2024 related to the partial settlement of the Canadian pension plan. Based on market conditions and interest rates, the Company may continue to consider various opportunistic strategies to manage its remaining pension obligations, including its U.S.</w:t>
      </w:r>
    </w:p>
    <w:p>
      <w:pPr>
        <w:spacing w:after="0" w:line="200" w:lineRule="exact"/>
        <w:rPr>
          <w:sz w:val="20"/>
          <w:szCs w:val="20"/>
          <w:color w:val="auto"/>
        </w:rPr>
      </w:pPr>
    </w:p>
    <w:p>
      <w:pPr>
        <w:spacing w:after="0" w:line="3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32" w:name="page33"/>
    <w:bookmarkEnd w:id="32"/>
    <w:p>
      <w:pPr>
        <w:ind w:left="414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pension obligation, through lump sum payments and the purchase of annuity insurance contracts which may require additional pension contributions and the use of plan assets. These strategies could be significant and result in the Company making cash contributions to the plan or recording pension settlement charges to accelerate the timing of recognition of actuarial losses recorded in accumulated other comprehensive income. As of June 30, 2024, the Company had $661 of net losses related to pension benefit obligations recorded in accumulated other comprehensive income.</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June 2024, KPS Capital Partners announced the sale of Eviosys. The Company's approximately 20% stake in Eviosys is included as part of the agreement. The closing of the transaction is anticipated by the end of 2024 and the Company expects proceeds of approximately $300, net of tax. The carrying value of the Company's investment in Eviosys was $53 as of June 30,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approximately $111 of capital commitments primarily related to Americas Beverage and European Beverage. The Company expects to fund these commitments primarily through cash flows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2023, which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V, Crown Americas Capital Corp. VI, the Parent, and substantially all of the Company’s subsidiaries in the United States.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Crown Cork Obligor Group</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72"/>
        </w:trPr>
        <w:tc>
          <w:tcPr>
            <w:tcW w:w="2000" w:type="dxa"/>
            <w:vAlign w:val="bottom"/>
            <w:tcBorders>
              <w:top w:val="single" w:sz="8" w:color="auto"/>
            </w:tcBorders>
          </w:tcPr>
          <w:p>
            <w:pPr>
              <w:spacing w:after="0"/>
              <w:rPr>
                <w:sz w:val="23"/>
                <w:szCs w:val="23"/>
                <w:color w:val="auto"/>
              </w:rPr>
            </w:pPr>
          </w:p>
        </w:tc>
        <w:tc>
          <w:tcPr>
            <w:tcW w:w="2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2000" w:type="dxa"/>
            <w:vAlign w:val="bottom"/>
            <w:tcBorders>
              <w:bottom w:val="single" w:sz="8" w:color="CCEEFF"/>
            </w:tcBorders>
          </w:tcPr>
          <w:p>
            <w:pPr>
              <w:spacing w:after="0"/>
              <w:rPr>
                <w:sz w:val="20"/>
                <w:szCs w:val="20"/>
                <w:color w:val="auto"/>
              </w:rPr>
            </w:pPr>
          </w:p>
        </w:tc>
        <w:tc>
          <w:tcPr>
            <w:tcW w:w="24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June 30, 2024</w:t>
            </w:r>
          </w:p>
        </w:tc>
      </w:tr>
      <w:tr>
        <w:trPr>
          <w:trHeight w:val="223"/>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44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$28 of expense related to intercompany interest with non-guarantor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33" w:name="page34"/>
    <w:bookmarkEnd w:id="33"/>
    <w:tbl>
      <w:tblPr>
        <w:tblLayout w:type="fixed"/>
        <w:tblInd w:w="4"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Crown Holdings, Inc.</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810"/>
        </w:trPr>
        <w:tc>
          <w:tcPr>
            <w:tcW w:w="2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4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0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188"/>
        </w:trPr>
        <w:tc>
          <w:tcPr>
            <w:tcW w:w="87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(1) Includes payables of $5,548 and $5,514 due to non-guarantor subsidiaries as of June 30, 2024 and December 31, 2023</w:t>
            </w:r>
          </w:p>
        </w:tc>
      </w:tr>
      <w:tr>
        <w:trPr>
          <w:trHeight w:val="415"/>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Crown Americas Obligor Group</w:t>
            </w: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15"/>
        </w:trPr>
        <w:tc>
          <w:tcPr>
            <w:tcW w:w="232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4"/>
        </w:trPr>
        <w:tc>
          <w:tcPr>
            <w:tcW w:w="23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June 30, 2024</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40" w:type="dxa"/>
            <w:vAlign w:val="bottom"/>
          </w:tcPr>
          <w:p>
            <w:pPr>
              <w:spacing w:after="0"/>
              <w:rPr>
                <w:sz w:val="20"/>
                <w:szCs w:val="20"/>
                <w:color w:val="auto"/>
              </w:rPr>
            </w:pPr>
          </w:p>
        </w:tc>
      </w:tr>
      <w:tr>
        <w:trPr>
          <w:trHeight w:val="223"/>
        </w:trPr>
        <w:tc>
          <w:tcPr>
            <w:tcW w:w="414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sales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2,394</w:t>
            </w:r>
          </w:p>
        </w:tc>
        <w:tc>
          <w:tcPr>
            <w:tcW w:w="1840" w:type="dxa"/>
            <w:vAlign w:val="bottom"/>
          </w:tcPr>
          <w:p>
            <w:pPr>
              <w:spacing w:after="0"/>
              <w:rPr>
                <w:sz w:val="19"/>
                <w:szCs w:val="19"/>
                <w:color w:val="auto"/>
              </w:rPr>
            </w:pPr>
          </w:p>
        </w:tc>
      </w:tr>
      <w:tr>
        <w:trPr>
          <w:trHeight w:val="229"/>
        </w:trPr>
        <w:tc>
          <w:tcPr>
            <w:tcW w:w="4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40" w:type="dxa"/>
            <w:vAlign w:val="bottom"/>
          </w:tcPr>
          <w:p>
            <w:pPr>
              <w:spacing w:after="0"/>
              <w:rPr>
                <w:sz w:val="19"/>
                <w:szCs w:val="19"/>
                <w:color w:val="auto"/>
              </w:rPr>
            </w:pPr>
          </w:p>
        </w:tc>
      </w:tr>
      <w:tr>
        <w:trPr>
          <w:trHeight w:val="230"/>
        </w:trPr>
        <w:tc>
          <w:tcPr>
            <w:tcW w:w="4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3"/>
                <w:szCs w:val="23"/>
                <w:color w:val="auto"/>
                <w:vertAlign w:val="superscript"/>
              </w:rPr>
              <w:t>2</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40" w:type="dxa"/>
            <w:vAlign w:val="bottom"/>
          </w:tcPr>
          <w:p>
            <w:pPr>
              <w:spacing w:after="0"/>
              <w:rPr>
                <w:sz w:val="19"/>
                <w:szCs w:val="19"/>
                <w:color w:val="auto"/>
              </w:rPr>
            </w:pPr>
          </w:p>
        </w:tc>
      </w:tr>
      <w:tr>
        <w:trPr>
          <w:trHeight w:val="229"/>
        </w:trPr>
        <w:tc>
          <w:tcPr>
            <w:tcW w:w="41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3"/>
                <w:szCs w:val="23"/>
                <w:color w:val="auto"/>
                <w:vertAlign w:val="superscript"/>
              </w:rPr>
              <w:t>3</w:t>
            </w: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w:t>
            </w:r>
          </w:p>
        </w:tc>
        <w:tc>
          <w:tcPr>
            <w:tcW w:w="1840" w:type="dxa"/>
            <w:vAlign w:val="bottom"/>
          </w:tcPr>
          <w:p>
            <w:pPr>
              <w:spacing w:after="0"/>
              <w:rPr>
                <w:sz w:val="19"/>
                <w:szCs w:val="19"/>
                <w:color w:val="auto"/>
              </w:rPr>
            </w:pPr>
          </w:p>
        </w:tc>
      </w:tr>
      <w:tr>
        <w:trPr>
          <w:trHeight w:val="229"/>
        </w:trPr>
        <w:tc>
          <w:tcPr>
            <w:tcW w:w="4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income attributable to Crown Holdings</w:t>
            </w:r>
            <w:r>
              <w:rPr>
                <w:rFonts w:ascii="Times New Roman" w:cs="Times New Roman" w:eastAsia="Times New Roman" w:hAnsi="Times New Roman"/>
                <w:sz w:val="23"/>
                <w:szCs w:val="23"/>
                <w:color w:val="auto"/>
                <w:vertAlign w:val="superscript"/>
              </w:rPr>
              <w:t>3</w:t>
            </w: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(18)</w:t>
            </w:r>
          </w:p>
        </w:tc>
        <w:tc>
          <w:tcPr>
            <w:tcW w:w="1840" w:type="dxa"/>
            <w:vAlign w:val="bottom"/>
          </w:tcPr>
          <w:p>
            <w:pPr>
              <w:spacing w:after="0"/>
              <w:rPr>
                <w:sz w:val="19"/>
                <w:szCs w:val="19"/>
                <w:color w:val="auto"/>
              </w:rPr>
            </w:pPr>
          </w:p>
        </w:tc>
      </w:tr>
    </w:tbl>
    <w:p>
      <w:pPr>
        <w:spacing w:after="0" w:line="72" w:lineRule="exact"/>
        <w:rPr>
          <w:sz w:val="20"/>
          <w:szCs w:val="20"/>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$219 of sales to non-guarantor subsidiaries</w:t>
      </w:r>
    </w:p>
    <w:p>
      <w:pPr>
        <w:spacing w:after="0" w:line="27"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 of gross profit related to sales to non-guarantor subsidiaries</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 of income related to intercompany interest and technology royalties with non-guarantor subsidiaries</w:t>
      </w:r>
    </w:p>
    <w:p>
      <w:pPr>
        <w:spacing w:after="0" w:line="200" w:lineRule="exact"/>
        <w:rPr>
          <w:sz w:val="20"/>
          <w:szCs w:val="20"/>
          <w:color w:val="auto"/>
        </w:rPr>
      </w:pPr>
    </w:p>
    <w:p>
      <w:pPr>
        <w:spacing w:after="0" w:line="33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June 30, 2024</w:t>
            </w:r>
          </w:p>
        </w:tc>
        <w:tc>
          <w:tcPr>
            <w:tcW w:w="540" w:type="dxa"/>
            <w:vAlign w:val="bottom"/>
            <w:tcBorders>
              <w:bottom w:val="single" w:sz="8" w:color="auto"/>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4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Current assets</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9"/>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3"/>
                <w:szCs w:val="23"/>
                <w:color w:val="auto"/>
                <w:vertAlign w:val="superscript"/>
              </w:rPr>
              <w:t>2</w:t>
            </w:r>
          </w:p>
        </w:tc>
        <w:tc>
          <w:tcPr>
            <w:tcW w:w="1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Current liabilities</w:t>
            </w:r>
            <w:r>
              <w:rPr>
                <w:rFonts w:ascii="Times New Roman" w:cs="Times New Roman" w:eastAsia="Times New Roman" w:hAnsi="Times New Roman"/>
                <w:sz w:val="23"/>
                <w:szCs w:val="23"/>
                <w:color w:val="auto"/>
                <w:vertAlign w:val="superscript"/>
              </w:rPr>
              <w:t>3</w:t>
            </w:r>
          </w:p>
        </w:tc>
        <w:tc>
          <w:tcPr>
            <w:tcW w:w="1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30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r>
              <w:rPr>
                <w:rFonts w:ascii="Times New Roman" w:cs="Times New Roman" w:eastAsia="Times New Roman" w:hAnsi="Times New Roman"/>
                <w:sz w:val="23"/>
                <w:szCs w:val="23"/>
                <w:color w:val="auto"/>
                <w:vertAlign w:val="superscript"/>
              </w:rPr>
              <w:t>4</w:t>
            </w:r>
          </w:p>
        </w:tc>
        <w:tc>
          <w:tcPr>
            <w:tcW w:w="16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r>
    </w:tbl>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$38 and $30 due from non-guarantor subsidiaries as of March 31, 2024 and December 31, 2023</w:t>
      </w:r>
    </w:p>
    <w:p>
      <w:pPr>
        <w:spacing w:after="0" w:line="11"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of $201 and $189 due from non-guarantor subsidiaries as of March 31, 2024 and December 31, 2023</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$25 and $35 due to non-guarantor subsidiaries as of March 31, 2024 and December 31, 2023</w:t>
      </w:r>
    </w:p>
    <w:p>
      <w:pPr>
        <w:spacing w:after="0" w:line="14" w:lineRule="exact"/>
        <w:rPr>
          <w:rFonts w:ascii="Times New Roman" w:cs="Times New Roman" w:eastAsia="Times New Roman" w:hAnsi="Times New Roman"/>
          <w:sz w:val="14"/>
          <w:szCs w:val="14"/>
          <w:color w:val="auto"/>
        </w:rPr>
      </w:pPr>
    </w:p>
    <w:p>
      <w:pPr>
        <w:ind w:left="204" w:hanging="204"/>
        <w:spacing w:after="0"/>
        <w:tabs>
          <w:tab w:leader="none" w:pos="20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payables of $2,090 and $2,134 due to non-guarantor subsidiaries as of March 31, 2024 and December 31, 2023</w:t>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Contingent Liabilities</w:t>
      </w:r>
    </w:p>
    <w:p>
      <w:pPr>
        <w:spacing w:after="0" w:line="256"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 xml:space="preserve">Information regarding the Company's commitments and contingent liabilities appears in Part I within Item 1 of this report under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entitled “Commitments and Contingent Liabilities,” to the consolidated financial statements, and in Part II within Item 1A of this report which information is incorporated herein by reference.</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require that management make numerous estimates and assumptions.</w:t>
      </w:r>
    </w:p>
    <w:p>
      <w:pPr>
        <w:spacing w:after="0" w:line="234"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2023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56"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 xml:space="preserve">Statements included herein, including, but not limited to, those in “Management's Discussion and Analysis of Financial Condition and Results of Operations” and in the discussions of asbestos in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and commitments and contingencies in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to the consolidated financial statements included in this Quarterly Report on Form 10-Q, and also in Part I, Item 1, “Business” and Item 3, “Legal Proceedings” and in Part II, Item 7, “Management's Discussion</w:t>
      </w:r>
    </w:p>
    <w:p>
      <w:pPr>
        <w:sectPr>
          <w:pgSz w:w="11900" w:h="16838" w:orient="portrait"/>
          <w:cols w:equalWidth="0" w:num="1">
            <w:col w:w="10584"/>
          </w:cols>
          <w:pgMar w:left="976" w:top="11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and Analysis of Financial Condition and Results of Operations,” within the Company's Annual Report on Form 10-K for the year ended December 31, 2023, which are not historical facts (including any statements concerning the direct or indirect impact of the COVID-19 pandemic, conflicts in the Middle East and the Russia-Ukraine war, objectives of management for share repurchases, dividends, future operations or economic performance, or assumptions related thereto, including the potential for higher interest rates and energy prices), are “forward-looking statements” within the meaning of the federal securities laws. In addition, the Company and its representatives may, from time to time, make oral or written statements which are also “forward-looking statements.”</w:t>
      </w:r>
    </w:p>
    <w:p>
      <w:pPr>
        <w:spacing w:after="0" w:line="21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0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w:t>
      </w:r>
    </w:p>
    <w:p>
      <w:pPr>
        <w:spacing w:after="0" w:line="20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2023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June 30, 2024, see </w:t>
      </w:r>
      <w:r>
        <w:rPr>
          <w:rFonts w:ascii="Times New Roman" w:cs="Times New Roman" w:eastAsia="Times New Roman" w:hAnsi="Times New Roman"/>
          <w:sz w:val="18"/>
          <w:szCs w:val="18"/>
          <w:u w:val="single" w:color="auto"/>
          <w:color w:val="0000FF"/>
        </w:rPr>
        <w:t>Note K</w:t>
      </w:r>
      <w:r>
        <w:rPr>
          <w:rFonts w:ascii="Times New Roman" w:cs="Times New Roman" w:eastAsia="Times New Roman" w:hAnsi="Times New Roman"/>
          <w:sz w:val="18"/>
          <w:szCs w:val="18"/>
          <w:color w:val="auto"/>
        </w:rPr>
        <w:t xml:space="preserve"> to the consolidated financial statements included in this Quarterly Report on Form 10-Q.</w:t>
      </w:r>
    </w:p>
    <w:p>
      <w:pPr>
        <w:spacing w:after="0" w:line="21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$2.2 billion principal floating interest rate debt and $1.2 billion of securitization and factoring. A change of 0.25% in these floating interest rates would change annual interest expense by approximately $9 million before tax.</w:t>
      </w:r>
    </w:p>
    <w:p>
      <w:pPr>
        <w:spacing w:after="0" w:line="200" w:lineRule="exact"/>
        <w:rPr>
          <w:sz w:val="20"/>
          <w:szCs w:val="20"/>
          <w:color w:val="auto"/>
        </w:rPr>
      </w:pPr>
    </w:p>
    <w:p>
      <w:pPr>
        <w:spacing w:after="0" w:line="2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regarding the Company's potential asbestos-related liabilities and other litigation, see </w:t>
      </w:r>
      <w:r>
        <w:rPr>
          <w:rFonts w:ascii="Times New Roman" w:cs="Times New Roman" w:eastAsia="Times New Roman" w:hAnsi="Times New Roman"/>
          <w:sz w:val="18"/>
          <w:szCs w:val="18"/>
          <w:u w:val="single" w:color="auto"/>
          <w:color w:val="0000FF"/>
        </w:rPr>
        <w:t>Note I</w:t>
      </w:r>
      <w:r>
        <w:rPr>
          <w:rFonts w:ascii="Times New Roman" w:cs="Times New Roman" w:eastAsia="Times New Roman" w:hAnsi="Times New Roman"/>
          <w:sz w:val="18"/>
          <w:szCs w:val="18"/>
          <w:color w:val="auto"/>
        </w:rPr>
        <w:t xml:space="preserve"> entitled “Asbestos-Related Liabilities” and </w:t>
      </w:r>
      <w:r>
        <w:rPr>
          <w:rFonts w:ascii="Times New Roman" w:cs="Times New Roman" w:eastAsia="Times New Roman" w:hAnsi="Times New Roman"/>
          <w:sz w:val="18"/>
          <w:szCs w:val="18"/>
          <w:u w:val="single" w:color="auto"/>
          <w:color w:val="0000FF"/>
        </w:rPr>
        <w:t>Note J</w:t>
      </w:r>
      <w:r>
        <w:rPr>
          <w:rFonts w:ascii="Times New Roman" w:cs="Times New Roman" w:eastAsia="Times New Roman" w:hAnsi="Times New Roman"/>
          <w:sz w:val="18"/>
          <w:szCs w:val="18"/>
          <w:color w:val="auto"/>
        </w:rPr>
        <w:t xml:space="preserve"> entitled “Commitments and Contingent Liabilities” to the consolidated financial statements within Part I, Item 1 of this Quarterly Report on Form 10-Q, which information is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5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report should be read in conjunction with the risk factors discussed in Item 1A of the Company's Annual Report on Form 10-K for the year ended December 31, 2023.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June 30, 2024, 82,680 shares were surrendered to cover taxes on the vesting of restricted stock.</w:t>
      </w:r>
    </w:p>
    <w:p>
      <w:pPr>
        <w:spacing w:after="0" w:line="25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July 25, 2024, the Company's Board of Directors authorized the repurchase of an aggregate amount of $2,000 of the Company's common stock through the end of 2027. The new authorization supersedes the previous authorization announced in December 2021, which authorized the repurchase of an aggregate amount of $3,000 of Company common stock through the end of 2024. As of June 30, 2024, the Company had remaining Board authorization to repurchase $2,300 of the Company's common stock under the December 2021 program. Share repurchases under the Company's program may be made in the open market or through privately negotiated transactions, and at times and in such amounts as management deems appropriate.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events required to be reported under Item 3 for the six months ended June 30, 2024.</w:t>
      </w:r>
    </w:p>
    <w:p>
      <w:pPr>
        <w:spacing w:after="0" w:line="248"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Plans</w:t>
      </w:r>
    </w:p>
    <w:p>
      <w:pPr>
        <w:spacing w:after="0" w:line="2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1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right="3320" w:hanging="741"/>
        <w:spacing w:after="0" w:line="266" w:lineRule="auto"/>
        <w:tabs>
          <w:tab w:leader="none" w:pos="7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3.1(a)</w:t>
      </w:r>
      <w:r>
        <w:rPr>
          <w:sz w:val="20"/>
          <w:szCs w:val="20"/>
          <w:color w:val="auto"/>
        </w:rPr>
        <w:tab/>
      </w:r>
      <w:hyperlink r:id="rId48">
        <w:r>
          <w:rPr>
            <w:rFonts w:ascii="Times New Roman" w:cs="Times New Roman" w:eastAsia="Times New Roman" w:hAnsi="Times New Roman"/>
            <w:sz w:val="18"/>
            <w:szCs w:val="18"/>
            <w:u w:val="single" w:color="auto"/>
            <w:color w:val="0000FF"/>
          </w:rPr>
          <w:t>Articles of Incorporation of Crown Holdings, Inc., as amended (incorporated by reference to</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Exhibit 3.a of the Registrant’s Annual Report on Form 10-K for the year ended December 31, 2004</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(File No. 000-50189))</w:t>
        </w:r>
      </w:hyperlink>
    </w:p>
    <w:p>
      <w:pPr>
        <w:spacing w:after="0" w:line="284" w:lineRule="exact"/>
        <w:rPr>
          <w:rFonts w:ascii="Times New Roman" w:cs="Times New Roman" w:eastAsia="Times New Roman" w:hAnsi="Times New Roman"/>
          <w:sz w:val="18"/>
          <w:szCs w:val="18"/>
          <w:u w:val="single" w:color="auto"/>
          <w:color w:val="0000FF"/>
        </w:rPr>
      </w:pPr>
    </w:p>
    <w:p>
      <w:pPr>
        <w:jc w:val="both"/>
        <w:ind w:left="740" w:right="3320" w:hanging="741"/>
        <w:spacing w:after="0" w:line="266" w:lineRule="auto"/>
        <w:tabs>
          <w:tab w:leader="none" w:pos="7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3.1(b)</w:t>
      </w:r>
      <w:r>
        <w:rPr>
          <w:sz w:val="20"/>
          <w:szCs w:val="20"/>
          <w:color w:val="auto"/>
        </w:rPr>
        <w:tab/>
      </w:r>
      <w:hyperlink r:id="rId49">
        <w:r>
          <w:rPr>
            <w:rFonts w:ascii="Times New Roman" w:cs="Times New Roman" w:eastAsia="Times New Roman" w:hAnsi="Times New Roman"/>
            <w:sz w:val="18"/>
            <w:szCs w:val="18"/>
            <w:u w:val="single" w:color="auto"/>
            <w:color w:val="0000FF"/>
          </w:rPr>
          <w:t>Articles of Amendment to the Articles of Incorporation of Crown Holdings, Inc. (incorporated by</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reference to Appendix A of the Registrant's Definitive Proxy Statement on Schedule 14A for the</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2024 Annual Meeting of Shareholders, filed March 25, 2024) (File No. 001-41550).</w:t>
        </w:r>
      </w:hyperlink>
    </w:p>
    <w:p>
      <w:pPr>
        <w:spacing w:after="0" w:line="284" w:lineRule="exact"/>
        <w:rPr>
          <w:rFonts w:ascii="Times New Roman" w:cs="Times New Roman" w:eastAsia="Times New Roman" w:hAnsi="Times New Roman"/>
          <w:sz w:val="18"/>
          <w:szCs w:val="18"/>
          <w:u w:val="single" w:color="auto"/>
          <w:color w:val="0000FF"/>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Crown - Sixth Amendment - CAD Benchmark Replacement Amendment</w:t>
      </w:r>
    </w:p>
    <w:p>
      <w:pPr>
        <w:spacing w:after="0" w:line="347" w:lineRule="exact"/>
        <w:rPr>
          <w:rFonts w:ascii="Times New Roman" w:cs="Times New Roman" w:eastAsia="Times New Roman" w:hAnsi="Times New Roman"/>
          <w:sz w:val="18"/>
          <w:szCs w:val="18"/>
          <w:u w:val="single" w:color="auto"/>
          <w:color w:val="0000FF"/>
        </w:rPr>
      </w:pPr>
    </w:p>
    <w:p>
      <w:pPr>
        <w:ind w:left="740" w:hanging="734"/>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 Subsidiaries</w:t>
      </w:r>
    </w:p>
    <w:p>
      <w:pPr>
        <w:spacing w:after="0" w:line="198" w:lineRule="exact"/>
        <w:rPr>
          <w:rFonts w:ascii="Times New Roman" w:cs="Times New Roman" w:eastAsia="Times New Roman" w:hAnsi="Times New Roman"/>
          <w:sz w:val="18"/>
          <w:szCs w:val="18"/>
          <w:u w:val="single" w:color="auto"/>
          <w:color w:val="0000FF"/>
        </w:rPr>
      </w:pPr>
    </w:p>
    <w:p>
      <w:pPr>
        <w:ind w:left="740" w:right="3340" w:hanging="741"/>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or 15d-14(a) of the Securities Exchange Act of 1934, as adopted pursuant to Section 302 of the Sarbanes-Oxley Act of 2002.</w:t>
      </w:r>
    </w:p>
    <w:p>
      <w:pPr>
        <w:spacing w:after="0" w:line="148" w:lineRule="exact"/>
        <w:rPr>
          <w:rFonts w:ascii="Times New Roman" w:cs="Times New Roman" w:eastAsia="Times New Roman" w:hAnsi="Times New Roman"/>
          <w:sz w:val="18"/>
          <w:szCs w:val="18"/>
          <w:u w:val="single" w:color="auto"/>
          <w:color w:val="0000FF"/>
        </w:rPr>
      </w:pPr>
    </w:p>
    <w:p>
      <w:pPr>
        <w:ind w:left="740" w:right="3320" w:hanging="741"/>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Chief Financial Officer pursuant to Rule 13a-14(a) or 15d-14(a) of the Securities Exchange Act of 1934, as adopted pursuant to Section 302 of the Sarbanes-Oxley Act of 2002.</w:t>
      </w:r>
    </w:p>
    <w:p>
      <w:pPr>
        <w:spacing w:after="0" w:line="162" w:lineRule="exact"/>
        <w:rPr>
          <w:rFonts w:ascii="Times New Roman" w:cs="Times New Roman" w:eastAsia="Times New Roman" w:hAnsi="Times New Roman"/>
          <w:sz w:val="18"/>
          <w:szCs w:val="18"/>
          <w:u w:val="single" w:color="auto"/>
          <w:color w:val="0000FF"/>
        </w:rPr>
      </w:pPr>
    </w:p>
    <w:p>
      <w:pPr>
        <w:jc w:val="both"/>
        <w:ind w:left="740" w:right="3320" w:hanging="734"/>
        <w:spacing w:after="0" w:line="261"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166" w:lineRule="exact"/>
        <w:rPr>
          <w:rFonts w:ascii="Times New Roman" w:cs="Times New Roman" w:eastAsia="Times New Roman" w:hAnsi="Times New Roman"/>
          <w:sz w:val="18"/>
          <w:szCs w:val="18"/>
          <w:u w:val="single" w:color="auto"/>
          <w:color w:val="0000FF"/>
        </w:rPr>
      </w:pPr>
    </w:p>
    <w:p>
      <w:pPr>
        <w:jc w:val="both"/>
        <w:ind w:left="740" w:right="3320" w:hanging="734"/>
        <w:spacing w:after="0" w:line="261"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Registrant's Quarterly Report on Form 10-Q for the quarter ended June 30, 2024 formatted in inline XBRL (eXtensible Business Reporting Language):</w:t>
      </w:r>
    </w:p>
    <w:p>
      <w:pPr>
        <w:jc w:val="both"/>
        <w:ind w:left="740" w:right="3320" w:firstLine="8"/>
        <w:spacing w:after="0" w:line="252" w:lineRule="auto"/>
        <w:tabs>
          <w:tab w:leader="none" w:pos="9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three and six months ended June 30, 2024 and 2023, (ii) Consolidated Statements of Comprehensive Income for the three and six months ended June 30, 2024 and 2023, (iii) Consolidated Balance Sheets as of June 30, 2024 and December 31, 2023, (iv) Consolidated Statements of Cash Flows for the six months ended June 30, 2024 and 2023, (v) Consolidated Statements of Changes in Equity for the three and six months ended June 30, 2024 and 2023 and (vi) Notes to Consolidated Financial Statements.</w:t>
      </w:r>
    </w:p>
    <w:p>
      <w:pPr>
        <w:spacing w:after="0" w:line="163" w:lineRule="exact"/>
        <w:rPr>
          <w:rFonts w:ascii="Times New Roman" w:cs="Times New Roman" w:eastAsia="Times New Roman" w:hAnsi="Times New Roman"/>
          <w:sz w:val="18"/>
          <w:szCs w:val="18"/>
          <w:u w:val="single" w:color="auto"/>
          <w:color w:val="0000FF"/>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3" w:lineRule="exact"/>
        <w:rPr>
          <w:rFonts w:ascii="Times New Roman" w:cs="Times New Roman" w:eastAsia="Times New Roman" w:hAnsi="Times New Roman"/>
          <w:sz w:val="18"/>
          <w:szCs w:val="18"/>
          <w:u w:val="single" w:color="auto"/>
          <w:color w:val="0000FF"/>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rFonts w:ascii="Times New Roman" w:cs="Times New Roman" w:eastAsia="Times New Roman" w:hAnsi="Times New Roman"/>
          <w:sz w:val="18"/>
          <w:szCs w:val="18"/>
          <w:u w:val="single" w:color="auto"/>
          <w:color w:val="0000FF"/>
        </w:rPr>
      </w:pPr>
    </w:p>
    <w:p>
      <w:pPr>
        <w:spacing w:after="0" w:line="232" w:lineRule="exact"/>
        <w:rPr>
          <w:rFonts w:ascii="Times New Roman" w:cs="Times New Roman" w:eastAsia="Times New Roman" w:hAnsi="Times New Roman"/>
          <w:sz w:val="18"/>
          <w:szCs w:val="18"/>
          <w:u w:val="single" w:color="auto"/>
          <w:color w:val="0000FF"/>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rFonts w:ascii="Times New Roman" w:cs="Times New Roman" w:eastAsia="Times New Roman" w:hAnsi="Times New Roman"/>
          <w:sz w:val="18"/>
          <w:szCs w:val="18"/>
          <w:u w:val="single" w:color="auto"/>
          <w:color w:val="0000FF"/>
        </w:rPr>
      </w:pPr>
    </w:p>
    <w:p>
      <w:pPr>
        <w:spacing w:after="0" w:line="232" w:lineRule="exact"/>
        <w:rPr>
          <w:rFonts w:ascii="Times New Roman" w:cs="Times New Roman" w:eastAsia="Times New Roman" w:hAnsi="Times New Roman"/>
          <w:sz w:val="18"/>
          <w:szCs w:val="18"/>
          <w:u w:val="single" w:color="auto"/>
          <w:color w:val="0000FF"/>
        </w:rPr>
      </w:pPr>
    </w:p>
    <w:tbl>
      <w:tblPr>
        <w:tblLayout w:type="fixed"/>
        <w:tblInd w:w="648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Holdings, Inc.</w:t>
            </w:r>
          </w:p>
        </w:tc>
      </w:tr>
      <w:tr>
        <w:trPr>
          <w:trHeight w:val="228"/>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2440" w:type="dxa"/>
            <w:vAlign w:val="bottom"/>
          </w:tcPr>
          <w:p>
            <w:pPr>
              <w:spacing w:after="0"/>
              <w:rPr>
                <w:sz w:val="19"/>
                <w:szCs w:val="19"/>
                <w:color w:val="auto"/>
              </w:rPr>
            </w:pPr>
          </w:p>
        </w:tc>
      </w:tr>
      <w:tr>
        <w:trPr>
          <w:trHeight w:val="48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Christy L. Kalaus</w:t>
            </w:r>
          </w:p>
        </w:tc>
      </w:tr>
      <w:tr>
        <w:trPr>
          <w:trHeight w:val="218"/>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L. Kalaus</w:t>
            </w:r>
          </w:p>
        </w:tc>
      </w:tr>
      <w:tr>
        <w:trPr>
          <w:trHeight w:val="234"/>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Corporate Controller</w:t>
            </w:r>
          </w:p>
        </w:tc>
      </w:tr>
    </w:tbl>
    <w:p>
      <w:pPr>
        <w:spacing w:after="0" w:line="346" w:lineRule="exact"/>
        <w:rPr>
          <w:rFonts w:ascii="Times New Roman" w:cs="Times New Roman" w:eastAsia="Times New Roman" w:hAnsi="Times New Roman"/>
          <w:sz w:val="18"/>
          <w:szCs w:val="18"/>
          <w:u w:val="single" w:color="auto"/>
          <w:color w:val="0000FF"/>
        </w:rPr>
      </w:pPr>
    </w:p>
    <w:p>
      <w:pPr>
        <w:ind w:left="640"/>
        <w:spacing w:after="0"/>
        <w:rPr>
          <w:sz w:val="20"/>
          <w:szCs w:val="20"/>
          <w:color w:val="auto"/>
        </w:rPr>
      </w:pPr>
      <w:r>
        <w:rPr>
          <w:rFonts w:ascii="Times New Roman" w:cs="Times New Roman" w:eastAsia="Times New Roman" w:hAnsi="Times New Roman"/>
          <w:sz w:val="18"/>
          <w:szCs w:val="18"/>
          <w:color w:val="auto"/>
        </w:rPr>
        <w:t>Date: July 29, 2024</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6" w:lineRule="exact"/>
        <w:rPr>
          <w:rFonts w:ascii="Times New Roman" w:cs="Times New Roman" w:eastAsia="Times New Roman" w:hAnsi="Times New Roman"/>
          <w:sz w:val="18"/>
          <w:szCs w:val="18"/>
          <w:u w:val="single" w:color="auto"/>
          <w:color w:val="0000FF"/>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20"/>
          </w:cols>
          <w:pgMar w:left="34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SIXTH AMENDMENT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THIS SIXTH AMENDMENT, dated as of June 28, 2024 (this “</w:t>
      </w:r>
      <w:r>
        <w:rPr>
          <w:rFonts w:ascii="Times New Roman" w:cs="Times New Roman" w:eastAsia="Times New Roman" w:hAnsi="Times New Roman"/>
          <w:sz w:val="20"/>
          <w:szCs w:val="20"/>
          <w:b w:val="1"/>
          <w:bCs w:val="1"/>
          <w:u w:val="single" w:color="auto"/>
          <w:color w:val="auto"/>
        </w:rPr>
        <w:t>Amendment</w:t>
      </w:r>
      <w:r>
        <w:rPr>
          <w:rFonts w:ascii="Times New Roman" w:cs="Times New Roman" w:eastAsia="Times New Roman" w:hAnsi="Times New Roman"/>
          <w:sz w:val="20"/>
          <w:szCs w:val="20"/>
          <w:color w:val="auto"/>
        </w:rPr>
        <w:t>”), is entered into between CROWN HOLDINGS, INC., a Pennsylvania corporation (“</w:t>
      </w:r>
      <w:r>
        <w:rPr>
          <w:rFonts w:ascii="Times New Roman" w:cs="Times New Roman" w:eastAsia="Times New Roman" w:hAnsi="Times New Roman"/>
          <w:sz w:val="20"/>
          <w:szCs w:val="20"/>
          <w:b w:val="1"/>
          <w:bCs w:val="1"/>
          <w:u w:val="single" w:color="auto"/>
          <w:color w:val="auto"/>
        </w:rPr>
        <w:t>Crown Holdings</w:t>
      </w:r>
      <w:r>
        <w:rPr>
          <w:rFonts w:ascii="Times New Roman" w:cs="Times New Roman" w:eastAsia="Times New Roman" w:hAnsi="Times New Roman"/>
          <w:sz w:val="20"/>
          <w:szCs w:val="20"/>
          <w:color w:val="auto"/>
        </w:rPr>
        <w:t>”), and DEUTSCHE BANK AG, CANADA BRANCH, as Canadian administrative agent (in such capacity, the “</w:t>
      </w:r>
      <w:r>
        <w:rPr>
          <w:rFonts w:ascii="Times New Roman" w:cs="Times New Roman" w:eastAsia="Times New Roman" w:hAnsi="Times New Roman"/>
          <w:sz w:val="20"/>
          <w:szCs w:val="20"/>
          <w:b w:val="1"/>
          <w:bCs w:val="1"/>
          <w:u w:val="single" w:color="auto"/>
          <w:color w:val="auto"/>
        </w:rPr>
        <w:t>Canadian Administrative Agent</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CROWN AMERICAS LLC, a Pennsylvania limited liability company (“</w:t>
      </w:r>
      <w:r>
        <w:rPr>
          <w:rFonts w:ascii="Times New Roman" w:cs="Times New Roman" w:eastAsia="Times New Roman" w:hAnsi="Times New Roman"/>
          <w:sz w:val="20"/>
          <w:szCs w:val="20"/>
          <w:b w:val="1"/>
          <w:bCs w:val="1"/>
          <w:u w:val="single" w:color="auto"/>
          <w:color w:val="auto"/>
        </w:rPr>
        <w:t>U.S. Borrower</w:t>
      </w:r>
      <w:r>
        <w:rPr>
          <w:rFonts w:ascii="Times New Roman" w:cs="Times New Roman" w:eastAsia="Times New Roman" w:hAnsi="Times New Roman"/>
          <w:sz w:val="20"/>
          <w:szCs w:val="20"/>
          <w:color w:val="auto"/>
        </w:rPr>
        <w:t>”), CROWN EUROPEAN HOLDINGS S.A., a corporation organized under the laws of France (“</w:t>
      </w:r>
      <w:r>
        <w:rPr>
          <w:rFonts w:ascii="Times New Roman" w:cs="Times New Roman" w:eastAsia="Times New Roman" w:hAnsi="Times New Roman"/>
          <w:sz w:val="20"/>
          <w:szCs w:val="20"/>
          <w:b w:val="1"/>
          <w:bCs w:val="1"/>
          <w:u w:val="single" w:color="auto"/>
          <w:color w:val="auto"/>
        </w:rPr>
        <w:t>European Borrower</w:t>
      </w:r>
      <w:r>
        <w:rPr>
          <w:rFonts w:ascii="Times New Roman" w:cs="Times New Roman" w:eastAsia="Times New Roman" w:hAnsi="Times New Roman"/>
          <w:sz w:val="20"/>
          <w:szCs w:val="20"/>
          <w:color w:val="auto"/>
        </w:rPr>
        <w:t>”), each of the Subsidiary Borrowers party thereto, CROWN METAL PACKAGING CANADA LP, a limited partnership organized under the laws of the Province of Ontario, Canada (“</w:t>
      </w:r>
      <w:r>
        <w:rPr>
          <w:rFonts w:ascii="Times New Roman" w:cs="Times New Roman" w:eastAsia="Times New Roman" w:hAnsi="Times New Roman"/>
          <w:sz w:val="20"/>
          <w:szCs w:val="20"/>
          <w:b w:val="1"/>
          <w:bCs w:val="1"/>
          <w:u w:val="single" w:color="auto"/>
          <w:color w:val="auto"/>
        </w:rPr>
        <w:t>Canadian Borrower</w:t>
      </w:r>
      <w:r>
        <w:rPr>
          <w:rFonts w:ascii="Times New Roman" w:cs="Times New Roman" w:eastAsia="Times New Roman" w:hAnsi="Times New Roman"/>
          <w:sz w:val="20"/>
          <w:szCs w:val="20"/>
          <w:color w:val="auto"/>
        </w:rPr>
        <w:t>”, and together with U.S. Borrower, European Borrower and the Subsidiary Borrowers party hereto, “</w:t>
      </w:r>
      <w:r>
        <w:rPr>
          <w:rFonts w:ascii="Times New Roman" w:cs="Times New Roman" w:eastAsia="Times New Roman" w:hAnsi="Times New Roman"/>
          <w:sz w:val="20"/>
          <w:szCs w:val="20"/>
          <w:b w:val="1"/>
          <w:bCs w:val="1"/>
          <w:u w:val="single" w:color="auto"/>
          <w:color w:val="auto"/>
        </w:rPr>
        <w:t>Borrowers</w:t>
      </w:r>
      <w:r>
        <w:rPr>
          <w:rFonts w:ascii="Times New Roman" w:cs="Times New Roman" w:eastAsia="Times New Roman" w:hAnsi="Times New Roman"/>
          <w:sz w:val="20"/>
          <w:szCs w:val="20"/>
          <w:color w:val="auto"/>
        </w:rPr>
        <w:t>”), CROWN CORK &amp; SEAL COMPANY, INC., a Pennsylvania corporation (“</w:t>
      </w:r>
      <w:r>
        <w:rPr>
          <w:rFonts w:ascii="Times New Roman" w:cs="Times New Roman" w:eastAsia="Times New Roman" w:hAnsi="Times New Roman"/>
          <w:sz w:val="20"/>
          <w:szCs w:val="20"/>
          <w:b w:val="1"/>
          <w:bCs w:val="1"/>
          <w:u w:val="single" w:color="auto"/>
          <w:color w:val="auto"/>
        </w:rPr>
        <w:t>CCSC</w:t>
      </w:r>
      <w:r>
        <w:rPr>
          <w:rFonts w:ascii="Times New Roman" w:cs="Times New Roman" w:eastAsia="Times New Roman" w:hAnsi="Times New Roman"/>
          <w:sz w:val="20"/>
          <w:szCs w:val="20"/>
          <w:color w:val="auto"/>
        </w:rPr>
        <w:t>”), Crown Holdings, and CROWN INTERNATIONAL HOLDINGS, INC., a Delaware corporation (“</w:t>
      </w:r>
      <w:r>
        <w:rPr>
          <w:rFonts w:ascii="Times New Roman" w:cs="Times New Roman" w:eastAsia="Times New Roman" w:hAnsi="Times New Roman"/>
          <w:sz w:val="20"/>
          <w:szCs w:val="20"/>
          <w:b w:val="1"/>
          <w:bCs w:val="1"/>
          <w:u w:val="single" w:color="auto"/>
          <w:color w:val="auto"/>
        </w:rPr>
        <w:t>Crown International</w:t>
      </w:r>
      <w:r>
        <w:rPr>
          <w:rFonts w:ascii="Times New Roman" w:cs="Times New Roman" w:eastAsia="Times New Roman" w:hAnsi="Times New Roman"/>
          <w:sz w:val="20"/>
          <w:szCs w:val="20"/>
          <w:color w:val="auto"/>
        </w:rPr>
        <w:t>”, and together with CCSC and Crown Holdings, “</w:t>
      </w:r>
      <w:r>
        <w:rPr>
          <w:rFonts w:ascii="Times New Roman" w:cs="Times New Roman" w:eastAsia="Times New Roman" w:hAnsi="Times New Roman"/>
          <w:sz w:val="20"/>
          <w:szCs w:val="20"/>
          <w:b w:val="1"/>
          <w:bCs w:val="1"/>
          <w:u w:val="single" w:color="auto"/>
          <w:color w:val="auto"/>
        </w:rPr>
        <w:t>Parent Guarantors</w:t>
      </w:r>
      <w:r>
        <w:rPr>
          <w:rFonts w:ascii="Times New Roman" w:cs="Times New Roman" w:eastAsia="Times New Roman" w:hAnsi="Times New Roman"/>
          <w:sz w:val="20"/>
          <w:szCs w:val="20"/>
          <w:color w:val="auto"/>
        </w:rPr>
        <w:t>”), the Lenders from time to time party thereto, DEUTSCHE BANK AG NEW YORK BRANCH, as the Administrative Agent (in such capacity, the “</w:t>
      </w:r>
      <w:r>
        <w:rPr>
          <w:rFonts w:ascii="Times New Roman" w:cs="Times New Roman" w:eastAsia="Times New Roman" w:hAnsi="Times New Roman"/>
          <w:sz w:val="20"/>
          <w:szCs w:val="20"/>
          <w:b w:val="1"/>
          <w:bCs w:val="1"/>
          <w:u w:val="single" w:color="auto"/>
          <w:color w:val="auto"/>
        </w:rPr>
        <w:t>Administrative Agent</w:t>
      </w:r>
      <w:r>
        <w:rPr>
          <w:rFonts w:ascii="Times New Roman" w:cs="Times New Roman" w:eastAsia="Times New Roman" w:hAnsi="Times New Roman"/>
          <w:sz w:val="20"/>
          <w:szCs w:val="20"/>
          <w:color w:val="auto"/>
        </w:rPr>
        <w:t>”), DEUTSCHE BANK AG, LONDON BRANCH, as U.K. administrative agent (in such capacity, “</w:t>
      </w:r>
      <w:r>
        <w:rPr>
          <w:rFonts w:ascii="Times New Roman" w:cs="Times New Roman" w:eastAsia="Times New Roman" w:hAnsi="Times New Roman"/>
          <w:sz w:val="20"/>
          <w:szCs w:val="20"/>
          <w:b w:val="1"/>
          <w:bCs w:val="1"/>
          <w:u w:val="single" w:color="auto"/>
          <w:color w:val="auto"/>
        </w:rPr>
        <w:t>U.K. Administrative Agent</w:t>
      </w:r>
      <w:r>
        <w:rPr>
          <w:rFonts w:ascii="Times New Roman" w:cs="Times New Roman" w:eastAsia="Times New Roman" w:hAnsi="Times New Roman"/>
          <w:sz w:val="20"/>
          <w:szCs w:val="20"/>
          <w:color w:val="auto"/>
        </w:rPr>
        <w:t>”), and DEUTSCHE BANK AG, CANADA BRANCH, as Canadian Administrative Agent, are party to that certain Amended and Restated Credit Agreement, dated as of April 7, 2017 (as amended by that certain First Amendment to Amended and Restated Credit Agreement, dated as of December 28, 2017, that certain Incremental Amendment No. 1, dated as of January 29, 2018, that certain Second Amendment to Amended and Restated Credit Agreement, First Amendment to the U.S. Guarantee Agreement and First Amendment to U.S. Indemnity, Subrogation and Contribution Agreement, dated as of March 23, 2018, that certain Incremental Amendment No. 2 and Third Amendment to Amended and Restated Credit Agreement, dated as of December 13, 2019, that certain Fourth Amendment to Amended and Restated Credit Agreement, dated as of October 4, 2021, that certain Incremental Amendment No. 3 and Fifth Amendment to Amended and Restated Credit Agreement, dated as of August 8, 2022, and as further amended, supplemented, amended and restated or otherwise modified from time to time prior to the date hereof, the “</w:t>
      </w:r>
      <w:r>
        <w:rPr>
          <w:rFonts w:ascii="Times New Roman" w:cs="Times New Roman" w:eastAsia="Times New Roman" w:hAnsi="Times New Roman"/>
          <w:sz w:val="20"/>
          <w:szCs w:val="20"/>
          <w:b w:val="1"/>
          <w:bCs w:val="1"/>
          <w:u w:val="single" w:color="auto"/>
          <w:color w:val="auto"/>
        </w:rPr>
        <w:t>Existing Credit Agreement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WHEREAS, certain loans or other extensions of credit denominated in Canadian Dollars under the Existing Credit Agreement bear or are permitted to bear interest, or incur or are permitted to incur fees, commissions or other amounts, based on the average of the rates per annum for Canadian Dollar bankers’ acceptances having a term of 30 days that appears on the display referred to as the “CDOR Page” (or any display substituted therefor) of Reuters Monitor Money Rates Service (“</w:t>
      </w:r>
      <w:r>
        <w:rPr>
          <w:rFonts w:ascii="Times New Roman" w:cs="Times New Roman" w:eastAsia="Times New Roman" w:hAnsi="Times New Roman"/>
          <w:sz w:val="20"/>
          <w:szCs w:val="20"/>
          <w:b w:val="1"/>
          <w:bCs w:val="1"/>
          <w:u w:val="single" w:color="auto"/>
          <w:color w:val="auto"/>
        </w:rPr>
        <w:t>CDOR</w:t>
      </w:r>
      <w:r>
        <w:rPr>
          <w:rFonts w:ascii="Times New Roman" w:cs="Times New Roman" w:eastAsia="Times New Roman" w:hAnsi="Times New Roman"/>
          <w:sz w:val="20"/>
          <w:szCs w:val="20"/>
          <w:color w:val="auto"/>
        </w:rPr>
        <w:t>”) in accordance with the terms of the Existing Credit Agreement;</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a Benchmark Transition Event (as defined in the Existing Credit Agreement) has occurred with respect to CDOR and the Benchmark Replacement Date (as defined in the Existing Credit Agreement) for CDOR is anticipated to occur on June 29, 2024;</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pursuant to Section 3.8 of the Existing Credit Agreement, the Administrative Agent and Holdings have determined in accordance with the Existing Credit Agreement a Benchmark Replacement (as defined in the Existing Credit Agreement, the “</w:t>
      </w:r>
      <w:r>
        <w:rPr>
          <w:rFonts w:ascii="Times New Roman" w:cs="Times New Roman" w:eastAsia="Times New Roman" w:hAnsi="Times New Roman"/>
          <w:sz w:val="20"/>
          <w:szCs w:val="20"/>
          <w:b w:val="1"/>
          <w:bCs w:val="1"/>
          <w:u w:val="single" w:color="auto"/>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Canadian Benchmark</w:t>
      </w:r>
      <w:r>
        <w:rPr>
          <w:rFonts w:ascii="Times New Roman" w:cs="Times New Roman" w:eastAsia="Times New Roman" w:hAnsi="Times New Roman"/>
          <w:sz w:val="20"/>
          <w:szCs w:val="20"/>
          <w:color w:val="auto"/>
        </w:rPr>
        <w:t>”) for CDOR for all purposes under the Existing Credit Agreement and any Loan Document pursuant to clause (b)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definition of “Benchmark Replacement” (as defined in the Existing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0"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pursuant to Section 3.8 of the Existing Credit Agreement, the Administrative Agent, in consultation with Holdings, is exercising its right to make certain Conforming Changes (as defined in the Existing Credit Agreement) in connection with the implementation of the New Canadian Benchmark as set forth herein; and</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such changes shall become effective at and after 5:00 p.m. (New York City time) on the fifth (5th) Business Day after the date notice of the New Canadian Benchmark is provided to the Lenders (such time, the “</w:t>
      </w:r>
      <w:r>
        <w:rPr>
          <w:rFonts w:ascii="Times New Roman" w:cs="Times New Roman" w:eastAsia="Times New Roman" w:hAnsi="Times New Roman"/>
          <w:sz w:val="20"/>
          <w:szCs w:val="20"/>
          <w:b w:val="1"/>
          <w:bCs w:val="1"/>
          <w:u w:val="single" w:color="auto"/>
          <w:color w:val="auto"/>
        </w:rPr>
        <w:t>Objection Deadline</w:t>
      </w:r>
      <w:r>
        <w:rPr>
          <w:rFonts w:ascii="Times New Roman" w:cs="Times New Roman" w:eastAsia="Times New Roman" w:hAnsi="Times New Roman"/>
          <w:sz w:val="20"/>
          <w:szCs w:val="20"/>
          <w:color w:val="auto"/>
        </w:rPr>
        <w:t>”), so long as the Administrative Agent has not received, by such time, written notice of objection to the New Canadian Benchmark from Lenders comprising the Required Lenders;</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other good and valuable consideration, the receipt and sufficiency of which are hereby acknowledged, the following shall be effective:</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Article I. </w:t>
      </w:r>
      <w:r>
        <w:rPr>
          <w:rFonts w:ascii="Times New Roman" w:cs="Times New Roman" w:eastAsia="Times New Roman" w:hAnsi="Times New Roman"/>
          <w:sz w:val="20"/>
          <w:szCs w:val="20"/>
          <w:b w:val="1"/>
          <w:bCs w:val="1"/>
          <w:u w:val="single" w:color="auto"/>
          <w:color w:val="auto"/>
        </w:rPr>
        <w:t>Amendment</w:t>
      </w:r>
      <w:r>
        <w:rPr>
          <w:rFonts w:ascii="Times New Roman" w:cs="Times New Roman" w:eastAsia="Times New Roman" w:hAnsi="Times New Roman"/>
          <w:sz w:val="20"/>
          <w:szCs w:val="20"/>
          <w:color w:val="auto"/>
        </w:rPr>
        <w:t>. Effective as of the Sixth Amendment Effective Date (as defined below), and subject to the terms and conditions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forth herein, the Existing Credit Agreement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4F81BD"/>
        </w:rPr>
        <w:t>double-underlined text</w:t>
      </w:r>
      <w:r>
        <w:rPr>
          <w:rFonts w:ascii="Times New Roman" w:cs="Times New Roman" w:eastAsia="Times New Roman" w:hAnsi="Times New Roman"/>
          <w:sz w:val="20"/>
          <w:szCs w:val="20"/>
          <w:color w:val="000000"/>
        </w:rPr>
        <w:t>) as set forth in the pages attached as</w:t>
      </w:r>
      <w:r>
        <w:rPr>
          <w:rFonts w:ascii="Times New Roman" w:cs="Times New Roman" w:eastAsia="Times New Roman" w:hAnsi="Times New Roman"/>
          <w:sz w:val="20"/>
          <w:szCs w:val="20"/>
          <w:color w:val="4F81BD"/>
        </w:rPr>
        <w:t xml:space="preserve"> </w:t>
      </w:r>
      <w:r>
        <w:rPr>
          <w:rFonts w:ascii="Times New Roman" w:cs="Times New Roman" w:eastAsia="Times New Roman" w:hAnsi="Times New Roman"/>
          <w:sz w:val="20"/>
          <w:szCs w:val="20"/>
          <w:u w:val="single" w:color="auto"/>
          <w:color w:val="000000"/>
        </w:rPr>
        <w:t>Exhibit A</w:t>
      </w:r>
      <w:r>
        <w:rPr>
          <w:rFonts w:ascii="Times New Roman" w:cs="Times New Roman" w:eastAsia="Times New Roman" w:hAnsi="Times New Roman"/>
          <w:sz w:val="20"/>
          <w:szCs w:val="20"/>
          <w:color w:val="4F81BD"/>
        </w:rPr>
        <w:t xml:space="preserve"> </w:t>
      </w:r>
      <w:r>
        <w:rPr>
          <w:rFonts w:ascii="Times New Roman" w:cs="Times New Roman" w:eastAsia="Times New Roman" w:hAnsi="Times New Roman"/>
          <w:sz w:val="20"/>
          <w:szCs w:val="20"/>
          <w:color w:val="000000"/>
        </w:rPr>
        <w:t>hereto (the “</w:t>
      </w:r>
      <w:r>
        <w:rPr>
          <w:rFonts w:ascii="Times New Roman" w:cs="Times New Roman" w:eastAsia="Times New Roman" w:hAnsi="Times New Roman"/>
          <w:sz w:val="20"/>
          <w:szCs w:val="20"/>
          <w:b w:val="1"/>
          <w:bCs w:val="1"/>
          <w:u w:val="single" w:color="auto"/>
          <w:color w:val="000000"/>
        </w:rPr>
        <w:t>Amended Credit Agreement</w:t>
      </w:r>
      <w:r>
        <w:rPr>
          <w:rFonts w:ascii="Times New Roman" w:cs="Times New Roman" w:eastAsia="Times New Roman" w:hAnsi="Times New Roman"/>
          <w:sz w:val="20"/>
          <w:szCs w:val="20"/>
          <w:color w:val="000000"/>
        </w:rPr>
        <w:t>”).</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Article II. </w:t>
      </w: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All capitalized terms used and not otherwise defined herein shall have the same meaning as set forth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Credit Agreement.</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Article III. </w:t>
      </w: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To the extent that the Administrative Agent is required (pursuant to the Existing Credit Agreement or otherwise)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notice to any Borrower, any Lender or any other party to the Existing Credit Agreement of (i) a Benchmark Transition Event (as defined in the Existing Credit Agreement) with respect to CDOR, (ii) a Benchmark Replacement Date (as defined in the Existing Credit Agreement) with respect to CDOR, (iii) the implementation of a Benchmark Replacement (as defined in the Existing Credit Agreement) with respect to CDOR or (iv) any Conforming Changes (as defined in the Existing Credit Agreement) in connection with the adoption and implementation of a Benchmark Replacement (as defined in the Existing Credit Agreement) with respect to CDOR or the use and administration thereof, this Amendment shall constitute such notice.</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Article IV. </w:t>
      </w:r>
      <w:r>
        <w:rPr>
          <w:rFonts w:ascii="Times New Roman" w:cs="Times New Roman" w:eastAsia="Times New Roman" w:hAnsi="Times New Roman"/>
          <w:sz w:val="20"/>
          <w:szCs w:val="20"/>
          <w:b w:val="1"/>
          <w:bCs w:val="1"/>
          <w:u w:val="single" w:color="auto"/>
          <w:color w:val="auto"/>
        </w:rPr>
        <w:t>Conditions to Effectiveness</w:t>
      </w:r>
      <w:r>
        <w:rPr>
          <w:rFonts w:ascii="Times New Roman" w:cs="Times New Roman" w:eastAsia="Times New Roman" w:hAnsi="Times New Roman"/>
          <w:sz w:val="20"/>
          <w:szCs w:val="20"/>
          <w:color w:val="auto"/>
        </w:rPr>
        <w:t>. The effectiveness of this Amendment and the amendments contemplated hereby are subject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satisfaction of the following conditions precedent (the date upon which this Amendment becomes effective, the “</w:t>
      </w:r>
      <w:r>
        <w:rPr>
          <w:rFonts w:ascii="Times New Roman" w:cs="Times New Roman" w:eastAsia="Times New Roman" w:hAnsi="Times New Roman"/>
          <w:sz w:val="20"/>
          <w:szCs w:val="20"/>
          <w:b w:val="1"/>
          <w:bCs w:val="1"/>
          <w:u w:val="single" w:color="auto"/>
          <w:color w:val="auto"/>
        </w:rPr>
        <w:t>Sixth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1300" w:hanging="320"/>
        <w:spacing w:after="0" w:line="269" w:lineRule="auto"/>
        <w:tabs>
          <w:tab w:leader="none" w:pos="124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Administrative Agent has received this Amendment executed and delivered by a duly authorized officer of Holdings.</w:t>
      </w:r>
    </w:p>
    <w:p>
      <w:pPr>
        <w:spacing w:after="0" w:line="172" w:lineRule="exact"/>
        <w:rPr>
          <w:rFonts w:ascii="Times New Roman" w:cs="Times New Roman" w:eastAsia="Times New Roman" w:hAnsi="Times New Roman"/>
          <w:sz w:val="20"/>
          <w:szCs w:val="20"/>
          <w:color w:val="auto"/>
        </w:rPr>
      </w:pPr>
    </w:p>
    <w:p>
      <w:pPr>
        <w:ind w:left="1300" w:hanging="320"/>
        <w:spacing w:after="0" w:line="283" w:lineRule="auto"/>
        <w:tabs>
          <w:tab w:leader="none" w:pos="125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Objection from Required Lenders</w:t>
      </w:r>
      <w:r>
        <w:rPr>
          <w:rFonts w:ascii="Times New Roman" w:cs="Times New Roman" w:eastAsia="Times New Roman" w:hAnsi="Times New Roman"/>
          <w:sz w:val="20"/>
          <w:szCs w:val="20"/>
          <w:color w:val="auto"/>
        </w:rPr>
        <w:t>. The Administrative Agent has not received, by the Objection Deadline, written notice of objection to this Amendment from Lenders comprising the Required Lenders.</w:t>
      </w:r>
    </w:p>
    <w:p>
      <w:pPr>
        <w:spacing w:after="0" w:line="16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Article V.</w:t>
      </w:r>
      <w:r>
        <w:rPr>
          <w:sz w:val="20"/>
          <w:szCs w:val="20"/>
          <w:color w:val="auto"/>
        </w:rPr>
        <w:tab/>
      </w:r>
      <w:r>
        <w:rPr>
          <w:rFonts w:ascii="Times New Roman" w:cs="Times New Roman" w:eastAsia="Times New Roman" w:hAnsi="Times New Roman"/>
          <w:sz w:val="19"/>
          <w:szCs w:val="19"/>
          <w:color w:val="auto"/>
        </w:rPr>
        <w:t>Holdings represents and warrants to the Administrative Agent and the Lenders as of the date hereof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3" w:right="339" w:bottom="1440" w:gutter="0" w:footer="0" w:header="0"/>
        </w:sectPr>
      </w:pPr>
    </w:p>
    <w:bookmarkStart w:id="39" w:name="page40"/>
    <w:bookmarkEnd w:id="39"/>
    <w:p>
      <w:pPr>
        <w:ind w:left="1300" w:right="40" w:hanging="320"/>
        <w:spacing w:after="0" w:line="251" w:lineRule="auto"/>
        <w:tabs>
          <w:tab w:leader="none" w:pos="124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has the right and power and is duly authorized to execute this Amendment and to perform and observe the provisions of this Amendment, (ii) this Amendment has been duly executed and delivered by Holdings and is the legal, valid and binding obligation of Holdings, enforceable against Holdings in accordance with its terms, subject to applicable bankruptcy, insolvency and similar laws affecting the enforceability of creditors’ rights generally and to general principles of equity, and (iii) the execution, delivery and performance by Holdings of this Amendment, does not and will not (A) contravene the terms of any of Holdings’ Organic Documents; (B) conflict with or result in any breach or contravention of, or constitute a default under, or result in the creation or imposition of (or the obligation to create or impose) any Lien (other than Liens permitted under Section 8.2 of the Credit Agreement) pursuant to, (1) any Contractual Obligation to which Holdings is a party or affecting Holdings or the properties of Holdings or any of its Subsidiaries or (2) any order, injunction, writ or decree of any Governmental Authority or any arbitral award to which Holdings or its property is subject; or (C) violate any Requirement of Law, except in each case referred to in clause (B)(1), (B)(2) or (C), to the extent that such contravention or violation could not reasonably be expected to have a Material Adverse Effect.</w:t>
      </w:r>
    </w:p>
    <w:p>
      <w:pPr>
        <w:spacing w:after="0" w:line="178" w:lineRule="exact"/>
        <w:rPr>
          <w:rFonts w:ascii="Times New Roman" w:cs="Times New Roman" w:eastAsia="Times New Roman" w:hAnsi="Times New Roman"/>
          <w:sz w:val="20"/>
          <w:szCs w:val="20"/>
          <w:color w:val="auto"/>
        </w:rPr>
      </w:pPr>
    </w:p>
    <w:p>
      <w:pPr>
        <w:ind w:left="1260" w:hanging="280"/>
        <w:spacing w:after="0"/>
        <w:tabs>
          <w:tab w:leader="none" w:pos="12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the failure to obtain or make the same would not reasonably be expected to have a Material Adverse</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Effect, no order, consent, approval, license, authorization or validation of, or filing, recording or registration with (except for</w:t>
      </w:r>
    </w:p>
    <w:p>
      <w:pPr>
        <w:spacing w:after="0" w:line="18" w:lineRule="exact"/>
        <w:rPr>
          <w:sz w:val="20"/>
          <w:szCs w:val="20"/>
          <w:color w:val="auto"/>
        </w:rPr>
      </w:pPr>
    </w:p>
    <w:p>
      <w:pPr>
        <w:ind w:left="1300" w:right="60"/>
        <w:spacing w:after="0" w:line="247" w:lineRule="auto"/>
        <w:rPr>
          <w:sz w:val="20"/>
          <w:szCs w:val="20"/>
          <w:color w:val="auto"/>
        </w:rPr>
      </w:pPr>
      <w:r>
        <w:rPr>
          <w:rFonts w:ascii="Times New Roman" w:cs="Times New Roman" w:eastAsia="Times New Roman" w:hAnsi="Times New Roman"/>
          <w:sz w:val="20"/>
          <w:szCs w:val="20"/>
          <w:color w:val="auto"/>
        </w:rPr>
        <w:t>(x) those that have otherwise been obtained or made on or prior to the Sixth Amendment Effective Date and which remain in full force and effect on the Sixth Amendment Effective Date and (y) filings which are necessary to perfect the security interests created under the Security Documents), or exemption by, any governmental or public body or authority, or any subdivision thereof, is required to be obtained or made by, or on behalf of, Holdings to authorize, or is required to be obtained or made by, or on behalf of, Holdings in connection with, the execution, delivery and performance of this Amendment.</w:t>
      </w:r>
    </w:p>
    <w:p>
      <w:pPr>
        <w:spacing w:after="0" w:line="4" w:lineRule="exact"/>
        <w:rPr>
          <w:sz w:val="20"/>
          <w:szCs w:val="20"/>
          <w:color w:val="auto"/>
        </w:rPr>
      </w:pPr>
    </w:p>
    <w:p>
      <w:pPr>
        <w:ind w:left="1300" w:right="80" w:hanging="320"/>
        <w:spacing w:after="0" w:line="250" w:lineRule="auto"/>
        <w:tabs>
          <w:tab w:leader="none" w:pos="124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immediately before and immediately after giving effect to this Amendment, the representations and warranties of the Borrowers and Guarantors set forth in the Amended Credit Agreement and the other Loan Documents are true and correct in all material respects (except that any representation and warranty that is qualified as to “materiality” or “Material Adverse Effect” is true and correct in all respects) as of the date hereof, except to the extent such representations and warranties refer to an earlier date, in which case such representations and warranties are true and correct in all material respects (except that any representation and warranty that is qualified as to “materiality” or “Material Adverse Effect” is true and correct in all respects) as of such earlier date, and except that the representations and warranties contained in Section 6.5(a) of the Amended Credit Agreement shall be deemed to refer to the most recent financial statements furnished pursuant to Section 7.1 of the Amended Credit Agreement immediately prior to Sixth Amendment Effective Date.</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Article VI. </w:t>
      </w:r>
      <w:r>
        <w:rPr>
          <w:rFonts w:ascii="Times New Roman" w:cs="Times New Roman" w:eastAsia="Times New Roman" w:hAnsi="Times New Roman"/>
          <w:sz w:val="20"/>
          <w:szCs w:val="20"/>
          <w:b w:val="1"/>
          <w:bCs w:val="1"/>
          <w:u w:val="single" w:color="auto"/>
          <w:color w:val="auto"/>
        </w:rPr>
        <w:t>Acknowledgment and Affirmation</w:t>
      </w:r>
      <w:r>
        <w:rPr>
          <w:rFonts w:ascii="Times New Roman" w:cs="Times New Roman" w:eastAsia="Times New Roman" w:hAnsi="Times New Roman"/>
          <w:sz w:val="20"/>
          <w:szCs w:val="20"/>
          <w:color w:val="auto"/>
        </w:rPr>
        <w:t>. Holdings, on behalf of itself and each other Credit Party, hereby (i)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the terms of the Amended Credit Agreement, (ii) ratifies and affirms after giving effect to this Amendment the obligations under the Loan Documents (including guarantees and security agreements), (iii) after giving effect to this Amendment, acknowledges, renews and extends its continued liability under all such Loan Documents and agrees such Loan Documents remain in full force and effect, (iv) agrees that all Collateral shall rank as continuing security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20"/>
          <w:szCs w:val="20"/>
          <w:color w:val="auto"/>
        </w:rPr>
        <w:t>payment and discharge of the Obligations under or in connection with the Amended Credit Agreement or the Security Documents with effect from the date of its creation and (v) agrees that all Security Documents and the Collateral constituted thereby shall continue in full force and effect in all respects and the Security Documents and this Amendment shall be read and construed together.</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Article VII. </w:t>
      </w:r>
      <w:r>
        <w:rPr>
          <w:rFonts w:ascii="Times New Roman" w:cs="Times New Roman" w:eastAsia="Times New Roman" w:hAnsi="Times New Roman"/>
          <w:sz w:val="20"/>
          <w:szCs w:val="20"/>
          <w:b w:val="1"/>
          <w:bCs w:val="1"/>
          <w:u w:val="single" w:color="auto"/>
          <w:color w:val="auto"/>
        </w:rPr>
        <w:t>Expenses</w:t>
      </w:r>
      <w:r>
        <w:rPr>
          <w:rFonts w:ascii="Times New Roman" w:cs="Times New Roman" w:eastAsia="Times New Roman" w:hAnsi="Times New Roman"/>
          <w:sz w:val="20"/>
          <w:szCs w:val="20"/>
          <w:color w:val="auto"/>
        </w:rPr>
        <w:t>. Holdings agrees to reimburse the Administrative Agent for its reasonable out-of-pocket expenses incurred by it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this Amendment, including the reasonable fees, charges and disbursements of Cahill Gordon &amp; Reindel llp, New York counsel for the Administrative Agent.</w:t>
      </w:r>
    </w:p>
    <w:p>
      <w:pPr>
        <w:spacing w:after="0" w:line="17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Article VIII.</w:t>
      </w:r>
      <w:r>
        <w:rPr>
          <w:sz w:val="20"/>
          <w:szCs w:val="20"/>
          <w:color w:val="auto"/>
        </w:rPr>
        <w:tab/>
      </w:r>
      <w:r>
        <w:rPr>
          <w:rFonts w:ascii="Times New Roman" w:cs="Times New Roman" w:eastAsia="Times New Roman" w:hAnsi="Times New Roman"/>
          <w:sz w:val="19"/>
          <w:szCs w:val="19"/>
          <w:b w:val="1"/>
          <w:bCs w:val="1"/>
          <w:u w:val="single" w:color="auto"/>
          <w:color w:val="auto"/>
        </w:rPr>
        <w:t>Miscellaneous</w:t>
      </w:r>
      <w:r>
        <w:rPr>
          <w:rFonts w:ascii="Times New Roman" w:cs="Times New Roman" w:eastAsia="Times New Roman" w:hAnsi="Times New Roman"/>
          <w:sz w:val="19"/>
          <w:szCs w:val="19"/>
          <w:b w:val="1"/>
          <w:bCs w:val="1"/>
          <w:color w:val="auto"/>
        </w:rPr>
        <w:t>.</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8.01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Except as expressly set forth herein, this Amendment shall not alter, modify, amend or in any way affect any of the terms, conditions, obligations, covenants or agreements contained in the Existing Credit Agreement or any other provision of the Existing Credit Agreement or any other Loan Document, all of which are ratified and affirmed in all respects and shall continue in full force and effect.</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8.02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Amendment which is prohibited or unenforceable in any jurisdiction shall, as to such jurisdiction, be ineffective to the extent of such prohibition or unenforceability without invalidating the remaining provision hereof or affecting the validity or enforceability of such provision in any other jurisdiction.</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8.03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The validity, interpretation and enforcement of this Amendment and any dispute arising out of the relationship between the parties hereto, whether in contract, tort, equity or otherwise, shall be governed by the internal laws of the State of New York but excluding any principles of conflicts of law or other rule of law that would cause the application of the law of any jurisdiction other than the laws of the State of New York.</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8.04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relating to this Amendment shall be delivered in the manner and subject to the provisions set forth in the Existing Credit Agreement.</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8.05 </w:t>
      </w:r>
      <w:r>
        <w:rPr>
          <w:rFonts w:ascii="Times New Roman" w:cs="Times New Roman" w:eastAsia="Times New Roman" w:hAnsi="Times New Roman"/>
          <w:sz w:val="20"/>
          <w:szCs w:val="20"/>
          <w:u w:val="single" w:color="auto"/>
          <w:color w:val="auto"/>
        </w:rPr>
        <w:t>Counterparts; Effectiveness; Electronic Execution</w:t>
      </w:r>
      <w:r>
        <w:rPr>
          <w:rFonts w:ascii="Times New Roman" w:cs="Times New Roman" w:eastAsia="Times New Roman" w:hAnsi="Times New Roman"/>
          <w:sz w:val="20"/>
          <w:szCs w:val="20"/>
          <w:color w:val="auto"/>
        </w:rPr>
        <w:t xml:space="preserve">. This Amendment may be executed in counterparts (and by different parties hereto in different counterparts), each of which shall constitute an original, but all of which when taken together shall constitute a single agreement. Except as provided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this Amendment shall become effective when it shall have been executed by the Administrative Agent. Delivery of an executed counterpart of a signature page of this Amendment by facsimile or other electronic imaging (e.g., “pdf” or “tif”) shall be effective as delivery of a manually executed counterpart of this Amendment.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Section 8.06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This headings of this Amendment are for purposes of reference only and shall not limit or otherwise affect the meaning hereof.</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8.07 </w:t>
      </w:r>
      <w:r>
        <w:rPr>
          <w:rFonts w:ascii="Times New Roman" w:cs="Times New Roman" w:eastAsia="Times New Roman" w:hAnsi="Times New Roman"/>
          <w:sz w:val="20"/>
          <w:szCs w:val="20"/>
          <w:u w:val="single" w:color="auto"/>
          <w:color w:val="auto"/>
        </w:rPr>
        <w:t>Reference to and Effect on the Existing Credit Agreement and the Other Loan Documents</w:t>
      </w:r>
      <w:r>
        <w:rPr>
          <w:rFonts w:ascii="Times New Roman" w:cs="Times New Roman" w:eastAsia="Times New Roman" w:hAnsi="Times New Roman"/>
          <w:sz w:val="20"/>
          <w:szCs w:val="20"/>
          <w:color w:val="auto"/>
        </w:rPr>
        <w:t>. As of the Sixth Amendment Effective Date, each reference in the Amended Credit Agreement to “this Agreement,” “hereunder,” “hereof,” “herein,” or words of like import, and each reference in the other Loan Documents to the “Credit Agreement” (including, without limitation, by means of words like “thereunder,” “thereof” and words of like import), shall mean and be a reference to the Amended Credit Agreement, and this Amendment and the Amended Credit Agreement shall be read together and construed as a single instrument. This Amendment shall constitute a Loan Document. This Amendment shall not constitute a novation of the Existing Credit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42" w:name="page43"/>
    <w:bookmarkEnd w:id="42"/>
    <w:p>
      <w:pPr>
        <w:spacing w:after="0" w:line="14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by its respective authorized officer(s) as of the day and year first above written.</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David Beaver</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Name: David Beaver</w:t>
      </w:r>
    </w:p>
    <w:p>
      <w:pPr>
        <w:spacing w:after="0" w:line="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[Signature Page to Sixth Amendment]</w:t>
      </w:r>
    </w:p>
    <w:p>
      <w:pPr>
        <w:sectPr>
          <w:pgSz w:w="11900" w:h="16838" w:orient="portrait"/>
          <w:cols w:equalWidth="0" w:num="1">
            <w:col w:w="10980"/>
          </w:cols>
          <w:pgMar w:left="320" w:top="1440" w:right="59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DEUTSCHE BANK AG, CANADA BRANCH,</w:t>
      </w:r>
    </w:p>
    <w:p>
      <w:pPr>
        <w:spacing w:after="0" w:line="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50" w:lineRule="exact"/>
        <w:rPr>
          <w:sz w:val="20"/>
          <w:szCs w:val="20"/>
          <w:color w:val="auto"/>
        </w:rPr>
      </w:pPr>
    </w:p>
    <w:p>
      <w:pPr>
        <w:jc w:val="right"/>
        <w:ind w:right="4559"/>
        <w:spacing w:after="0"/>
        <w:tabs>
          <w:tab w:leader="none" w:pos="33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David Gynn</w:t>
      </w:r>
    </w:p>
    <w:p>
      <w:pPr>
        <w:spacing w:after="0" w:line="22"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20"/>
          <w:szCs w:val="20"/>
          <w:color w:val="auto"/>
        </w:rPr>
        <w:t>Name: David Gynn</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0"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/s/Edward Salibian</w:t>
      </w:r>
    </w:p>
    <w:p>
      <w:pPr>
        <w:spacing w:after="0" w:line="2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Edward Salibian</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Sixth Amendment]</w:t>
      </w:r>
    </w:p>
    <w:p>
      <w:pPr>
        <w:sectPr>
          <w:pgSz w:w="11900" w:h="16838" w:orient="portrait"/>
          <w:cols w:equalWidth="0" w:num="1">
            <w:col w:w="9019"/>
          </w:cols>
          <w:pgMar w:left="1440" w:top="144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[Amended Credit Agreement]</w:t>
      </w:r>
    </w:p>
    <w:p>
      <w:pPr>
        <w:sectPr>
          <w:pgSz w:w="11900" w:h="16838" w:orient="portrait"/>
          <w:cols w:equalWidth="0" w:num="1">
            <w:col w:w="9019"/>
          </w:cols>
          <w:pgMar w:left="1440" w:top="1413" w:right="1440"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DM3/6240052</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BUSINESS.31606819.2</w:t>
      </w:r>
    </w:p>
    <w:p>
      <w:pPr>
        <w:sectPr>
          <w:pgSz w:w="11900" w:h="16838" w:orient="portrait"/>
          <w:cols w:equalWidth="0" w:num="1">
            <w:col w:w="10139"/>
          </w:cols>
          <w:pgMar w:left="320" w:top="1440"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_______________________</w:t>
      </w:r>
    </w:p>
    <w:p>
      <w:pPr>
        <w:spacing w:after="0" w:line="19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$800,000,000 Dollar Revolving Facility</w:t>
      </w:r>
    </w:p>
    <w:p>
      <w:pPr>
        <w:spacing w:after="0" w:line="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$800,000,000 Multicurrency Revolving Facility</w:t>
      </w:r>
    </w:p>
    <w:p>
      <w:pPr>
        <w:jc w:val="center"/>
        <w:ind w:right="400"/>
        <w:spacing w:after="0" w:line="230" w:lineRule="auto"/>
        <w:rPr>
          <w:sz w:val="20"/>
          <w:szCs w:val="20"/>
          <w:color w:val="auto"/>
        </w:rPr>
      </w:pPr>
      <w:r>
        <w:rPr>
          <w:rFonts w:ascii="Times New Roman" w:cs="Times New Roman" w:eastAsia="Times New Roman" w:hAnsi="Times New Roman"/>
          <w:sz w:val="22"/>
          <w:szCs w:val="22"/>
          <w:b w:val="1"/>
          <w:bCs w:val="1"/>
          <w:color w:val="auto"/>
        </w:rPr>
        <w:t>$50,000,000 Canadian Revolving Facility</w:t>
      </w:r>
    </w:p>
    <w:p>
      <w:pPr>
        <w:jc w:val="center"/>
        <w:ind w:right="400"/>
        <w:spacing w:after="0" w:line="231" w:lineRule="auto"/>
        <w:rPr>
          <w:sz w:val="20"/>
          <w:szCs w:val="20"/>
          <w:color w:val="auto"/>
        </w:rPr>
      </w:pPr>
      <w:r>
        <w:rPr>
          <w:rFonts w:ascii="Times New Roman" w:cs="Times New Roman" w:eastAsia="Times New Roman" w:hAnsi="Times New Roman"/>
          <w:sz w:val="22"/>
          <w:szCs w:val="22"/>
          <w:b w:val="1"/>
          <w:bCs w:val="1"/>
          <w:color w:val="auto"/>
        </w:rPr>
        <w:t>$1,800,000,000 Term Loan A Facility</w:t>
      </w:r>
    </w:p>
    <w:p>
      <w:pPr>
        <w:jc w:val="center"/>
        <w:ind w:right="400"/>
        <w:spacing w:after="0" w:line="230" w:lineRule="auto"/>
        <w:rPr>
          <w:sz w:val="20"/>
          <w:szCs w:val="20"/>
          <w:color w:val="auto"/>
        </w:rPr>
      </w:pPr>
      <w:r>
        <w:rPr>
          <w:rFonts w:ascii="Times New Roman" w:cs="Times New Roman" w:eastAsia="Times New Roman" w:hAnsi="Times New Roman"/>
          <w:sz w:val="22"/>
          <w:szCs w:val="22"/>
          <w:b w:val="1"/>
          <w:bCs w:val="1"/>
          <w:color w:val="auto"/>
        </w:rPr>
        <w:t>€540,000,000 Term Euro Facility</w:t>
      </w:r>
    </w:p>
    <w:p>
      <w:pPr>
        <w:spacing w:after="0" w:line="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_________________________</w:t>
      </w:r>
    </w:p>
    <w:p>
      <w:pPr>
        <w:spacing w:after="0" w:line="27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AMENDED AND RESTATED CREDIT AGREEMENT</w:t>
      </w:r>
      <w:r>
        <w:rPr>
          <w:rFonts w:ascii="Times New Roman" w:cs="Times New Roman" w:eastAsia="Times New Roman" w:hAnsi="Times New Roman"/>
          <w:sz w:val="22"/>
          <w:szCs w:val="22"/>
          <w:color w:val="auto"/>
        </w:rPr>
        <w:t>,</w:t>
      </w:r>
    </w:p>
    <w:p>
      <w:pPr>
        <w:spacing w:after="0" w:line="125"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Dated April 7, 2017,</w:t>
      </w:r>
    </w:p>
    <w:p>
      <w:pPr>
        <w:spacing w:after="0" w:line="11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b w:val="1"/>
          <w:bCs w:val="1"/>
          <w:color w:val="auto"/>
        </w:rPr>
        <w:t>as amended by the First Amendment, dated as of December 28, 2017,</w:t>
      </w:r>
    </w:p>
    <w:p>
      <w:pPr>
        <w:spacing w:after="0" w:line="1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b w:val="1"/>
          <w:bCs w:val="1"/>
          <w:color w:val="auto"/>
        </w:rPr>
        <w:t>as further amended by Incremental Amendment No. 1, dated as of January 29, 2018,</w:t>
      </w:r>
    </w:p>
    <w:p>
      <w:pPr>
        <w:spacing w:after="0" w:line="1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b w:val="1"/>
          <w:bCs w:val="1"/>
          <w:color w:val="auto"/>
        </w:rPr>
        <w:t>as further amended by the Second Amendment, dated as of March 23, 2018,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 further amended by the Incremental Amendment No. 2 and Third Amendment, dated as of December 13, 2019</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as further amended by the Fourth Amendment, dated as of October 4, 2021,</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as further amended by the Incremental Amendment No. 3 and Fifth Amendment, dated as of August 8, 2022,</w:t>
      </w:r>
    </w:p>
    <w:p>
      <w:pPr>
        <w:spacing w:after="0" w:line="1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25"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b w:val="1"/>
          <w:bCs w:val="1"/>
          <w:color w:val="auto"/>
        </w:rPr>
        <w:t>as further amended by the Sixth Amendment, dated as of June 28, 2024,</w:t>
      </w:r>
    </w:p>
    <w:p>
      <w:pPr>
        <w:spacing w:after="0" w:line="1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7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CROWN AMERICAS LLC,</w:t>
      </w:r>
    </w:p>
    <w:p>
      <w:pPr>
        <w:spacing w:after="0" w:line="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as a U.S. Borrower,</w:t>
      </w:r>
    </w:p>
    <w:p>
      <w:pPr>
        <w:spacing w:after="0" w:line="7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CROWN EUROPEAN HOLDINGS S.A.,</w:t>
      </w:r>
    </w:p>
    <w:p>
      <w:pPr>
        <w:spacing w:after="0" w:line="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as European Borrower,</w:t>
      </w:r>
    </w:p>
    <w:p>
      <w:pPr>
        <w:spacing w:after="0" w:line="7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CROWN METAL PACKAGING CANADA LP,</w:t>
      </w:r>
    </w:p>
    <w:p>
      <w:pPr>
        <w:spacing w:after="0" w:line="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as Canadian Borrower,</w:t>
      </w:r>
    </w:p>
    <w:p>
      <w:pPr>
        <w:spacing w:after="0" w:line="12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THE SUBSIDIARY BORROWERS NAMED HEREIN,</w:t>
      </w:r>
    </w:p>
    <w:p>
      <w:pPr>
        <w:spacing w:after="0" w:line="7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3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CROWN INTERNATIONAL HOLDINGS, INC. and</w:t>
      </w:r>
    </w:p>
    <w:p>
      <w:pPr>
        <w:spacing w:after="0" w:line="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CROWN CORK &amp; SEAL COMPANY, INC.,</w:t>
      </w:r>
    </w:p>
    <w:p>
      <w:pPr>
        <w:spacing w:after="0" w:line="3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as Parent Guarantors,</w:t>
      </w:r>
    </w:p>
    <w:p>
      <w:pPr>
        <w:spacing w:after="0" w:line="1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DEUTSCHE BANK AG NEW YORK BRANCH,</w:t>
      </w:r>
    </w:p>
    <w:p>
      <w:pPr>
        <w:spacing w:after="0" w:line="1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as Administrative Agent</w:t>
      </w:r>
    </w:p>
    <w:p>
      <w:pPr>
        <w:spacing w:after="0" w:line="1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b w:val="1"/>
          <w:bCs w:val="1"/>
          <w:color w:val="auto"/>
        </w:rPr>
        <w:t>and</w:t>
      </w:r>
    </w:p>
    <w:p>
      <w:pPr>
        <w:sectPr>
          <w:pgSz w:w="11900" w:h="16838" w:orient="portrait"/>
          <w:cols w:equalWidth="0" w:num="1">
            <w:col w:w="10840"/>
          </w:cols>
          <w:pgMar w:left="720" w:top="1404" w:right="339" w:bottom="1440" w:gutter="0" w:footer="0" w:header="0"/>
        </w:sectPr>
      </w:pPr>
    </w:p>
    <w:bookmarkStart w:id="47" w:name="page48"/>
    <w:bookmarkEnd w:id="47"/>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DEUTSCHE BANK AG, LONDON BRANCH,</w:t>
      </w:r>
    </w:p>
    <w:p>
      <w:pPr>
        <w:spacing w:after="0" w:line="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U.K. Administrative Agent</w:t>
      </w:r>
    </w:p>
    <w:p>
      <w:pPr>
        <w:spacing w:after="0" w:line="1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DEUTSCHE BANK AG, CANADA BRANCH,</w:t>
      </w:r>
    </w:p>
    <w:p>
      <w:pPr>
        <w:spacing w:after="0" w:line="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Canadian Administrative Agent</w:t>
      </w:r>
    </w:p>
    <w:p>
      <w:pPr>
        <w:spacing w:after="0" w:line="1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74"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Deutsche Bank Securities Inc.,</w:t>
      </w:r>
    </w:p>
    <w:p>
      <w:pPr>
        <w:spacing w:after="0" w:line="26"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BNP Paribas,</w:t>
      </w:r>
    </w:p>
    <w:p>
      <w:pPr>
        <w:spacing w:after="0" w:line="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 xml:space="preserve">COÖPERATIEVE RABOBANK U.A., </w:t>
      </w:r>
      <w:r>
        <w:rPr>
          <w:rFonts w:ascii="Arial" w:cs="Arial" w:eastAsia="Arial" w:hAnsi="Arial"/>
          <w:sz w:val="22"/>
          <w:szCs w:val="22"/>
          <w:b w:val="1"/>
          <w:bCs w:val="1"/>
          <w:color w:val="auto"/>
        </w:rPr>
        <w:t>New York Branch,</w:t>
      </w:r>
    </w:p>
    <w:p>
      <w:pPr>
        <w:spacing w:after="0" w:line="3"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Credit Agricole Corporate and Investment Bank,</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ING CAPITAL LLC,</w:t>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UniCredit Bank AG,</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Joint Sustainability Coordinators,</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7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VARIOUS LENDING INSTITUTIONS</w:t>
      </w:r>
    </w:p>
    <w:p>
      <w:pPr>
        <w:spacing w:after="0" w:line="3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Arranged by</w:t>
      </w:r>
    </w:p>
    <w:p>
      <w:pPr>
        <w:jc w:val="center"/>
        <w:ind w:right="-1120"/>
        <w:spacing w:after="0"/>
        <w:rPr>
          <w:sz w:val="20"/>
          <w:szCs w:val="20"/>
          <w:color w:val="auto"/>
        </w:rPr>
      </w:pPr>
      <w:r>
        <w:rPr>
          <w:rFonts w:ascii="Arial" w:cs="Arial" w:eastAsia="Arial" w:hAnsi="Arial"/>
          <w:sz w:val="22"/>
          <w:szCs w:val="22"/>
          <w:b w:val="1"/>
          <w:bCs w:val="1"/>
          <w:color w:val="auto"/>
        </w:rPr>
        <w:t>Deutsche Bank Securities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CITIBANK, N.A.,</w:t>
      </w:r>
    </w:p>
    <w:p>
      <w:pPr>
        <w:jc w:val="center"/>
        <w:ind w:right="-1120"/>
        <w:spacing w:after="0"/>
        <w:rPr>
          <w:sz w:val="20"/>
          <w:szCs w:val="20"/>
          <w:color w:val="auto"/>
        </w:rPr>
      </w:pPr>
      <w:r>
        <w:rPr>
          <w:rFonts w:ascii="Arial" w:cs="Arial" w:eastAsia="Arial" w:hAnsi="Arial"/>
          <w:sz w:val="22"/>
          <w:szCs w:val="22"/>
          <w:b w:val="1"/>
          <w:bCs w:val="1"/>
          <w:color w:val="auto"/>
        </w:rPr>
        <w:t>BANCO SANTANDER, S.A.,</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BNP Paribas,</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BofA Securities,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Mizuho Bank, Ltd.</w:t>
      </w:r>
    </w:p>
    <w:p>
      <w:pPr>
        <w:spacing w:after="0" w:line="1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PNC Capital Markets LLC</w:t>
      </w:r>
    </w:p>
    <w:p>
      <w:pPr>
        <w:spacing w:after="0" w:line="4"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UniCredit Bank AG</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TD Securities (USA) LLC,</w:t>
      </w:r>
    </w:p>
    <w:p>
      <w:pPr>
        <w:spacing w:after="0" w:line="4"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The Bank of Nova Scotia,</w:t>
      </w:r>
    </w:p>
    <w:p>
      <w:pPr>
        <w:spacing w:after="0" w:line="4"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WELLS FARGO SECURITIES, LLC,</w:t>
      </w:r>
    </w:p>
    <w:p>
      <w:pPr>
        <w:spacing w:after="0" w:line="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as Incremental Amendment No. 3 and Fifth Amendment Arrangers,</w:t>
      </w:r>
    </w:p>
    <w:p>
      <w:pPr>
        <w:spacing w:after="0" w:line="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 xml:space="preserve">COÖPERATIEVE RABOBANK U.A., </w:t>
      </w:r>
      <w:r>
        <w:rPr>
          <w:rFonts w:ascii="Arial" w:cs="Arial" w:eastAsia="Arial" w:hAnsi="Arial"/>
          <w:sz w:val="22"/>
          <w:szCs w:val="22"/>
          <w:b w:val="1"/>
          <w:bCs w:val="1"/>
          <w:color w:val="auto"/>
        </w:rPr>
        <w:t>New York Branch</w:t>
      </w:r>
      <w:r>
        <w:rPr>
          <w:rFonts w:ascii="Times New Roman" w:cs="Times New Roman" w:eastAsia="Times New Roman" w:hAnsi="Times New Roman"/>
          <w:sz w:val="22"/>
          <w:szCs w:val="22"/>
          <w:b w:val="1"/>
          <w:bCs w:val="1"/>
          <w:color w:val="auto"/>
        </w:rPr>
        <w:t>,</w:t>
      </w:r>
    </w:p>
    <w:p>
      <w:pPr>
        <w:spacing w:after="0" w:line="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Credit Agricole Corporate and Investment Bank,</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ING BANK N.V., DUBLIN BRANCH</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MUFG BANK, LTD.</w:t>
      </w:r>
      <w:r>
        <w:rPr>
          <w:rFonts w:ascii="Arial" w:cs="Arial" w:eastAsia="Arial" w:hAnsi="Arial"/>
          <w:sz w:val="22"/>
          <w:szCs w:val="22"/>
          <w:b w:val="1"/>
          <w:bCs w:val="1"/>
          <w:color w:val="auto"/>
        </w:rPr>
        <w:t>,</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Sumitomo Mitsui Banking Corporation,</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COBANK, ACB,</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The Huntington National Bank,</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as Incremental Amendment No. 3 and Fifth Amendment Co-Documentation Agents</w:t>
      </w:r>
    </w:p>
    <w:p>
      <w:pPr>
        <w:sectPr>
          <w:pgSz w:w="11900" w:h="16838" w:orient="portrait"/>
          <w:cols w:equalWidth="0" w:num="1">
            <w:col w:w="10139"/>
          </w:cols>
          <w:pgMar w:left="320" w:top="1418"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40" w:type="dxa"/>
            <w:vAlign w:val="bottom"/>
            <w:gridSpan w:val="5"/>
          </w:tcPr>
          <w:p>
            <w:pPr>
              <w:jc w:val="center"/>
              <w:ind w:right="3701"/>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r>
      <w:tr>
        <w:trPr>
          <w:trHeight w:val="439"/>
        </w:trPr>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57"/>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Definitions</w:t>
            </w:r>
          </w:p>
        </w:tc>
        <w:tc>
          <w:tcPr>
            <w:tcW w:w="50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99"/>
              </w:rPr>
              <w:t>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5960" w:type="dxa"/>
            <w:vAlign w:val="bottom"/>
            <w:gridSpan w:val="10"/>
          </w:tcPr>
          <w:p>
            <w:pPr>
              <w:ind w:left="20"/>
              <w:spacing w:after="0"/>
              <w:rPr>
                <w:sz w:val="20"/>
                <w:szCs w:val="20"/>
                <w:color w:val="auto"/>
              </w:rPr>
            </w:pPr>
            <w:r>
              <w:rPr>
                <w:rFonts w:ascii="Times New Roman" w:cs="Times New Roman" w:eastAsia="Times New Roman" w:hAnsi="Times New Roman"/>
                <w:sz w:val="20"/>
                <w:szCs w:val="20"/>
                <w:color w:val="auto"/>
              </w:rPr>
              <w:t>Terms Generally; Financial Statements  71</w:t>
            </w: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1.3</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Luxembourg terms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1.4</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9"/>
              </w:rPr>
              <w:t>French terms</w:t>
            </w: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72</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2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1.5</w:t>
            </w:r>
          </w:p>
        </w:tc>
        <w:tc>
          <w:tcPr>
            <w:tcW w:w="256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Calculation of Exchange Rate</w:t>
            </w:r>
          </w:p>
        </w:tc>
        <w:tc>
          <w:tcPr>
            <w:tcW w:w="82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73</w:t>
            </w:r>
          </w:p>
        </w:tc>
        <w:tc>
          <w:tcPr>
            <w:tcW w:w="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1.6</w:t>
            </w:r>
          </w:p>
        </w:tc>
        <w:tc>
          <w:tcPr>
            <w:tcW w:w="256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w w:val="97"/>
              </w:rPr>
              <w:t>Limited Condition Transactions</w:t>
            </w: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73</w:t>
            </w: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2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1.7</w:t>
            </w: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Sanctions Limitations</w:t>
            </w:r>
          </w:p>
        </w:tc>
        <w:tc>
          <w:tcPr>
            <w:tcW w:w="100" w:type="dxa"/>
            <w:vAlign w:val="bottom"/>
          </w:tcPr>
          <w:p>
            <w:pPr>
              <w:spacing w:after="0"/>
              <w:rPr>
                <w:sz w:val="19"/>
                <w:szCs w:val="19"/>
                <w:color w:val="auto"/>
              </w:rPr>
            </w:pP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89"/>
              </w:rPr>
              <w:t>75</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1.8</w:t>
            </w:r>
          </w:p>
        </w:tc>
        <w:tc>
          <w:tcPr>
            <w:tcW w:w="596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rPr>
              <w:t>Effect of Amendment and Restatement of the Existing Credit Agreement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8"/>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1.9</w:t>
            </w:r>
          </w:p>
        </w:tc>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Divisions</w:t>
            </w:r>
          </w:p>
        </w:tc>
        <w:tc>
          <w:tcPr>
            <w:tcW w:w="78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75</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430"/>
        </w:trPr>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jc w:val="center"/>
              <w:ind w:left="201"/>
              <w:spacing w:after="0"/>
              <w:rPr>
                <w:sz w:val="20"/>
                <w:szCs w:val="20"/>
                <w:color w:val="auto"/>
              </w:rPr>
            </w:pPr>
            <w:r>
              <w:rPr>
                <w:rFonts w:ascii="Times New Roman" w:cs="Times New Roman" w:eastAsia="Times New Roman" w:hAnsi="Times New Roman"/>
                <w:sz w:val="20"/>
                <w:szCs w:val="20"/>
                <w:color w:val="auto"/>
                <w:w w:val="97"/>
              </w:rPr>
              <w:t>ARTICLE II</w:t>
            </w:r>
          </w:p>
        </w:tc>
        <w:tc>
          <w:tcPr>
            <w:tcW w:w="3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8"/>
        </w:trPr>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60" w:type="dxa"/>
            <w:vAlign w:val="bottom"/>
            <w:gridSpan w:val="9"/>
          </w:tcPr>
          <w:p>
            <w:pPr>
              <w:ind w:left="40"/>
              <w:spacing w:after="0"/>
              <w:rPr>
                <w:sz w:val="20"/>
                <w:szCs w:val="20"/>
                <w:color w:val="auto"/>
              </w:rPr>
            </w:pPr>
            <w:r>
              <w:rPr>
                <w:rFonts w:ascii="Times New Roman" w:cs="Times New Roman" w:eastAsia="Times New Roman" w:hAnsi="Times New Roman"/>
                <w:sz w:val="20"/>
                <w:szCs w:val="20"/>
                <w:color w:val="auto"/>
              </w:rPr>
              <w:t>AMOUNT AND TERMS OF U.S. DOLLAR, STERLING AND EURO CREDITS</w:t>
            </w:r>
          </w:p>
        </w:tc>
      </w:tr>
      <w:tr>
        <w:trPr>
          <w:trHeight w:val="4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The Commitments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596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rPr>
              <w:t>Evidence of Indebtedness; Repayment of Loans  79</w:t>
            </w: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596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w w:val="99"/>
              </w:rPr>
              <w:t>Minimum Amount of Each Borrowing; Maximum Number of Borrowings</w:t>
            </w:r>
          </w:p>
        </w:tc>
        <w:tc>
          <w:tcPr>
            <w:tcW w:w="4460" w:type="dxa"/>
            <w:vAlign w:val="bottom"/>
            <w:gridSpan w:val="2"/>
          </w:tcPr>
          <w:p>
            <w:pPr>
              <w:jc w:val="right"/>
              <w:ind w:right="4120"/>
              <w:spacing w:after="0"/>
              <w:rPr>
                <w:sz w:val="20"/>
                <w:szCs w:val="20"/>
                <w:color w:val="auto"/>
              </w:rPr>
            </w:pPr>
            <w:r>
              <w:rPr>
                <w:rFonts w:ascii="Times New Roman" w:cs="Times New Roman" w:eastAsia="Times New Roman" w:hAnsi="Times New Roman"/>
                <w:sz w:val="20"/>
                <w:szCs w:val="20"/>
                <w:color w:val="auto"/>
              </w:rPr>
              <w:t>79</w:t>
            </w: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9"/>
              </w:rPr>
              <w:t>Borrowing Options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2.5</w:t>
            </w: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Notice of Borrowing</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80</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29"/>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2.6</w:t>
            </w:r>
          </w:p>
        </w:tc>
        <w:tc>
          <w:tcPr>
            <w:tcW w:w="236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Conversion or Continuation</w:t>
            </w:r>
          </w:p>
        </w:tc>
        <w:tc>
          <w:tcPr>
            <w:tcW w:w="1020" w:type="dxa"/>
            <w:vAlign w:val="bottom"/>
            <w:gridSpan w:val="2"/>
          </w:tcPr>
          <w:p>
            <w:pPr>
              <w:jc w:val="right"/>
              <w:ind w:right="641"/>
              <w:spacing w:after="0"/>
              <w:rPr>
                <w:sz w:val="20"/>
                <w:szCs w:val="20"/>
                <w:color w:val="auto"/>
              </w:rPr>
            </w:pPr>
            <w:r>
              <w:rPr>
                <w:rFonts w:ascii="Times New Roman" w:cs="Times New Roman" w:eastAsia="Times New Roman" w:hAnsi="Times New Roman"/>
                <w:sz w:val="20"/>
                <w:szCs w:val="20"/>
                <w:color w:val="auto"/>
              </w:rPr>
              <w:t>81</w:t>
            </w:r>
          </w:p>
        </w:tc>
        <w:tc>
          <w:tcPr>
            <w:tcW w:w="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2.7</w:t>
            </w:r>
          </w:p>
        </w:tc>
        <w:tc>
          <w:tcPr>
            <w:tcW w:w="196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Disbursement of Funds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2.8</w:t>
            </w:r>
          </w:p>
        </w:tc>
        <w:tc>
          <w:tcPr>
            <w:tcW w:w="596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rPr>
              <w:t>Utilization of Revolving Commitments in an Alternative Currency  82</w:t>
            </w: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2.9</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Additional Facility</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2.10</w:t>
            </w: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Letters of Credit</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Pro Rata Borrowings</w:t>
            </w:r>
          </w:p>
        </w:tc>
        <w:tc>
          <w:tcPr>
            <w:tcW w:w="100" w:type="dxa"/>
            <w:vAlign w:val="bottom"/>
          </w:tcPr>
          <w:p>
            <w:pPr>
              <w:spacing w:after="0"/>
              <w:rPr>
                <w:sz w:val="19"/>
                <w:szCs w:val="19"/>
                <w:color w:val="auto"/>
              </w:rPr>
            </w:pPr>
          </w:p>
        </w:tc>
        <w:tc>
          <w:tcPr>
            <w:tcW w:w="4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97</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2.12</w:t>
            </w:r>
          </w:p>
        </w:tc>
        <w:tc>
          <w:tcPr>
            <w:tcW w:w="18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Defaulting Lenders</w:t>
            </w:r>
          </w:p>
        </w:tc>
        <w:tc>
          <w:tcPr>
            <w:tcW w:w="50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w w:val="89"/>
              </w:rPr>
              <w:t>97</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2.13</w:t>
            </w:r>
          </w:p>
        </w:tc>
        <w:tc>
          <w:tcPr>
            <w:tcW w:w="338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Replacement Revolving Credit Facility</w:t>
            </w:r>
          </w:p>
        </w:tc>
        <w:tc>
          <w:tcPr>
            <w:tcW w:w="76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99</w:t>
            </w: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2.14</w:t>
            </w:r>
          </w:p>
        </w:tc>
        <w:tc>
          <w:tcPr>
            <w:tcW w:w="236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Replacement Term Loans</w:t>
            </w:r>
          </w:p>
        </w:tc>
        <w:tc>
          <w:tcPr>
            <w:tcW w:w="1020" w:type="dxa"/>
            <w:vAlign w:val="bottom"/>
            <w:gridSpan w:val="2"/>
          </w:tcPr>
          <w:p>
            <w:pPr>
              <w:jc w:val="right"/>
              <w:ind w:right="621"/>
              <w:spacing w:after="0"/>
              <w:rPr>
                <w:sz w:val="20"/>
                <w:szCs w:val="20"/>
                <w:color w:val="auto"/>
              </w:rPr>
            </w:pPr>
            <w:r>
              <w:rPr>
                <w:rFonts w:ascii="Times New Roman" w:cs="Times New Roman" w:eastAsia="Times New Roman" w:hAnsi="Times New Roman"/>
                <w:sz w:val="20"/>
                <w:szCs w:val="20"/>
                <w:color w:val="auto"/>
                <w:w w:val="93"/>
              </w:rPr>
              <w:t>101</w:t>
            </w: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2.15</w:t>
            </w:r>
          </w:p>
        </w:tc>
        <w:tc>
          <w:tcPr>
            <w:tcW w:w="236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Extension of Maturity Date</w:t>
            </w:r>
          </w:p>
        </w:tc>
        <w:tc>
          <w:tcPr>
            <w:tcW w:w="1020" w:type="dxa"/>
            <w:vAlign w:val="bottom"/>
            <w:gridSpan w:val="2"/>
          </w:tcPr>
          <w:p>
            <w:pPr>
              <w:jc w:val="right"/>
              <w:ind w:right="481"/>
              <w:spacing w:after="0"/>
              <w:rPr>
                <w:sz w:val="20"/>
                <w:szCs w:val="20"/>
                <w:color w:val="auto"/>
              </w:rPr>
            </w:pPr>
            <w:r>
              <w:rPr>
                <w:rFonts w:ascii="Times New Roman" w:cs="Times New Roman" w:eastAsia="Times New Roman" w:hAnsi="Times New Roman"/>
                <w:sz w:val="20"/>
                <w:szCs w:val="20"/>
                <w:color w:val="auto"/>
              </w:rPr>
              <w:t>102</w:t>
            </w: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2.16</w:t>
            </w:r>
          </w:p>
        </w:tc>
        <w:tc>
          <w:tcPr>
            <w:tcW w:w="256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w w:val="99"/>
              </w:rPr>
              <w:t>U.S. Borrower Representative</w:t>
            </w:r>
          </w:p>
        </w:tc>
        <w:tc>
          <w:tcPr>
            <w:tcW w:w="82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104</w:t>
            </w:r>
          </w:p>
        </w:tc>
        <w:tc>
          <w:tcPr>
            <w:tcW w:w="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2A.1</w:t>
            </w:r>
          </w:p>
        </w:tc>
        <w:tc>
          <w:tcPr>
            <w:tcW w:w="338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w w:val="99"/>
              </w:rPr>
              <w:t>The Canadian Revolving Commitments</w:t>
            </w:r>
          </w:p>
        </w:tc>
        <w:tc>
          <w:tcPr>
            <w:tcW w:w="76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104</w:t>
            </w: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2A.2</w:t>
            </w:r>
          </w:p>
        </w:tc>
        <w:tc>
          <w:tcPr>
            <w:tcW w:w="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Notes</w:t>
            </w:r>
          </w:p>
        </w:tc>
        <w:tc>
          <w:tcPr>
            <w:tcW w:w="780" w:type="dxa"/>
            <w:vAlign w:val="bottom"/>
            <w:gridSpan w:val="2"/>
          </w:tcPr>
          <w:p>
            <w:pPr>
              <w:jc w:val="right"/>
              <w:ind w:right="361"/>
              <w:spacing w:after="0"/>
              <w:rPr>
                <w:sz w:val="20"/>
                <w:szCs w:val="20"/>
                <w:color w:val="auto"/>
              </w:rPr>
            </w:pPr>
            <w:r>
              <w:rPr>
                <w:rFonts w:ascii="Times New Roman" w:cs="Times New Roman" w:eastAsia="Times New Roman" w:hAnsi="Times New Roman"/>
                <w:sz w:val="20"/>
                <w:szCs w:val="20"/>
                <w:color w:val="auto"/>
                <w:w w:val="99"/>
              </w:rPr>
              <w:t>104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2A.3</w:t>
            </w:r>
          </w:p>
        </w:tc>
        <w:tc>
          <w:tcPr>
            <w:tcW w:w="10820" w:type="dxa"/>
            <w:vAlign w:val="bottom"/>
            <w:gridSpan w:val="13"/>
          </w:tcPr>
          <w:p>
            <w:pPr>
              <w:ind w:left="180"/>
              <w:spacing w:after="0"/>
              <w:rPr>
                <w:sz w:val="20"/>
                <w:szCs w:val="20"/>
                <w:color w:val="auto"/>
              </w:rPr>
            </w:pPr>
            <w:r>
              <w:rPr>
                <w:rFonts w:ascii="Times New Roman" w:cs="Times New Roman" w:eastAsia="Times New Roman" w:hAnsi="Times New Roman"/>
                <w:sz w:val="20"/>
                <w:szCs w:val="20"/>
                <w:color w:val="auto"/>
              </w:rPr>
              <w:t>Minimum Amount of Each Borrowing; Maximum Number of Borrowings  105</w:t>
            </w: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2A.4</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Borrowing Options</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105</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2A.5</w:t>
            </w:r>
          </w:p>
        </w:tc>
        <w:tc>
          <w:tcPr>
            <w:tcW w:w="338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Notice of Canadian Borrowing  105</w:t>
            </w:r>
          </w:p>
        </w:tc>
        <w:tc>
          <w:tcPr>
            <w:tcW w:w="7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2A.6</w:t>
            </w:r>
          </w:p>
        </w:tc>
        <w:tc>
          <w:tcPr>
            <w:tcW w:w="256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Conversion or Continuation</w:t>
            </w:r>
          </w:p>
        </w:tc>
        <w:tc>
          <w:tcPr>
            <w:tcW w:w="82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99"/>
              </w:rPr>
              <w:t>105</w:t>
            </w: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2A.7</w:t>
            </w:r>
          </w:p>
        </w:tc>
        <w:tc>
          <w:tcPr>
            <w:tcW w:w="10820" w:type="dxa"/>
            <w:vAlign w:val="bottom"/>
            <w:gridSpan w:val="13"/>
          </w:tcPr>
          <w:p>
            <w:pPr>
              <w:ind w:left="180"/>
              <w:spacing w:after="0"/>
              <w:rPr>
                <w:sz w:val="20"/>
                <w:szCs w:val="20"/>
                <w:color w:val="auto"/>
              </w:rPr>
            </w:pPr>
            <w:r>
              <w:rPr>
                <w:rFonts w:ascii="Times New Roman" w:cs="Times New Roman" w:eastAsia="Times New Roman" w:hAnsi="Times New Roman"/>
                <w:sz w:val="20"/>
                <w:szCs w:val="20"/>
                <w:color w:val="auto"/>
              </w:rPr>
              <w:t>Disbursement of Funds and Presumptions by Canadian Administrative Agent  106</w:t>
            </w: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2A.8</w:t>
            </w:r>
          </w:p>
        </w:tc>
        <w:tc>
          <w:tcPr>
            <w:tcW w:w="18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Pro Rata Borrowings</w:t>
            </w:r>
          </w:p>
        </w:tc>
        <w:tc>
          <w:tcPr>
            <w:tcW w:w="1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2A.9</w:t>
            </w:r>
          </w:p>
        </w:tc>
        <w:tc>
          <w:tcPr>
            <w:tcW w:w="19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8"/>
              </w:rPr>
              <w:t>Bankers’ Acceptances</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107</w:t>
            </w: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8"/>
        </w:trPr>
        <w:tc>
          <w:tcPr>
            <w:tcW w:w="20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2A.10  Miscellaneous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110</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400" w:type="dxa"/>
            <w:vAlign w:val="bottom"/>
          </w:tcPr>
          <w:p>
            <w:pPr>
              <w:spacing w:after="0"/>
              <w:rPr>
                <w:sz w:val="22"/>
                <w:szCs w:val="22"/>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INTEREST AND FEES</w:t>
      </w:r>
    </w:p>
    <w:p>
      <w:pPr>
        <w:spacing w:after="0" w:line="200" w:lineRule="exact"/>
        <w:rPr>
          <w:sz w:val="20"/>
          <w:szCs w:val="20"/>
          <w:color w:val="auto"/>
        </w:rPr>
      </w:pPr>
    </w:p>
    <w:p>
      <w:pPr>
        <w:spacing w:after="0"/>
        <w:tabs>
          <w:tab w:leader="none" w:pos="440" w:val="left"/>
          <w:tab w:leader="none" w:pos="1220" w:val="left"/>
        </w:tabs>
        <w:rPr>
          <w:sz w:val="20"/>
          <w:szCs w:val="20"/>
          <w:color w:val="auto"/>
        </w:rPr>
      </w:pPr>
      <w:r>
        <w:rPr>
          <w:rFonts w:ascii="Times New Roman" w:cs="Times New Roman" w:eastAsia="Times New Roman" w:hAnsi="Times New Roman"/>
          <w:sz w:val="20"/>
          <w:szCs w:val="20"/>
          <w:color w:val="auto"/>
        </w:rPr>
        <w:t>3.1</w:t>
        <w:tab/>
        <w:t>Interest</w:t>
        <w:tab/>
        <w:t>110</w:t>
      </w:r>
    </w:p>
    <w:p>
      <w:pPr>
        <w:spacing w:after="0" w:line="28" w:lineRule="exact"/>
        <w:rPr>
          <w:sz w:val="20"/>
          <w:szCs w:val="20"/>
          <w:color w:val="auto"/>
        </w:rPr>
      </w:pPr>
    </w:p>
    <w:p>
      <w:pPr>
        <w:spacing w:after="0"/>
        <w:tabs>
          <w:tab w:leader="none" w:pos="440" w:val="left"/>
          <w:tab w:leader="none" w:pos="1000" w:val="left"/>
        </w:tabs>
        <w:rPr>
          <w:sz w:val="20"/>
          <w:szCs w:val="20"/>
          <w:color w:val="auto"/>
        </w:rPr>
      </w:pPr>
      <w:r>
        <w:rPr>
          <w:rFonts w:ascii="Times New Roman" w:cs="Times New Roman" w:eastAsia="Times New Roman" w:hAnsi="Times New Roman"/>
          <w:sz w:val="20"/>
          <w:szCs w:val="20"/>
          <w:color w:val="auto"/>
        </w:rPr>
        <w:t>3.2</w:t>
        <w:tab/>
        <w:t>Fees</w:t>
      </w:r>
      <w:r>
        <w:rPr>
          <w:sz w:val="20"/>
          <w:szCs w:val="20"/>
          <w:color w:val="auto"/>
        </w:rPr>
        <w:tab/>
      </w:r>
      <w:r>
        <w:rPr>
          <w:rFonts w:ascii="Times New Roman" w:cs="Times New Roman" w:eastAsia="Times New Roman" w:hAnsi="Times New Roman"/>
          <w:sz w:val="18"/>
          <w:szCs w:val="18"/>
          <w:color w:val="auto"/>
        </w:rPr>
        <w:t>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39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27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Computation of Interest and Fees</w:t>
            </w:r>
          </w:p>
        </w:tc>
        <w:tc>
          <w:tcPr>
            <w:tcW w:w="80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113</w:t>
            </w: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Interest Periods</w:t>
            </w:r>
          </w:p>
        </w:tc>
        <w:tc>
          <w:tcPr>
            <w:tcW w:w="5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113</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3.5</w:t>
            </w:r>
          </w:p>
        </w:tc>
        <w:tc>
          <w:tcPr>
            <w:tcW w:w="278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8"/>
              </w:rPr>
              <w:t>Compensation for Funding Losses</w:t>
            </w:r>
          </w:p>
        </w:tc>
        <w:tc>
          <w:tcPr>
            <w:tcW w:w="80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114</w:t>
            </w: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3.6</w:t>
            </w:r>
          </w:p>
        </w:tc>
        <w:tc>
          <w:tcPr>
            <w:tcW w:w="26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Increased Costs, Illegality, Etc.</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3.7</w:t>
            </w:r>
          </w:p>
        </w:tc>
        <w:tc>
          <w:tcPr>
            <w:tcW w:w="46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w w:val="98"/>
              </w:rPr>
              <w:t>Mitigation Obligations; Replacement of Affected Lenders</w:t>
            </w:r>
          </w:p>
        </w:tc>
        <w:tc>
          <w:tcPr>
            <w:tcW w:w="3580" w:type="dxa"/>
            <w:vAlign w:val="bottom"/>
          </w:tcPr>
          <w:p>
            <w:pPr>
              <w:jc w:val="right"/>
              <w:ind w:right="3021"/>
              <w:spacing w:after="0"/>
              <w:rPr>
                <w:sz w:val="20"/>
                <w:szCs w:val="20"/>
                <w:color w:val="auto"/>
              </w:rPr>
            </w:pPr>
            <w:r>
              <w:rPr>
                <w:rFonts w:ascii="Times New Roman" w:cs="Times New Roman" w:eastAsia="Times New Roman" w:hAnsi="Times New Roman"/>
                <w:sz w:val="20"/>
                <w:szCs w:val="20"/>
                <w:color w:val="auto"/>
              </w:rPr>
              <w:t>117</w:t>
            </w:r>
          </w:p>
        </w:tc>
      </w:tr>
      <w:tr>
        <w:trPr>
          <w:trHeight w:val="444"/>
        </w:trPr>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80" w:type="dxa"/>
            <w:vAlign w:val="bottom"/>
          </w:tcPr>
          <w:p>
            <w:pPr>
              <w:jc w:val="center"/>
              <w:ind w:right="2361"/>
              <w:spacing w:after="0"/>
              <w:rPr>
                <w:sz w:val="20"/>
                <w:szCs w:val="20"/>
                <w:color w:val="auto"/>
              </w:rPr>
            </w:pPr>
            <w:r>
              <w:rPr>
                <w:rFonts w:ascii="Times New Roman" w:cs="Times New Roman" w:eastAsia="Times New Roman" w:hAnsi="Times New Roman"/>
                <w:sz w:val="20"/>
                <w:szCs w:val="20"/>
                <w:color w:val="auto"/>
                <w:w w:val="97"/>
              </w:rPr>
              <w:t>ARTICLE IV</w:t>
            </w:r>
          </w:p>
        </w:tc>
      </w:tr>
      <w:tr>
        <w:trPr>
          <w:trHeight w:val="258"/>
        </w:trPr>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40" w:type="dxa"/>
            <w:vAlign w:val="bottom"/>
            <w:gridSpan w:val="6"/>
          </w:tcPr>
          <w:p>
            <w:pPr>
              <w:jc w:val="center"/>
              <w:ind w:left="101"/>
              <w:spacing w:after="0"/>
              <w:rPr>
                <w:sz w:val="20"/>
                <w:szCs w:val="20"/>
                <w:color w:val="auto"/>
              </w:rPr>
            </w:pPr>
            <w:r>
              <w:rPr>
                <w:rFonts w:ascii="Times New Roman" w:cs="Times New Roman" w:eastAsia="Times New Roman" w:hAnsi="Times New Roman"/>
                <w:sz w:val="20"/>
                <w:szCs w:val="20"/>
                <w:color w:val="auto"/>
                <w:w w:val="97"/>
              </w:rPr>
              <w:t>REDUCTION OF COMMITMENTS; PAYMENTS AND PREPAYMENTS</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308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w w:val="97"/>
              </w:rPr>
              <w:t>Voluntary Reduction of Commitments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10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466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rPr>
              <w:t>Mandatory Reductions of Term Commitments  119</w:t>
            </w:r>
          </w:p>
        </w:tc>
        <w:tc>
          <w:tcPr>
            <w:tcW w:w="358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Voluntary Prepayments</w:t>
            </w:r>
          </w:p>
        </w:tc>
        <w:tc>
          <w:tcPr>
            <w:tcW w:w="6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119</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20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7"/>
              </w:rPr>
              <w:t>Mandatory Prepayments</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120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8240" w:type="dxa"/>
            <w:vAlign w:val="bottom"/>
            <w:gridSpan w:val="9"/>
          </w:tcPr>
          <w:p>
            <w:pPr>
              <w:ind w:left="40"/>
              <w:spacing w:after="0"/>
              <w:rPr>
                <w:sz w:val="20"/>
                <w:szCs w:val="20"/>
                <w:color w:val="auto"/>
              </w:rPr>
            </w:pPr>
            <w:r>
              <w:rPr>
                <w:rFonts w:ascii="Times New Roman" w:cs="Times New Roman" w:eastAsia="Times New Roman" w:hAnsi="Times New Roman"/>
                <w:sz w:val="20"/>
                <w:szCs w:val="20"/>
                <w:color w:val="auto"/>
              </w:rPr>
              <w:t>Application of Prepayments; Waiver of Certain Prepayments  122</w:t>
            </w: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26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Method and Place of Payment</w:t>
            </w:r>
          </w:p>
        </w:tc>
        <w:tc>
          <w:tcPr>
            <w:tcW w:w="46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w w:val="99"/>
              </w:rPr>
              <w:t>123</w:t>
            </w: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11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Net Payments</w:t>
            </w: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124</w:t>
            </w: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580" w:type="dxa"/>
            <w:vAlign w:val="bottom"/>
          </w:tcPr>
          <w:p>
            <w:pPr>
              <w:spacing w:after="0"/>
              <w:rPr>
                <w:sz w:val="22"/>
                <w:szCs w:val="22"/>
                <w:color w:val="auto"/>
              </w:rPr>
            </w:pPr>
          </w:p>
        </w:tc>
      </w:tr>
      <w:tr>
        <w:trPr>
          <w:trHeight w:val="430"/>
        </w:trPr>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80" w:type="dxa"/>
            <w:vAlign w:val="bottom"/>
          </w:tcPr>
          <w:p>
            <w:pPr>
              <w:jc w:val="center"/>
              <w:ind w:right="2341"/>
              <w:spacing w:after="0"/>
              <w:rPr>
                <w:sz w:val="20"/>
                <w:szCs w:val="20"/>
                <w:color w:val="auto"/>
              </w:rPr>
            </w:pPr>
            <w:r>
              <w:rPr>
                <w:rFonts w:ascii="Times New Roman" w:cs="Times New Roman" w:eastAsia="Times New Roman" w:hAnsi="Times New Roman"/>
                <w:sz w:val="20"/>
                <w:szCs w:val="20"/>
                <w:color w:val="auto"/>
                <w:w w:val="98"/>
              </w:rPr>
              <w:t>ARTICLE V</w:t>
            </w:r>
          </w:p>
        </w:tc>
      </w:tr>
      <w:tr>
        <w:trPr>
          <w:trHeight w:val="258"/>
        </w:trPr>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60" w:type="dxa"/>
            <w:vAlign w:val="bottom"/>
            <w:gridSpan w:val="2"/>
          </w:tcPr>
          <w:p>
            <w:pPr>
              <w:jc w:val="center"/>
              <w:ind w:right="1281"/>
              <w:spacing w:after="0"/>
              <w:rPr>
                <w:sz w:val="20"/>
                <w:szCs w:val="20"/>
                <w:color w:val="auto"/>
              </w:rPr>
            </w:pPr>
            <w:r>
              <w:rPr>
                <w:rFonts w:ascii="Times New Roman" w:cs="Times New Roman" w:eastAsia="Times New Roman" w:hAnsi="Times New Roman"/>
                <w:sz w:val="20"/>
                <w:szCs w:val="20"/>
                <w:color w:val="auto"/>
                <w:w w:val="99"/>
              </w:rPr>
              <w:t>CONDITIONS OF CREDIT</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5.1</w:t>
            </w:r>
          </w:p>
        </w:tc>
        <w:tc>
          <w:tcPr>
            <w:tcW w:w="35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Conditions Precedent to the Effective Date</w:t>
            </w:r>
          </w:p>
        </w:tc>
        <w:tc>
          <w:tcPr>
            <w:tcW w:w="108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134</w:t>
            </w:r>
          </w:p>
        </w:tc>
        <w:tc>
          <w:tcPr>
            <w:tcW w:w="3580" w:type="dxa"/>
            <w:vAlign w:val="bottom"/>
          </w:tcPr>
          <w:p>
            <w:pPr>
              <w:spacing w:after="0"/>
              <w:rPr>
                <w:sz w:val="24"/>
                <w:szCs w:val="24"/>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5.2</w:t>
            </w:r>
          </w:p>
        </w:tc>
        <w:tc>
          <w:tcPr>
            <w:tcW w:w="35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Conditions Precedent to All Credit Events</w:t>
            </w:r>
          </w:p>
        </w:tc>
        <w:tc>
          <w:tcPr>
            <w:tcW w:w="108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w w:val="93"/>
              </w:rPr>
              <w:t>137</w:t>
            </w:r>
          </w:p>
        </w:tc>
        <w:tc>
          <w:tcPr>
            <w:tcW w:w="3580" w:type="dxa"/>
            <w:vAlign w:val="bottom"/>
          </w:tcPr>
          <w:p>
            <w:pPr>
              <w:spacing w:after="0"/>
              <w:rPr>
                <w:sz w:val="22"/>
                <w:szCs w:val="22"/>
                <w:color w:val="auto"/>
              </w:rPr>
            </w:pPr>
          </w:p>
        </w:tc>
      </w:tr>
      <w:tr>
        <w:trPr>
          <w:trHeight w:val="430"/>
        </w:trPr>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80" w:type="dxa"/>
            <w:vAlign w:val="bottom"/>
          </w:tcPr>
          <w:p>
            <w:pPr>
              <w:jc w:val="center"/>
              <w:ind w:right="2361"/>
              <w:spacing w:after="0"/>
              <w:rPr>
                <w:sz w:val="20"/>
                <w:szCs w:val="20"/>
                <w:color w:val="auto"/>
              </w:rPr>
            </w:pPr>
            <w:r>
              <w:rPr>
                <w:rFonts w:ascii="Times New Roman" w:cs="Times New Roman" w:eastAsia="Times New Roman" w:hAnsi="Times New Roman"/>
                <w:sz w:val="20"/>
                <w:szCs w:val="20"/>
                <w:color w:val="auto"/>
                <w:w w:val="97"/>
              </w:rPr>
              <w:t>ARTICLE VI</w:t>
            </w:r>
          </w:p>
        </w:tc>
      </w:tr>
      <w:tr>
        <w:trPr>
          <w:trHeight w:val="258"/>
        </w:trPr>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160" w:type="dxa"/>
            <w:vAlign w:val="bottom"/>
            <w:gridSpan w:val="3"/>
          </w:tcPr>
          <w:p>
            <w:pPr>
              <w:jc w:val="center"/>
              <w:ind w:right="781"/>
              <w:spacing w:after="0"/>
              <w:rPr>
                <w:sz w:val="20"/>
                <w:szCs w:val="20"/>
                <w:color w:val="auto"/>
              </w:rPr>
            </w:pPr>
            <w:r>
              <w:rPr>
                <w:rFonts w:ascii="Times New Roman" w:cs="Times New Roman" w:eastAsia="Times New Roman" w:hAnsi="Times New Roman"/>
                <w:sz w:val="20"/>
                <w:szCs w:val="20"/>
                <w:color w:val="auto"/>
                <w:w w:val="97"/>
              </w:rPr>
              <w:t>REPRESENTATIONS AND WARRANTIES</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Corporate Status</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139</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w:t>
            </w:r>
          </w:p>
        </w:tc>
        <w:tc>
          <w:tcPr>
            <w:tcW w:w="26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Corporate Power and Authority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6.3</w:t>
            </w:r>
          </w:p>
        </w:tc>
        <w:tc>
          <w:tcPr>
            <w:tcW w:w="1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 Violation</w:t>
            </w:r>
          </w:p>
        </w:tc>
        <w:tc>
          <w:tcPr>
            <w:tcW w:w="82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139</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6.4</w:t>
            </w: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Governmental and Other Approvals</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139</w:t>
            </w: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6.5</w:t>
            </w:r>
          </w:p>
        </w:tc>
        <w:tc>
          <w:tcPr>
            <w:tcW w:w="824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Financial Statements; Financial Condition; Undisclosed Liabilities Projections; Etc.  140</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6.6</w:t>
            </w: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Litigation  141</w:t>
            </w: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6.7</w:t>
            </w:r>
          </w:p>
        </w:tc>
        <w:tc>
          <w:tcPr>
            <w:tcW w:w="262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True and Complete Disclosure</w:t>
            </w:r>
          </w:p>
        </w:tc>
        <w:tc>
          <w:tcPr>
            <w:tcW w:w="4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141</w:t>
            </w: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6.8</w:t>
            </w: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9"/>
              </w:rPr>
              <w:t>Use of Proceeds; Margin Regulations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6.9</w:t>
            </w:r>
          </w:p>
        </w:tc>
        <w:tc>
          <w:tcPr>
            <w:tcW w:w="1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Taxes  142</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6.10</w:t>
            </w:r>
          </w:p>
        </w:tc>
        <w:tc>
          <w:tcPr>
            <w:tcW w:w="466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Compliance With ERISA; Foreign Pension Plans  142</w:t>
            </w:r>
          </w:p>
        </w:tc>
        <w:tc>
          <w:tcPr>
            <w:tcW w:w="358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6.11</w:t>
            </w:r>
          </w:p>
        </w:tc>
        <w:tc>
          <w:tcPr>
            <w:tcW w:w="262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Security Documents  143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6.12</w:t>
            </w: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Ownership of Property</w:t>
            </w: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145</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6.13</w:t>
            </w:r>
          </w:p>
        </w:tc>
        <w:tc>
          <w:tcPr>
            <w:tcW w:w="26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8"/>
              </w:rPr>
              <w:t>Capitalization of Credit Parties</w:t>
            </w:r>
          </w:p>
        </w:tc>
        <w:tc>
          <w:tcPr>
            <w:tcW w:w="160" w:type="dxa"/>
            <w:vAlign w:val="bottom"/>
          </w:tcPr>
          <w:p>
            <w:pPr>
              <w:spacing w:after="0"/>
              <w:rPr>
                <w:sz w:val="21"/>
                <w:szCs w:val="21"/>
                <w:color w:val="auto"/>
              </w:rPr>
            </w:pPr>
          </w:p>
        </w:tc>
        <w:tc>
          <w:tcPr>
            <w:tcW w:w="80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w w:val="99"/>
              </w:rPr>
              <w:t>145</w:t>
            </w: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6.14</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Subsidiaries</w:t>
            </w:r>
          </w:p>
        </w:tc>
        <w:tc>
          <w:tcPr>
            <w:tcW w:w="82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145</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43"/>
        </w:trPr>
        <w:tc>
          <w:tcPr>
            <w:tcW w:w="3480" w:type="dxa"/>
            <w:vAlign w:val="bottom"/>
            <w:gridSpan w:val="7"/>
          </w:tcPr>
          <w:p>
            <w:pPr>
              <w:jc w:val="right"/>
              <w:ind w:right="41"/>
              <w:spacing w:after="0"/>
              <w:rPr>
                <w:sz w:val="20"/>
                <w:szCs w:val="20"/>
                <w:color w:val="auto"/>
              </w:rPr>
            </w:pPr>
            <w:r>
              <w:rPr>
                <w:rFonts w:ascii="Times New Roman" w:cs="Times New Roman" w:eastAsia="Times New Roman" w:hAnsi="Times New Roman"/>
                <w:sz w:val="20"/>
                <w:szCs w:val="20"/>
                <w:color w:val="auto"/>
              </w:rPr>
              <w:t>6.15  Compliance With Laws, Etc.  145</w:t>
            </w: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6.16</w:t>
            </w:r>
          </w:p>
        </w:tc>
        <w:tc>
          <w:tcPr>
            <w:tcW w:w="27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Investment Company Act  145</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6.17</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82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rPr>
              <w:t>145</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6.18</w:t>
            </w: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Environmental Matters</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146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8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6.19</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820" w:type="dxa"/>
            <w:vAlign w:val="bottom"/>
            <w:gridSpan w:val="2"/>
          </w:tcPr>
          <w:p>
            <w:pPr>
              <w:jc w:val="right"/>
              <w:ind w:right="381"/>
              <w:spacing w:after="0"/>
              <w:rPr>
                <w:sz w:val="20"/>
                <w:szCs w:val="20"/>
                <w:color w:val="auto"/>
              </w:rPr>
            </w:pPr>
            <w:r>
              <w:rPr>
                <w:rFonts w:ascii="Times New Roman" w:cs="Times New Roman" w:eastAsia="Times New Roman" w:hAnsi="Times New Roman"/>
                <w:sz w:val="20"/>
                <w:szCs w:val="20"/>
                <w:color w:val="auto"/>
              </w:rPr>
              <w:t>146</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6.20</w:t>
            </w:r>
          </w:p>
        </w:tc>
        <w:tc>
          <w:tcPr>
            <w:tcW w:w="466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w w:val="98"/>
              </w:rPr>
              <w:t>Intellectual Property, Licenses, Franchises and Formulas</w:t>
            </w:r>
          </w:p>
        </w:tc>
        <w:tc>
          <w:tcPr>
            <w:tcW w:w="3580" w:type="dxa"/>
            <w:vAlign w:val="bottom"/>
          </w:tcPr>
          <w:p>
            <w:pPr>
              <w:jc w:val="right"/>
              <w:ind w:right="3021"/>
              <w:spacing w:after="0"/>
              <w:rPr>
                <w:sz w:val="20"/>
                <w:szCs w:val="20"/>
                <w:color w:val="auto"/>
              </w:rPr>
            </w:pPr>
            <w:r>
              <w:rPr>
                <w:rFonts w:ascii="Times New Roman" w:cs="Times New Roman" w:eastAsia="Times New Roman" w:hAnsi="Times New Roman"/>
                <w:sz w:val="20"/>
                <w:szCs w:val="20"/>
                <w:color w:val="auto"/>
              </w:rPr>
              <w:t>147</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6.21</w:t>
            </w: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Anti-Terrorism Laws</w:t>
            </w:r>
          </w:p>
        </w:tc>
        <w:tc>
          <w:tcPr>
            <w:tcW w:w="6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3"/>
              </w:rPr>
              <w:t>147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6.22</w:t>
            </w:r>
          </w:p>
        </w:tc>
        <w:tc>
          <w:tcPr>
            <w:tcW w:w="358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Patriot Act; Foreign Corrupt Practices Act</w:t>
            </w:r>
          </w:p>
        </w:tc>
        <w:tc>
          <w:tcPr>
            <w:tcW w:w="108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148</w:t>
            </w:r>
          </w:p>
        </w:tc>
        <w:tc>
          <w:tcPr>
            <w:tcW w:w="3580" w:type="dxa"/>
            <w:vAlign w:val="bottom"/>
          </w:tcPr>
          <w:p>
            <w:pPr>
              <w:spacing w:after="0"/>
              <w:rPr>
                <w:sz w:val="22"/>
                <w:szCs w:val="22"/>
                <w:color w:val="auto"/>
              </w:rPr>
            </w:pPr>
          </w:p>
        </w:tc>
      </w:tr>
    </w:tbl>
    <w:p>
      <w:pPr>
        <w:spacing w:after="0" w:line="200" w:lineRule="exact"/>
        <w:rPr>
          <w:sz w:val="20"/>
          <w:szCs w:val="20"/>
          <w:color w:val="auto"/>
        </w:rPr>
      </w:pPr>
    </w:p>
    <w:p>
      <w:pPr>
        <w:spacing w:after="0" w:line="29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ii</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139"/>
          </w:cols>
          <w:pgMar w:left="320" w:top="1413"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6.23</w:t>
            </w: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Insolvency Proceedings</w:t>
            </w: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148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6.24</w:t>
            </w:r>
          </w:p>
        </w:tc>
        <w:tc>
          <w:tcPr>
            <w:tcW w:w="296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w w:val="98"/>
              </w:rPr>
              <w:t>Beneficial Ownership Certification</w:t>
            </w:r>
          </w:p>
        </w:tc>
        <w:tc>
          <w:tcPr>
            <w:tcW w:w="56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148</w:t>
            </w:r>
          </w:p>
        </w:tc>
        <w:tc>
          <w:tcPr>
            <w:tcW w:w="4300" w:type="dxa"/>
            <w:vAlign w:val="bottom"/>
          </w:tcPr>
          <w:p>
            <w:pPr>
              <w:spacing w:after="0"/>
              <w:rPr>
                <w:sz w:val="22"/>
                <w:szCs w:val="22"/>
                <w:color w:val="auto"/>
              </w:rPr>
            </w:pPr>
          </w:p>
        </w:tc>
      </w:tr>
      <w:tr>
        <w:trPr>
          <w:trHeight w:val="430"/>
        </w:trPr>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Pr>
          <w:p>
            <w:pPr>
              <w:jc w:val="center"/>
              <w:ind w:right="781"/>
              <w:spacing w:after="0"/>
              <w:rPr>
                <w:sz w:val="20"/>
                <w:szCs w:val="20"/>
                <w:color w:val="auto"/>
              </w:rPr>
            </w:pPr>
            <w:r>
              <w:rPr>
                <w:rFonts w:ascii="Times New Roman" w:cs="Times New Roman" w:eastAsia="Times New Roman" w:hAnsi="Times New Roman"/>
                <w:sz w:val="20"/>
                <w:szCs w:val="20"/>
                <w:color w:val="auto"/>
                <w:w w:val="97"/>
              </w:rPr>
              <w:t>ARTICLE VII</w:t>
            </w:r>
          </w:p>
        </w:tc>
      </w:tr>
      <w:tr>
        <w:trPr>
          <w:trHeight w:val="258"/>
        </w:trPr>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300" w:type="dxa"/>
            <w:vAlign w:val="bottom"/>
          </w:tcPr>
          <w:p>
            <w:pPr>
              <w:jc w:val="center"/>
              <w:ind w:right="801"/>
              <w:spacing w:after="0"/>
              <w:rPr>
                <w:sz w:val="20"/>
                <w:szCs w:val="20"/>
                <w:color w:val="auto"/>
              </w:rPr>
            </w:pPr>
            <w:r>
              <w:rPr>
                <w:rFonts w:ascii="Times New Roman" w:cs="Times New Roman" w:eastAsia="Times New Roman" w:hAnsi="Times New Roman"/>
                <w:sz w:val="20"/>
                <w:szCs w:val="20"/>
                <w:color w:val="auto"/>
                <w:w w:val="98"/>
              </w:rPr>
              <w:t>AFFIRMATIVE COVENANTS</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Financial Statements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7.2</w:t>
            </w:r>
          </w:p>
        </w:tc>
        <w:tc>
          <w:tcPr>
            <w:tcW w:w="27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93"/>
              </w:rPr>
              <w:t>150</w:t>
            </w: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7.3</w:t>
            </w:r>
          </w:p>
        </w:tc>
        <w:tc>
          <w:tcPr>
            <w:tcW w:w="6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Notices</w:t>
            </w:r>
          </w:p>
        </w:tc>
        <w:tc>
          <w:tcPr>
            <w:tcW w:w="88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151</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7.4</w:t>
            </w:r>
          </w:p>
        </w:tc>
        <w:tc>
          <w:tcPr>
            <w:tcW w:w="782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Conduct of Business and Maintenance of Existence  151</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7.5</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Compliance with Laws, etc.  151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7.6</w:t>
            </w:r>
          </w:p>
        </w:tc>
        <w:tc>
          <w:tcPr>
            <w:tcW w:w="220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7.7</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152</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7.8</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Payment of Taxes</w:t>
            </w: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152</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7.9</w:t>
            </w:r>
          </w:p>
        </w:tc>
        <w:tc>
          <w:tcPr>
            <w:tcW w:w="352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w w:val="99"/>
              </w:rPr>
              <w:t>Inspection of Property, Books and Records</w:t>
            </w:r>
          </w:p>
        </w:tc>
        <w:tc>
          <w:tcPr>
            <w:tcW w:w="4300" w:type="dxa"/>
            <w:vAlign w:val="bottom"/>
          </w:tcPr>
          <w:p>
            <w:pPr>
              <w:jc w:val="right"/>
              <w:ind w:right="3781"/>
              <w:spacing w:after="0"/>
              <w:rPr>
                <w:sz w:val="20"/>
                <w:szCs w:val="20"/>
                <w:color w:val="auto"/>
              </w:rPr>
            </w:pPr>
            <w:r>
              <w:rPr>
                <w:rFonts w:ascii="Times New Roman" w:cs="Times New Roman" w:eastAsia="Times New Roman" w:hAnsi="Times New Roman"/>
                <w:sz w:val="20"/>
                <w:szCs w:val="20"/>
                <w:color w:val="auto"/>
              </w:rPr>
              <w:t>152</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7.10</w:t>
            </w:r>
          </w:p>
        </w:tc>
        <w:tc>
          <w:tcPr>
            <w:tcW w:w="270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rPr>
              <w:t>ERISA; Foreign Pension Plan</w:t>
            </w:r>
          </w:p>
        </w:tc>
        <w:tc>
          <w:tcPr>
            <w:tcW w:w="5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w w:val="99"/>
              </w:rPr>
              <w:t>152</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7.11</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Insurance</w:t>
            </w:r>
          </w:p>
        </w:tc>
        <w:tc>
          <w:tcPr>
            <w:tcW w:w="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153</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7.12</w:t>
            </w: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Environmental Laws</w:t>
            </w:r>
          </w:p>
        </w:tc>
        <w:tc>
          <w:tcPr>
            <w:tcW w:w="84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154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7.13</w:t>
            </w: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Use of Proceeds</w:t>
            </w:r>
          </w:p>
        </w:tc>
        <w:tc>
          <w:tcPr>
            <w:tcW w:w="6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154</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7.14</w:t>
            </w:r>
          </w:p>
        </w:tc>
        <w:tc>
          <w:tcPr>
            <w:tcW w:w="782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Guarantees; Pledge of Additional Collateral  154</w:t>
            </w: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7.15</w:t>
            </w:r>
          </w:p>
        </w:tc>
        <w:tc>
          <w:tcPr>
            <w:tcW w:w="32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End of Fiscal Years; Fiscal Quarters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157</w:t>
            </w: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7.16</w:t>
            </w:r>
          </w:p>
        </w:tc>
        <w:tc>
          <w:tcPr>
            <w:tcW w:w="296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Information Regarding Collateral</w:t>
            </w:r>
          </w:p>
        </w:tc>
        <w:tc>
          <w:tcPr>
            <w:tcW w:w="56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157</w:t>
            </w:r>
          </w:p>
        </w:tc>
        <w:tc>
          <w:tcPr>
            <w:tcW w:w="430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7.17</w:t>
            </w: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8"/>
              </w:rPr>
              <w:t>Excluded Companies</w:t>
            </w:r>
          </w:p>
        </w:tc>
        <w:tc>
          <w:tcPr>
            <w:tcW w:w="84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157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7.18</w:t>
            </w: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Facilities Rating</w:t>
            </w:r>
          </w:p>
        </w:tc>
        <w:tc>
          <w:tcPr>
            <w:tcW w:w="6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157</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7.19</w:t>
            </w:r>
          </w:p>
        </w:tc>
        <w:tc>
          <w:tcPr>
            <w:tcW w:w="186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Post Closing  157</w:t>
            </w: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7.20</w:t>
            </w:r>
          </w:p>
        </w:tc>
        <w:tc>
          <w:tcPr>
            <w:tcW w:w="352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Release and Reinstatement of Collateral</w:t>
            </w:r>
          </w:p>
        </w:tc>
        <w:tc>
          <w:tcPr>
            <w:tcW w:w="4300" w:type="dxa"/>
            <w:vAlign w:val="bottom"/>
          </w:tcPr>
          <w:p>
            <w:pPr>
              <w:jc w:val="right"/>
              <w:ind w:right="3901"/>
              <w:spacing w:after="0"/>
              <w:rPr>
                <w:sz w:val="20"/>
                <w:szCs w:val="20"/>
                <w:color w:val="auto"/>
              </w:rPr>
            </w:pPr>
            <w:r>
              <w:rPr>
                <w:rFonts w:ascii="Times New Roman" w:cs="Times New Roman" w:eastAsia="Times New Roman" w:hAnsi="Times New Roman"/>
                <w:sz w:val="20"/>
                <w:szCs w:val="20"/>
                <w:color w:val="auto"/>
                <w:w w:val="93"/>
              </w:rPr>
              <w:t>160</w:t>
            </w:r>
          </w:p>
        </w:tc>
      </w:tr>
      <w:tr>
        <w:trPr>
          <w:trHeight w:val="430"/>
        </w:trPr>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tcPr>
          <w:p>
            <w:pPr>
              <w:jc w:val="center"/>
              <w:ind w:right="781"/>
              <w:spacing w:after="0"/>
              <w:rPr>
                <w:sz w:val="20"/>
                <w:szCs w:val="20"/>
                <w:color w:val="auto"/>
              </w:rPr>
            </w:pPr>
            <w:r>
              <w:rPr>
                <w:rFonts w:ascii="Times New Roman" w:cs="Times New Roman" w:eastAsia="Times New Roman" w:hAnsi="Times New Roman"/>
                <w:sz w:val="20"/>
                <w:szCs w:val="20"/>
                <w:color w:val="auto"/>
                <w:w w:val="98"/>
              </w:rPr>
              <w:t>ARTICLE VIII</w:t>
            </w:r>
          </w:p>
        </w:tc>
      </w:tr>
      <w:tr>
        <w:trPr>
          <w:trHeight w:val="258"/>
        </w:trPr>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300" w:type="dxa"/>
            <w:vAlign w:val="bottom"/>
          </w:tcPr>
          <w:p>
            <w:pPr>
              <w:jc w:val="center"/>
              <w:ind w:right="781"/>
              <w:spacing w:after="0"/>
              <w:rPr>
                <w:sz w:val="20"/>
                <w:szCs w:val="20"/>
                <w:color w:val="auto"/>
              </w:rPr>
            </w:pPr>
            <w:r>
              <w:rPr>
                <w:rFonts w:ascii="Times New Roman" w:cs="Times New Roman" w:eastAsia="Times New Roman" w:hAnsi="Times New Roman"/>
                <w:sz w:val="20"/>
                <w:szCs w:val="20"/>
                <w:color w:val="auto"/>
                <w:w w:val="97"/>
              </w:rPr>
              <w:t>NEGATIVE COVENANTS</w:t>
            </w:r>
          </w:p>
        </w:tc>
      </w:tr>
      <w:tr>
        <w:trPr>
          <w:trHeight w:val="4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w:t>
            </w:r>
          </w:p>
        </w:tc>
        <w:tc>
          <w:tcPr>
            <w:tcW w:w="3200" w:type="dxa"/>
            <w:vAlign w:val="bottom"/>
            <w:gridSpan w:val="8"/>
          </w:tcPr>
          <w:p>
            <w:pPr>
              <w:ind w:left="60"/>
              <w:spacing w:after="0"/>
              <w:rPr>
                <w:sz w:val="20"/>
                <w:szCs w:val="20"/>
                <w:color w:val="auto"/>
              </w:rPr>
            </w:pPr>
            <w:r>
              <w:rPr>
                <w:rFonts w:ascii="Times New Roman" w:cs="Times New Roman" w:eastAsia="Times New Roman" w:hAnsi="Times New Roman"/>
                <w:sz w:val="20"/>
                <w:szCs w:val="20"/>
                <w:color w:val="auto"/>
                <w:w w:val="98"/>
              </w:rPr>
              <w:t>Indebtedness; Certain Equity Securities</w:t>
            </w:r>
          </w:p>
        </w:tc>
        <w:tc>
          <w:tcPr>
            <w:tcW w:w="4620" w:type="dxa"/>
            <w:vAlign w:val="bottom"/>
            <w:gridSpan w:val="2"/>
          </w:tcPr>
          <w:p>
            <w:pPr>
              <w:jc w:val="right"/>
              <w:ind w:right="4041"/>
              <w:spacing w:after="0"/>
              <w:rPr>
                <w:sz w:val="20"/>
                <w:szCs w:val="20"/>
                <w:color w:val="auto"/>
              </w:rPr>
            </w:pPr>
            <w:r>
              <w:rPr>
                <w:rFonts w:ascii="Times New Roman" w:cs="Times New Roman" w:eastAsia="Times New Roman" w:hAnsi="Times New Roman"/>
                <w:sz w:val="20"/>
                <w:szCs w:val="20"/>
                <w:color w:val="auto"/>
              </w:rPr>
              <w:t>160</w:t>
            </w: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8.2</w:t>
            </w:r>
          </w:p>
        </w:tc>
        <w:tc>
          <w:tcPr>
            <w:tcW w:w="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Liens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166</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8.3</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w w:val="99"/>
              </w:rPr>
              <w:t>Fundamental Changes</w:t>
            </w:r>
          </w:p>
        </w:tc>
        <w:tc>
          <w:tcPr>
            <w:tcW w:w="84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171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8.4</w:t>
            </w:r>
          </w:p>
        </w:tc>
        <w:tc>
          <w:tcPr>
            <w:tcW w:w="782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rPr>
              <w:t>Investments, Loans, Advances, Guarantee Obligations and Acquisitions  172</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8.5</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 Sales</w:t>
            </w:r>
          </w:p>
        </w:tc>
        <w:tc>
          <w:tcPr>
            <w:tcW w:w="5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175</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8.6</w:t>
            </w:r>
          </w:p>
        </w:tc>
        <w:tc>
          <w:tcPr>
            <w:tcW w:w="27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8"/>
              </w:rPr>
              <w:t>Sale and Leaseback Transactions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8.7</w:t>
            </w:r>
          </w:p>
        </w:tc>
        <w:tc>
          <w:tcPr>
            <w:tcW w:w="270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Sale or Discount of Receivables</w:t>
            </w: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178</w:t>
            </w: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8.8</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Restricted Payments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179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8.9</w:t>
            </w:r>
          </w:p>
        </w:tc>
        <w:tc>
          <w:tcPr>
            <w:tcW w:w="296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Transactions with Affiliates  180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8.10</w:t>
            </w: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Restrictive Agreements</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182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8.11</w:t>
            </w:r>
          </w:p>
        </w:tc>
        <w:tc>
          <w:tcPr>
            <w:tcW w:w="7820" w:type="dxa"/>
            <w:vAlign w:val="bottom"/>
            <w:gridSpan w:val="10"/>
          </w:tcPr>
          <w:p>
            <w:pPr>
              <w:ind w:left="140"/>
              <w:spacing w:after="0"/>
              <w:rPr>
                <w:sz w:val="20"/>
                <w:szCs w:val="20"/>
                <w:color w:val="auto"/>
              </w:rPr>
            </w:pPr>
            <w:r>
              <w:rPr>
                <w:rFonts w:ascii="Times New Roman" w:cs="Times New Roman" w:eastAsia="Times New Roman" w:hAnsi="Times New Roman"/>
                <w:sz w:val="20"/>
                <w:szCs w:val="20"/>
                <w:color w:val="auto"/>
              </w:rPr>
              <w:t>Amendments or Waivers of Certain Documents; Prepayments of Indebtedness  183</w:t>
            </w: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8.12</w:t>
            </w:r>
          </w:p>
        </w:tc>
        <w:tc>
          <w:tcPr>
            <w:tcW w:w="782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w w:val="99"/>
              </w:rPr>
              <w:t>Limitation on Activities of Crown Holdings, Crown Finance, Crown Finance II and CCSC  184</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8.13</w:t>
            </w:r>
          </w:p>
        </w:tc>
        <w:tc>
          <w:tcPr>
            <w:tcW w:w="220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Anti-Money Laundering</w:t>
            </w:r>
          </w:p>
        </w:tc>
        <w:tc>
          <w:tcPr>
            <w:tcW w:w="5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185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8.14</w:t>
            </w:r>
          </w:p>
        </w:tc>
        <w:tc>
          <w:tcPr>
            <w:tcW w:w="186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Accounting Changes</w:t>
            </w:r>
          </w:p>
        </w:tc>
        <w:tc>
          <w:tcPr>
            <w:tcW w:w="84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185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r>
      <w:tr>
        <w:trPr>
          <w:trHeight w:val="229"/>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8.15</w:t>
            </w:r>
          </w:p>
        </w:tc>
        <w:tc>
          <w:tcPr>
            <w:tcW w:w="270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w w:val="97"/>
              </w:rPr>
              <w:t>Canadian Defined Benefit Plans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32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258"/>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8.16</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Sanctions</w:t>
            </w:r>
          </w:p>
        </w:tc>
        <w:tc>
          <w:tcPr>
            <w:tcW w:w="5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185</w:t>
            </w: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300" w:type="dxa"/>
            <w:vAlign w:val="bottom"/>
          </w:tcPr>
          <w:p>
            <w:pPr>
              <w:spacing w:after="0"/>
              <w:rPr>
                <w:sz w:val="22"/>
                <w:szCs w:val="22"/>
                <w:color w:val="auto"/>
              </w:rPr>
            </w:pPr>
          </w:p>
        </w:tc>
      </w:tr>
    </w:tbl>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iii</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139"/>
          </w:cols>
          <w:pgMar w:left="320" w:top="1413" w:right="1440" w:bottom="1440" w:gutter="0" w:footer="0" w:header="0"/>
        </w:sectPr>
      </w:pPr>
    </w:p>
    <w:bookmarkStart w:id="51" w:name="page52"/>
    <w:bookmarkEnd w:id="51"/>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80" w:type="dxa"/>
            <w:vAlign w:val="bottom"/>
            <w:gridSpan w:val="2"/>
          </w:tcPr>
          <w:p>
            <w:pPr>
              <w:jc w:val="center"/>
              <w:ind w:right="2421"/>
              <w:spacing w:after="0"/>
              <w:rPr>
                <w:sz w:val="20"/>
                <w:szCs w:val="20"/>
                <w:color w:val="auto"/>
              </w:rPr>
            </w:pPr>
            <w:r>
              <w:rPr>
                <w:rFonts w:ascii="Times New Roman" w:cs="Times New Roman" w:eastAsia="Times New Roman" w:hAnsi="Times New Roman"/>
                <w:sz w:val="20"/>
                <w:szCs w:val="20"/>
                <w:color w:val="auto"/>
                <w:w w:val="97"/>
              </w:rPr>
              <w:t>ARTICLE IX</w:t>
            </w:r>
          </w:p>
        </w:tc>
      </w:tr>
      <w:tr>
        <w:trPr>
          <w:trHeight w:val="258"/>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20" w:type="dxa"/>
            <w:vAlign w:val="bottom"/>
            <w:gridSpan w:val="3"/>
          </w:tcPr>
          <w:p>
            <w:pPr>
              <w:jc w:val="center"/>
              <w:ind w:right="2081"/>
              <w:spacing w:after="0"/>
              <w:rPr>
                <w:sz w:val="20"/>
                <w:szCs w:val="20"/>
                <w:color w:val="auto"/>
              </w:rPr>
            </w:pPr>
            <w:r>
              <w:rPr>
                <w:rFonts w:ascii="Times New Roman" w:cs="Times New Roman" w:eastAsia="Times New Roman" w:hAnsi="Times New Roman"/>
                <w:sz w:val="20"/>
                <w:szCs w:val="20"/>
                <w:color w:val="auto"/>
                <w:w w:val="98"/>
              </w:rPr>
              <w:t>FINANCIAL COVENANT</w:t>
            </w:r>
          </w:p>
        </w:tc>
      </w:tr>
      <w:tr>
        <w:trPr>
          <w:trHeight w:val="43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gridSpan w:val="2"/>
          </w:tcPr>
          <w:p>
            <w:pPr>
              <w:jc w:val="center"/>
              <w:ind w:right="2401"/>
              <w:spacing w:after="0"/>
              <w:rPr>
                <w:sz w:val="20"/>
                <w:szCs w:val="20"/>
                <w:color w:val="auto"/>
              </w:rPr>
            </w:pPr>
            <w:r>
              <w:rPr>
                <w:rFonts w:ascii="Times New Roman" w:cs="Times New Roman" w:eastAsia="Times New Roman" w:hAnsi="Times New Roman"/>
                <w:sz w:val="20"/>
                <w:szCs w:val="20"/>
                <w:color w:val="auto"/>
                <w:w w:val="98"/>
              </w:rPr>
              <w:t>ARTICLE X</w:t>
            </w:r>
          </w:p>
        </w:tc>
      </w:tr>
      <w:tr>
        <w:trPr>
          <w:trHeight w:val="258"/>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20" w:type="dxa"/>
            <w:vAlign w:val="bottom"/>
            <w:gridSpan w:val="3"/>
          </w:tcPr>
          <w:p>
            <w:pPr>
              <w:jc w:val="center"/>
              <w:ind w:right="2061"/>
              <w:spacing w:after="0"/>
              <w:rPr>
                <w:sz w:val="20"/>
                <w:szCs w:val="20"/>
                <w:color w:val="auto"/>
              </w:rPr>
            </w:pPr>
            <w:r>
              <w:rPr>
                <w:rFonts w:ascii="Times New Roman" w:cs="Times New Roman" w:eastAsia="Times New Roman" w:hAnsi="Times New Roman"/>
                <w:sz w:val="20"/>
                <w:szCs w:val="20"/>
                <w:color w:val="auto"/>
                <w:w w:val="97"/>
              </w:rPr>
              <w:t>EVENTS OF DEFAULT</w:t>
            </w:r>
          </w:p>
        </w:tc>
      </w:tr>
      <w:tr>
        <w:trPr>
          <w:trHeight w:val="4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10.1</w:t>
            </w:r>
          </w:p>
        </w:tc>
        <w:tc>
          <w:tcPr>
            <w:tcW w:w="23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Listing of Events of Default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10.2</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8"/>
              </w:rPr>
              <w:t>Action if Bankruptcy</w:t>
            </w: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188</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29"/>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10.3</w:t>
            </w: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Action if Other Event of Default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189</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10.4</w:t>
            </w:r>
          </w:p>
        </w:tc>
        <w:tc>
          <w:tcPr>
            <w:tcW w:w="9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5"/>
              </w:rPr>
              <w:t>[Reserved]</w:t>
            </w:r>
          </w:p>
        </w:tc>
        <w:tc>
          <w:tcPr>
            <w:tcW w:w="82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189</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58"/>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10.5</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6"/>
              </w:rPr>
              <w:t>Rights Not Exclusive</w:t>
            </w:r>
          </w:p>
        </w:tc>
        <w:tc>
          <w:tcPr>
            <w:tcW w:w="6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189</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43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gridSpan w:val="2"/>
          </w:tcPr>
          <w:p>
            <w:pPr>
              <w:jc w:val="center"/>
              <w:ind w:right="2421"/>
              <w:spacing w:after="0"/>
              <w:rPr>
                <w:sz w:val="20"/>
                <w:szCs w:val="20"/>
                <w:color w:val="auto"/>
              </w:rPr>
            </w:pPr>
            <w:r>
              <w:rPr>
                <w:rFonts w:ascii="Times New Roman" w:cs="Times New Roman" w:eastAsia="Times New Roman" w:hAnsi="Times New Roman"/>
                <w:sz w:val="20"/>
                <w:szCs w:val="20"/>
                <w:color w:val="auto"/>
                <w:w w:val="97"/>
              </w:rPr>
              <w:t>ARTICLE XI</w:t>
            </w:r>
          </w:p>
        </w:tc>
      </w:tr>
      <w:tr>
        <w:trPr>
          <w:trHeight w:val="258"/>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80" w:type="dxa"/>
            <w:vAlign w:val="bottom"/>
            <w:gridSpan w:val="2"/>
          </w:tcPr>
          <w:p>
            <w:pPr>
              <w:jc w:val="center"/>
              <w:ind w:right="2401"/>
              <w:spacing w:after="0"/>
              <w:rPr>
                <w:sz w:val="20"/>
                <w:szCs w:val="20"/>
                <w:color w:val="auto"/>
              </w:rPr>
            </w:pPr>
            <w:r>
              <w:rPr>
                <w:rFonts w:ascii="Times New Roman" w:cs="Times New Roman" w:eastAsia="Times New Roman" w:hAnsi="Times New Roman"/>
                <w:sz w:val="20"/>
                <w:szCs w:val="20"/>
                <w:color w:val="auto"/>
                <w:w w:val="99"/>
              </w:rPr>
              <w:t>THE AGENTS</w:t>
            </w:r>
          </w:p>
        </w:tc>
      </w:tr>
      <w:tr>
        <w:trPr>
          <w:trHeight w:val="4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Appointment</w:t>
            </w: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190</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1"/>
                <w:szCs w:val="21"/>
                <w:color w:val="auto"/>
              </w:rPr>
            </w:pPr>
          </w:p>
        </w:tc>
        <w:tc>
          <w:tcPr>
            <w:tcW w:w="424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w w:val="99"/>
              </w:rPr>
              <w:t>The Administrative Agent in Its Individual Capacity</w:t>
            </w:r>
          </w:p>
        </w:tc>
        <w:tc>
          <w:tcPr>
            <w:tcW w:w="118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191</w:t>
            </w:r>
          </w:p>
        </w:tc>
        <w:tc>
          <w:tcPr>
            <w:tcW w:w="3100" w:type="dxa"/>
            <w:vAlign w:val="bottom"/>
          </w:tcPr>
          <w:p>
            <w:pPr>
              <w:spacing w:after="0"/>
              <w:rPr>
                <w:sz w:val="21"/>
                <w:szCs w:val="21"/>
                <w:color w:val="auto"/>
              </w:rPr>
            </w:pPr>
          </w:p>
        </w:tc>
      </w:tr>
      <w:tr>
        <w:trPr>
          <w:trHeight w:val="229"/>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11.3</w:t>
            </w:r>
          </w:p>
        </w:tc>
        <w:tc>
          <w:tcPr>
            <w:tcW w:w="60" w:type="dxa"/>
            <w:vAlign w:val="bottom"/>
          </w:tcPr>
          <w:p>
            <w:pPr>
              <w:spacing w:after="0"/>
              <w:rPr>
                <w:sz w:val="19"/>
                <w:szCs w:val="19"/>
                <w:color w:val="auto"/>
              </w:rPr>
            </w:pPr>
          </w:p>
        </w:tc>
        <w:tc>
          <w:tcPr>
            <w:tcW w:w="238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Nature of Duties  192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11.4</w:t>
            </w:r>
          </w:p>
        </w:tc>
        <w:tc>
          <w:tcPr>
            <w:tcW w:w="60" w:type="dxa"/>
            <w:vAlign w:val="bottom"/>
          </w:tcPr>
          <w:p>
            <w:pPr>
              <w:spacing w:after="0"/>
              <w:rPr>
                <w:sz w:val="21"/>
                <w:szCs w:val="21"/>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Reliance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192</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11.5</w:t>
            </w:r>
          </w:p>
        </w:tc>
        <w:tc>
          <w:tcPr>
            <w:tcW w:w="60" w:type="dxa"/>
            <w:vAlign w:val="bottom"/>
          </w:tcPr>
          <w:p>
            <w:pPr>
              <w:spacing w:after="0"/>
              <w:rPr>
                <w:sz w:val="21"/>
                <w:szCs w:val="21"/>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Delegation of Duties</w:t>
            </w: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192</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11.6</w:t>
            </w:r>
          </w:p>
        </w:tc>
        <w:tc>
          <w:tcPr>
            <w:tcW w:w="60" w:type="dxa"/>
            <w:vAlign w:val="bottom"/>
          </w:tcPr>
          <w:p>
            <w:pPr>
              <w:spacing w:after="0"/>
              <w:rPr>
                <w:sz w:val="19"/>
                <w:szCs w:val="19"/>
                <w:color w:val="auto"/>
              </w:rPr>
            </w:pPr>
          </w:p>
        </w:tc>
        <w:tc>
          <w:tcPr>
            <w:tcW w:w="390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Resignation by the Administrative Agent  193</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11.7</w:t>
            </w:r>
          </w:p>
        </w:tc>
        <w:tc>
          <w:tcPr>
            <w:tcW w:w="60" w:type="dxa"/>
            <w:vAlign w:val="bottom"/>
          </w:tcPr>
          <w:p>
            <w:pPr>
              <w:spacing w:after="0"/>
              <w:rPr>
                <w:sz w:val="21"/>
                <w:szCs w:val="21"/>
                <w:color w:val="auto"/>
              </w:rPr>
            </w:pPr>
          </w:p>
        </w:tc>
        <w:tc>
          <w:tcPr>
            <w:tcW w:w="390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Lack of Reliance on the Administrative Agent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194</w:t>
            </w: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11.8</w:t>
            </w:r>
          </w:p>
        </w:tc>
        <w:tc>
          <w:tcPr>
            <w:tcW w:w="2440" w:type="dxa"/>
            <w:vAlign w:val="bottom"/>
            <w:gridSpan w:val="5"/>
          </w:tcPr>
          <w:p>
            <w:pPr>
              <w:ind w:left="100"/>
              <w:spacing w:after="0"/>
              <w:rPr>
                <w:sz w:val="20"/>
                <w:szCs w:val="20"/>
                <w:color w:val="auto"/>
              </w:rPr>
            </w:pPr>
            <w:r>
              <w:rPr>
                <w:rFonts w:ascii="Times New Roman" w:cs="Times New Roman" w:eastAsia="Times New Roman" w:hAnsi="Times New Roman"/>
                <w:sz w:val="20"/>
                <w:szCs w:val="20"/>
                <w:color w:val="auto"/>
              </w:rPr>
              <w:t>No Other Duties, Etc.  194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1"/>
                <w:szCs w:val="21"/>
                <w:color w:val="auto"/>
              </w:rPr>
            </w:pPr>
          </w:p>
        </w:tc>
        <w:tc>
          <w:tcPr>
            <w:tcW w:w="390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w w:val="99"/>
              </w:rPr>
              <w:t>Administrative Agent May File Proofs of Claim</w:t>
            </w:r>
          </w:p>
        </w:tc>
        <w:tc>
          <w:tcPr>
            <w:tcW w:w="1520" w:type="dxa"/>
            <w:vAlign w:val="bottom"/>
            <w:gridSpan w:val="2"/>
          </w:tcPr>
          <w:p>
            <w:pPr>
              <w:jc w:val="right"/>
              <w:ind w:right="981"/>
              <w:spacing w:after="0"/>
              <w:rPr>
                <w:sz w:val="20"/>
                <w:szCs w:val="20"/>
                <w:color w:val="auto"/>
              </w:rPr>
            </w:pPr>
            <w:r>
              <w:rPr>
                <w:rFonts w:ascii="Times New Roman" w:cs="Times New Roman" w:eastAsia="Times New Roman" w:hAnsi="Times New Roman"/>
                <w:sz w:val="20"/>
                <w:szCs w:val="20"/>
                <w:color w:val="auto"/>
              </w:rPr>
              <w:t>195</w:t>
            </w:r>
          </w:p>
        </w:tc>
        <w:tc>
          <w:tcPr>
            <w:tcW w:w="3100" w:type="dxa"/>
            <w:vAlign w:val="bottom"/>
          </w:tcPr>
          <w:p>
            <w:pPr>
              <w:spacing w:after="0"/>
              <w:rPr>
                <w:sz w:val="21"/>
                <w:szCs w:val="21"/>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11.10</w:t>
            </w: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1100" w:type="dxa"/>
            <w:vAlign w:val="bottom"/>
            <w:gridSpan w:val="2"/>
          </w:tcPr>
          <w:p>
            <w:pPr>
              <w:jc w:val="right"/>
              <w:ind w:right="601"/>
              <w:spacing w:after="0"/>
              <w:rPr>
                <w:sz w:val="20"/>
                <w:szCs w:val="20"/>
                <w:color w:val="auto"/>
              </w:rPr>
            </w:pPr>
            <w:r>
              <w:rPr>
                <w:rFonts w:ascii="Times New Roman" w:cs="Times New Roman" w:eastAsia="Times New Roman" w:hAnsi="Times New Roman"/>
                <w:sz w:val="20"/>
                <w:szCs w:val="20"/>
                <w:color w:val="auto"/>
              </w:rPr>
              <w:t>195</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11.11</w:t>
            </w: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Bank Related Debt</w:t>
            </w:r>
          </w:p>
        </w:tc>
        <w:tc>
          <w:tcPr>
            <w:tcW w:w="6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197</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11.12</w:t>
            </w:r>
          </w:p>
        </w:tc>
        <w:tc>
          <w:tcPr>
            <w:tcW w:w="238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w w:val="98"/>
              </w:rPr>
              <w:t>Withholding Tax Indemnity</w:t>
            </w:r>
          </w:p>
        </w:tc>
        <w:tc>
          <w:tcPr>
            <w:tcW w:w="76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197</w:t>
            </w: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58"/>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11.13</w:t>
            </w:r>
          </w:p>
        </w:tc>
        <w:tc>
          <w:tcPr>
            <w:tcW w:w="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Holders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43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80" w:type="dxa"/>
            <w:vAlign w:val="bottom"/>
            <w:gridSpan w:val="2"/>
          </w:tcPr>
          <w:p>
            <w:pPr>
              <w:jc w:val="center"/>
              <w:ind w:right="2401"/>
              <w:spacing w:after="0"/>
              <w:rPr>
                <w:sz w:val="20"/>
                <w:szCs w:val="20"/>
                <w:color w:val="auto"/>
              </w:rPr>
            </w:pPr>
            <w:r>
              <w:rPr>
                <w:rFonts w:ascii="Times New Roman" w:cs="Times New Roman" w:eastAsia="Times New Roman" w:hAnsi="Times New Roman"/>
                <w:sz w:val="20"/>
                <w:szCs w:val="20"/>
                <w:color w:val="auto"/>
                <w:w w:val="97"/>
              </w:rPr>
              <w:t>ARTICLE XII</w:t>
            </w:r>
          </w:p>
        </w:tc>
      </w:tr>
      <w:tr>
        <w:trPr>
          <w:trHeight w:val="258"/>
        </w:trPr>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80" w:type="dxa"/>
            <w:vAlign w:val="bottom"/>
            <w:gridSpan w:val="2"/>
          </w:tcPr>
          <w:p>
            <w:pPr>
              <w:jc w:val="center"/>
              <w:ind w:right="2421"/>
              <w:spacing w:after="0"/>
              <w:rPr>
                <w:sz w:val="20"/>
                <w:szCs w:val="20"/>
                <w:color w:val="auto"/>
              </w:rPr>
            </w:pPr>
            <w:r>
              <w:rPr>
                <w:rFonts w:ascii="Times New Roman" w:cs="Times New Roman" w:eastAsia="Times New Roman" w:hAnsi="Times New Roman"/>
                <w:sz w:val="20"/>
                <w:szCs w:val="20"/>
                <w:color w:val="auto"/>
                <w:w w:val="98"/>
              </w:rPr>
              <w:t>MISCELLANEOUS</w:t>
            </w:r>
          </w:p>
        </w:tc>
      </w:tr>
      <w:tr>
        <w:trPr>
          <w:trHeight w:val="4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w:t>
            </w:r>
          </w:p>
        </w:tc>
        <w:tc>
          <w:tcPr>
            <w:tcW w:w="314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No Waiver; Modifications in Writing</w:t>
            </w:r>
          </w:p>
        </w:tc>
        <w:tc>
          <w:tcPr>
            <w:tcW w:w="7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197</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12.2</w:t>
            </w: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Further Assurances</w:t>
            </w: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201</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12.3</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Notices, Etc.</w:t>
            </w:r>
          </w:p>
        </w:tc>
        <w:tc>
          <w:tcPr>
            <w:tcW w:w="4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3"/>
              </w:rPr>
              <w:t>201</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12.4</w:t>
            </w:r>
          </w:p>
        </w:tc>
        <w:tc>
          <w:tcPr>
            <w:tcW w:w="314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Costs and Expenses; Indemnification</w:t>
            </w:r>
          </w:p>
        </w:tc>
        <w:tc>
          <w:tcPr>
            <w:tcW w:w="76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202</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12.5</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Confirmations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12.6</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Adjustment; Setoff</w:t>
            </w:r>
          </w:p>
        </w:tc>
        <w:tc>
          <w:tcPr>
            <w:tcW w:w="6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3"/>
              </w:rPr>
              <w:t>204</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12.7</w:t>
            </w:r>
          </w:p>
        </w:tc>
        <w:tc>
          <w:tcPr>
            <w:tcW w:w="390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w w:val="98"/>
              </w:rPr>
              <w:t>Execution in Counterparts; Electronic Execution</w:t>
            </w:r>
          </w:p>
        </w:tc>
        <w:tc>
          <w:tcPr>
            <w:tcW w:w="1520" w:type="dxa"/>
            <w:vAlign w:val="bottom"/>
            <w:gridSpan w:val="2"/>
          </w:tcPr>
          <w:p>
            <w:pPr>
              <w:jc w:val="right"/>
              <w:ind w:right="921"/>
              <w:spacing w:after="0"/>
              <w:rPr>
                <w:sz w:val="20"/>
                <w:szCs w:val="20"/>
                <w:color w:val="auto"/>
              </w:rPr>
            </w:pPr>
            <w:r>
              <w:rPr>
                <w:rFonts w:ascii="Times New Roman" w:cs="Times New Roman" w:eastAsia="Times New Roman" w:hAnsi="Times New Roman"/>
                <w:sz w:val="20"/>
                <w:szCs w:val="20"/>
                <w:color w:val="auto"/>
              </w:rPr>
              <w:t>206</w:t>
            </w:r>
          </w:p>
        </w:tc>
        <w:tc>
          <w:tcPr>
            <w:tcW w:w="3100" w:type="dxa"/>
            <w:vAlign w:val="bottom"/>
          </w:tcPr>
          <w:p>
            <w:pPr>
              <w:spacing w:after="0"/>
              <w:rPr>
                <w:sz w:val="21"/>
                <w:szCs w:val="21"/>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12.8</w:t>
            </w:r>
          </w:p>
        </w:tc>
        <w:tc>
          <w:tcPr>
            <w:tcW w:w="5420" w:type="dxa"/>
            <w:vAlign w:val="bottom"/>
            <w:gridSpan w:val="9"/>
          </w:tcPr>
          <w:p>
            <w:pPr>
              <w:ind w:left="60"/>
              <w:spacing w:after="0"/>
              <w:rPr>
                <w:sz w:val="20"/>
                <w:szCs w:val="20"/>
                <w:color w:val="auto"/>
              </w:rPr>
            </w:pPr>
            <w:r>
              <w:rPr>
                <w:rFonts w:ascii="Times New Roman" w:cs="Times New Roman" w:eastAsia="Times New Roman" w:hAnsi="Times New Roman"/>
                <w:sz w:val="20"/>
                <w:szCs w:val="20"/>
                <w:color w:val="auto"/>
              </w:rPr>
              <w:t>Binding Effect; Assignment; Addition and Substitution of Lenders</w:t>
            </w:r>
          </w:p>
        </w:tc>
        <w:tc>
          <w:tcPr>
            <w:tcW w:w="3100" w:type="dxa"/>
            <w:vAlign w:val="bottom"/>
          </w:tcPr>
          <w:p>
            <w:pPr>
              <w:jc w:val="right"/>
              <w:ind w:right="2601"/>
              <w:spacing w:after="0"/>
              <w:rPr>
                <w:sz w:val="20"/>
                <w:szCs w:val="20"/>
                <w:color w:val="auto"/>
              </w:rPr>
            </w:pPr>
            <w:r>
              <w:rPr>
                <w:rFonts w:ascii="Times New Roman" w:cs="Times New Roman" w:eastAsia="Times New Roman" w:hAnsi="Times New Roman"/>
                <w:sz w:val="20"/>
                <w:szCs w:val="20"/>
                <w:color w:val="auto"/>
              </w:rPr>
              <w:t>206</w:t>
            </w: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12.9</w:t>
            </w:r>
          </w:p>
        </w:tc>
        <w:tc>
          <w:tcPr>
            <w:tcW w:w="8520" w:type="dxa"/>
            <w:vAlign w:val="bottom"/>
            <w:gridSpan w:val="10"/>
          </w:tcPr>
          <w:p>
            <w:pPr>
              <w:ind w:left="60"/>
              <w:spacing w:after="0"/>
              <w:rPr>
                <w:sz w:val="20"/>
                <w:szCs w:val="20"/>
                <w:color w:val="auto"/>
              </w:rPr>
            </w:pPr>
            <w:r>
              <w:rPr>
                <w:rFonts w:ascii="Times New Roman" w:cs="Times New Roman" w:eastAsia="Times New Roman" w:hAnsi="Times New Roman"/>
                <w:sz w:val="20"/>
                <w:szCs w:val="20"/>
                <w:color w:val="auto"/>
                <w:w w:val="99"/>
              </w:rPr>
              <w:t>CONSENT TO JURISDICTION; MUTUAL WAIVER OF JURY TRIAL; SERVICE OF PROCESS  210</w:t>
            </w: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12.10</w:t>
            </w:r>
          </w:p>
        </w:tc>
        <w:tc>
          <w:tcPr>
            <w:tcW w:w="238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Severability of Provisions</w:t>
            </w: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211</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12.11</w:t>
            </w: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Transfers of Notes</w:t>
            </w: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211</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12.12</w:t>
            </w:r>
          </w:p>
        </w:tc>
        <w:tc>
          <w:tcPr>
            <w:tcW w:w="9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Registry</w:t>
            </w:r>
          </w:p>
        </w:tc>
        <w:tc>
          <w:tcPr>
            <w:tcW w:w="82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rPr>
              <w:t>212</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30"/>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12.13</w:t>
            </w:r>
          </w:p>
        </w:tc>
        <w:tc>
          <w:tcPr>
            <w:tcW w:w="542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w w:val="99"/>
              </w:rPr>
              <w:t>USA PATRIOT Act and Beneficial Ownership Certificate Notice</w:t>
            </w:r>
          </w:p>
        </w:tc>
        <w:tc>
          <w:tcPr>
            <w:tcW w:w="3100" w:type="dxa"/>
            <w:vAlign w:val="bottom"/>
          </w:tcPr>
          <w:p>
            <w:pPr>
              <w:jc w:val="right"/>
              <w:ind w:right="2621"/>
              <w:spacing w:after="0"/>
              <w:rPr>
                <w:sz w:val="20"/>
                <w:szCs w:val="20"/>
                <w:color w:val="auto"/>
              </w:rPr>
            </w:pPr>
            <w:r>
              <w:rPr>
                <w:rFonts w:ascii="Times New Roman" w:cs="Times New Roman" w:eastAsia="Times New Roman" w:hAnsi="Times New Roman"/>
                <w:sz w:val="20"/>
                <w:szCs w:val="20"/>
                <w:color w:val="auto"/>
              </w:rPr>
              <w:t>212</w:t>
            </w:r>
          </w:p>
        </w:tc>
      </w:tr>
      <w:tr>
        <w:trPr>
          <w:trHeight w:val="243"/>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12.14</w:t>
            </w:r>
          </w:p>
        </w:tc>
        <w:tc>
          <w:tcPr>
            <w:tcW w:w="92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7"/>
              </w:rPr>
              <w:t>Headings</w:t>
            </w: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213</w:t>
            </w: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29"/>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12.15</w:t>
            </w:r>
          </w:p>
        </w:tc>
        <w:tc>
          <w:tcPr>
            <w:tcW w:w="238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Termination of Agreement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58"/>
        </w:trPr>
        <w:tc>
          <w:tcPr>
            <w:tcW w:w="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12.16</w:t>
            </w:r>
          </w:p>
        </w:tc>
        <w:tc>
          <w:tcPr>
            <w:tcW w:w="42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Treatment of Certain Information; Confidentiality</w:t>
            </w:r>
          </w:p>
        </w:tc>
        <w:tc>
          <w:tcPr>
            <w:tcW w:w="118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213</w:t>
            </w:r>
          </w:p>
        </w:tc>
        <w:tc>
          <w:tcPr>
            <w:tcW w:w="3100" w:type="dxa"/>
            <w:vAlign w:val="bottom"/>
          </w:tcPr>
          <w:p>
            <w:pPr>
              <w:spacing w:after="0"/>
              <w:rPr>
                <w:sz w:val="22"/>
                <w:szCs w:val="22"/>
                <w:color w:val="auto"/>
              </w:rPr>
            </w:pPr>
          </w:p>
        </w:tc>
      </w:tr>
    </w:tbl>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iv</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139"/>
          </w:cols>
          <w:pgMar w:left="320" w:top="1440"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12.17</w:t>
            </w:r>
          </w:p>
        </w:tc>
        <w:tc>
          <w:tcPr>
            <w:tcW w:w="44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Concerning the Collateral and the Loan Documents</w:t>
            </w:r>
          </w:p>
        </w:tc>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214</w:t>
            </w: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12.18</w:t>
            </w:r>
          </w:p>
        </w:tc>
        <w:tc>
          <w:tcPr>
            <w:tcW w:w="596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w w:val="99"/>
              </w:rPr>
              <w:t>U.K. Administrative Agent and Euro Collateral Agent as Joint Creditors</w:t>
            </w: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215</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12.19</w:t>
            </w:r>
          </w:p>
        </w:tc>
        <w:tc>
          <w:tcPr>
            <w:tcW w:w="24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Dutch Parallel Debt  215</w:t>
            </w: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12.20</w:t>
            </w:r>
          </w:p>
        </w:tc>
        <w:tc>
          <w:tcPr>
            <w:tcW w:w="5960" w:type="dxa"/>
            <w:vAlign w:val="bottom"/>
            <w:gridSpan w:val="9"/>
          </w:tcPr>
          <w:p>
            <w:pPr>
              <w:ind w:left="140"/>
              <w:spacing w:after="0"/>
              <w:rPr>
                <w:sz w:val="20"/>
                <w:szCs w:val="20"/>
                <w:color w:val="auto"/>
              </w:rPr>
            </w:pPr>
            <w:r>
              <w:rPr>
                <w:rFonts w:ascii="Times New Roman" w:cs="Times New Roman" w:eastAsia="Times New Roman" w:hAnsi="Times New Roman"/>
                <w:sz w:val="20"/>
                <w:szCs w:val="20"/>
                <w:color w:val="auto"/>
              </w:rPr>
              <w:t>Acknowledgement and Consent to Bail-In of EEA Financial Institutions</w:t>
            </w: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216</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12.21</w:t>
            </w:r>
          </w:p>
        </w:tc>
        <w:tc>
          <w:tcPr>
            <w:tcW w:w="44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w w:val="98"/>
              </w:rPr>
              <w:t>Redesignation of Unrestricted Entities as Subsidiaries</w:t>
            </w: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217</w:t>
            </w: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12.22</w:t>
            </w:r>
          </w:p>
        </w:tc>
        <w:tc>
          <w:tcPr>
            <w:tcW w:w="24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w w:val="97"/>
              </w:rPr>
              <w:t>No Fiduciary Responsibility</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12.23</w:t>
            </w:r>
          </w:p>
        </w:tc>
        <w:tc>
          <w:tcPr>
            <w:tcW w:w="24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Joint and Several Liability</w:t>
            </w: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217</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12.24</w:t>
            </w:r>
          </w:p>
        </w:tc>
        <w:tc>
          <w:tcPr>
            <w:tcW w:w="442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5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218</w:t>
            </w: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12.25</w:t>
            </w: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9"/>
              </w:rPr>
              <w:t>Certain ERISA Matters.</w:t>
            </w:r>
          </w:p>
        </w:tc>
        <w:tc>
          <w:tcPr>
            <w:tcW w:w="80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219</w:t>
            </w: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430"/>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gridSpan w:val="2"/>
          </w:tcPr>
          <w:p>
            <w:pPr>
              <w:jc w:val="center"/>
              <w:ind w:right="21"/>
              <w:spacing w:after="0"/>
              <w:rPr>
                <w:sz w:val="20"/>
                <w:szCs w:val="20"/>
                <w:color w:val="auto"/>
              </w:rPr>
            </w:pPr>
            <w:r>
              <w:rPr>
                <w:rFonts w:ascii="Times New Roman" w:cs="Times New Roman" w:eastAsia="Times New Roman" w:hAnsi="Times New Roman"/>
                <w:sz w:val="20"/>
                <w:szCs w:val="20"/>
                <w:color w:val="auto"/>
                <w:w w:val="98"/>
              </w:rPr>
              <w:t>ARTICLE XIII</w:t>
            </w:r>
          </w:p>
        </w:tc>
        <w:tc>
          <w:tcPr>
            <w:tcW w:w="820" w:type="dxa"/>
            <w:vAlign w:val="bottom"/>
          </w:tcPr>
          <w:p>
            <w:pPr>
              <w:spacing w:after="0"/>
              <w:rPr>
                <w:sz w:val="24"/>
                <w:szCs w:val="24"/>
                <w:color w:val="auto"/>
              </w:rPr>
            </w:pPr>
          </w:p>
        </w:tc>
      </w:tr>
      <w:tr>
        <w:trPr>
          <w:trHeight w:val="258"/>
        </w:trPr>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80" w:type="dxa"/>
            <w:vAlign w:val="bottom"/>
            <w:gridSpan w:val="5"/>
          </w:tcPr>
          <w:p>
            <w:pPr>
              <w:jc w:val="center"/>
              <w:ind w:left="481"/>
              <w:spacing w:after="0"/>
              <w:rPr>
                <w:sz w:val="20"/>
                <w:szCs w:val="20"/>
                <w:color w:val="auto"/>
              </w:rPr>
            </w:pPr>
            <w:r>
              <w:rPr>
                <w:rFonts w:ascii="Times New Roman" w:cs="Times New Roman" w:eastAsia="Times New Roman" w:hAnsi="Times New Roman"/>
                <w:sz w:val="20"/>
                <w:szCs w:val="20"/>
                <w:color w:val="auto"/>
                <w:w w:val="98"/>
              </w:rPr>
              <w:t>COLLECTION ACTION MECHANISM</w:t>
            </w:r>
          </w:p>
        </w:tc>
      </w:tr>
      <w:tr>
        <w:trPr>
          <w:trHeight w:val="4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13.1</w:t>
            </w: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Implementation of CAM</w:t>
            </w:r>
          </w:p>
        </w:tc>
        <w:tc>
          <w:tcPr>
            <w:tcW w:w="80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220</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13.2</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Letters of Credit</w:t>
            </w:r>
          </w:p>
        </w:tc>
        <w:tc>
          <w:tcPr>
            <w:tcW w:w="72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221</w:t>
            </w: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430"/>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gridSpan w:val="2"/>
          </w:tcPr>
          <w:p>
            <w:pPr>
              <w:jc w:val="center"/>
              <w:ind w:right="21"/>
              <w:spacing w:after="0"/>
              <w:rPr>
                <w:sz w:val="20"/>
                <w:szCs w:val="20"/>
                <w:color w:val="auto"/>
              </w:rPr>
            </w:pPr>
            <w:r>
              <w:rPr>
                <w:rFonts w:ascii="Times New Roman" w:cs="Times New Roman" w:eastAsia="Times New Roman" w:hAnsi="Times New Roman"/>
                <w:sz w:val="20"/>
                <w:szCs w:val="20"/>
                <w:color w:val="auto"/>
                <w:w w:val="97"/>
              </w:rPr>
              <w:t>ARTICLE XIV</w:t>
            </w:r>
          </w:p>
        </w:tc>
        <w:tc>
          <w:tcPr>
            <w:tcW w:w="820" w:type="dxa"/>
            <w:vAlign w:val="bottom"/>
          </w:tcPr>
          <w:p>
            <w:pPr>
              <w:spacing w:after="0"/>
              <w:rPr>
                <w:sz w:val="24"/>
                <w:szCs w:val="24"/>
                <w:color w:val="auto"/>
              </w:rPr>
            </w:pPr>
          </w:p>
        </w:tc>
      </w:tr>
      <w:tr>
        <w:trPr>
          <w:trHeight w:val="258"/>
        </w:trPr>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540" w:type="dxa"/>
            <w:vAlign w:val="bottom"/>
            <w:gridSpan w:val="2"/>
          </w:tcPr>
          <w:p>
            <w:pPr>
              <w:jc w:val="center"/>
              <w:ind w:right="41"/>
              <w:spacing w:after="0"/>
              <w:rPr>
                <w:sz w:val="20"/>
                <w:szCs w:val="20"/>
                <w:color w:val="auto"/>
              </w:rPr>
            </w:pPr>
            <w:r>
              <w:rPr>
                <w:rFonts w:ascii="Times New Roman" w:cs="Times New Roman" w:eastAsia="Times New Roman" w:hAnsi="Times New Roman"/>
                <w:sz w:val="20"/>
                <w:szCs w:val="20"/>
                <w:color w:val="auto"/>
                <w:w w:val="99"/>
              </w:rPr>
              <w:t>GUARANTY</w:t>
            </w:r>
          </w:p>
        </w:tc>
        <w:tc>
          <w:tcPr>
            <w:tcW w:w="820" w:type="dxa"/>
            <w:vAlign w:val="bottom"/>
          </w:tcPr>
          <w:p>
            <w:pPr>
              <w:spacing w:after="0"/>
              <w:rPr>
                <w:sz w:val="22"/>
                <w:szCs w:val="22"/>
                <w:color w:val="auto"/>
              </w:rPr>
            </w:pPr>
          </w:p>
        </w:tc>
      </w:tr>
      <w:tr>
        <w:trPr>
          <w:trHeight w:val="444"/>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w:t>
            </w:r>
          </w:p>
        </w:tc>
        <w:tc>
          <w:tcPr>
            <w:tcW w:w="3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Guarantee of Each of the Parent Guarantors</w:t>
            </w:r>
          </w:p>
        </w:tc>
        <w:tc>
          <w:tcPr>
            <w:tcW w:w="7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99"/>
              </w:rPr>
              <w:t>223</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14.2</w:t>
            </w:r>
          </w:p>
        </w:tc>
        <w:tc>
          <w:tcPr>
            <w:tcW w:w="290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Guarantee of European Borrower</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w w:val="86"/>
              </w:rPr>
              <w:t>223</w:t>
            </w: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14.3</w:t>
            </w:r>
          </w:p>
        </w:tc>
        <w:tc>
          <w:tcPr>
            <w:tcW w:w="24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Guarantee of Crown Finance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14.4</w:t>
            </w:r>
          </w:p>
        </w:tc>
        <w:tc>
          <w:tcPr>
            <w:tcW w:w="500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w w:val="99"/>
              </w:rPr>
              <w:t>Amendments, etc. with Respect to the Applicable Obligations</w:t>
            </w:r>
          </w:p>
        </w:tc>
        <w:tc>
          <w:tcPr>
            <w:tcW w:w="96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224</w:t>
            </w: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14.5</w:t>
            </w:r>
          </w:p>
        </w:tc>
        <w:tc>
          <w:tcPr>
            <w:tcW w:w="3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Guarantee Absolute and Unconditional  225</w:t>
            </w: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14.6</w:t>
            </w: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Reinstatement</w:t>
            </w:r>
          </w:p>
        </w:tc>
        <w:tc>
          <w:tcPr>
            <w:tcW w:w="72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w w:val="93"/>
              </w:rPr>
              <w:t>225</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14.7</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14.8</w:t>
            </w: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Independent Obligations</w:t>
            </w:r>
          </w:p>
        </w:tc>
        <w:tc>
          <w:tcPr>
            <w:tcW w:w="80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rPr>
              <w:t>226</w:t>
            </w: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14.9</w:t>
            </w:r>
          </w:p>
        </w:tc>
        <w:tc>
          <w:tcPr>
            <w:tcW w:w="368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w w:val="99"/>
              </w:rPr>
              <w:t>Guarantee Limitations for French Guarantees</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226</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14.10</w:t>
            </w:r>
          </w:p>
        </w:tc>
        <w:tc>
          <w:tcPr>
            <w:tcW w:w="44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Guarantee Limitations for Luxembourg Guarantees</w:t>
            </w:r>
          </w:p>
        </w:tc>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226</w:t>
            </w: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14.11</w:t>
            </w:r>
          </w:p>
        </w:tc>
        <w:tc>
          <w:tcPr>
            <w:tcW w:w="500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Guarantee Limitations for Spanish Guarantees and Security</w:t>
            </w:r>
          </w:p>
        </w:tc>
        <w:tc>
          <w:tcPr>
            <w:tcW w:w="96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227</w:t>
            </w: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14.12</w:t>
            </w:r>
          </w:p>
        </w:tc>
        <w:tc>
          <w:tcPr>
            <w:tcW w:w="500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w w:val="99"/>
              </w:rPr>
              <w:t>Guarantee Limitations for German Guarantees and Security.</w:t>
            </w: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20"/>
                <w:szCs w:val="20"/>
                <w:color w:val="auto"/>
              </w:rPr>
              <w:t>227</w:t>
            </w:r>
          </w:p>
        </w:tc>
        <w:tc>
          <w:tcPr>
            <w:tcW w:w="820" w:type="dxa"/>
            <w:vAlign w:val="bottom"/>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14.13</w:t>
            </w:r>
          </w:p>
        </w:tc>
        <w:tc>
          <w:tcPr>
            <w:tcW w:w="9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Keepwell</w:t>
            </w:r>
          </w:p>
        </w:tc>
        <w:tc>
          <w:tcPr>
            <w:tcW w:w="1140" w:type="dxa"/>
            <w:vAlign w:val="bottom"/>
            <w:gridSpan w:val="2"/>
          </w:tcPr>
          <w:p>
            <w:pPr>
              <w:jc w:val="right"/>
              <w:ind w:right="601"/>
              <w:spacing w:after="0"/>
              <w:rPr>
                <w:sz w:val="20"/>
                <w:szCs w:val="20"/>
                <w:color w:val="auto"/>
              </w:rPr>
            </w:pPr>
            <w:r>
              <w:rPr>
                <w:rFonts w:ascii="Times New Roman" w:cs="Times New Roman" w:eastAsia="Times New Roman" w:hAnsi="Times New Roman"/>
                <w:sz w:val="20"/>
                <w:szCs w:val="20"/>
                <w:color w:val="auto"/>
              </w:rPr>
              <w:t>228</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14.14</w:t>
            </w: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Executive Proceedings</w:t>
            </w:r>
          </w:p>
        </w:tc>
        <w:tc>
          <w:tcPr>
            <w:tcW w:w="800" w:type="dxa"/>
            <w:vAlign w:val="bottom"/>
            <w:gridSpan w:val="2"/>
          </w:tcPr>
          <w:p>
            <w:pPr>
              <w:jc w:val="right"/>
              <w:ind w:right="341"/>
              <w:spacing w:after="0"/>
              <w:rPr>
                <w:sz w:val="20"/>
                <w:szCs w:val="20"/>
                <w:color w:val="auto"/>
              </w:rPr>
            </w:pPr>
            <w:r>
              <w:rPr>
                <w:rFonts w:ascii="Times New Roman" w:cs="Times New Roman" w:eastAsia="Times New Roman" w:hAnsi="Times New Roman"/>
                <w:sz w:val="20"/>
                <w:szCs w:val="20"/>
                <w:color w:val="auto"/>
              </w:rPr>
              <w:t>229</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14.15</w:t>
            </w:r>
          </w:p>
        </w:tc>
        <w:tc>
          <w:tcPr>
            <w:tcW w:w="24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Spanish Public Document</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3"/>
              </w:rPr>
              <w:t>230</w:t>
            </w: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14.16</w:t>
            </w: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Guarantee of Each U.S. Borrower</w:t>
            </w: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230</w:t>
            </w: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v</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139"/>
          </w:cols>
          <w:pgMar w:left="320" w:top="1413" w:right="1440" w:bottom="1440" w:gutter="0" w:footer="0" w:header="0"/>
        </w:sectPr>
      </w:pPr>
    </w:p>
    <w:bookmarkStart w:id="53" w:name="page54"/>
    <w:bookmarkEnd w:id="53"/>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INDEX OF SCHEDULES AND EXHIBITS</w:t>
      </w:r>
    </w:p>
    <w:p>
      <w:pPr>
        <w:spacing w:after="0" w:line="1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112" w:lineRule="exact"/>
        <w:rPr>
          <w:sz w:val="20"/>
          <w:szCs w:val="20"/>
          <w:color w:val="auto"/>
        </w:rPr>
      </w:pPr>
    </w:p>
    <w:p>
      <w:pPr>
        <w:ind w:right="4819"/>
        <w:spacing w:after="0" w:line="258" w:lineRule="auto"/>
        <w:rPr>
          <w:sz w:val="20"/>
          <w:szCs w:val="20"/>
          <w:color w:val="auto"/>
        </w:rPr>
      </w:pPr>
      <w:r>
        <w:rPr>
          <w:rFonts w:ascii="Times New Roman" w:cs="Times New Roman" w:eastAsia="Times New Roman" w:hAnsi="Times New Roman"/>
          <w:sz w:val="20"/>
          <w:szCs w:val="20"/>
          <w:color w:val="auto"/>
        </w:rPr>
        <w:t>Exhibit 2.1(c) Form of Swing Line Loan Participation Certificate Exhibit 2.2(a)(1) Form of Term Note</w:t>
      </w: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Exhibit 2.2(a)(2)</w:t>
      </w:r>
      <w:r>
        <w:rPr>
          <w:sz w:val="20"/>
          <w:szCs w:val="20"/>
          <w:color w:val="auto"/>
        </w:rPr>
        <w:tab/>
      </w:r>
      <w:r>
        <w:rPr>
          <w:rFonts w:ascii="Times New Roman" w:cs="Times New Roman" w:eastAsia="Times New Roman" w:hAnsi="Times New Roman"/>
          <w:sz w:val="19"/>
          <w:szCs w:val="19"/>
          <w:color w:val="auto"/>
        </w:rPr>
        <w:t>Form of Revolving Note</w:t>
      </w:r>
    </w:p>
    <w:p>
      <w:pPr>
        <w:spacing w:after="0" w:line="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Exhibit 2.5</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1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Exhibit 2.6</w:t>
      </w:r>
      <w:r>
        <w:rPr>
          <w:sz w:val="20"/>
          <w:szCs w:val="20"/>
          <w:color w:val="auto"/>
        </w:rPr>
        <w:tab/>
      </w:r>
      <w:r>
        <w:rPr>
          <w:rFonts w:ascii="Times New Roman" w:cs="Times New Roman" w:eastAsia="Times New Roman" w:hAnsi="Times New Roman"/>
          <w:sz w:val="19"/>
          <w:szCs w:val="19"/>
          <w:color w:val="auto"/>
        </w:rPr>
        <w:t>Form of Notice of Conversion or Continuation</w:t>
      </w:r>
    </w:p>
    <w:p>
      <w:pPr>
        <w:spacing w:after="0" w:line="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Exhibit 2.10(c)</w:t>
      </w:r>
      <w:r>
        <w:rPr>
          <w:sz w:val="20"/>
          <w:szCs w:val="20"/>
          <w:color w:val="auto"/>
        </w:rPr>
        <w:tab/>
      </w:r>
      <w:r>
        <w:rPr>
          <w:rFonts w:ascii="Times New Roman" w:cs="Times New Roman" w:eastAsia="Times New Roman" w:hAnsi="Times New Roman"/>
          <w:sz w:val="19"/>
          <w:szCs w:val="19"/>
          <w:color w:val="auto"/>
        </w:rPr>
        <w:t>Form of Notice of Issuance</w:t>
      </w:r>
    </w:p>
    <w:p>
      <w:pPr>
        <w:spacing w:after="0" w:line="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Exhibit 2A.2(a)</w:t>
      </w:r>
      <w:r>
        <w:rPr>
          <w:sz w:val="20"/>
          <w:szCs w:val="20"/>
          <w:color w:val="auto"/>
        </w:rPr>
        <w:tab/>
      </w:r>
      <w:r>
        <w:rPr>
          <w:rFonts w:ascii="Times New Roman" w:cs="Times New Roman" w:eastAsia="Times New Roman" w:hAnsi="Times New Roman"/>
          <w:sz w:val="19"/>
          <w:szCs w:val="19"/>
          <w:color w:val="auto"/>
        </w:rPr>
        <w:t>Form of Canadian Revolving Note</w:t>
      </w:r>
    </w:p>
    <w:p>
      <w:pPr>
        <w:spacing w:after="0" w:line="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2A.5</w:t>
      </w:r>
      <w:r>
        <w:rPr>
          <w:sz w:val="20"/>
          <w:szCs w:val="20"/>
          <w:color w:val="auto"/>
        </w:rPr>
        <w:tab/>
      </w:r>
      <w:r>
        <w:rPr>
          <w:rFonts w:ascii="Times New Roman" w:cs="Times New Roman" w:eastAsia="Times New Roman" w:hAnsi="Times New Roman"/>
          <w:sz w:val="19"/>
          <w:szCs w:val="19"/>
          <w:color w:val="auto"/>
        </w:rPr>
        <w:t>Form of Notice of Canadian Borrowing</w:t>
      </w:r>
    </w:p>
    <w:p>
      <w:pPr>
        <w:spacing w:after="0" w:line="6" w:lineRule="exact"/>
        <w:rPr>
          <w:sz w:val="20"/>
          <w:szCs w:val="20"/>
          <w:color w:val="auto"/>
        </w:rPr>
      </w:pPr>
    </w:p>
    <w:p>
      <w:pPr>
        <w:ind w:right="4419"/>
        <w:spacing w:after="0" w:line="250" w:lineRule="auto"/>
        <w:rPr>
          <w:sz w:val="20"/>
          <w:szCs w:val="20"/>
          <w:color w:val="auto"/>
        </w:rPr>
      </w:pPr>
      <w:r>
        <w:rPr>
          <w:rFonts w:ascii="Times New Roman" w:cs="Times New Roman" w:eastAsia="Times New Roman" w:hAnsi="Times New Roman"/>
          <w:sz w:val="20"/>
          <w:szCs w:val="20"/>
          <w:color w:val="auto"/>
        </w:rPr>
        <w:t>Exhibit 2A.6 Form of Notice of Canadian Conversion or Continuation Exhibit 4.7(d) Form of U.S. Tax Compliance Certificate</w:t>
      </w:r>
    </w:p>
    <w:tbl>
      <w:tblPr>
        <w:tblLayout w:type="fixed"/>
        <w:tblInd w:w="0" w:type="dxa"/>
        <w:tblCellMar>
          <w:top w:w="0" w:type="dxa"/>
          <w:left w:w="0" w:type="dxa"/>
          <w:bottom w:w="0" w:type="dxa"/>
          <w:right w:w="0" w:type="dxa"/>
        </w:tblCellMar>
      </w:tblPr>
      <w:tr>
        <w:trPr>
          <w:trHeight w:val="221"/>
        </w:trPr>
        <w:tc>
          <w:tcPr>
            <w:tcW w:w="1440" w:type="dxa"/>
            <w:vAlign w:val="bottom"/>
            <w:gridSpan w:val="2"/>
          </w:tcPr>
          <w:p>
            <w:pPr>
              <w:spacing w:after="0" w:line="221" w:lineRule="exact"/>
              <w:rPr>
                <w:sz w:val="20"/>
                <w:szCs w:val="20"/>
                <w:color w:val="auto"/>
              </w:rPr>
            </w:pPr>
            <w:r>
              <w:rPr>
                <w:rFonts w:ascii="Times New Roman" w:cs="Times New Roman" w:eastAsia="Times New Roman" w:hAnsi="Times New Roman"/>
                <w:sz w:val="20"/>
                <w:szCs w:val="20"/>
                <w:color w:val="auto"/>
              </w:rPr>
              <w:t>Exhibit 5.1(a)(ii)</w:t>
            </w:r>
          </w:p>
        </w:tc>
        <w:tc>
          <w:tcPr>
            <w:tcW w:w="5760" w:type="dxa"/>
            <w:vAlign w:val="bottom"/>
            <w:gridSpan w:val="5"/>
          </w:tcPr>
          <w:p>
            <w:pPr>
              <w:ind w:left="100"/>
              <w:spacing w:after="0" w:line="221" w:lineRule="exact"/>
              <w:rPr>
                <w:sz w:val="20"/>
                <w:szCs w:val="20"/>
                <w:color w:val="auto"/>
              </w:rPr>
            </w:pPr>
            <w:r>
              <w:rPr>
                <w:rFonts w:ascii="Times New Roman" w:cs="Times New Roman" w:eastAsia="Times New Roman" w:hAnsi="Times New Roman"/>
                <w:sz w:val="20"/>
                <w:szCs w:val="20"/>
                <w:color w:val="auto"/>
              </w:rPr>
              <w:t>Form of U.S. Guarantee Agreement</w:t>
            </w:r>
          </w:p>
        </w:tc>
      </w:tr>
      <w:tr>
        <w:trPr>
          <w:trHeight w:val="229"/>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Exhibit 5.1(a)(iii)(A)</w:t>
            </w:r>
          </w:p>
        </w:tc>
        <w:tc>
          <w:tcPr>
            <w:tcW w:w="180" w:type="dxa"/>
            <w:vAlign w:val="bottom"/>
          </w:tcPr>
          <w:p>
            <w:pPr>
              <w:spacing w:after="0"/>
              <w:rPr>
                <w:sz w:val="19"/>
                <w:szCs w:val="19"/>
                <w:color w:val="auto"/>
              </w:rPr>
            </w:pPr>
          </w:p>
        </w:tc>
        <w:tc>
          <w:tcPr>
            <w:tcW w:w="53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Form of U.S. Security Agreement</w:t>
            </w:r>
          </w:p>
        </w:tc>
      </w:tr>
      <w:tr>
        <w:trPr>
          <w:trHeight w:val="243"/>
        </w:trPr>
        <w:tc>
          <w:tcPr>
            <w:tcW w:w="186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7"/>
              </w:rPr>
              <w:t>Exhibit 5.1(a)(iii)(B)(I)</w:t>
            </w:r>
          </w:p>
        </w:tc>
        <w:tc>
          <w:tcPr>
            <w:tcW w:w="53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Form of U.S. Pledge Agreement</w:t>
            </w:r>
          </w:p>
        </w:tc>
      </w:tr>
      <w:tr>
        <w:trPr>
          <w:trHeight w:val="243"/>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Exhibit 5.1(a)(iv)(A)</w:t>
            </w:r>
          </w:p>
        </w:tc>
        <w:tc>
          <w:tcPr>
            <w:tcW w:w="180" w:type="dxa"/>
            <w:vAlign w:val="bottom"/>
          </w:tcPr>
          <w:p>
            <w:pPr>
              <w:spacing w:after="0"/>
              <w:rPr>
                <w:sz w:val="21"/>
                <w:szCs w:val="21"/>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Form of Non-U.S. Guarantee Agreement</w:t>
            </w:r>
          </w:p>
        </w:tc>
      </w:tr>
      <w:tr>
        <w:trPr>
          <w:trHeight w:val="229"/>
        </w:trPr>
        <w:tc>
          <w:tcPr>
            <w:tcW w:w="72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Exhibit 5.1(a)(v)  Form of Euro Bank Pledge Agreement</w:t>
            </w:r>
          </w:p>
        </w:tc>
      </w:tr>
      <w:tr>
        <w:trPr>
          <w:trHeight w:val="243"/>
        </w:trPr>
        <w:tc>
          <w:tcPr>
            <w:tcW w:w="18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Exhibit 5.1(a)(vii)(A)</w:t>
            </w:r>
          </w:p>
        </w:tc>
        <w:tc>
          <w:tcPr>
            <w:tcW w:w="53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8"/>
              </w:rPr>
              <w:t>Form of U.S. Indemnity, Subrogation and Contribution Agreement</w:t>
            </w:r>
          </w:p>
        </w:tc>
      </w:tr>
      <w:tr>
        <w:trPr>
          <w:trHeight w:val="229"/>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Exhibit 5.1(a)(viii)</w:t>
            </w:r>
          </w:p>
        </w:tc>
        <w:tc>
          <w:tcPr>
            <w:tcW w:w="552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Form of Receivables Intercreditor Agreement</w:t>
            </w:r>
          </w:p>
        </w:tc>
      </w:tr>
      <w:tr>
        <w:trPr>
          <w:trHeight w:val="243"/>
        </w:trPr>
        <w:tc>
          <w:tcPr>
            <w:tcW w:w="72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Exhibit 5.1(e)(i)  Form of Officer’s Certificate</w:t>
            </w:r>
          </w:p>
        </w:tc>
      </w:tr>
      <w:tr>
        <w:trPr>
          <w:trHeight w:val="230"/>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5.1(e)(ii)</w:t>
            </w:r>
          </w:p>
        </w:tc>
        <w:tc>
          <w:tcPr>
            <w:tcW w:w="5760" w:type="dxa"/>
            <w:vAlign w:val="bottom"/>
            <w:gridSpan w:val="5"/>
          </w:tcPr>
          <w:p>
            <w:pPr>
              <w:jc w:val="right"/>
              <w:ind w:right="3200"/>
              <w:spacing w:after="0"/>
              <w:rPr>
                <w:sz w:val="20"/>
                <w:szCs w:val="20"/>
                <w:color w:val="auto"/>
              </w:rPr>
            </w:pPr>
            <w:r>
              <w:rPr>
                <w:rFonts w:ascii="Times New Roman" w:cs="Times New Roman" w:eastAsia="Times New Roman" w:hAnsi="Times New Roman"/>
                <w:sz w:val="20"/>
                <w:szCs w:val="20"/>
                <w:color w:val="auto"/>
              </w:rPr>
              <w:t>Form of Secretary’s Certificate</w:t>
            </w:r>
          </w:p>
        </w:tc>
      </w:tr>
      <w:tr>
        <w:trPr>
          <w:trHeight w:val="243"/>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5.1(e)(iv)</w:t>
            </w:r>
          </w:p>
        </w:tc>
        <w:tc>
          <w:tcPr>
            <w:tcW w:w="57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Form of Solvency Certificate</w:t>
            </w:r>
          </w:p>
        </w:tc>
      </w:tr>
      <w:tr>
        <w:trPr>
          <w:trHeight w:val="243"/>
        </w:trPr>
        <w:tc>
          <w:tcPr>
            <w:tcW w:w="72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Exhibit 7.2(a)  Form of Compliance Certificate</w:t>
            </w:r>
          </w:p>
        </w:tc>
      </w:tr>
      <w:tr>
        <w:trPr>
          <w:trHeight w:val="230"/>
        </w:trPr>
        <w:tc>
          <w:tcPr>
            <w:tcW w:w="72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Exhibit 12.1(c)  Form of Joinder Agreement</w:t>
            </w: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w w:val="98"/>
              </w:rPr>
              <w:t>Exhibit 12.8(d)</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52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Form of Assignment and Assumption Agreement</w:t>
            </w:r>
          </w:p>
        </w:tc>
      </w:tr>
      <w:tr>
        <w:trPr>
          <w:trHeight w:val="304"/>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Schedules</w:t>
            </w:r>
          </w:p>
        </w:tc>
      </w:tr>
      <w:tr>
        <w:trPr>
          <w:trHeight w:val="349"/>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1.1(a)</w:t>
            </w:r>
          </w:p>
        </w:tc>
        <w:tc>
          <w:tcPr>
            <w:tcW w:w="3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Commitments</w:t>
            </w:r>
          </w:p>
        </w:tc>
        <w:tc>
          <w:tcPr>
            <w:tcW w:w="84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1.1(b)</w:t>
            </w:r>
          </w:p>
        </w:tc>
        <w:tc>
          <w:tcPr>
            <w:tcW w:w="576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Revolver Sublimits</w:t>
            </w:r>
          </w:p>
        </w:tc>
      </w:tr>
      <w:tr>
        <w:trPr>
          <w:trHeight w:val="230"/>
        </w:trPr>
        <w:tc>
          <w:tcPr>
            <w:tcW w:w="72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Schedule 1.1(d)  Subsidiary Borrowers/Subsidiary Guarantors</w:t>
            </w:r>
          </w:p>
        </w:tc>
      </w:tr>
      <w:tr>
        <w:trPr>
          <w:trHeight w:val="243"/>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1.1(e)</w:t>
            </w:r>
          </w:p>
        </w:tc>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Unrestricted Entities</w:t>
            </w:r>
          </w:p>
        </w:tc>
      </w:tr>
      <w:tr>
        <w:trPr>
          <w:trHeight w:val="230"/>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1.1(g)</w:t>
            </w:r>
          </w:p>
        </w:tc>
        <w:tc>
          <w:tcPr>
            <w:tcW w:w="240" w:type="dxa"/>
            <w:vAlign w:val="bottom"/>
          </w:tcPr>
          <w:p>
            <w:pPr>
              <w:spacing w:after="0"/>
              <w:rPr>
                <w:sz w:val="19"/>
                <w:szCs w:val="19"/>
                <w:color w:val="auto"/>
              </w:rPr>
            </w:pPr>
          </w:p>
        </w:tc>
        <w:tc>
          <w:tcPr>
            <w:tcW w:w="55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Applicable LC Sublimit</w:t>
            </w:r>
          </w:p>
        </w:tc>
      </w:tr>
      <w:tr>
        <w:trPr>
          <w:trHeight w:val="243"/>
        </w:trPr>
        <w:tc>
          <w:tcPr>
            <w:tcW w:w="72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Schedule 2.10(j)  Letters of Credit Outstanding</w:t>
            </w:r>
          </w:p>
        </w:tc>
      </w:tr>
      <w:tr>
        <w:trPr>
          <w:trHeight w:val="243"/>
        </w:trPr>
        <w:tc>
          <w:tcPr>
            <w:tcW w:w="72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Schedule 5.1(d)   Opinions of Counsel</w:t>
            </w:r>
          </w:p>
        </w:tc>
      </w:tr>
      <w:tr>
        <w:trPr>
          <w:trHeight w:val="230"/>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Schedule 6.5(b)(i)</w:t>
            </w:r>
          </w:p>
        </w:tc>
        <w:tc>
          <w:tcPr>
            <w:tcW w:w="57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Indebtedness</w:t>
            </w:r>
          </w:p>
        </w:tc>
      </w:tr>
      <w:tr>
        <w:trPr>
          <w:trHeight w:val="243"/>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6.5(b)(ii)</w:t>
            </w:r>
          </w:p>
        </w:tc>
        <w:tc>
          <w:tcPr>
            <w:tcW w:w="552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Existing Non-U.S. Facilities</w:t>
            </w:r>
          </w:p>
        </w:tc>
      </w:tr>
      <w:tr>
        <w:trPr>
          <w:trHeight w:val="230"/>
        </w:trPr>
        <w:tc>
          <w:tcPr>
            <w:tcW w:w="1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6.5(b)(iii)</w:t>
            </w:r>
          </w:p>
        </w:tc>
        <w:tc>
          <w:tcPr>
            <w:tcW w:w="5520" w:type="dxa"/>
            <w:vAlign w:val="bottom"/>
            <w:gridSpan w:val="4"/>
          </w:tcPr>
          <w:p>
            <w:pPr>
              <w:jc w:val="right"/>
              <w:ind w:right="3200"/>
              <w:spacing w:after="0"/>
              <w:rPr>
                <w:sz w:val="20"/>
                <w:szCs w:val="20"/>
                <w:color w:val="auto"/>
              </w:rPr>
            </w:pPr>
            <w:r>
              <w:rPr>
                <w:rFonts w:ascii="Times New Roman" w:cs="Times New Roman" w:eastAsia="Times New Roman" w:hAnsi="Times New Roman"/>
                <w:sz w:val="20"/>
                <w:szCs w:val="20"/>
                <w:color w:val="auto"/>
              </w:rPr>
              <w:t>Existing Factoring Facilities</w:t>
            </w:r>
          </w:p>
        </w:tc>
      </w:tr>
      <w:tr>
        <w:trPr>
          <w:trHeight w:val="243"/>
        </w:trPr>
        <w:tc>
          <w:tcPr>
            <w:tcW w:w="72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Schedule 6.10(c)  Canadian Defined Benefit Plans</w:t>
            </w:r>
          </w:p>
        </w:tc>
      </w:tr>
      <w:tr>
        <w:trPr>
          <w:trHeight w:val="243"/>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6.14</w:t>
            </w:r>
          </w:p>
        </w:tc>
        <w:tc>
          <w:tcPr>
            <w:tcW w:w="59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Subsidiaries</w:t>
            </w:r>
          </w:p>
        </w:tc>
      </w:tr>
      <w:tr>
        <w:trPr>
          <w:trHeight w:val="230"/>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8.2(c)</w:t>
            </w:r>
          </w:p>
        </w:tc>
        <w:tc>
          <w:tcPr>
            <w:tcW w:w="57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43"/>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8.4</w:t>
            </w:r>
          </w:p>
        </w:tc>
        <w:tc>
          <w:tcPr>
            <w:tcW w:w="598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30"/>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Schedule 8.5(b)(i)</w:t>
            </w:r>
          </w:p>
        </w:tc>
        <w:tc>
          <w:tcPr>
            <w:tcW w:w="576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Permitted Transfers</w:t>
            </w:r>
          </w:p>
        </w:tc>
      </w:tr>
      <w:tr>
        <w:trPr>
          <w:trHeight w:val="243"/>
        </w:trPr>
        <w:tc>
          <w:tcPr>
            <w:tcW w:w="1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8.5(h)</w:t>
            </w:r>
          </w:p>
        </w:tc>
        <w:tc>
          <w:tcPr>
            <w:tcW w:w="576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rPr>
              <w:t>Permitted Divestitures</w:t>
            </w:r>
          </w:p>
        </w:tc>
      </w:tr>
      <w:tr>
        <w:trPr>
          <w:trHeight w:val="243"/>
        </w:trPr>
        <w:tc>
          <w:tcPr>
            <w:tcW w:w="72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Schedule 8.9(f)  Transactions with Affiliates</w:t>
            </w: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Schedule 8.10</w:t>
            </w:r>
          </w:p>
        </w:tc>
        <w:tc>
          <w:tcPr>
            <w:tcW w:w="598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rPr>
              <w:t>Restrictive Agreements</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139"/>
          </w:cols>
          <w:pgMar w:left="320" w:top="1409"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CREDIT AGREEMENT</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This Amended and Restated Credit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April 7, 2017 by and among CROWN AMERICAS LLC, a Pennsylvania limited liability company, CROWN EUROPEAN HOLDINGS S.A., a corporation organized under the laws of France (“</w:t>
      </w:r>
      <w:r>
        <w:rPr>
          <w:rFonts w:ascii="Times New Roman" w:cs="Times New Roman" w:eastAsia="Times New Roman" w:hAnsi="Times New Roman"/>
          <w:sz w:val="20"/>
          <w:szCs w:val="20"/>
          <w:u w:val="single" w:color="auto"/>
          <w:color w:val="auto"/>
        </w:rPr>
        <w:t>European Borrower</w:t>
      </w:r>
      <w:r>
        <w:rPr>
          <w:rFonts w:ascii="Times New Roman" w:cs="Times New Roman" w:eastAsia="Times New Roman" w:hAnsi="Times New Roman"/>
          <w:sz w:val="20"/>
          <w:szCs w:val="20"/>
          <w:color w:val="auto"/>
        </w:rPr>
        <w:t>”), each of the Subsidiary Borrowers from time to time party hereto, CROWN METAL PACKAGING CANADA LP, a limited partnership organized under the laws of the Province of Ontario, Canada (“</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and together with U.S. Borrower, European Borrower and the Subsidiary Borrowers,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CROWN CORK &amp; SEAL COMPANY, INC., a Pennsylvania corporation (“</w:t>
      </w:r>
      <w:r>
        <w:rPr>
          <w:rFonts w:ascii="Times New Roman" w:cs="Times New Roman" w:eastAsia="Times New Roman" w:hAnsi="Times New Roman"/>
          <w:sz w:val="20"/>
          <w:szCs w:val="20"/>
          <w:u w:val="single" w:color="auto"/>
          <w:color w:val="auto"/>
        </w:rPr>
        <w:t>CCSC</w:t>
      </w:r>
      <w:r>
        <w:rPr>
          <w:rFonts w:ascii="Times New Roman" w:cs="Times New Roman" w:eastAsia="Times New Roman" w:hAnsi="Times New Roman"/>
          <w:sz w:val="20"/>
          <w:szCs w:val="20"/>
          <w:color w:val="auto"/>
        </w:rPr>
        <w:t>”), CROWN HOLDINGS, INC., a Pennsylvania corporation (“</w:t>
      </w:r>
      <w:r>
        <w:rPr>
          <w:rFonts w:ascii="Times New Roman" w:cs="Times New Roman" w:eastAsia="Times New Roman" w:hAnsi="Times New Roman"/>
          <w:sz w:val="20"/>
          <w:szCs w:val="20"/>
          <w:u w:val="single" w:color="auto"/>
          <w:color w:val="auto"/>
        </w:rPr>
        <w:t>Crown Holdings</w:t>
      </w:r>
      <w:r>
        <w:rPr>
          <w:rFonts w:ascii="Times New Roman" w:cs="Times New Roman" w:eastAsia="Times New Roman" w:hAnsi="Times New Roman"/>
          <w:sz w:val="20"/>
          <w:szCs w:val="20"/>
          <w:color w:val="auto"/>
        </w:rPr>
        <w:t>”) and CROWN INTERNATIONAL HOLDINGS, INC., a Delaware corporation (“</w:t>
      </w:r>
      <w:r>
        <w:rPr>
          <w:rFonts w:ascii="Times New Roman" w:cs="Times New Roman" w:eastAsia="Times New Roman" w:hAnsi="Times New Roman"/>
          <w:sz w:val="20"/>
          <w:szCs w:val="20"/>
          <w:u w:val="single" w:color="auto"/>
          <w:color w:val="auto"/>
        </w:rPr>
        <w:t>Crown International</w:t>
      </w:r>
      <w:r>
        <w:rPr>
          <w:rFonts w:ascii="Times New Roman" w:cs="Times New Roman" w:eastAsia="Times New Roman" w:hAnsi="Times New Roman"/>
          <w:sz w:val="20"/>
          <w:szCs w:val="20"/>
          <w:color w:val="auto"/>
        </w:rPr>
        <w:t>”) as Parent Guarantors, each other Credit Party from time to time party hereto, the undersigned financial institutions in their capacities as lenders hereunder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DEUTSCHE BANK AG CANADA BRANCH, as Canadian administrative agent (“</w:t>
      </w:r>
      <w:r>
        <w:rPr>
          <w:rFonts w:ascii="Times New Roman" w:cs="Times New Roman" w:eastAsia="Times New Roman" w:hAnsi="Times New Roman"/>
          <w:sz w:val="20"/>
          <w:szCs w:val="20"/>
          <w:u w:val="single" w:color="auto"/>
          <w:color w:val="auto"/>
        </w:rPr>
        <w:t>Canadian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for the Canadian Revolving Lenders, DEUTSCHE BANK AG LONDON BRANCH, as U.K. Administrative Agent (“</w:t>
      </w:r>
      <w:r>
        <w:rPr>
          <w:rFonts w:ascii="Times New Roman" w:cs="Times New Roman" w:eastAsia="Times New Roman" w:hAnsi="Times New Roman"/>
          <w:sz w:val="20"/>
          <w:szCs w:val="20"/>
          <w:u w:val="single" w:color="auto"/>
          <w:color w:val="auto"/>
        </w:rPr>
        <w:t>U.K. Administrative Agent</w:t>
      </w:r>
      <w:r>
        <w:rPr>
          <w:rFonts w:ascii="Times New Roman" w:cs="Times New Roman" w:eastAsia="Times New Roman" w:hAnsi="Times New Roman"/>
          <w:sz w:val="20"/>
          <w:szCs w:val="20"/>
          <w:color w:val="auto"/>
        </w:rPr>
        <w:t>”) for the Multicurrency Revolving Lenders and Term Euro Lenders, and DEUTSCHE BANK AG NEW YORK BRANCH, as administrative agent (in such capacity,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for the Dollar Revolving Lenders and the Term Loan A Lenders.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W I T N E S S E T 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a credit agreement exists in favor of Borrowers, dated as of December 19, 2013, by and among Borrowers, the Guarantors party thereto, the lenders from time to time party thereto, Canadian Administrative Agent, U.K. Administrative Agent and Administrative Agent (as amended, restated, amended and restated or otherwise modified prior to the Effective Date, the “</w:t>
      </w:r>
      <w:r>
        <w:rPr>
          <w:rFonts w:ascii="Times New Roman" w:cs="Times New Roman" w:eastAsia="Times New Roman" w:hAnsi="Times New Roman"/>
          <w:sz w:val="20"/>
          <w:szCs w:val="20"/>
          <w:u w:val="single" w:color="auto"/>
          <w:color w:val="auto"/>
        </w:rPr>
        <w:t>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WHEREAS, the Borrowers have requested that the (a) (i) Existing Credit Agreement be amended and restated as provided herein and</w:t>
      </w:r>
    </w:p>
    <w:p>
      <w:pPr>
        <w:spacing w:after="0" w:line="40" w:lineRule="exact"/>
        <w:rPr>
          <w:sz w:val="20"/>
          <w:szCs w:val="20"/>
          <w:color w:val="auto"/>
        </w:rPr>
      </w:pPr>
    </w:p>
    <w:p>
      <w:pPr>
        <w:jc w:val="both"/>
        <w:ind w:firstLine="8"/>
        <w:spacing w:after="0" w:line="253" w:lineRule="auto"/>
        <w:tabs>
          <w:tab w:leader="none" w:pos="29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Effective Date, the Lenders provide credit and the Facing Agents issue letters of credit pursuant to the terms hereunder; and (b) the Lenders party hereto have indicated their willingness to extend such credit, and the Facing Agents have indicated their willingness to issue such letters of credit, in each case, on the terms and subject to the conditions set forth herein.</w:t>
      </w:r>
    </w:p>
    <w:p>
      <w:pPr>
        <w:spacing w:after="0" w:line="18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of the mutual covenants herein contained and, among other things, the parties hereto agree as follows:</w:t>
      </w:r>
    </w:p>
    <w:p>
      <w:pPr>
        <w:spacing w:after="0" w:line="1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1.</w:t>
      </w:r>
    </w:p>
    <w:p>
      <w:pPr>
        <w:spacing w:after="0" w:line="2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207"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1.1. Definitions. As used herein, and unless the context requires a different meaning, the following terms have the meanings indicated:</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1996 Indenture</w:t>
      </w:r>
      <w:r>
        <w:rPr>
          <w:rFonts w:ascii="Times New Roman" w:cs="Times New Roman" w:eastAsia="Times New Roman" w:hAnsi="Times New Roman"/>
          <w:sz w:val="20"/>
          <w:szCs w:val="20"/>
          <w:color w:val="auto"/>
        </w:rPr>
        <w:t>” means the Indenture dated as of December 17, 1996 among CCSC, Crown Cork &amp; Seal Finance PLC, Crown Cork &amp; Seal Finance S.A. and The Bank of New York, as trustee.</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Acceptance Fee</w:t>
      </w:r>
      <w:r>
        <w:rPr>
          <w:rFonts w:ascii="Times New Roman" w:cs="Times New Roman" w:eastAsia="Times New Roman" w:hAnsi="Times New Roman"/>
          <w:sz w:val="20"/>
          <w:szCs w:val="20"/>
          <w:color w:val="auto"/>
        </w:rPr>
        <w:t>” means a fee payable in Canadian Dollars by Canadian Borrower to a Canadian Revolving Lender with respect to the acceptance of a B/A or the making of a B/A Equivalent Loan on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6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09" w:right="339" w:bottom="1440" w:gutter="0" w:footer="0" w:header="0"/>
        </w:sectPr>
      </w:pPr>
    </w:p>
    <w:bookmarkStart w:id="55" w:name="page56"/>
    <w:bookmarkEnd w:id="55"/>
    <w:p>
      <w:pPr>
        <w:jc w:val="both"/>
        <w:spacing w:after="0" w:line="276" w:lineRule="auto"/>
        <w:rPr>
          <w:sz w:val="20"/>
          <w:szCs w:val="20"/>
          <w:color w:val="auto"/>
        </w:rPr>
      </w:pPr>
      <w:r>
        <w:rPr>
          <w:rFonts w:ascii="Times New Roman" w:cs="Times New Roman" w:eastAsia="Times New Roman" w:hAnsi="Times New Roman"/>
          <w:sz w:val="19"/>
          <w:szCs w:val="19"/>
          <w:color w:val="auto"/>
        </w:rPr>
        <w:t xml:space="preserve">date of such acceptance or loan, equal to the Applicable B/A Margin of the face amount of such B/A or B/A Equivalent Loan calculated on the basis of the number of days in the applicable Contract Period (including the date of acceptance and excluding the date of maturity) and a year of 365 days (it being agreed that the rate per annum applicable to the B/A Equivalent Loan is equivalent to the rate per annum otherwise applicable to the Bankers’ Acceptance which has been replaced by the making of such B/A Equivalent Loan pursuant to </w:t>
      </w:r>
      <w:r>
        <w:rPr>
          <w:rFonts w:ascii="Times New Roman" w:cs="Times New Roman" w:eastAsia="Times New Roman" w:hAnsi="Times New Roman"/>
          <w:sz w:val="19"/>
          <w:szCs w:val="19"/>
          <w:u w:val="single" w:color="auto"/>
          <w:color w:val="auto"/>
        </w:rPr>
        <w:t>Section 2A.9</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Acceptances to be Converted</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transaction or series of related transactions for the purpose of or resulting, directly or indirectly, in (i) the purchase by a Person of all or a significant part of a business or business unit conducted by another Person (whether through the acquisition of Capital Stock or assets) or (ii) the merger, consolidation or amalgamation of any Person with any other Person.</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Consideration</w:t>
      </w:r>
      <w:r>
        <w:rPr>
          <w:rFonts w:ascii="Times New Roman" w:cs="Times New Roman" w:eastAsia="Times New Roman" w:hAnsi="Times New Roman"/>
          <w:sz w:val="20"/>
          <w:szCs w:val="20"/>
          <w:color w:val="auto"/>
        </w:rPr>
        <w:t xml:space="preserve">” means the purchase consideration for any Permitted Acquisition by Crown Holdings or any of its Subsidiaries, whether paid in cash or by exchange of properties (excluding any exchange of Capital Stock of Crown Holdings) and whether payable at or prior to the consummation of such Permitted Acquisition or deferred for payment at any future time, whether or not any such future payment is subject to the occurrence of any contingency (excluding, for the avoidance of doubt, any indemnification or expenses paid in connection with such Permitted Acquisition),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future payment that is subject to a contingency shall be considered Acquisition Consideration only to the extent of the reserve, if any, required under GAAP at the time of such sale to be established in respect thereof by Crown Holdings or any of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Collateral</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7.14(d)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Euro Collateral</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7.14(d)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Facilities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Facility Commitment</w:t>
      </w:r>
      <w:r>
        <w:rPr>
          <w:rFonts w:ascii="Times New Roman" w:cs="Times New Roman" w:eastAsia="Times New Roman" w:hAnsi="Times New Roman"/>
          <w:sz w:val="20"/>
          <w:szCs w:val="20"/>
          <w:color w:val="auto"/>
        </w:rPr>
        <w:t>” means, with respect to any Lender and any Additional Facility, the obligation of such Lender to make loans under such Additional Facility, as such commitment may be adjusted from time to time pursuant to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Credit Commitments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Revolving Facility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2.9(a)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Security Documents</w:t>
      </w:r>
      <w:r>
        <w:rPr>
          <w:rFonts w:ascii="Times New Roman" w:cs="Times New Roman" w:eastAsia="Times New Roman" w:hAnsi="Times New Roman"/>
          <w:sz w:val="20"/>
          <w:szCs w:val="20"/>
          <w:color w:val="auto"/>
        </w:rPr>
        <w:t xml:space="preserve">” means all pledge agreements, security agreements and other security documents entered into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with respect to Additional Collateral, in each case, as amended, supplemented or otherwise modified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2.9(a)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U.S. Collateral</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7.14(b)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56" w:name="page57"/>
    <w:bookmarkEnd w:id="56"/>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CORRA Rate</w:t>
      </w:r>
      <w:r>
        <w:rPr>
          <w:rFonts w:ascii="Times New Roman" w:cs="Times New Roman" w:eastAsia="Times New Roman" w:hAnsi="Times New Roman"/>
          <w:sz w:val="20"/>
          <w:szCs w:val="20"/>
          <w:color w:val="auto"/>
        </w:rPr>
        <w:t>” means, for purposes of any calculation, the rate per annum equal to (a) Term CORRA for such calculation plus (b) the Term CORRA Adjustment.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Term SOFR</w:t>
      </w:r>
      <w:r>
        <w:rPr>
          <w:rFonts w:ascii="Times New Roman" w:cs="Times New Roman" w:eastAsia="Times New Roman" w:hAnsi="Times New Roman"/>
          <w:sz w:val="19"/>
          <w:szCs w:val="19"/>
          <w:color w:val="auto"/>
        </w:rPr>
        <w:t>” means, for purposes of any calculation, the rate per annum equal to (a) Term SOFR for such calculation plus</w:t>
      </w:r>
    </w:p>
    <w:p>
      <w:pPr>
        <w:spacing w:after="0" w:line="40" w:lineRule="exact"/>
        <w:rPr>
          <w:sz w:val="20"/>
          <w:szCs w:val="20"/>
          <w:color w:val="auto"/>
        </w:rPr>
      </w:pPr>
    </w:p>
    <w:p>
      <w:pPr>
        <w:ind w:right="20" w:firstLine="8"/>
        <w:spacing w:after="0" w:line="253" w:lineRule="auto"/>
        <w:tabs>
          <w:tab w:leader="none" w:pos="28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SOFR Adjustment; provided that if Adjusted Term SOFR as so determined shall ever be less than the Floor, then Adjusted Term SOFR shall be deemed to be the Floor.</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has the meaning assigned to that term in the preamble to this Agreement and any successor Administrative Agent in such capacity,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the context otherwise requires, (i) when used in respect of payments and notices pertaining to Canadian Revolving Loans, the term “Administrative Agent” shall mean Canadian Administrative Agent and (ii) when used in respect of payments and notices pertaining to Multicurrency Revolving Loans, to Term Euro Loans, or to any other Term Loans denominated in an Alternative Currency, the term “Administrative Agent” shall mean U.K. Administrative Agent.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xml:space="preserve">” means, with respect to any Person, any Person or group acting in concert in respect of the Person in question that, directly or indirectly, controls or is controlled by or is under common control with such Person. For the purposes of this definition, “control” (including, with correlative meanings, the terms “controlled by” and “under common control with”), as used with respect to any Person or group of Persons, means the possession, directly or indirectly, of the power to direct or cause the direction of management and policies of such Person, whether through the ownership of voting securities or by contract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being an officer or director of a person shall not, in and of itself, be deemed “control” of such person. None of the Administrative Agent, the Arrangers, the Bookrunners, any Lender or any of their respective Affiliates shall be considered an Affiliate of Crown Holdings or any of its Subsidiaries.</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means Administrative Agent, Canadian Administrative Agent and/or U.K. Administrative Agent, as the context may require.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Alternative Currency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Guaranty and Security Principles</w:t>
      </w:r>
      <w:r>
        <w:rPr>
          <w:rFonts w:ascii="Times New Roman" w:cs="Times New Roman" w:eastAsia="Times New Roman" w:hAnsi="Times New Roman"/>
          <w:sz w:val="20"/>
          <w:szCs w:val="20"/>
          <w:color w:val="auto"/>
        </w:rPr>
        <w:t>” means, with respect to any Subsidiary incorporated or formed under the laws of any jurisdiction, that a guaranty of any of the Obligations (including pursuant to the Guaranty) or a pledge or grant of a security interest in an asset (including Capital Stock) otherwise required to be pledged under this Agreement or any other Loan Document, in each case shall not be required to be given by such Subsidiary after the Incremental Amendment No. 3 and Fifth Amendment Effective Date to the extent that such guaranty, pledge or grant:</w:t>
      </w:r>
    </w:p>
    <w:p>
      <w:pPr>
        <w:spacing w:after="0" w:line="173" w:lineRule="exact"/>
        <w:rPr>
          <w:sz w:val="20"/>
          <w:szCs w:val="20"/>
          <w:color w:val="auto"/>
        </w:rPr>
      </w:pPr>
    </w:p>
    <w:p>
      <w:pPr>
        <w:jc w:val="both"/>
        <w:ind w:firstLine="656"/>
        <w:spacing w:after="0" w:line="276" w:lineRule="auto"/>
        <w:tabs>
          <w:tab w:leader="none" w:pos="1095"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prohibited by or in breach of or could reasonably be expected to be in breach of (i) any Requirement of Law (including, but not limited to, any exchange control, financial assistance, corporate benefit, corporate interest, minimum capitalization, fraudulent conveyance, “interest stripping”, transfer pricing, thin capitalization, retention of title or similar laws, rules or regulations) or (ii) any contractual obligation as of the date such Subsidiary or such asset is acquired so long as not entered into in contemplation of such acquisition;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57" w:name="page58"/>
    <w:bookmarkEnd w:id="57"/>
    <w:p>
      <w:pPr>
        <w:jc w:val="both"/>
        <w:ind w:firstLine="656"/>
        <w:spacing w:after="0" w:line="261" w:lineRule="auto"/>
        <w:tabs>
          <w:tab w:leader="none" w:pos="119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require consent, approval, license or authorization from any Governmental Authority (including supervisory board, works council, regulator or regulatory board (or equivalent), or other external body) to provide such guarantee, pledge or grant (unless such consent, approval, license or authorization has been received);</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could reasonably be expected to result in a risk of (i) breach of the fiduciary duties of, or personal civil or criminal liability on the part of, any of any Non-U.S. Subsidiary’s officers, directors, employees or similar persons or (ii) criminal liability on the part of any Non-U.S. Subsidiary; or</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3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could reasonably be expected to result in costs (including stamp duty, VAT, notarization and registration fees) or other consequences (including adverse tax consequences) that would be excessive in relation to the benefits afforded thereby,</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each case of clauses (a) through (d) of this definition, as determined in good faith by Crown Holdings in consultation with the Administrative Agent.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as the same may at any time be amended, supplemented or otherwise modified in accordance with the terms hereof and in effect.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AHYDO Payment</w:t>
      </w:r>
      <w:r>
        <w:rPr>
          <w:rFonts w:ascii="Times New Roman" w:cs="Times New Roman" w:eastAsia="Times New Roman" w:hAnsi="Times New Roman"/>
          <w:sz w:val="20"/>
          <w:szCs w:val="20"/>
          <w:color w:val="auto"/>
        </w:rPr>
        <w:t xml:space="preserve">” means any interest payment, mandatory prepayment or redemption pursuant to the terms of this Agreement or any other Loan Document or any other loan document with respect to any Indebtedness described in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 xml:space="preserve"> in an amount that is the minimum amount necessary to ensure that such Indebtedness is not treated as an “applicable high yield discount obligation” within the meaning of Section 163(i) of the Code.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means, at any time, Euro, Sterling and any Agreed Alternative Currency.</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Alternate Rate</w:t>
      </w:r>
      <w:r>
        <w:rPr>
          <w:rFonts w:ascii="Times New Roman" w:cs="Times New Roman" w:eastAsia="Times New Roman" w:hAnsi="Times New Roman"/>
          <w:sz w:val="20"/>
          <w:szCs w:val="20"/>
          <w:color w:val="auto"/>
        </w:rPr>
        <w:t xml:space="preserve">” means, with respect to any Alternative Currency in any jurisdiction, the rate of interest per annum notified to the Administrative Agent by that Lender as soon as practicable after notice is given under </w:t>
      </w:r>
      <w:r>
        <w:rPr>
          <w:rFonts w:ascii="Times New Roman" w:cs="Times New Roman" w:eastAsia="Times New Roman" w:hAnsi="Times New Roman"/>
          <w:sz w:val="20"/>
          <w:szCs w:val="20"/>
          <w:u w:val="single" w:color="auto"/>
          <w:color w:val="auto"/>
        </w:rPr>
        <w:t>Section 3.6(c)</w:t>
      </w:r>
      <w:r>
        <w:rPr>
          <w:rFonts w:ascii="Times New Roman" w:cs="Times New Roman" w:eastAsia="Times New Roman" w:hAnsi="Times New Roman"/>
          <w:sz w:val="20"/>
          <w:szCs w:val="20"/>
          <w:color w:val="auto"/>
        </w:rPr>
        <w:t xml:space="preserve">, and in any event before interest is due to be paid in respect of the applicable Borrowing, based on the cost to that Lender of funding its participation in that Loan. Notwithstanding anything to the contrary contained herein, Loans may be made or maintained as Daily Rate Loans only to the extent specified in </w:t>
      </w:r>
      <w:r>
        <w:rPr>
          <w:rFonts w:ascii="Times New Roman" w:cs="Times New Roman" w:eastAsia="Times New Roman" w:hAnsi="Times New Roman"/>
          <w:sz w:val="20"/>
          <w:szCs w:val="20"/>
          <w:u w:val="single" w:color="auto"/>
          <w:color w:val="auto"/>
        </w:rPr>
        <w:t>Section 3.6(c)</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any Loan denominated in a currency other than Dollars or Canadian Dollars.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Borrower or its Affiliates from time to time concerning or relating to bribery or corruption.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B/A Margin</w:t>
      </w:r>
      <w:r>
        <w:rPr>
          <w:rFonts w:ascii="Times New Roman" w:cs="Times New Roman" w:eastAsia="Times New Roman" w:hAnsi="Times New Roman"/>
          <w:sz w:val="20"/>
          <w:szCs w:val="20"/>
          <w:color w:val="auto"/>
        </w:rPr>
        <w:t>” means, at any date, (i) from the Incremental Amendment No. 3 and Fifth Amendment Effective Date to the date upon which the Administrative Agent receives the Compliance Certificate related to the financial statements for the Fiscal Quarter ending September 30, 2022, 1.25%, and (ii) at any date thereafter, the applicable percentage rate per annum set forth in the following table under column Applicable B/A Margin opposite the Most Recent Total Leverage Ratio as of such date: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58" w:name="page59"/>
    <w:bookmarkEnd w:id="5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620" w:type="dxa"/>
            <w:vAlign w:val="bottom"/>
            <w:tcBorders>
              <w:top w:val="single" w:sz="8" w:color="auto"/>
              <w:right w:val="single" w:sz="8" w:color="auto"/>
            </w:tcBorders>
            <w:gridSpan w:val="3"/>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Applicable B/A Margin</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80" w:type="dxa"/>
            <w:vAlign w:val="bottom"/>
            <w:tcBorders>
              <w:top w:val="single" w:sz="8" w:color="auto"/>
              <w:bottom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20"/>
                <w:szCs w:val="20"/>
                <w:color w:val="auto"/>
                <w:w w:val="99"/>
              </w:rPr>
              <w:t>Less than 3.00 to 1.00</w:t>
            </w:r>
          </w:p>
        </w:tc>
        <w:tc>
          <w:tcPr>
            <w:tcW w:w="3780" w:type="dxa"/>
            <w:vAlign w:val="bottom"/>
            <w:tcBorders>
              <w:bottom w:val="single" w:sz="8" w:color="auto"/>
            </w:tcBorders>
            <w:gridSpan w:val="2"/>
          </w:tcPr>
          <w:p>
            <w:pPr>
              <w:jc w:val="center"/>
              <w:ind w:left="1721"/>
              <w:spacing w:after="0"/>
              <w:rPr>
                <w:sz w:val="20"/>
                <w:szCs w:val="20"/>
                <w:color w:val="auto"/>
              </w:rPr>
            </w:pPr>
            <w:r>
              <w:rPr>
                <w:rFonts w:ascii="Times New Roman" w:cs="Times New Roman" w:eastAsia="Times New Roman" w:hAnsi="Times New Roman"/>
                <w:sz w:val="20"/>
                <w:szCs w:val="20"/>
                <w:color w:val="auto"/>
              </w:rPr>
              <w:t>1.00%</w:t>
            </w:r>
          </w:p>
        </w:tc>
        <w:tc>
          <w:tcPr>
            <w:tcW w:w="1840" w:type="dxa"/>
            <w:vAlign w:val="bottom"/>
            <w:tcBorders>
              <w:bottom w:val="single" w:sz="8" w:color="auto"/>
              <w:right w:val="single" w:sz="8" w:color="auto"/>
            </w:tcBorders>
          </w:tcPr>
          <w:p>
            <w:pPr>
              <w:spacing w:after="0"/>
              <w:rPr>
                <w:sz w:val="21"/>
                <w:szCs w:val="21"/>
                <w:color w:val="auto"/>
              </w:rPr>
            </w:pPr>
          </w:p>
        </w:tc>
      </w:tr>
      <w:tr>
        <w:trPr>
          <w:trHeight w:val="187"/>
        </w:trPr>
        <w:tc>
          <w:tcPr>
            <w:tcW w:w="1380" w:type="dxa"/>
            <w:vAlign w:val="bottom"/>
            <w:tcBorders>
              <w:left w:val="single" w:sz="8" w:color="auto"/>
            </w:tcBorders>
          </w:tcPr>
          <w:p>
            <w:pPr>
              <w:spacing w:after="0"/>
              <w:rPr>
                <w:sz w:val="16"/>
                <w:szCs w:val="16"/>
                <w:color w:val="auto"/>
              </w:rPr>
            </w:pPr>
          </w:p>
        </w:tc>
        <w:tc>
          <w:tcPr>
            <w:tcW w:w="4260" w:type="dxa"/>
            <w:vAlign w:val="bottom"/>
            <w:tcBorders>
              <w:right w:val="single" w:sz="8" w:color="auto"/>
            </w:tcBorders>
            <w:gridSpan w:val="2"/>
          </w:tcPr>
          <w:p>
            <w:pPr>
              <w:jc w:val="center"/>
              <w:ind w:right="1360"/>
              <w:spacing w:after="0" w:line="186"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3780" w:type="dxa"/>
            <w:vAlign w:val="bottom"/>
            <w:gridSpan w:val="2"/>
          </w:tcPr>
          <w:p>
            <w:pPr>
              <w:jc w:val="center"/>
              <w:ind w:left="1721"/>
              <w:spacing w:after="0" w:line="186" w:lineRule="exact"/>
              <w:rPr>
                <w:sz w:val="20"/>
                <w:szCs w:val="20"/>
                <w:color w:val="auto"/>
              </w:rPr>
            </w:pPr>
            <w:r>
              <w:rPr>
                <w:rFonts w:ascii="Times New Roman" w:cs="Times New Roman" w:eastAsia="Times New Roman" w:hAnsi="Times New Roman"/>
                <w:sz w:val="20"/>
                <w:szCs w:val="20"/>
                <w:color w:val="auto"/>
              </w:rPr>
              <w:t>1.25%</w:t>
            </w:r>
          </w:p>
        </w:tc>
        <w:tc>
          <w:tcPr>
            <w:tcW w:w="1840" w:type="dxa"/>
            <w:vAlign w:val="bottom"/>
            <w:tcBorders>
              <w:right w:val="single" w:sz="8" w:color="auto"/>
            </w:tcBorders>
          </w:tcPr>
          <w:p>
            <w:pPr>
              <w:spacing w:after="0"/>
              <w:rPr>
                <w:sz w:val="16"/>
                <w:szCs w:val="16"/>
                <w:color w:val="auto"/>
              </w:rPr>
            </w:pPr>
          </w:p>
        </w:tc>
      </w:tr>
      <w:tr>
        <w:trPr>
          <w:trHeight w:val="252"/>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18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3780" w:type="dxa"/>
            <w:vAlign w:val="bottom"/>
            <w:tcBorders>
              <w:bottom w:val="single" w:sz="8" w:color="auto"/>
            </w:tcBorders>
            <w:gridSpan w:val="2"/>
          </w:tcPr>
          <w:p>
            <w:pPr>
              <w:jc w:val="center"/>
              <w:ind w:left="1721"/>
              <w:spacing w:after="0"/>
              <w:rPr>
                <w:sz w:val="20"/>
                <w:szCs w:val="20"/>
                <w:color w:val="auto"/>
              </w:rPr>
            </w:pPr>
            <w:r>
              <w:rPr>
                <w:rFonts w:ascii="Times New Roman" w:cs="Times New Roman" w:eastAsia="Times New Roman" w:hAnsi="Times New Roman"/>
                <w:sz w:val="20"/>
                <w:szCs w:val="20"/>
                <w:color w:val="auto"/>
              </w:rPr>
              <w:t>1.50%</w:t>
            </w:r>
          </w:p>
        </w:tc>
        <w:tc>
          <w:tcPr>
            <w:tcW w:w="184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B/A Margin shall be adjusted pursuant to the Sustainability Rating Adjustment. Any adjustment in the Applicable B/A Margin shall be applicable to all applicable Loans then existing or subsequently made or issued.</w:t>
      </w:r>
    </w:p>
    <w:p>
      <w:pPr>
        <w:spacing w:after="0" w:line="17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Adjusted Term SOFR Margin</w:t>
      </w:r>
      <w:r>
        <w:rPr>
          <w:rFonts w:ascii="Times New Roman" w:cs="Times New Roman" w:eastAsia="Times New Roman" w:hAnsi="Times New Roman"/>
          <w:sz w:val="20"/>
          <w:szCs w:val="20"/>
          <w:color w:val="auto"/>
        </w:rPr>
        <w:t>” means, with respect to Dollar Revolving Loans, Multicurrency Revolving Loans and Term A Loans, (i) from the Incremental Amendment No. 3 and Fifth Amendment Effective Date to the date upon which the Administrative Agent receives the Compliance Certificate related to the financial statements for the Fiscal Quarter ending September 30, 2022, 1.25%, and</w:t>
      </w:r>
    </w:p>
    <w:p>
      <w:pPr>
        <w:spacing w:after="0" w:line="1" w:lineRule="exact"/>
        <w:rPr>
          <w:sz w:val="20"/>
          <w:szCs w:val="20"/>
          <w:color w:val="auto"/>
        </w:rPr>
      </w:pPr>
    </w:p>
    <w:p>
      <w:pPr>
        <w:ind w:right="20" w:firstLine="8"/>
        <w:spacing w:after="0" w:line="253" w:lineRule="auto"/>
        <w:tabs>
          <w:tab w:leader="none" w:pos="30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date thereafter, the applicable percentage rate per annum set forth in the following table under the column Applicable Adjusted Term SOFR Margin opposite the Most Recent Total Leverage Ratio as of such date:</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620" w:type="dxa"/>
            <w:vAlign w:val="bottom"/>
            <w:tcBorders>
              <w:top w:val="single" w:sz="8" w:color="auto"/>
              <w:right w:val="single" w:sz="8" w:color="auto"/>
            </w:tcBorders>
            <w:gridSpan w:val="3"/>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Applicable Adjusted Term SOFR Margin</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500" w:type="dxa"/>
            <w:vAlign w:val="bottom"/>
            <w:tcBorders>
              <w:top w:val="single" w:sz="8" w:color="auto"/>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20"/>
                <w:szCs w:val="20"/>
                <w:color w:val="auto"/>
                <w:w w:val="99"/>
              </w:rPr>
              <w:t>Less than 3.00 to 1.00</w:t>
            </w:r>
          </w:p>
        </w:tc>
        <w:tc>
          <w:tcPr>
            <w:tcW w:w="4540" w:type="dxa"/>
            <w:vAlign w:val="bottom"/>
            <w:tcBorders>
              <w:bottom w:val="single" w:sz="8" w:color="auto"/>
            </w:tcBorders>
            <w:gridSpan w:val="2"/>
          </w:tcPr>
          <w:p>
            <w:pPr>
              <w:jc w:val="center"/>
              <w:ind w:left="961"/>
              <w:spacing w:after="0"/>
              <w:rPr>
                <w:sz w:val="20"/>
                <w:szCs w:val="20"/>
                <w:color w:val="auto"/>
              </w:rPr>
            </w:pPr>
            <w:r>
              <w:rPr>
                <w:rFonts w:ascii="Times New Roman" w:cs="Times New Roman" w:eastAsia="Times New Roman" w:hAnsi="Times New Roman"/>
                <w:sz w:val="20"/>
                <w:szCs w:val="20"/>
                <w:color w:val="auto"/>
              </w:rPr>
              <w:t>1.00%</w:t>
            </w:r>
          </w:p>
        </w:tc>
        <w:tc>
          <w:tcPr>
            <w:tcW w:w="1080" w:type="dxa"/>
            <w:vAlign w:val="bottom"/>
            <w:tcBorders>
              <w:bottom w:val="single" w:sz="8" w:color="auto"/>
              <w:right w:val="single" w:sz="8" w:color="auto"/>
            </w:tcBorders>
          </w:tcPr>
          <w:p>
            <w:pPr>
              <w:spacing w:after="0"/>
              <w:rPr>
                <w:sz w:val="21"/>
                <w:szCs w:val="21"/>
                <w:color w:val="auto"/>
              </w:rPr>
            </w:pPr>
          </w:p>
        </w:tc>
      </w:tr>
      <w:tr>
        <w:trPr>
          <w:trHeight w:val="183"/>
        </w:trPr>
        <w:tc>
          <w:tcPr>
            <w:tcW w:w="1380" w:type="dxa"/>
            <w:vAlign w:val="bottom"/>
            <w:tcBorders>
              <w:left w:val="single" w:sz="8" w:color="auto"/>
            </w:tcBorders>
          </w:tcPr>
          <w:p>
            <w:pPr>
              <w:spacing w:after="0"/>
              <w:rPr>
                <w:sz w:val="15"/>
                <w:szCs w:val="15"/>
                <w:color w:val="auto"/>
              </w:rPr>
            </w:pPr>
          </w:p>
        </w:tc>
        <w:tc>
          <w:tcPr>
            <w:tcW w:w="4260" w:type="dxa"/>
            <w:vAlign w:val="bottom"/>
            <w:tcBorders>
              <w:right w:val="single" w:sz="8" w:color="auto"/>
            </w:tcBorders>
            <w:gridSpan w:val="2"/>
          </w:tcPr>
          <w:p>
            <w:pPr>
              <w:jc w:val="center"/>
              <w:ind w:right="1360"/>
              <w:spacing w:after="0" w:line="183"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4540" w:type="dxa"/>
            <w:vAlign w:val="bottom"/>
            <w:gridSpan w:val="2"/>
          </w:tcPr>
          <w:p>
            <w:pPr>
              <w:jc w:val="center"/>
              <w:ind w:left="961"/>
              <w:spacing w:after="0" w:line="183" w:lineRule="exact"/>
              <w:rPr>
                <w:sz w:val="20"/>
                <w:szCs w:val="20"/>
                <w:color w:val="auto"/>
              </w:rPr>
            </w:pPr>
            <w:r>
              <w:rPr>
                <w:rFonts w:ascii="Times New Roman" w:cs="Times New Roman" w:eastAsia="Times New Roman" w:hAnsi="Times New Roman"/>
                <w:sz w:val="20"/>
                <w:szCs w:val="20"/>
                <w:color w:val="auto"/>
              </w:rPr>
              <w:t>1.25%</w:t>
            </w:r>
          </w:p>
        </w:tc>
        <w:tc>
          <w:tcPr>
            <w:tcW w:w="1080" w:type="dxa"/>
            <w:vAlign w:val="bottom"/>
            <w:tcBorders>
              <w:right w:val="single" w:sz="8" w:color="auto"/>
            </w:tcBorders>
          </w:tcPr>
          <w:p>
            <w:pPr>
              <w:spacing w:after="0"/>
              <w:rPr>
                <w:sz w:val="15"/>
                <w:szCs w:val="15"/>
                <w:color w:val="auto"/>
              </w:rPr>
            </w:pPr>
          </w:p>
        </w:tc>
      </w:tr>
      <w:tr>
        <w:trPr>
          <w:trHeight w:val="257"/>
        </w:trPr>
        <w:tc>
          <w:tcPr>
            <w:tcW w:w="1380" w:type="dxa"/>
            <w:vAlign w:val="bottom"/>
            <w:tcBorders>
              <w:left w:val="single" w:sz="8" w:color="auto"/>
              <w:bottom w:val="single" w:sz="8" w:color="auto"/>
            </w:tcBorders>
          </w:tcPr>
          <w:p>
            <w:pPr>
              <w:spacing w:after="0"/>
              <w:rPr>
                <w:sz w:val="22"/>
                <w:szCs w:val="22"/>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104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spacing w:after="0"/>
              <w:rPr>
                <w:sz w:val="22"/>
                <w:szCs w:val="2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4540" w:type="dxa"/>
            <w:vAlign w:val="bottom"/>
            <w:tcBorders>
              <w:bottom w:val="single" w:sz="8" w:color="auto"/>
            </w:tcBorders>
            <w:gridSpan w:val="2"/>
          </w:tcPr>
          <w:p>
            <w:pPr>
              <w:jc w:val="center"/>
              <w:ind w:left="961"/>
              <w:spacing w:after="0"/>
              <w:rPr>
                <w:sz w:val="20"/>
                <w:szCs w:val="20"/>
                <w:color w:val="auto"/>
              </w:rPr>
            </w:pPr>
            <w:r>
              <w:rPr>
                <w:rFonts w:ascii="Times New Roman" w:cs="Times New Roman" w:eastAsia="Times New Roman" w:hAnsi="Times New Roman"/>
                <w:sz w:val="20"/>
                <w:szCs w:val="20"/>
                <w:color w:val="auto"/>
              </w:rPr>
              <w:t>1.50%</w:t>
            </w:r>
          </w:p>
        </w:tc>
        <w:tc>
          <w:tcPr>
            <w:tcW w:w="1080" w:type="dxa"/>
            <w:vAlign w:val="bottom"/>
            <w:tcBorders>
              <w:bottom w:val="single" w:sz="8" w:color="auto"/>
              <w:right w:val="single" w:sz="8" w:color="auto"/>
            </w:tcBorders>
          </w:tcPr>
          <w:p>
            <w:pPr>
              <w:spacing w:after="0"/>
              <w:rPr>
                <w:sz w:val="21"/>
                <w:szCs w:val="21"/>
                <w:color w:val="auto"/>
              </w:rPr>
            </w:pPr>
          </w:p>
        </w:tc>
      </w:tr>
    </w:tbl>
    <w:p>
      <w:pPr>
        <w:spacing w:after="0" w:line="274"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Base Rate Margin</w:t>
      </w:r>
      <w:r>
        <w:rPr>
          <w:rFonts w:ascii="Times New Roman" w:cs="Times New Roman" w:eastAsia="Times New Roman" w:hAnsi="Times New Roman"/>
          <w:sz w:val="20"/>
          <w:szCs w:val="20"/>
          <w:color w:val="auto"/>
        </w:rPr>
        <w:t>” means, at any date, with respect to Dollar Revolving Loans and Term A Loans, (i) from the Incremental Amendment No. 3 and Fifth Amendment Effective Date to the date upon which the Administrative Agent receives the Compliance Certificate related to the financial statements for the Fiscal Quarter ending September 30, 2022, 0.25%, and (ii) at any date thereafter, the applicable percentage rate per annum set forth in the following applicable table under the column Applicable Base Rate Margin opposite the Most Recent Total Leverage Ratio as of such date:</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612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140" w:type="dxa"/>
            <w:vAlign w:val="bottom"/>
            <w:tcBorders>
              <w:top w:val="single" w:sz="8" w:color="auto"/>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Applicable Base Rate Margin</w:t>
            </w:r>
          </w:p>
        </w:tc>
      </w:tr>
      <w:tr>
        <w:trPr>
          <w:trHeight w:val="34"/>
        </w:trPr>
        <w:tc>
          <w:tcPr>
            <w:tcW w:w="162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80" w:type="dxa"/>
            <w:vAlign w:val="bottom"/>
            <w:tcBorders>
              <w:top w:val="single" w:sz="8" w:color="auto"/>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50"/>
        </w:trPr>
        <w:tc>
          <w:tcPr>
            <w:tcW w:w="1620" w:type="dxa"/>
            <w:vAlign w:val="bottom"/>
            <w:tcBorders>
              <w:left w:val="single" w:sz="8" w:color="auto"/>
              <w:bottom w:val="single" w:sz="8" w:color="auto"/>
            </w:tcBorders>
          </w:tcPr>
          <w:p>
            <w:pPr>
              <w:spacing w:after="0"/>
              <w:rPr>
                <w:sz w:val="21"/>
                <w:szCs w:val="21"/>
                <w:color w:val="auto"/>
              </w:rPr>
            </w:pPr>
          </w:p>
        </w:tc>
        <w:tc>
          <w:tcPr>
            <w:tcW w:w="4500" w:type="dxa"/>
            <w:vAlign w:val="bottom"/>
            <w:tcBorders>
              <w:bottom w:val="single" w:sz="8" w:color="auto"/>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20"/>
                <w:szCs w:val="20"/>
                <w:color w:val="auto"/>
                <w:w w:val="99"/>
              </w:rPr>
              <w:t>Less than 3.00 to 1.00</w:t>
            </w:r>
          </w:p>
        </w:tc>
        <w:tc>
          <w:tcPr>
            <w:tcW w:w="3800" w:type="dxa"/>
            <w:vAlign w:val="bottom"/>
            <w:tcBorders>
              <w:bottom w:val="single" w:sz="8" w:color="auto"/>
            </w:tcBorders>
            <w:gridSpan w:val="2"/>
          </w:tcPr>
          <w:p>
            <w:pPr>
              <w:jc w:val="center"/>
              <w:ind w:left="1221"/>
              <w:spacing w:after="0"/>
              <w:rPr>
                <w:sz w:val="20"/>
                <w:szCs w:val="20"/>
                <w:color w:val="auto"/>
              </w:rPr>
            </w:pPr>
            <w:r>
              <w:rPr>
                <w:rFonts w:ascii="Times New Roman" w:cs="Times New Roman" w:eastAsia="Times New Roman" w:hAnsi="Times New Roman"/>
                <w:sz w:val="20"/>
                <w:szCs w:val="20"/>
                <w:color w:val="auto"/>
              </w:rPr>
              <w:t>0.00%</w:t>
            </w:r>
          </w:p>
        </w:tc>
        <w:tc>
          <w:tcPr>
            <w:tcW w:w="1340" w:type="dxa"/>
            <w:vAlign w:val="bottom"/>
            <w:tcBorders>
              <w:bottom w:val="single" w:sz="8" w:color="auto"/>
              <w:right w:val="single" w:sz="8" w:color="auto"/>
            </w:tcBorders>
          </w:tcPr>
          <w:p>
            <w:pPr>
              <w:spacing w:after="0"/>
              <w:rPr>
                <w:sz w:val="21"/>
                <w:szCs w:val="21"/>
                <w:color w:val="auto"/>
              </w:rPr>
            </w:pPr>
          </w:p>
        </w:tc>
      </w:tr>
      <w:tr>
        <w:trPr>
          <w:trHeight w:val="187"/>
        </w:trPr>
        <w:tc>
          <w:tcPr>
            <w:tcW w:w="1620" w:type="dxa"/>
            <w:vAlign w:val="bottom"/>
            <w:tcBorders>
              <w:left w:val="single" w:sz="8" w:color="auto"/>
            </w:tcBorders>
          </w:tcPr>
          <w:p>
            <w:pPr>
              <w:spacing w:after="0"/>
              <w:rPr>
                <w:sz w:val="16"/>
                <w:szCs w:val="16"/>
                <w:color w:val="auto"/>
              </w:rPr>
            </w:pPr>
          </w:p>
        </w:tc>
        <w:tc>
          <w:tcPr>
            <w:tcW w:w="4500" w:type="dxa"/>
            <w:vAlign w:val="bottom"/>
            <w:tcBorders>
              <w:right w:val="single" w:sz="8" w:color="auto"/>
            </w:tcBorders>
            <w:gridSpan w:val="2"/>
          </w:tcPr>
          <w:p>
            <w:pPr>
              <w:jc w:val="center"/>
              <w:ind w:right="1620"/>
              <w:spacing w:after="0" w:line="186" w:lineRule="exact"/>
              <w:rPr>
                <w:sz w:val="20"/>
                <w:szCs w:val="20"/>
                <w:color w:val="auto"/>
              </w:rPr>
            </w:pPr>
            <w:r>
              <w:rPr>
                <w:rFonts w:ascii="Times New Roman" w:cs="Times New Roman" w:eastAsia="Times New Roman" w:hAnsi="Times New Roman"/>
                <w:sz w:val="20"/>
                <w:szCs w:val="20"/>
                <w:color w:val="auto"/>
                <w:w w:val="99"/>
              </w:rPr>
              <w:t>Equal to or greater than 3.00 to 1.00</w:t>
            </w:r>
          </w:p>
        </w:tc>
        <w:tc>
          <w:tcPr>
            <w:tcW w:w="3800" w:type="dxa"/>
            <w:vAlign w:val="bottom"/>
            <w:gridSpan w:val="2"/>
          </w:tcPr>
          <w:p>
            <w:pPr>
              <w:jc w:val="center"/>
              <w:ind w:left="1221"/>
              <w:spacing w:after="0" w:line="186" w:lineRule="exact"/>
              <w:rPr>
                <w:sz w:val="20"/>
                <w:szCs w:val="20"/>
                <w:color w:val="auto"/>
              </w:rPr>
            </w:pPr>
            <w:r>
              <w:rPr>
                <w:rFonts w:ascii="Times New Roman" w:cs="Times New Roman" w:eastAsia="Times New Roman" w:hAnsi="Times New Roman"/>
                <w:sz w:val="20"/>
                <w:szCs w:val="20"/>
                <w:color w:val="auto"/>
              </w:rPr>
              <w:t>0.25%</w:t>
            </w:r>
          </w:p>
        </w:tc>
        <w:tc>
          <w:tcPr>
            <w:tcW w:w="1340" w:type="dxa"/>
            <w:vAlign w:val="bottom"/>
            <w:tcBorders>
              <w:right w:val="single" w:sz="8" w:color="auto"/>
            </w:tcBorders>
          </w:tcPr>
          <w:p>
            <w:pPr>
              <w:spacing w:after="0"/>
              <w:rPr>
                <w:sz w:val="16"/>
                <w:szCs w:val="16"/>
                <w:color w:val="auto"/>
              </w:rPr>
            </w:pPr>
          </w:p>
        </w:tc>
      </w:tr>
      <w:tr>
        <w:trPr>
          <w:trHeight w:val="252"/>
        </w:trPr>
        <w:tc>
          <w:tcPr>
            <w:tcW w:w="1620" w:type="dxa"/>
            <w:vAlign w:val="bottom"/>
            <w:tcBorders>
              <w:left w:val="single" w:sz="8" w:color="auto"/>
              <w:bottom w:val="single" w:sz="8" w:color="auto"/>
            </w:tcBorders>
          </w:tcPr>
          <w:p>
            <w:pPr>
              <w:spacing w:after="0"/>
              <w:rPr>
                <w:sz w:val="21"/>
                <w:szCs w:val="21"/>
                <w:color w:val="auto"/>
              </w:rPr>
            </w:pPr>
          </w:p>
        </w:tc>
        <w:tc>
          <w:tcPr>
            <w:tcW w:w="4500" w:type="dxa"/>
            <w:vAlign w:val="bottom"/>
            <w:tcBorders>
              <w:bottom w:val="single" w:sz="8" w:color="auto"/>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20"/>
                <w:szCs w:val="20"/>
                <w:color w:val="auto"/>
                <w:w w:val="99"/>
              </w:rPr>
              <w:t>but less than 4.00 to 1.00</w:t>
            </w:r>
          </w:p>
        </w:tc>
        <w:tc>
          <w:tcPr>
            <w:tcW w:w="13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r>
      <w:tr>
        <w:trPr>
          <w:trHeight w:val="250"/>
        </w:trPr>
        <w:tc>
          <w:tcPr>
            <w:tcW w:w="1620" w:type="dxa"/>
            <w:vAlign w:val="bottom"/>
            <w:tcBorders>
              <w:left w:val="single" w:sz="8" w:color="auto"/>
              <w:bottom w:val="single" w:sz="8" w:color="auto"/>
            </w:tcBorders>
          </w:tcPr>
          <w:p>
            <w:pPr>
              <w:spacing w:after="0"/>
              <w:rPr>
                <w:sz w:val="21"/>
                <w:szCs w:val="21"/>
                <w:color w:val="auto"/>
              </w:rPr>
            </w:pPr>
          </w:p>
        </w:tc>
        <w:tc>
          <w:tcPr>
            <w:tcW w:w="4500" w:type="dxa"/>
            <w:vAlign w:val="bottom"/>
            <w:tcBorders>
              <w:bottom w:val="single" w:sz="8" w:color="auto"/>
              <w:right w:val="single" w:sz="8" w:color="auto"/>
            </w:tcBorders>
            <w:gridSpan w:val="2"/>
          </w:tcPr>
          <w:p>
            <w:pPr>
              <w:jc w:val="center"/>
              <w:ind w:right="1620"/>
              <w:spacing w:after="0"/>
              <w:rPr>
                <w:sz w:val="20"/>
                <w:szCs w:val="20"/>
                <w:color w:val="auto"/>
              </w:rPr>
            </w:pPr>
            <w:r>
              <w:rPr>
                <w:rFonts w:ascii="Times New Roman" w:cs="Times New Roman" w:eastAsia="Times New Roman" w:hAnsi="Times New Roman"/>
                <w:sz w:val="20"/>
                <w:szCs w:val="20"/>
                <w:color w:val="auto"/>
                <w:w w:val="99"/>
              </w:rPr>
              <w:t>Equal to or greater than 4.00 to 1.00</w:t>
            </w:r>
          </w:p>
        </w:tc>
        <w:tc>
          <w:tcPr>
            <w:tcW w:w="3800" w:type="dxa"/>
            <w:vAlign w:val="bottom"/>
            <w:tcBorders>
              <w:bottom w:val="single" w:sz="8" w:color="auto"/>
            </w:tcBorders>
            <w:gridSpan w:val="2"/>
          </w:tcPr>
          <w:p>
            <w:pPr>
              <w:jc w:val="center"/>
              <w:ind w:left="1221"/>
              <w:spacing w:after="0"/>
              <w:rPr>
                <w:sz w:val="20"/>
                <w:szCs w:val="20"/>
                <w:color w:val="auto"/>
              </w:rPr>
            </w:pPr>
            <w:r>
              <w:rPr>
                <w:rFonts w:ascii="Times New Roman" w:cs="Times New Roman" w:eastAsia="Times New Roman" w:hAnsi="Times New Roman"/>
                <w:sz w:val="20"/>
                <w:szCs w:val="20"/>
                <w:color w:val="auto"/>
              </w:rPr>
              <w:t>0.50%</w:t>
            </w:r>
          </w:p>
        </w:tc>
        <w:tc>
          <w:tcPr>
            <w:tcW w:w="134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jc w:val="both"/>
        <w:ind w:right="20"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Canadian Prime Rate Margin</w:t>
      </w:r>
      <w:r>
        <w:rPr>
          <w:rFonts w:ascii="Times New Roman" w:cs="Times New Roman" w:eastAsia="Times New Roman" w:hAnsi="Times New Roman"/>
          <w:sz w:val="19"/>
          <w:szCs w:val="19"/>
          <w:color w:val="auto"/>
        </w:rPr>
        <w:t>” means, at any date, (i) from the Incremental Amendment No. 3 and Fifth Amendment Effective Date to the date upon which the Administrative Agent receives the Compliance Certificate related to the financial statements for the Fiscal Quarter ending September 30, 2022, 0.25%, and (ii) at any date thereafter, the applicable percentage rate per annum set forth in the following table under the column Applicable Canadian Prime Rate Margin opposite the Most Recent Total Leverage Ratio as of such 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60"/>
          </w:cols>
          <w:pgMar w:left="320" w:top="1440" w:right="319" w:bottom="1440" w:gutter="0" w:footer="0" w:header="0"/>
        </w:sectPr>
      </w:pPr>
    </w:p>
    <w:bookmarkStart w:id="59" w:name="page60"/>
    <w:bookmarkEnd w:id="5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440" w:type="dxa"/>
            <w:vAlign w:val="bottom"/>
            <w:tcBorders>
              <w:top w:val="single" w:sz="8" w:color="auto"/>
              <w:left w:val="single" w:sz="8" w:color="auto"/>
            </w:tcBorders>
          </w:tcPr>
          <w:p>
            <w:pPr>
              <w:spacing w:after="0"/>
              <w:rPr>
                <w:sz w:val="18"/>
                <w:szCs w:val="18"/>
                <w:color w:val="auto"/>
              </w:rPr>
            </w:pPr>
          </w:p>
        </w:tc>
        <w:tc>
          <w:tcPr>
            <w:tcW w:w="4340" w:type="dxa"/>
            <w:vAlign w:val="bottom"/>
            <w:tcBorders>
              <w:top w:val="single" w:sz="8" w:color="auto"/>
              <w:right w:val="single" w:sz="8" w:color="auto"/>
            </w:tcBorders>
            <w:gridSpan w:val="2"/>
          </w:tcPr>
          <w:p>
            <w:pPr>
              <w:jc w:val="center"/>
              <w:ind w:right="14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980" w:type="dxa"/>
            <w:vAlign w:val="bottom"/>
            <w:tcBorders>
              <w:top w:val="single" w:sz="8" w:color="auto"/>
            </w:tcBorders>
          </w:tcPr>
          <w:p>
            <w:pPr>
              <w:spacing w:after="0"/>
              <w:rPr>
                <w:sz w:val="18"/>
                <w:szCs w:val="18"/>
                <w:color w:val="auto"/>
              </w:rPr>
            </w:pPr>
          </w:p>
        </w:tc>
        <w:tc>
          <w:tcPr>
            <w:tcW w:w="4500" w:type="dxa"/>
            <w:vAlign w:val="bottom"/>
            <w:tcBorders>
              <w:top w:val="single" w:sz="8" w:color="auto"/>
              <w:right w:val="single" w:sz="8" w:color="auto"/>
            </w:tcBorders>
            <w:gridSpan w:val="2"/>
          </w:tcPr>
          <w:p>
            <w:pPr>
              <w:jc w:val="center"/>
              <w:ind w:right="10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Applicable Canadian Prime Rate Margin</w:t>
            </w:r>
          </w:p>
        </w:tc>
      </w:tr>
      <w:tr>
        <w:trPr>
          <w:trHeight w:val="34"/>
        </w:trPr>
        <w:tc>
          <w:tcPr>
            <w:tcW w:w="1440" w:type="dxa"/>
            <w:vAlign w:val="bottom"/>
            <w:tcBorders>
              <w:left w:val="single" w:sz="8" w:color="auto"/>
              <w:bottom w:val="single" w:sz="8" w:color="auto"/>
            </w:tcBorders>
          </w:tcPr>
          <w:p>
            <w:pPr>
              <w:spacing w:after="0"/>
              <w:rPr>
                <w:sz w:val="2"/>
                <w:szCs w:val="2"/>
                <w:color w:val="auto"/>
              </w:rPr>
            </w:pPr>
          </w:p>
        </w:tc>
        <w:tc>
          <w:tcPr>
            <w:tcW w:w="2900" w:type="dxa"/>
            <w:vAlign w:val="bottom"/>
            <w:tcBorders>
              <w:top w:val="single" w:sz="8" w:color="auto"/>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80" w:type="dxa"/>
            <w:vAlign w:val="bottom"/>
            <w:tcBorders>
              <w:top w:val="single" w:sz="8" w:color="auto"/>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r>
      <w:tr>
        <w:trPr>
          <w:trHeight w:val="250"/>
        </w:trPr>
        <w:tc>
          <w:tcPr>
            <w:tcW w:w="1440" w:type="dxa"/>
            <w:vAlign w:val="bottom"/>
            <w:tcBorders>
              <w:left w:val="single" w:sz="8" w:color="auto"/>
              <w:bottom w:val="single" w:sz="8" w:color="auto"/>
            </w:tcBorders>
          </w:tcPr>
          <w:p>
            <w:pPr>
              <w:spacing w:after="0"/>
              <w:rPr>
                <w:sz w:val="21"/>
                <w:szCs w:val="21"/>
                <w:color w:val="auto"/>
              </w:rPr>
            </w:pPr>
          </w:p>
        </w:tc>
        <w:tc>
          <w:tcPr>
            <w:tcW w:w="4340" w:type="dxa"/>
            <w:vAlign w:val="bottom"/>
            <w:tcBorders>
              <w:bottom w:val="single" w:sz="8" w:color="auto"/>
              <w:right w:val="single" w:sz="8" w:color="auto"/>
            </w:tcBorders>
            <w:gridSpan w:val="2"/>
          </w:tcPr>
          <w:p>
            <w:pPr>
              <w:jc w:val="center"/>
              <w:ind w:right="1440"/>
              <w:spacing w:after="0"/>
              <w:rPr>
                <w:sz w:val="20"/>
                <w:szCs w:val="20"/>
                <w:color w:val="auto"/>
              </w:rPr>
            </w:pPr>
            <w:r>
              <w:rPr>
                <w:rFonts w:ascii="Times New Roman" w:cs="Times New Roman" w:eastAsia="Times New Roman" w:hAnsi="Times New Roman"/>
                <w:sz w:val="20"/>
                <w:szCs w:val="20"/>
                <w:color w:val="auto"/>
                <w:w w:val="98"/>
              </w:rPr>
              <w:t>Less than 3.00 to 1.00</w:t>
            </w:r>
          </w:p>
        </w:tc>
        <w:tc>
          <w:tcPr>
            <w:tcW w:w="446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6"/>
              </w:rPr>
              <w:t>0.00%</w:t>
            </w:r>
          </w:p>
        </w:tc>
        <w:tc>
          <w:tcPr>
            <w:tcW w:w="1020" w:type="dxa"/>
            <w:vAlign w:val="bottom"/>
            <w:tcBorders>
              <w:bottom w:val="single" w:sz="8" w:color="auto"/>
              <w:right w:val="single" w:sz="8" w:color="auto"/>
            </w:tcBorders>
          </w:tcPr>
          <w:p>
            <w:pPr>
              <w:spacing w:after="0"/>
              <w:rPr>
                <w:sz w:val="21"/>
                <w:szCs w:val="21"/>
                <w:color w:val="auto"/>
              </w:rPr>
            </w:pPr>
          </w:p>
        </w:tc>
      </w:tr>
      <w:tr>
        <w:trPr>
          <w:trHeight w:val="187"/>
        </w:trPr>
        <w:tc>
          <w:tcPr>
            <w:tcW w:w="1440" w:type="dxa"/>
            <w:vAlign w:val="bottom"/>
            <w:tcBorders>
              <w:left w:val="single" w:sz="8" w:color="auto"/>
            </w:tcBorders>
          </w:tcPr>
          <w:p>
            <w:pPr>
              <w:spacing w:after="0"/>
              <w:rPr>
                <w:sz w:val="16"/>
                <w:szCs w:val="16"/>
                <w:color w:val="auto"/>
              </w:rPr>
            </w:pPr>
          </w:p>
        </w:tc>
        <w:tc>
          <w:tcPr>
            <w:tcW w:w="4340" w:type="dxa"/>
            <w:vAlign w:val="bottom"/>
            <w:tcBorders>
              <w:right w:val="single" w:sz="8" w:color="auto"/>
            </w:tcBorders>
            <w:gridSpan w:val="2"/>
          </w:tcPr>
          <w:p>
            <w:pPr>
              <w:jc w:val="center"/>
              <w:ind w:right="1440"/>
              <w:spacing w:after="0" w:line="186"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4460" w:type="dxa"/>
            <w:vAlign w:val="bottom"/>
            <w:gridSpan w:val="2"/>
          </w:tcPr>
          <w:p>
            <w:pPr>
              <w:jc w:val="center"/>
              <w:ind w:left="901"/>
              <w:spacing w:after="0" w:line="186" w:lineRule="exact"/>
              <w:rPr>
                <w:sz w:val="20"/>
                <w:szCs w:val="20"/>
                <w:color w:val="auto"/>
              </w:rPr>
            </w:pPr>
            <w:r>
              <w:rPr>
                <w:rFonts w:ascii="Times New Roman" w:cs="Times New Roman" w:eastAsia="Times New Roman" w:hAnsi="Times New Roman"/>
                <w:sz w:val="20"/>
                <w:szCs w:val="20"/>
                <w:color w:val="auto"/>
                <w:w w:val="96"/>
              </w:rPr>
              <w:t>0.25%</w:t>
            </w:r>
          </w:p>
        </w:tc>
        <w:tc>
          <w:tcPr>
            <w:tcW w:w="1020" w:type="dxa"/>
            <w:vAlign w:val="bottom"/>
            <w:tcBorders>
              <w:right w:val="single" w:sz="8" w:color="auto"/>
            </w:tcBorders>
          </w:tcPr>
          <w:p>
            <w:pPr>
              <w:spacing w:after="0"/>
              <w:rPr>
                <w:sz w:val="16"/>
                <w:szCs w:val="16"/>
                <w:color w:val="auto"/>
              </w:rPr>
            </w:pPr>
          </w:p>
        </w:tc>
      </w:tr>
      <w:tr>
        <w:trPr>
          <w:trHeight w:val="252"/>
        </w:trPr>
        <w:tc>
          <w:tcPr>
            <w:tcW w:w="1440" w:type="dxa"/>
            <w:vAlign w:val="bottom"/>
            <w:tcBorders>
              <w:left w:val="single" w:sz="8" w:color="auto"/>
              <w:bottom w:val="single" w:sz="8" w:color="auto"/>
            </w:tcBorders>
          </w:tcPr>
          <w:p>
            <w:pPr>
              <w:spacing w:after="0"/>
              <w:rPr>
                <w:sz w:val="21"/>
                <w:szCs w:val="21"/>
                <w:color w:val="auto"/>
              </w:rPr>
            </w:pPr>
          </w:p>
        </w:tc>
        <w:tc>
          <w:tcPr>
            <w:tcW w:w="4340" w:type="dxa"/>
            <w:vAlign w:val="bottom"/>
            <w:tcBorders>
              <w:bottom w:val="single" w:sz="8" w:color="auto"/>
              <w:right w:val="single" w:sz="8" w:color="auto"/>
            </w:tcBorders>
            <w:gridSpan w:val="2"/>
          </w:tcPr>
          <w:p>
            <w:pPr>
              <w:jc w:val="center"/>
              <w:ind w:right="144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98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spacing w:after="0"/>
              <w:rPr>
                <w:sz w:val="21"/>
                <w:szCs w:val="21"/>
                <w:color w:val="auto"/>
              </w:rPr>
            </w:pPr>
          </w:p>
        </w:tc>
      </w:tr>
      <w:tr>
        <w:trPr>
          <w:trHeight w:val="250"/>
        </w:trPr>
        <w:tc>
          <w:tcPr>
            <w:tcW w:w="1440" w:type="dxa"/>
            <w:vAlign w:val="bottom"/>
            <w:tcBorders>
              <w:left w:val="single" w:sz="8" w:color="auto"/>
              <w:bottom w:val="single" w:sz="8" w:color="auto"/>
            </w:tcBorders>
          </w:tcPr>
          <w:p>
            <w:pPr>
              <w:spacing w:after="0"/>
              <w:rPr>
                <w:sz w:val="21"/>
                <w:szCs w:val="21"/>
                <w:color w:val="auto"/>
              </w:rPr>
            </w:pPr>
          </w:p>
        </w:tc>
        <w:tc>
          <w:tcPr>
            <w:tcW w:w="4340" w:type="dxa"/>
            <w:vAlign w:val="bottom"/>
            <w:tcBorders>
              <w:bottom w:val="single" w:sz="8" w:color="auto"/>
              <w:right w:val="single" w:sz="8" w:color="auto"/>
            </w:tcBorders>
            <w:gridSpan w:val="2"/>
          </w:tcPr>
          <w:p>
            <w:pPr>
              <w:jc w:val="center"/>
              <w:ind w:right="144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446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6"/>
              </w:rPr>
              <w:t>0.50%</w:t>
            </w:r>
          </w:p>
        </w:tc>
        <w:tc>
          <w:tcPr>
            <w:tcW w:w="102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Commitment Fee Percentage</w:t>
      </w:r>
      <w:r>
        <w:rPr>
          <w:rFonts w:ascii="Times New Roman" w:cs="Times New Roman" w:eastAsia="Times New Roman" w:hAnsi="Times New Roman"/>
          <w:sz w:val="19"/>
          <w:szCs w:val="19"/>
          <w:color w:val="auto"/>
        </w:rPr>
        <w:t>” means, at any date, (i) from the Incremental Amendment No. 3 and Fifth Amendment Effective Date to the date upon which the Administrative Agent receives the Compliance Certificate related to the financial statements for the Fiscal Quarter ending September 30, 2022, 0.20%, and (ii) at any date thereafter, the applicable percentage rate per annum set forth in the following table under the column Applicable Commitment Fee Percentage opposite the Most Recent Total Leverage Ratio as of such date:</w:t>
      </w:r>
    </w:p>
    <w:p>
      <w:pPr>
        <w:spacing w:after="0" w:line="204"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5680" w:type="dxa"/>
            <w:vAlign w:val="bottom"/>
            <w:tcBorders>
              <w:top w:val="single" w:sz="8" w:color="auto"/>
              <w:left w:val="single" w:sz="8" w:color="auto"/>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460" w:type="dxa"/>
            <w:vAlign w:val="bottom"/>
            <w:tcBorders>
              <w:top w:val="single" w:sz="8" w:color="auto"/>
              <w:right w:val="single" w:sz="8" w:color="auto"/>
            </w:tcBorders>
            <w:gridSpan w:val="3"/>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9"/>
              </w:rPr>
              <w:t>Applicable Commitment Fee Percentage</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900" w:type="dxa"/>
            <w:vAlign w:val="bottom"/>
            <w:tcBorders>
              <w:top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20" w:type="dxa"/>
            <w:vAlign w:val="bottom"/>
            <w:tcBorders>
              <w:top w:val="single" w:sz="8" w:color="auto"/>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gridSpan w:val="2"/>
          </w:tcPr>
          <w:p>
            <w:pPr>
              <w:jc w:val="center"/>
              <w:ind w:right="1400"/>
              <w:spacing w:after="0"/>
              <w:rPr>
                <w:sz w:val="20"/>
                <w:szCs w:val="20"/>
                <w:color w:val="auto"/>
              </w:rPr>
            </w:pPr>
            <w:r>
              <w:rPr>
                <w:rFonts w:ascii="Times New Roman" w:cs="Times New Roman" w:eastAsia="Times New Roman" w:hAnsi="Times New Roman"/>
                <w:sz w:val="20"/>
                <w:szCs w:val="20"/>
                <w:color w:val="auto"/>
                <w:w w:val="98"/>
              </w:rPr>
              <w:t>Less than 3.00 to 1.00</w:t>
            </w:r>
          </w:p>
        </w:tc>
        <w:tc>
          <w:tcPr>
            <w:tcW w:w="442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6"/>
              </w:rPr>
              <w:t>0.15%</w:t>
            </w:r>
          </w:p>
        </w:tc>
        <w:tc>
          <w:tcPr>
            <w:tcW w:w="1040" w:type="dxa"/>
            <w:vAlign w:val="bottom"/>
            <w:tcBorders>
              <w:bottom w:val="single" w:sz="8" w:color="auto"/>
              <w:right w:val="single" w:sz="8" w:color="auto"/>
            </w:tcBorders>
          </w:tcPr>
          <w:p>
            <w:pPr>
              <w:spacing w:after="0"/>
              <w:rPr>
                <w:sz w:val="21"/>
                <w:szCs w:val="21"/>
                <w:color w:val="auto"/>
              </w:rPr>
            </w:pPr>
          </w:p>
        </w:tc>
      </w:tr>
      <w:tr>
        <w:trPr>
          <w:trHeight w:val="187"/>
        </w:trPr>
        <w:tc>
          <w:tcPr>
            <w:tcW w:w="1380" w:type="dxa"/>
            <w:vAlign w:val="bottom"/>
            <w:tcBorders>
              <w:left w:val="single" w:sz="8" w:color="auto"/>
            </w:tcBorders>
          </w:tcPr>
          <w:p>
            <w:pPr>
              <w:spacing w:after="0"/>
              <w:rPr>
                <w:sz w:val="16"/>
                <w:szCs w:val="16"/>
                <w:color w:val="auto"/>
              </w:rPr>
            </w:pPr>
          </w:p>
        </w:tc>
        <w:tc>
          <w:tcPr>
            <w:tcW w:w="4300" w:type="dxa"/>
            <w:vAlign w:val="bottom"/>
            <w:tcBorders>
              <w:right w:val="single" w:sz="8" w:color="auto"/>
            </w:tcBorders>
            <w:gridSpan w:val="2"/>
          </w:tcPr>
          <w:p>
            <w:pPr>
              <w:jc w:val="center"/>
              <w:ind w:right="1400"/>
              <w:spacing w:after="0" w:line="186"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4420" w:type="dxa"/>
            <w:vAlign w:val="bottom"/>
            <w:gridSpan w:val="2"/>
          </w:tcPr>
          <w:p>
            <w:pPr>
              <w:jc w:val="center"/>
              <w:ind w:left="901"/>
              <w:spacing w:after="0" w:line="186" w:lineRule="exact"/>
              <w:rPr>
                <w:sz w:val="20"/>
                <w:szCs w:val="20"/>
                <w:color w:val="auto"/>
              </w:rPr>
            </w:pPr>
            <w:r>
              <w:rPr>
                <w:rFonts w:ascii="Times New Roman" w:cs="Times New Roman" w:eastAsia="Times New Roman" w:hAnsi="Times New Roman"/>
                <w:sz w:val="20"/>
                <w:szCs w:val="20"/>
                <w:color w:val="auto"/>
                <w:w w:val="96"/>
              </w:rPr>
              <w:t>0.20%</w:t>
            </w:r>
          </w:p>
        </w:tc>
        <w:tc>
          <w:tcPr>
            <w:tcW w:w="1040" w:type="dxa"/>
            <w:vAlign w:val="bottom"/>
            <w:tcBorders>
              <w:right w:val="single" w:sz="8" w:color="auto"/>
            </w:tcBorders>
          </w:tcPr>
          <w:p>
            <w:pPr>
              <w:spacing w:after="0"/>
              <w:rPr>
                <w:sz w:val="16"/>
                <w:szCs w:val="16"/>
                <w:color w:val="auto"/>
              </w:rPr>
            </w:pPr>
          </w:p>
        </w:tc>
      </w:tr>
      <w:tr>
        <w:trPr>
          <w:trHeight w:val="252"/>
        </w:trPr>
        <w:tc>
          <w:tcPr>
            <w:tcW w:w="1380" w:type="dxa"/>
            <w:vAlign w:val="bottom"/>
            <w:tcBorders>
              <w:left w:val="single" w:sz="8" w:color="auto"/>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gridSpan w:val="2"/>
          </w:tcPr>
          <w:p>
            <w:pPr>
              <w:jc w:val="center"/>
              <w:ind w:right="140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100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spacing w:after="0"/>
              <w:rPr>
                <w:sz w:val="21"/>
                <w:szCs w:val="21"/>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gridSpan w:val="2"/>
          </w:tcPr>
          <w:p>
            <w:pPr>
              <w:jc w:val="center"/>
              <w:ind w:right="140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4420" w:type="dxa"/>
            <w:vAlign w:val="bottom"/>
            <w:tcBorders>
              <w:bottom w:val="single" w:sz="8" w:color="auto"/>
            </w:tcBorders>
            <w:gridSpan w:val="2"/>
          </w:tcPr>
          <w:p>
            <w:pPr>
              <w:jc w:val="center"/>
              <w:ind w:left="901"/>
              <w:spacing w:after="0"/>
              <w:rPr>
                <w:sz w:val="20"/>
                <w:szCs w:val="20"/>
                <w:color w:val="auto"/>
              </w:rPr>
            </w:pPr>
            <w:r>
              <w:rPr>
                <w:rFonts w:ascii="Times New Roman" w:cs="Times New Roman" w:eastAsia="Times New Roman" w:hAnsi="Times New Roman"/>
                <w:sz w:val="20"/>
                <w:szCs w:val="20"/>
                <w:color w:val="auto"/>
                <w:w w:val="96"/>
              </w:rPr>
              <w:t>0.25%</w:t>
            </w:r>
          </w:p>
        </w:tc>
        <w:tc>
          <w:tcPr>
            <w:tcW w:w="104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Currency</w:t>
      </w:r>
      <w:r>
        <w:rPr>
          <w:rFonts w:ascii="Times New Roman" w:cs="Times New Roman" w:eastAsia="Times New Roman" w:hAnsi="Times New Roman"/>
          <w:sz w:val="20"/>
          <w:szCs w:val="20"/>
          <w:color w:val="auto"/>
        </w:rPr>
        <w:t>” means as to any particular payment or Loan, the currency in which it is denominated or is payable (i.e.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Dollars, Canadian Dollars or the applicable Alternative Currency).</w:t>
      </w:r>
    </w:p>
    <w:p>
      <w:pPr>
        <w:spacing w:after="0" w:line="207"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Eurocurrency Margin</w:t>
      </w:r>
      <w:r>
        <w:rPr>
          <w:rFonts w:ascii="Times New Roman" w:cs="Times New Roman" w:eastAsia="Times New Roman" w:hAnsi="Times New Roman"/>
          <w:sz w:val="20"/>
          <w:szCs w:val="20"/>
          <w:color w:val="auto"/>
        </w:rPr>
        <w:t>” means, at any date, with respect to Multicurrency Revolving Loans and Term Euro Loans, (i) from the Incremental Amendment No. 3 and Fifth Amendment Effective Date to the date upon which the Administrative Agent receives the Compliance Certificate related to the financial statements for the Fiscal Quarter ending September 30, 2022, 1.25% and (ii) at any date thereafter, the applicable percentage rate per annum set forth in the following table under the column Applicable Eurocurrency Margin opposite the Most Recent Total Leverage Ratio as of such date:</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620" w:type="dxa"/>
            <w:vAlign w:val="bottom"/>
            <w:tcBorders>
              <w:top w:val="single" w:sz="8" w:color="auto"/>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9"/>
              </w:rPr>
              <w:t>Applicable Eurocurrency Margin</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40" w:type="dxa"/>
            <w:vAlign w:val="bottom"/>
            <w:tcBorders>
              <w:top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20"/>
                <w:szCs w:val="20"/>
                <w:color w:val="auto"/>
                <w:w w:val="99"/>
              </w:rPr>
              <w:t>Less than 3.00 to 1.00</w:t>
            </w:r>
          </w:p>
        </w:tc>
        <w:tc>
          <w:tcPr>
            <w:tcW w:w="4220" w:type="dxa"/>
            <w:vAlign w:val="bottom"/>
            <w:tcBorders>
              <w:bottom w:val="single" w:sz="8" w:color="auto"/>
            </w:tcBorders>
            <w:gridSpan w:val="2"/>
          </w:tcPr>
          <w:p>
            <w:pPr>
              <w:jc w:val="center"/>
              <w:ind w:left="1281"/>
              <w:spacing w:after="0"/>
              <w:rPr>
                <w:sz w:val="20"/>
                <w:szCs w:val="20"/>
                <w:color w:val="auto"/>
              </w:rPr>
            </w:pPr>
            <w:r>
              <w:rPr>
                <w:rFonts w:ascii="Times New Roman" w:cs="Times New Roman" w:eastAsia="Times New Roman" w:hAnsi="Times New Roman"/>
                <w:sz w:val="20"/>
                <w:szCs w:val="20"/>
                <w:color w:val="auto"/>
              </w:rPr>
              <w:t>1.00%</w:t>
            </w:r>
          </w:p>
        </w:tc>
        <w:tc>
          <w:tcPr>
            <w:tcW w:w="1400" w:type="dxa"/>
            <w:vAlign w:val="bottom"/>
            <w:tcBorders>
              <w:bottom w:val="single" w:sz="8" w:color="auto"/>
              <w:right w:val="single" w:sz="8" w:color="auto"/>
            </w:tcBorders>
          </w:tcPr>
          <w:p>
            <w:pPr>
              <w:spacing w:after="0"/>
              <w:rPr>
                <w:sz w:val="21"/>
                <w:szCs w:val="21"/>
                <w:color w:val="auto"/>
              </w:rPr>
            </w:pPr>
          </w:p>
        </w:tc>
      </w:tr>
      <w:tr>
        <w:trPr>
          <w:trHeight w:val="187"/>
        </w:trPr>
        <w:tc>
          <w:tcPr>
            <w:tcW w:w="1380" w:type="dxa"/>
            <w:vAlign w:val="bottom"/>
            <w:tcBorders>
              <w:left w:val="single" w:sz="8" w:color="auto"/>
            </w:tcBorders>
          </w:tcPr>
          <w:p>
            <w:pPr>
              <w:spacing w:after="0"/>
              <w:rPr>
                <w:sz w:val="16"/>
                <w:szCs w:val="16"/>
                <w:color w:val="auto"/>
              </w:rPr>
            </w:pPr>
          </w:p>
        </w:tc>
        <w:tc>
          <w:tcPr>
            <w:tcW w:w="4260" w:type="dxa"/>
            <w:vAlign w:val="bottom"/>
            <w:tcBorders>
              <w:right w:val="single" w:sz="8" w:color="auto"/>
            </w:tcBorders>
            <w:gridSpan w:val="2"/>
          </w:tcPr>
          <w:p>
            <w:pPr>
              <w:jc w:val="center"/>
              <w:ind w:right="1360"/>
              <w:spacing w:after="0" w:line="186"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4220" w:type="dxa"/>
            <w:vAlign w:val="bottom"/>
            <w:gridSpan w:val="2"/>
          </w:tcPr>
          <w:p>
            <w:pPr>
              <w:jc w:val="center"/>
              <w:ind w:left="1281"/>
              <w:spacing w:after="0" w:line="186" w:lineRule="exact"/>
              <w:rPr>
                <w:sz w:val="20"/>
                <w:szCs w:val="20"/>
                <w:color w:val="auto"/>
              </w:rPr>
            </w:pPr>
            <w:r>
              <w:rPr>
                <w:rFonts w:ascii="Times New Roman" w:cs="Times New Roman" w:eastAsia="Times New Roman" w:hAnsi="Times New Roman"/>
                <w:sz w:val="20"/>
                <w:szCs w:val="20"/>
                <w:color w:val="auto"/>
              </w:rPr>
              <w:t>1.25%</w:t>
            </w:r>
          </w:p>
        </w:tc>
        <w:tc>
          <w:tcPr>
            <w:tcW w:w="1400" w:type="dxa"/>
            <w:vAlign w:val="bottom"/>
            <w:tcBorders>
              <w:right w:val="single" w:sz="8" w:color="auto"/>
            </w:tcBorders>
          </w:tcPr>
          <w:p>
            <w:pPr>
              <w:spacing w:after="0"/>
              <w:rPr>
                <w:sz w:val="16"/>
                <w:szCs w:val="16"/>
                <w:color w:val="auto"/>
              </w:rPr>
            </w:pPr>
          </w:p>
        </w:tc>
      </w:tr>
      <w:tr>
        <w:trPr>
          <w:trHeight w:val="252"/>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138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4220" w:type="dxa"/>
            <w:vAlign w:val="bottom"/>
            <w:tcBorders>
              <w:bottom w:val="single" w:sz="8" w:color="auto"/>
            </w:tcBorders>
            <w:gridSpan w:val="2"/>
          </w:tcPr>
          <w:p>
            <w:pPr>
              <w:jc w:val="center"/>
              <w:ind w:left="1281"/>
              <w:spacing w:after="0"/>
              <w:rPr>
                <w:sz w:val="20"/>
                <w:szCs w:val="20"/>
                <w:color w:val="auto"/>
              </w:rPr>
            </w:pPr>
            <w:r>
              <w:rPr>
                <w:rFonts w:ascii="Times New Roman" w:cs="Times New Roman" w:eastAsia="Times New Roman" w:hAnsi="Times New Roman"/>
                <w:sz w:val="20"/>
                <w:szCs w:val="20"/>
                <w:color w:val="auto"/>
              </w:rPr>
              <w:t>1.50%</w:t>
            </w:r>
          </w:p>
        </w:tc>
        <w:tc>
          <w:tcPr>
            <w:tcW w:w="140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LC Sublimit</w:t>
      </w:r>
      <w:r>
        <w:rPr>
          <w:rFonts w:ascii="Times New Roman" w:cs="Times New Roman" w:eastAsia="Times New Roman" w:hAnsi="Times New Roman"/>
          <w:sz w:val="19"/>
          <w:szCs w:val="19"/>
          <w:color w:val="auto"/>
        </w:rPr>
        <w:t xml:space="preserve">” means, (i) with respect to each of the Facing Agents on the Incremental Amendment No. 3 and Fifth Amendment Effective Date, the amount set forth opposite such Facing Agent’s name on </w:t>
      </w:r>
      <w:r>
        <w:rPr>
          <w:rFonts w:ascii="Times New Roman" w:cs="Times New Roman" w:eastAsia="Times New Roman" w:hAnsi="Times New Roman"/>
          <w:sz w:val="19"/>
          <w:szCs w:val="19"/>
          <w:u w:val="single" w:color="auto"/>
          <w:color w:val="auto"/>
        </w:rPr>
        <w:t>Schedule 1.1(g)</w:t>
      </w:r>
      <w:r>
        <w:rPr>
          <w:rFonts w:ascii="Times New Roman" w:cs="Times New Roman" w:eastAsia="Times New Roman" w:hAnsi="Times New Roman"/>
          <w:sz w:val="19"/>
          <w:szCs w:val="19"/>
          <w:color w:val="auto"/>
        </w:rPr>
        <w:t xml:space="preserve"> and (ii) with respect to any other Person that becomes a Facing Agent pursuant to the terms of the applicable agreement pursuant to which such entity agrees to become a Facing Agent hereunder, such amount as agreed to in writing by Crown Holdings and such Person at the time such Person becomes a Facing Agent pursuant to the terms of the applicable agreement pursuant to which such entity agrees to become a Facing Agent hereunder, as each of the foregoing amounts may be decreased or increased from time to time with the written consent of Crown Holdings and the Facing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60"/>
          </w:cols>
          <w:pgMar w:left="320" w:top="1440" w:right="319" w:bottom="1440" w:gutter="0" w:footer="0" w:header="0"/>
        </w:sectPr>
      </w:pPr>
    </w:p>
    <w:bookmarkStart w:id="60" w:name="page61"/>
    <w:bookmarkEnd w:id="60"/>
    <w:p>
      <w:pPr>
        <w:spacing w:after="0" w:line="18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Agents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increase in the Applicable LC Sublimit with respect to any Facing Agent shall only require the consent of Crown Holdings and such Facing Agent).</w:t>
      </w:r>
    </w:p>
    <w:p>
      <w:pPr>
        <w:spacing w:after="0" w:line="14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RFR Margin</w:t>
      </w:r>
      <w:r>
        <w:rPr>
          <w:rFonts w:ascii="Times New Roman" w:cs="Times New Roman" w:eastAsia="Times New Roman" w:hAnsi="Times New Roman"/>
          <w:sz w:val="20"/>
          <w:szCs w:val="20"/>
          <w:color w:val="auto"/>
        </w:rPr>
        <w:t>” means, with respect to Multicurrency Revolving Loans, (i) from the Incremental Amendment No. 3 and Fifth Amendment Effective Date to the date upon which the Administrative Agent receives the Compliance Certificate related to the financial statements for the Fiscal Quarter ending September 30, 2022, 1.2826%, and (ii) at any date thereafter, the applicable percentage rate per annum set forth in the following table under the column Applicable Daily Simple RFR Margin opposite the Most Recent Total Leverage Ratio as of such date:</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8"/>
              </w:rPr>
              <w:t>Most Recent Total Leverage Ratio</w:t>
            </w:r>
          </w:p>
        </w:tc>
        <w:tc>
          <w:tcPr>
            <w:tcW w:w="5620" w:type="dxa"/>
            <w:vAlign w:val="bottom"/>
            <w:tcBorders>
              <w:top w:val="single" w:sz="8" w:color="auto"/>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Applicable RFR Margin</w:t>
            </w:r>
          </w:p>
        </w:tc>
      </w:tr>
      <w:tr>
        <w:trPr>
          <w:trHeight w:val="34"/>
        </w:trPr>
        <w:tc>
          <w:tcPr>
            <w:tcW w:w="1380" w:type="dxa"/>
            <w:vAlign w:val="bottom"/>
            <w:tcBorders>
              <w:left w:val="single" w:sz="8" w:color="auto"/>
              <w:bottom w:val="single" w:sz="8" w:color="auto"/>
            </w:tcBorders>
          </w:tcPr>
          <w:p>
            <w:pPr>
              <w:spacing w:after="0"/>
              <w:rPr>
                <w:sz w:val="2"/>
                <w:szCs w:val="2"/>
                <w:color w:val="auto"/>
              </w:rPr>
            </w:pPr>
          </w:p>
        </w:tc>
        <w:tc>
          <w:tcPr>
            <w:tcW w:w="2880" w:type="dxa"/>
            <w:vAlign w:val="bottom"/>
            <w:tcBorders>
              <w:top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40" w:type="dxa"/>
            <w:vAlign w:val="bottom"/>
            <w:tcBorders>
              <w:top w:val="single" w:sz="8" w:color="auto"/>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80"/>
              <w:spacing w:after="0"/>
              <w:rPr>
                <w:sz w:val="20"/>
                <w:szCs w:val="20"/>
                <w:color w:val="auto"/>
              </w:rPr>
            </w:pPr>
            <w:r>
              <w:rPr>
                <w:rFonts w:ascii="Times New Roman" w:cs="Times New Roman" w:eastAsia="Times New Roman" w:hAnsi="Times New Roman"/>
                <w:sz w:val="20"/>
                <w:szCs w:val="20"/>
                <w:color w:val="auto"/>
                <w:w w:val="99"/>
              </w:rPr>
              <w:t>Less than 3.00 to 1.00</w:t>
            </w:r>
          </w:p>
        </w:tc>
        <w:tc>
          <w:tcPr>
            <w:tcW w:w="3820" w:type="dxa"/>
            <w:vAlign w:val="bottom"/>
            <w:tcBorders>
              <w:bottom w:val="single" w:sz="8" w:color="auto"/>
            </w:tcBorders>
            <w:gridSpan w:val="2"/>
          </w:tcPr>
          <w:p>
            <w:pPr>
              <w:jc w:val="center"/>
              <w:ind w:left="1681"/>
              <w:spacing w:after="0"/>
              <w:rPr>
                <w:sz w:val="20"/>
                <w:szCs w:val="20"/>
                <w:color w:val="auto"/>
              </w:rPr>
            </w:pPr>
            <w:r>
              <w:rPr>
                <w:rFonts w:ascii="Times New Roman" w:cs="Times New Roman" w:eastAsia="Times New Roman" w:hAnsi="Times New Roman"/>
                <w:sz w:val="20"/>
                <w:szCs w:val="20"/>
                <w:color w:val="auto"/>
              </w:rPr>
              <w:t>1.0326%</w:t>
            </w:r>
          </w:p>
        </w:tc>
        <w:tc>
          <w:tcPr>
            <w:tcW w:w="1800" w:type="dxa"/>
            <w:vAlign w:val="bottom"/>
            <w:tcBorders>
              <w:bottom w:val="single" w:sz="8" w:color="auto"/>
              <w:right w:val="single" w:sz="8" w:color="auto"/>
            </w:tcBorders>
          </w:tcPr>
          <w:p>
            <w:pPr>
              <w:spacing w:after="0"/>
              <w:rPr>
                <w:sz w:val="21"/>
                <w:szCs w:val="21"/>
                <w:color w:val="auto"/>
              </w:rPr>
            </w:pPr>
          </w:p>
        </w:tc>
      </w:tr>
      <w:tr>
        <w:trPr>
          <w:trHeight w:val="187"/>
        </w:trPr>
        <w:tc>
          <w:tcPr>
            <w:tcW w:w="1380" w:type="dxa"/>
            <w:vAlign w:val="bottom"/>
            <w:tcBorders>
              <w:left w:val="single" w:sz="8" w:color="auto"/>
            </w:tcBorders>
          </w:tcPr>
          <w:p>
            <w:pPr>
              <w:spacing w:after="0"/>
              <w:rPr>
                <w:sz w:val="16"/>
                <w:szCs w:val="16"/>
                <w:color w:val="auto"/>
              </w:rPr>
            </w:pPr>
          </w:p>
        </w:tc>
        <w:tc>
          <w:tcPr>
            <w:tcW w:w="4260" w:type="dxa"/>
            <w:vAlign w:val="bottom"/>
            <w:tcBorders>
              <w:right w:val="single" w:sz="8" w:color="auto"/>
            </w:tcBorders>
            <w:gridSpan w:val="2"/>
          </w:tcPr>
          <w:p>
            <w:pPr>
              <w:jc w:val="center"/>
              <w:ind w:right="1360"/>
              <w:spacing w:after="0" w:line="186" w:lineRule="exact"/>
              <w:rPr>
                <w:sz w:val="20"/>
                <w:szCs w:val="20"/>
                <w:color w:val="auto"/>
              </w:rPr>
            </w:pPr>
            <w:r>
              <w:rPr>
                <w:rFonts w:ascii="Times New Roman" w:cs="Times New Roman" w:eastAsia="Times New Roman" w:hAnsi="Times New Roman"/>
                <w:sz w:val="20"/>
                <w:szCs w:val="20"/>
                <w:color w:val="auto"/>
                <w:w w:val="98"/>
              </w:rPr>
              <w:t>Equal to or greater than 3.00 to 1.00</w:t>
            </w:r>
          </w:p>
        </w:tc>
        <w:tc>
          <w:tcPr>
            <w:tcW w:w="3820" w:type="dxa"/>
            <w:vAlign w:val="bottom"/>
            <w:gridSpan w:val="2"/>
          </w:tcPr>
          <w:p>
            <w:pPr>
              <w:jc w:val="center"/>
              <w:ind w:left="1681"/>
              <w:spacing w:after="0" w:line="186" w:lineRule="exact"/>
              <w:rPr>
                <w:sz w:val="20"/>
                <w:szCs w:val="20"/>
                <w:color w:val="auto"/>
              </w:rPr>
            </w:pPr>
            <w:r>
              <w:rPr>
                <w:rFonts w:ascii="Times New Roman" w:cs="Times New Roman" w:eastAsia="Times New Roman" w:hAnsi="Times New Roman"/>
                <w:sz w:val="20"/>
                <w:szCs w:val="20"/>
                <w:color w:val="auto"/>
              </w:rPr>
              <w:t>1.2826%</w:t>
            </w:r>
          </w:p>
        </w:tc>
        <w:tc>
          <w:tcPr>
            <w:tcW w:w="1800" w:type="dxa"/>
            <w:vAlign w:val="bottom"/>
            <w:tcBorders>
              <w:right w:val="single" w:sz="8" w:color="auto"/>
            </w:tcBorders>
          </w:tcPr>
          <w:p>
            <w:pPr>
              <w:spacing w:after="0"/>
              <w:rPr>
                <w:sz w:val="16"/>
                <w:szCs w:val="16"/>
                <w:color w:val="auto"/>
              </w:rPr>
            </w:pPr>
          </w:p>
        </w:tc>
      </w:tr>
      <w:tr>
        <w:trPr>
          <w:trHeight w:val="252"/>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but less than 4.00 to 1.00</w:t>
            </w:r>
          </w:p>
        </w:tc>
        <w:tc>
          <w:tcPr>
            <w:tcW w:w="17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r>
      <w:tr>
        <w:trPr>
          <w:trHeight w:val="250"/>
        </w:trPr>
        <w:tc>
          <w:tcPr>
            <w:tcW w:w="1380" w:type="dxa"/>
            <w:vAlign w:val="bottom"/>
            <w:tcBorders>
              <w:left w:val="single" w:sz="8" w:color="auto"/>
              <w:bottom w:val="single" w:sz="8" w:color="auto"/>
            </w:tcBorders>
          </w:tcPr>
          <w:p>
            <w:pPr>
              <w:spacing w:after="0"/>
              <w:rPr>
                <w:sz w:val="21"/>
                <w:szCs w:val="21"/>
                <w:color w:val="auto"/>
              </w:rPr>
            </w:pPr>
          </w:p>
        </w:tc>
        <w:tc>
          <w:tcPr>
            <w:tcW w:w="4260" w:type="dxa"/>
            <w:vAlign w:val="bottom"/>
            <w:tcBorders>
              <w:bottom w:val="single" w:sz="8" w:color="auto"/>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8"/>
              </w:rPr>
              <w:t>Equal to or greater than 4.00 to 1.00</w:t>
            </w:r>
          </w:p>
        </w:tc>
        <w:tc>
          <w:tcPr>
            <w:tcW w:w="3820" w:type="dxa"/>
            <w:vAlign w:val="bottom"/>
            <w:tcBorders>
              <w:bottom w:val="single" w:sz="8" w:color="auto"/>
            </w:tcBorders>
            <w:gridSpan w:val="2"/>
          </w:tcPr>
          <w:p>
            <w:pPr>
              <w:jc w:val="center"/>
              <w:ind w:left="1681"/>
              <w:spacing w:after="0"/>
              <w:rPr>
                <w:sz w:val="20"/>
                <w:szCs w:val="20"/>
                <w:color w:val="auto"/>
              </w:rPr>
            </w:pPr>
            <w:r>
              <w:rPr>
                <w:rFonts w:ascii="Times New Roman" w:cs="Times New Roman" w:eastAsia="Times New Roman" w:hAnsi="Times New Roman"/>
                <w:sz w:val="20"/>
                <w:szCs w:val="20"/>
                <w:color w:val="auto"/>
              </w:rPr>
              <w:t>1.5326%</w:t>
            </w:r>
          </w:p>
        </w:tc>
        <w:tc>
          <w:tcPr>
            <w:tcW w:w="1800" w:type="dxa"/>
            <w:vAlign w:val="bottom"/>
            <w:tcBorders>
              <w:bottom w:val="single" w:sz="8" w:color="auto"/>
              <w:right w:val="single" w:sz="8" w:color="auto"/>
            </w:tcBorders>
          </w:tcPr>
          <w:p>
            <w:pPr>
              <w:spacing w:after="0"/>
              <w:rPr>
                <w:sz w:val="21"/>
                <w:szCs w:val="2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 has the meaning assigned to that term in the definition of “Cash Equivalents.”</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Member State</w:t>
      </w:r>
      <w:r>
        <w:rPr>
          <w:rFonts w:ascii="Times New Roman" w:cs="Times New Roman" w:eastAsia="Times New Roman" w:hAnsi="Times New Roman"/>
          <w:sz w:val="20"/>
          <w:szCs w:val="20"/>
          <w:color w:val="auto"/>
        </w:rPr>
        <w:t>” means Belgium, France, Germany, Ireland, Italy, Luxembourg, The Netherlands, Spain, Sweden and the United Kingdom.</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Arranger</w:t>
      </w:r>
      <w:r>
        <w:rPr>
          <w:rFonts w:ascii="Times New Roman" w:cs="Times New Roman" w:eastAsia="Times New Roman" w:hAnsi="Times New Roman"/>
          <w:sz w:val="19"/>
          <w:szCs w:val="19"/>
          <w:color w:val="auto"/>
        </w:rPr>
        <w:t>” means each of Deutsche Bank Securities Inc., Citibank, N.A., Wells Fargo Securities, LLC, Merrill Lynch, Pierce, Fenner</w:t>
      </w:r>
    </w:p>
    <w:p>
      <w:pPr>
        <w:spacing w:after="0" w:line="33" w:lineRule="exact"/>
        <w:rPr>
          <w:sz w:val="20"/>
          <w:szCs w:val="20"/>
          <w:color w:val="auto"/>
        </w:rPr>
      </w:pPr>
    </w:p>
    <w:p>
      <w:pPr>
        <w:ind w:right="20" w:firstLine="8"/>
        <w:spacing w:after="0" w:line="260" w:lineRule="auto"/>
        <w:tabs>
          <w:tab w:leader="none" w:pos="21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Smith Incorporated, BNP Paribas, Banco Santander, S.A., Mizuho Bank, Ltd., The Bank of Nova Scotia and TD Bank, N.A., each in its capacity as a joint lead arranger under this Agreement, and each Incremental Amendment No. 3 and Fifth Amendment Arranger.</w:t>
      </w:r>
    </w:p>
    <w:p>
      <w:pPr>
        <w:spacing w:after="0" w:line="16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Asbestos Payment</w:t>
      </w:r>
      <w:r>
        <w:rPr>
          <w:rFonts w:ascii="Times New Roman" w:cs="Times New Roman" w:eastAsia="Times New Roman" w:hAnsi="Times New Roman"/>
          <w:sz w:val="20"/>
          <w:szCs w:val="20"/>
          <w:color w:val="auto"/>
        </w:rPr>
        <w:t>” means any payment in cash actually made by or on behalf of Crown Holdings or any Subsidiary in respect of any liability related to asbestos or any actual or threatened claim, action or proceeding related to asbestos (including any settlement of any thereof). For avoidance of doubt, deferred payments shall only constitute Asbestos Payments when made.</w:t>
      </w:r>
    </w:p>
    <w:p>
      <w:pPr>
        <w:spacing w:after="0" w:line="161"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Asset Disposition</w:t>
      </w:r>
      <w:r>
        <w:rPr>
          <w:rFonts w:ascii="Times New Roman" w:cs="Times New Roman" w:eastAsia="Times New Roman" w:hAnsi="Times New Roman"/>
          <w:sz w:val="20"/>
          <w:szCs w:val="20"/>
          <w:color w:val="auto"/>
        </w:rPr>
        <w:t>” means any sale, transfer, lease, conveyance or other disposition (or series of related sales, leases, transfers or dispositions) of all or any part of (i) an interest in shares of Capital Stock of a Subsidiary of Crown Holdings (other than directors’ qualifying shares) or (ii) property or other assets (each of (i) and (ii) referred to for the purposes of this definition as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xml:space="preserve">”) by Crown Holdings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asset dispositions following the Incremental Amendment No. 3 and Fifth Amendment Effective Date having an aggregate fair market value not in excess of $750,000,000 shall not be deemed an “Asset Disposition” for purposes of this Agreement</w:t>
      </w:r>
      <w:r>
        <w:rPr>
          <w:rFonts w:ascii="Times New Roman" w:cs="Times New Roman" w:eastAsia="Times New Roman" w:hAnsi="Times New Roman"/>
          <w:sz w:val="20"/>
          <w:szCs w:val="20"/>
          <w:i w:val="1"/>
          <w:iCs w:val="1"/>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12.8(d)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 Agreement</w:t>
      </w:r>
      <w:r>
        <w:rPr>
          <w:rFonts w:ascii="Times New Roman" w:cs="Times New Roman" w:eastAsia="Times New Roman" w:hAnsi="Times New Roman"/>
          <w:sz w:val="20"/>
          <w:szCs w:val="20"/>
          <w:color w:val="auto"/>
        </w:rPr>
        <w:t xml:space="preserve">” means an Assignment and Assumption Agreement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12.8(d)</w:t>
      </w:r>
      <w:r>
        <w:rPr>
          <w:rFonts w:ascii="Times New Roman" w:cs="Times New Roman" w:eastAsia="Times New Roman" w:hAnsi="Times New Roman"/>
          <w:sz w:val="20"/>
          <w:szCs w:val="20"/>
          <w:color w:val="auto"/>
        </w:rPr>
        <w:t xml:space="preserve"> (or such other form as mutually agreed by Crown Holdings and the Administrative Agent) by any applicable Lender, as assignor, and such Lender’s assignee in accordance with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means all reasonable, documented and out-of-pocket fees and disbursements of any law firm or other external counsel, which, in the absence of an Event of Default which is continuing,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60"/>
          </w:cols>
          <w:pgMar w:left="320" w:top="1440" w:right="319" w:bottom="1440" w:gutter="0" w:footer="0" w:header="0"/>
        </w:sectPr>
      </w:pPr>
    </w:p>
    <w:bookmarkStart w:id="61" w:name="page62"/>
    <w:bookmarkEnd w:id="61"/>
    <w:p>
      <w:pPr>
        <w:jc w:val="both"/>
        <w:spacing w:after="0" w:line="283" w:lineRule="auto"/>
        <w:rPr>
          <w:sz w:val="20"/>
          <w:szCs w:val="20"/>
          <w:color w:val="auto"/>
        </w:rPr>
      </w:pPr>
      <w:r>
        <w:rPr>
          <w:rFonts w:ascii="Times New Roman" w:cs="Times New Roman" w:eastAsia="Times New Roman" w:hAnsi="Times New Roman"/>
          <w:sz w:val="20"/>
          <w:szCs w:val="20"/>
          <w:color w:val="auto"/>
        </w:rPr>
        <w:t>shall include only the fees and expenses of one joint outside counsel for the Administrative Agent and the Lenders (and special and local counsels in each appropriate jurisdiction, to the extent reasonably necessary).</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Debt</w:t>
      </w:r>
      <w:r>
        <w:rPr>
          <w:rFonts w:ascii="Times New Roman" w:cs="Times New Roman" w:eastAsia="Times New Roman" w:hAnsi="Times New Roman"/>
          <w:sz w:val="20"/>
          <w:szCs w:val="20"/>
          <w:color w:val="auto"/>
        </w:rPr>
        <w:t xml:space="preserve">” means as of the date of determination thereof, without duplication, (i) in connection with a sale and leaseback transaction, the net present value (discounted according to GAAP at the cost of debt implied in the lease) of the obligations of the lessee for net rental payments during the then remaining term of any applicable lease, (ii) the aggregate Receivables Net Investment of all Permitted Receivables or Factoring Financings outstanding and (iii) the liquidation or preference value of outstanding Disqualified Preferred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Excluded Attributable Debt shall not constitute Attributable Debt.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on any date of determination, an amount equal to the sum of (A) 50% of the Consolidated Net Income of Crown Holdings for the period (taken as one accounting period) from December 31, 2004 to the end of Crown Holdings’ most recently ended Fiscal Quarter for which internal financial statements are available at the time of such Investment (or, in the case such Consolidated Net Income shall be a deficit, minus 100% of such deficit); plus (B) 100% of the aggregate Net Proceeds received by Crown Holdings from the issuance and sale of its Capital Stock after the Effective Date (other than Capital Stock that is not permitted to be issued under Section 8.1(b)), plus (C) $200,000,000 plus (D) the Retained Declined Proceeds minus (E) the amount of any usage of such Available Amount pursuant to Section 8.4(l), Section 8.8(m) and Section 8.11(b)(s), in each case in this clause (E), prior to such date.</w:t>
      </w:r>
    </w:p>
    <w:p>
      <w:pPr>
        <w:spacing w:after="0" w:line="179"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Canadian Revolving Commitment</w:t>
      </w:r>
      <w:r>
        <w:rPr>
          <w:rFonts w:ascii="Times New Roman" w:cs="Times New Roman" w:eastAsia="Times New Roman" w:hAnsi="Times New Roman"/>
          <w:sz w:val="19"/>
          <w:szCs w:val="19"/>
          <w:color w:val="auto"/>
        </w:rPr>
        <w:t>” means, as to any Lender at any time, an amount equal to the excess, if any, of (a) such Lender’s Canadian Revolving Commitment over (b) the sum of (i) the Effective Amount of then outstanding Canadian Revolving Loans made by such Lender and (ii) such Lender’s Canadian Revolver Pro Rata Share of the Effective Amount of Canadian LC Obligations.</w:t>
      </w:r>
    </w:p>
    <w:p>
      <w:pPr>
        <w:spacing w:after="0" w:line="1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Dollar Revolving Commitment</w:t>
      </w:r>
      <w:r>
        <w:rPr>
          <w:rFonts w:ascii="Times New Roman" w:cs="Times New Roman" w:eastAsia="Times New Roman" w:hAnsi="Times New Roman"/>
          <w:sz w:val="20"/>
          <w:szCs w:val="20"/>
          <w:color w:val="auto"/>
        </w:rPr>
        <w:t>” means, as to any Lender at any time an amount equal to the excess, if any, of (a) such Lender’s Dollar Revolving Commitment over (b) the sum of (i) the aggregate Effective Amount of then outstanding Dollar Revolving Loans made by such Lender and (ii) such Lender’s Dollar Revolver Pro Rata Share of the Effective Amount of Dollar LC Obligations.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Multicurrency Revolving Commitment</w:t>
      </w:r>
      <w:r>
        <w:rPr>
          <w:rFonts w:ascii="Times New Roman" w:cs="Times New Roman" w:eastAsia="Times New Roman" w:hAnsi="Times New Roman"/>
          <w:sz w:val="20"/>
          <w:szCs w:val="20"/>
          <w:color w:val="auto"/>
        </w:rPr>
        <w:t>” means, as to any Lender at any time an amount equal to the excess, if any, of (a) such Lender’s Multicurrency Revolving Commitment over (b) the sum of (i) the aggregate Effective Amount of then outstanding Multicurrency Revolving Loans made by such Lender and (ii) such Lender’s Multicurrency Revolver Pro Rata Share of the Effective Amount of LC Obligations and Swing Line Loans then outstanding.</w:t>
      </w:r>
    </w:p>
    <w:p>
      <w:pPr>
        <w:spacing w:after="0" w:line="17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Multicurrency Revolving Sublimit</w:t>
      </w:r>
      <w:r>
        <w:rPr>
          <w:rFonts w:ascii="Times New Roman" w:cs="Times New Roman" w:eastAsia="Times New Roman" w:hAnsi="Times New Roman"/>
          <w:sz w:val="19"/>
          <w:szCs w:val="19"/>
          <w:color w:val="auto"/>
        </w:rPr>
        <w:t>” means, as to European Borrower or any Subsidiary Borrower at any time an amount equal to (i) such Borrower’s Multicurrency Revolving Sublimit at such time minus (ii) the sum of (a) the aggregate Effective Amount of then outstanding Multicurrency Revolving Loans made to such Borrower plus (b) the Effective Amount of such Borrower’s LC Obligations plus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the aggregate Effective Amount of then outstanding Swing Line Loans made to such Borrower.</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20"/>
          <w:szCs w:val="20"/>
          <w:color w:val="auto"/>
        </w:rPr>
        <w:t>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3.8.</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 Equivalent Loan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2A.9(h)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 Loan</w:t>
      </w:r>
      <w:r>
        <w:rPr>
          <w:rFonts w:ascii="Times New Roman" w:cs="Times New Roman" w:eastAsia="Times New Roman" w:hAnsi="Times New Roman"/>
          <w:sz w:val="20"/>
          <w:szCs w:val="20"/>
          <w:color w:val="auto"/>
        </w:rPr>
        <w:t xml:space="preserve">” means a Borrowing comprised of one or more Bankers’ Acceptances or, as applicable, B/A Equivalent Loans. For greater certainty, all provisions of this Agreement which are applicable to Bankers’ Acceptances are also applicable,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to B/A Equivalent Loans.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Related Cash Management Agreement</w:t>
      </w:r>
      <w:r>
        <w:rPr>
          <w:rFonts w:ascii="Times New Roman" w:cs="Times New Roman" w:eastAsia="Times New Roman" w:hAnsi="Times New Roman"/>
          <w:sz w:val="20"/>
          <w:szCs w:val="20"/>
          <w:color w:val="auto"/>
        </w:rPr>
        <w:t xml:space="preserve">” means agreements of Crown Holdings or any of its Subsidiaries arising from treasury, depository, cash management services (but excluding credit and debit cards) and letter of credit facilities pursuant to </w:t>
      </w:r>
      <w:r>
        <w:rPr>
          <w:rFonts w:ascii="Times New Roman" w:cs="Times New Roman" w:eastAsia="Times New Roman" w:hAnsi="Times New Roman"/>
          <w:sz w:val="20"/>
          <w:szCs w:val="20"/>
          <w:u w:val="single" w:color="auto"/>
          <w:color w:val="auto"/>
        </w:rPr>
        <w:t>Section 8.1(a)(xxviii)</w:t>
      </w:r>
      <w:r>
        <w:rPr>
          <w:rFonts w:ascii="Times New Roman" w:cs="Times New Roman" w:eastAsia="Times New Roman" w:hAnsi="Times New Roman"/>
          <w:sz w:val="20"/>
          <w:szCs w:val="20"/>
          <w:color w:val="auto"/>
        </w:rPr>
        <w:t xml:space="preserve"> provided by one or more counterparties that are Administrative Agent, U.K. Administrative Agent, Canadian Administrative Agent or a Lender or an Affiliate thereof at the time that such Bank Related Cash Management Agreement was entered into.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Related Debt</w:t>
      </w:r>
      <w:r>
        <w:rPr>
          <w:rFonts w:ascii="Times New Roman" w:cs="Times New Roman" w:eastAsia="Times New Roman" w:hAnsi="Times New Roman"/>
          <w:sz w:val="20"/>
          <w:szCs w:val="20"/>
          <w:color w:val="auto"/>
        </w:rPr>
        <w:t xml:space="preserve">” means obligations under Hedging Agreements, letter of credit facilities pursuant to </w:t>
      </w:r>
      <w:r>
        <w:rPr>
          <w:rFonts w:ascii="Times New Roman" w:cs="Times New Roman" w:eastAsia="Times New Roman" w:hAnsi="Times New Roman"/>
          <w:sz w:val="20"/>
          <w:szCs w:val="20"/>
          <w:u w:val="single" w:color="auto"/>
          <w:color w:val="auto"/>
        </w:rPr>
        <w:t>Section 8.1(a)(xxviii)</w:t>
      </w:r>
      <w:r>
        <w:rPr>
          <w:rFonts w:ascii="Times New Roman" w:cs="Times New Roman" w:eastAsia="Times New Roman" w:hAnsi="Times New Roman"/>
          <w:sz w:val="20"/>
          <w:szCs w:val="20"/>
          <w:color w:val="auto"/>
        </w:rPr>
        <w:t>, and Bank Related Cash Management Agreements owed to counterparties that are Administrative Agent, U.K. Administrative Agent, Canadian Administrative Agent or a Lender or any Affiliate thereof at the time such Hedging Agreement, letter of credit facility or Bank Related Cash Management Agreement was entered into (any such Person, a “</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to the extent permitted hereunder.</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Bankers’ Acceptance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B/A</w:t>
      </w:r>
      <w:r>
        <w:rPr>
          <w:rFonts w:ascii="Times New Roman" w:cs="Times New Roman" w:eastAsia="Times New Roman" w:hAnsi="Times New Roman"/>
          <w:sz w:val="20"/>
          <w:szCs w:val="20"/>
          <w:color w:val="auto"/>
        </w:rPr>
        <w:t>” mean a depository bill within the meaning of the Depository Bills and Notes Act (Canada) or a bill of exchange within the meaning of the Bills of Exchange Act (Canada), in each case, denominated in Canadian Dollars, drawn by Canadian Borrower, and accepted by a Canadian Revolving Lender in accordance with this Agreement.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I of the Bankruptcy Reform Act of 1978, as amended, as set forth in Title 11 of the United States Code, as hereafter amended, the BIA, the CCAA, the WURA and all other liquidation, conservatorship, bankruptcy, assignment for the benefit of creditors, moratorium, rearrangement, receivership, insolvency, reorganization or similar debtor relief laws of any applicable jurisdictions from time to time in effect and affecting the rights of creditors generally.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63" w:name="page64"/>
    <w:bookmarkEnd w:id="63"/>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means the greatest of (i) the rate most recently announced by the Administrative Agent at its principal office as its “prime rate,” which is not necessarily the lowest rate made available by the Administrative Agent, (ii) the Federal Funds Rate plus 1/2 of 1% per annum or (iii) the Adjusted Term SOFR plus 1.00%. The “prime rate” announced by the Administrative Agent is evidenced by the recording thereof after its announcement in such internal publication or publications as the Administrative Agent may designate. Any change in the interest rate resulting from a change in such “prime rate” announced by the Administrative Agent shall become effective without prior notice to Borrower as of 12:01 a.m. (New York City time) on the Business Day on which each change in such “prime rate” is announced by the Administrative Agent. The Administrative Agent may make commercial or other loans to others at rates of interest at, above or below its “prime rate.”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any Loan which bears interest at a rate determined with reference to the Base Rate.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Basel III</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1.1.1.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1.1.2.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any further guidance or standards published by the Basel Committee on Banking Supervision relating to “Basel III”.</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(w) the Term SOFR Reference Rate (in the case of Dollars), (x) the Eurocurrency Rate (in the case of Euros), (y) SONIA (in the case of Sterling) and (z) the Canadian Prime Rate (in the case of Canadian Dollars); provided that if a Benchmark Transition Event has occurred with respect to any of the aforementioned rates or the then-current Benchmark, in each case for the applicable currency, then “Benchmark” for such currency means the applicable Benchmark Replacement for such currency to the extent that such Benchmark Replacement has replaced such prior benchmark rate for such currency pursuant to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with respect to any Benchmark Transition Event, the first alternative set forth in the order below that can be determined by the Administrative Agent for the applicable Benchmark Replacement Date: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1.1.1. solely in the case of a Benchmark Transition Event with respect to the Term SOFR Reference Rate, the sum of (i) Daily Simple SOFR and (ii) 0.10% (10 basis points); or</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1.1.2. the sum of: (i) the alternate benchmark rate that has been selected by the Administrative Agent and the Company giving due consideration to (A) any selection or recommendation of 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20"/>
          <w:szCs w:val="20"/>
          <w:color w:val="auto"/>
        </w:rPr>
        <w:t>replacement benchmark rate or the mechanism for determining such a rate by the Relevant Governmental Body or (B) any evolving or then-prevailing market convention for determining a benchmark rate as a replacement to the then-current Benchmark for syndicated credit facilities denominated in the applicable currency and (ii) the related Benchmark Replacement Adjustment.</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9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a date and time determined by the Administrative Agent, which date shall be no later than the earliest to occur of the following events with respect to the then-current Benchmark for any applicable currency:</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1.1.1.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1.1.2.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for any applicable currency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the occurrence of one or more of the following events with respect to the then-current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 for any applicable currency:</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83" w:lineRule="auto"/>
        <w:rPr>
          <w:sz w:val="20"/>
          <w:szCs w:val="20"/>
          <w:color w:val="auto"/>
        </w:rPr>
      </w:pPr>
      <w:r>
        <w:rPr>
          <w:rFonts w:ascii="Times New Roman" w:cs="Times New Roman" w:eastAsia="Times New Roman" w:hAnsi="Times New Roman"/>
          <w:sz w:val="20"/>
          <w:szCs w:val="20"/>
          <w:color w:val="auto"/>
        </w:rPr>
        <w:t>component thereof), permanently or indefinitely; provided that, at the time of such statement or publication, there is no successor administrator that will continue to provide any Available Tenor of such Benchmark (or such component thereof);</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1.1.2.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1.1.3.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for any applicable currency if a public statement or publication of information set forth above has occurred with respect to each then-current Available Tenor of such Benchmark (or the published component used in the calculation thereof).</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the period (if any) (a) beginning at the time that a Benchmark Replacement Date for any applicable currency has occurred if, at such time, no Benchmark Replacement for such applicable currency has replaced the then-current Benchmark for such currency for all purposes hereunder and under any Loan Document in accordance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and (b) ending at the time that a Benchmark Replacement for such currency has replaced the then-current Benchmark for such currency for all purposes hereunder and under any Loan Document in accordance with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12.6(a)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BIA</w:t>
      </w:r>
      <w:r>
        <w:rPr>
          <w:rFonts w:ascii="Times New Roman" w:cs="Times New Roman" w:eastAsia="Times New Roman" w:hAnsi="Times New Roman"/>
          <w:sz w:val="20"/>
          <w:szCs w:val="20"/>
          <w:color w:val="auto"/>
        </w:rPr>
        <w:t>” means the Bankruptcy and Insolvency Act (Canada),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Bookrunner</w:t>
      </w:r>
      <w:r>
        <w:rPr>
          <w:rFonts w:ascii="Times New Roman" w:cs="Times New Roman" w:eastAsia="Times New Roman" w:hAnsi="Times New Roman"/>
          <w:sz w:val="20"/>
          <w:szCs w:val="20"/>
          <w:color w:val="auto"/>
        </w:rPr>
        <w:t>” means each of Deutsche Bank Securities Inc., Citibank, N.A., Wells Fargo Securities, LLC, Merrill Lynch, Pierce, Fenner &amp; Smith Incorporated, BNP Paribas, Banco Santander,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66" w:name="page67"/>
    <w:bookmarkEnd w:id="66"/>
    <w:p>
      <w:pPr>
        <w:jc w:val="both"/>
        <w:spacing w:after="0" w:line="283" w:lineRule="auto"/>
        <w:rPr>
          <w:sz w:val="20"/>
          <w:szCs w:val="20"/>
          <w:color w:val="auto"/>
        </w:rPr>
      </w:pPr>
      <w:r>
        <w:rPr>
          <w:rFonts w:ascii="Times New Roman" w:cs="Times New Roman" w:eastAsia="Times New Roman" w:hAnsi="Times New Roman"/>
          <w:sz w:val="20"/>
          <w:szCs w:val="20"/>
          <w:color w:val="auto"/>
        </w:rPr>
        <w:t>S.A., Mizuho Bank, Ltd., The Bank of Nova Scotia, Bofa Securities, Inc., Unicredit Bank AG, PNC Capital Markets LLC and TD Bank, N.A., each in its capacity as a joint bookrunner under this Agreement.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assigned to that term in the preamble to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has the meaning assigned to that term in the preamble to this Agreement.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group of Loans of a single Type made by the Lenders or the Swing Line Lender, as appropriate, on a single date (or resulting from a conversion on such date) and in the case of SOFR Loans or Eurocurrency Loans, as to which a single Interest Period is in effect,.</w:t>
      </w:r>
    </w:p>
    <w:p>
      <w:pPr>
        <w:spacing w:after="0" w:line="16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xml:space="preserve">” means (i) as it relates to any payment, determination, funding or notice to be made or given in connection with any Dollar-denominated Loan, or otherwise to be made or given to or from Administrative Agent, a day other than a Saturday, Sunday or other day on which commercial banks in New York City are authorized or required by law to close;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when used in connection with any Letter of Credit, the term “Business Day” shall also exclude any day on which commercial banks in the city in which the respective Facing Agent for such Letter of Credit is domiciled are required by law to close; (ii) as it relates to any payment, determination, funding or notice to be made or given in connection with any Alternative Currency Loan, any day (A) on which commercial banks and foreign exchange markets are open for business in London, New York City, and the principal financial center for such Alternative Currency, and (B) with respect to any such payment, determination or funding to be made in connection with any Alternative Currency Loan denominated in Euros, on which the Trans-European Automated Real-time Gross Settlement Express Transfer (TARGET 2) System launched on November 19, 2007 or any successor settlement system is open and (C) with respect to any payment, determination, funding or notice to be made or given in connection with a Borrowing by the Canadian Borrower, or otherwise to be made or given to or from Canadian Administrative Agent, a day other than a Saturday, Sunday or other day on which commercial banks in Toronto are authorized or required by law to close and (iii) if such day relates to any interest rate settings as to a Daily Simple RFR Loan, any fundings, disbursements, settlements and payments in respect of any such Daily Simple RFR Loan, or any other dealings to be carried out pursuant to this Agreement in respect of any such Daily Simple RFR Loan, means any such day that is only a RFR Business Day, and (iv) as it relates to any payment, determination, funding or notice to be made or given in connection with any SOFR Loan, a Business Day must also be a U.S. Government Securities Business Day.</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w:t>
      </w:r>
      <w:r>
        <w:rPr>
          <w:rFonts w:ascii="Times New Roman" w:cs="Times New Roman" w:eastAsia="Times New Roman" w:hAnsi="Times New Roman"/>
          <w:sz w:val="20"/>
          <w:szCs w:val="20"/>
          <w:color w:val="auto"/>
        </w:rPr>
        <w:t xml:space="preserve">” means the mechanism for the allocation and exchange of interests in the Facilities and collections thereunder established under </w:t>
      </w:r>
      <w:r>
        <w:rPr>
          <w:rFonts w:ascii="Times New Roman" w:cs="Times New Roman" w:eastAsia="Times New Roman" w:hAnsi="Times New Roman"/>
          <w:sz w:val="20"/>
          <w:szCs w:val="20"/>
          <w:u w:val="single" w:color="auto"/>
          <w:color w:val="auto"/>
        </w:rPr>
        <w:t>Article XIII</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Exchange</w:t>
      </w:r>
      <w:r>
        <w:rPr>
          <w:rFonts w:ascii="Times New Roman" w:cs="Times New Roman" w:eastAsia="Times New Roman" w:hAnsi="Times New Roman"/>
          <w:sz w:val="20"/>
          <w:szCs w:val="20"/>
          <w:color w:val="auto"/>
        </w:rPr>
        <w:t xml:space="preserve">” means the exchange of the Lenders’ interests provided for in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Exchange Date</w:t>
      </w:r>
      <w:r>
        <w:rPr>
          <w:rFonts w:ascii="Times New Roman" w:cs="Times New Roman" w:eastAsia="Times New Roman" w:hAnsi="Times New Roman"/>
          <w:sz w:val="20"/>
          <w:szCs w:val="20"/>
          <w:color w:val="auto"/>
        </w:rPr>
        <w:t xml:space="preserve">” means the first date after the Effective Date on which there shall occur (x) any event described in paragraph (i)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with respect to any Borrower or (y) any acceleration of the Loans.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Percentage</w:t>
      </w:r>
      <w:r>
        <w:rPr>
          <w:rFonts w:ascii="Times New Roman" w:cs="Times New Roman" w:eastAsia="Times New Roman" w:hAnsi="Times New Roman"/>
          <w:sz w:val="20"/>
          <w:szCs w:val="20"/>
          <w:color w:val="auto"/>
        </w:rPr>
        <w:t>” means, as to each Lender, a fraction, expressed as a decimal to 12 decimal places, of which (a) the numerator shall be the sum of (i) the aggregate Designated Obligations owed to such Lender and (ii) such Lender’s Revolver Pro Rata Share or Canadian Revolver Pro Rata Share, as applicable, of the aggregate outstanding LC Obligations, if any, of such Lender, in each case immediately prior to the CAM Exchange Date, and (b) the denominator shall be the sum of (i) the aggregate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20"/>
          <w:szCs w:val="20"/>
          <w:color w:val="auto"/>
        </w:rPr>
        <w:t>Designated Obligations owed to all the Lenders and (ii) the aggregate outstanding LC Obligations, in each case immediately prior to such CAM Exchange Date. For purposes of computing each Lender’s CAM Percentage, all Designated Obligations denominated in an Alternative Currency shall be translated into U.S. Dollars at the Exchange Rate in effect on the CAM Exchange Date.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Administrative Agent</w:t>
      </w:r>
      <w:r>
        <w:rPr>
          <w:rFonts w:ascii="Times New Roman" w:cs="Times New Roman" w:eastAsia="Times New Roman" w:hAnsi="Times New Roman"/>
          <w:sz w:val="20"/>
          <w:szCs w:val="20"/>
          <w:color w:val="auto"/>
        </w:rPr>
        <w:t xml:space="preserve">” has the meaning assigned to that term in the preamble to this Agreement and any successor Canadian Administrative Agent in such capacity,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all times the Canadian Administrative Agent must be either (i) a resident in Canada for the purpose of the ITA, or (ii) deemed to be resident in Canada for the purpose of Part XIII of the ITA.</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has the meaning assigned to that term in the preamble to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Commitment Fee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3.2(a)(iii)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Commitment Period</w:t>
      </w:r>
      <w:r>
        <w:rPr>
          <w:rFonts w:ascii="Times New Roman" w:cs="Times New Roman" w:eastAsia="Times New Roman" w:hAnsi="Times New Roman"/>
          <w:sz w:val="20"/>
          <w:szCs w:val="20"/>
          <w:color w:val="auto"/>
        </w:rPr>
        <w:t>” means, the period from and including the Incremental Amendment No. 3 and Fifth Amendment Effective Date to but not including the Canadian Revolver Termination Date.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Credit Party</w:t>
      </w:r>
      <w:r>
        <w:rPr>
          <w:rFonts w:ascii="Times New Roman" w:cs="Times New Roman" w:eastAsia="Times New Roman" w:hAnsi="Times New Roman"/>
          <w:sz w:val="20"/>
          <w:szCs w:val="20"/>
          <w:color w:val="auto"/>
        </w:rPr>
        <w:t>” means the Canadian Borrower and any Subsidiary Credit Party organized under the federal laws of Canada or the laws of a province or territory of Canada.</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Defined Benefit Plan</w:t>
      </w:r>
      <w:r>
        <w:rPr>
          <w:rFonts w:ascii="Times New Roman" w:cs="Times New Roman" w:eastAsia="Times New Roman" w:hAnsi="Times New Roman"/>
          <w:sz w:val="20"/>
          <w:szCs w:val="20"/>
          <w:color w:val="auto"/>
        </w:rPr>
        <w:t>” means any Foreign Plan that is a “registered pension plan” as defined in subsection 248(1) of the Income Tax Act (Canada) and which contains a “defined benefit provision” as defined in subsection 147.1(1) of the Income Tax Act (Canada).</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Cdn.$</w:t>
      </w:r>
      <w:r>
        <w:rPr>
          <w:rFonts w:ascii="Times New Roman" w:cs="Times New Roman" w:eastAsia="Times New Roman" w:hAnsi="Times New Roman"/>
          <w:sz w:val="20"/>
          <w:szCs w:val="20"/>
          <w:color w:val="auto"/>
        </w:rPr>
        <w:t>” mean lawful currency of Canada.</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Facing Agent</w:t>
      </w:r>
      <w:r>
        <w:rPr>
          <w:rFonts w:ascii="Times New Roman" w:cs="Times New Roman" w:eastAsia="Times New Roman" w:hAnsi="Times New Roman"/>
          <w:sz w:val="20"/>
          <w:szCs w:val="20"/>
          <w:color w:val="auto"/>
        </w:rPr>
        <w:t>” means Deutsche Bank AG Canada Branch or any of its affiliates in its capacity as issuer of Canadian Letters of Credit and any other Canadian Revolving Lender which at the request of the Canadian Borrower and with the consent of Canadian Administrative Agent and Administrative Agent (not to be unreasonably withheld) agrees to issue Canadian Letters of Credit, in its capacity as an issuer of Canadian Letters of Credit.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LC Commission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2.10(g)(ii)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LC Obligations</w:t>
      </w:r>
      <w:r>
        <w:rPr>
          <w:rFonts w:ascii="Times New Roman" w:cs="Times New Roman" w:eastAsia="Times New Roman" w:hAnsi="Times New Roman"/>
          <w:sz w:val="20"/>
          <w:szCs w:val="20"/>
          <w:color w:val="auto"/>
        </w:rPr>
        <w:t xml:space="preserve">” means, at any time, an amount equal to the sum of (a) the aggregate Stated Amount of the then outstanding Canadian Letters of Credit and (b) the aggregate amount of Unpaid Drawings under the Canadian Letters of Credit which have not then been reimbursed pursuant to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The Canadian LC Obligation of any Canadian Revolving Lender at any time shall mean its Canadian Revolver Pro Rata Share of the aggregate Canadian LC Obligations outstanding at such time.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Letter of Credit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Letter of Credit Exposure</w:t>
      </w:r>
      <w:r>
        <w:rPr>
          <w:rFonts w:ascii="Times New Roman" w:cs="Times New Roman" w:eastAsia="Times New Roman" w:hAnsi="Times New Roman"/>
          <w:sz w:val="20"/>
          <w:szCs w:val="20"/>
          <w:color w:val="auto"/>
        </w:rPr>
        <w:t>” means, with respect to a Canadian Revolving Lender, such Lender’s Canadian Revolver Pro Rata Share of the aggregate Canadian LC Obligations.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Obligations</w:t>
      </w:r>
      <w:r>
        <w:rPr>
          <w:rFonts w:ascii="Times New Roman" w:cs="Times New Roman" w:eastAsia="Times New Roman" w:hAnsi="Times New Roman"/>
          <w:sz w:val="20"/>
          <w:szCs w:val="20"/>
          <w:color w:val="auto"/>
        </w:rPr>
        <w:t>” means, with respect to the Canadian Borrower, the unpaid principal of and interest on (including interest accruing after the maturity of the Loans made to the Canadian Borrower and interest and fees accruing after the filing of any petition in bankruptcy, or the commencement of any insolvency, reorganization or like proceeding, relating to the Canadian Borrower,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52" w:lineRule="auto"/>
        <w:rPr>
          <w:sz w:val="20"/>
          <w:szCs w:val="20"/>
          <w:color w:val="auto"/>
        </w:rPr>
      </w:pPr>
      <w:r>
        <w:rPr>
          <w:rFonts w:ascii="Times New Roman" w:cs="Times New Roman" w:eastAsia="Times New Roman" w:hAnsi="Times New Roman"/>
          <w:sz w:val="20"/>
          <w:szCs w:val="20"/>
          <w:color w:val="auto"/>
        </w:rPr>
        <w:t>whether or not a claim for post-filing or post-petition interest and fees is allowed in such proceeding) the Loans made to or Unpaid Drawings pursuant to Canadian Letters of Credit issued for the account of Canadian Borrower and all other obligations and liabilities of the Canadian Borrower and any Canadian Subsidiary (including Bank Related Debt) to any Agent, any Facing Agent, to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the Canadian Borrower and any Canadian Subsidiary to any Agent, any Facing Agent, any Lender or any Hedge Bank pursuant to any Loan Document or any Bank Related Debt) or otherwise.</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Pension Termination Event</w:t>
      </w:r>
      <w:r>
        <w:rPr>
          <w:rFonts w:ascii="Times New Roman" w:cs="Times New Roman" w:eastAsia="Times New Roman" w:hAnsi="Times New Roman"/>
          <w:sz w:val="20"/>
          <w:szCs w:val="20"/>
          <w:color w:val="auto"/>
        </w:rPr>
        <w:t>” means the occurrence of any of the following: (i) the board of directors of any Canadian Credit Party passes a resolution to terminate or wind up in whole or in part any Canadian Defined Benefit Plan or any Canadian Credit Party otherwise initiates any action or filing to voluntarily terminate or wind up in whole or in part any Canadian Defined Benefit Plan; (ii) the institution of proceedings by any Governmental Authority to terminate in whole or in part any Canadian Defined Benefit Plan, including notice being given by the Ontario Superintendent of Financial Services or another Governmental Authority that it intends to proceed to wind-up in whole or in part a Canadian Credit Party’s Canadian Defined Benefit Plan; (iii) there is a cessation or suspension of contributions to the fund of a Canadian Defined Benefit Plan by a Canadian Credit Party (other than a cessation or suspension of contributions that is due to (a) an administrative error that is corrected or (b) the taking of contribution holidays in accordance with applicable law); (iv) the receipt by a Canadian Credit Party of correspondence from any Governmental Authority related to the likely wind-up or termination (in whole or in part) of any Canadian Defined Benefit Plan; and (v) the wind-up or partial wind-up of a Canadian Defined Benefit Plan; or (vi) an event respecting any Canadian Defined Benefit Plan which could result in the revocation of the registration of such Canadian Defined Benefit Plan or which could otherwise reasonably be expected to adversely affect the tax status of any such Canadian Defined Benefit Plan. Notwithstanding anything to the contrary herein, a Canadian Pension Termination Event shall not include any event that relates to the partial wind-up or termination of solely a defined contribution component of a Canadian Defined Benefit Plan.</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xml:space="preserve">” means, for each day in any period, a fluctuating interest rate per annum as shall be in effect from time to time, which rate per annum shall at all times for such day be equal to the higher of (a) the annual rate of interest announced publicly by Canadian Administrative Agent and in effect as its prime rate at its principal office in Toronto, Ontario on such day for determining interest rates on Canadian Dollar-denominated commercial loans made in Canada and (b) 0.75% per annum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Adjusted Term CORRA Rate. Notwithstanding the foregoing, the Canadian Prime Rate shall not in any event be less than zero.</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 Loan</w:t>
      </w:r>
      <w:r>
        <w:rPr>
          <w:rFonts w:ascii="Times New Roman" w:cs="Times New Roman" w:eastAsia="Times New Roman" w:hAnsi="Times New Roman"/>
          <w:sz w:val="20"/>
          <w:szCs w:val="20"/>
          <w:color w:val="auto"/>
        </w:rPr>
        <w:t>” means any Loan which bears interest at a rate determined with reference to the Canadian Prime Rate.</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Revolver Pro Rata Share</w:t>
      </w:r>
      <w:r>
        <w:rPr>
          <w:rFonts w:ascii="Times New Roman" w:cs="Times New Roman" w:eastAsia="Times New Roman" w:hAnsi="Times New Roman"/>
          <w:sz w:val="20"/>
          <w:szCs w:val="20"/>
          <w:color w:val="auto"/>
        </w:rPr>
        <w:t>” means, when used with reference to any Canadian Revolving Lender and any described aggregate or total amount, an amount equal to the result obtained by multiplying such described aggregate or total amount by a fraction the numerator of which shall be such Lender’s Canadian Revolving Commitment or if the Canadian Revolver Termination Date has occurred, the Effective Amount of such Canadian Revolving Lender’s then outstanding Canadian Revolving Loans and the denominator of which shall be the Canadian Revolving Commitments or, if the Canadian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t>Revolver Termination Date has occurred, the Effective Amount of all then outstanding Canadian Revolving Loans.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Revolver Termination Date</w:t>
      </w:r>
      <w:r>
        <w:rPr>
          <w:rFonts w:ascii="Times New Roman" w:cs="Times New Roman" w:eastAsia="Times New Roman" w:hAnsi="Times New Roman"/>
          <w:sz w:val="20"/>
          <w:szCs w:val="20"/>
          <w:color w:val="auto"/>
        </w:rPr>
        <w:t>” means the earliest to occur of (i) the date that is the fifth anniversary of the Incremental Amendment No. 3 and Fifth Amendment Effective Date or (ii) such earlier date as the Canadian Revolving Commitments shall have been terminated or otherwise reduced to $0 pursuant to this Agreement.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Commitment</w:t>
      </w:r>
      <w:r>
        <w:rPr>
          <w:rFonts w:ascii="Times New Roman" w:cs="Times New Roman" w:eastAsia="Times New Roman" w:hAnsi="Times New Roman"/>
          <w:sz w:val="20"/>
          <w:szCs w:val="20"/>
          <w:color w:val="auto"/>
        </w:rPr>
        <w:t xml:space="preserve">” means, with respect to any Canadian Revolving Lender, the obligation of such Canadian Revolving Lender to make Canadian Revolving Loans and to participate in Canadian Letters of Credit, as such commitment may be adjusted from time to time pursuant to this Agreement, which commitment as of the Incremental Amendment No. 3 and Fifth Amendment Effective Date is the amount set forth opposite such lender’s name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to Incremental Amendment No. 3 and Fifth Amendment under the caption “Amount of Canadian Revolving Commitment” as the same may be adjusted from time to time pursuant to the terms hereof and “</w:t>
      </w:r>
      <w:r>
        <w:rPr>
          <w:rFonts w:ascii="Times New Roman" w:cs="Times New Roman" w:eastAsia="Times New Roman" w:hAnsi="Times New Roman"/>
          <w:sz w:val="20"/>
          <w:szCs w:val="20"/>
          <w:u w:val="single" w:color="auto"/>
          <w:color w:val="auto"/>
        </w:rPr>
        <w:t>Canadian Revolving Commitments</w:t>
      </w:r>
      <w:r>
        <w:rPr>
          <w:rFonts w:ascii="Times New Roman" w:cs="Times New Roman" w:eastAsia="Times New Roman" w:hAnsi="Times New Roman"/>
          <w:sz w:val="20"/>
          <w:szCs w:val="20"/>
          <w:color w:val="auto"/>
        </w:rPr>
        <w:t>” means such commitments collectively, which commitments equal $50,000,000 in the aggregate as of the Incremental Amendment No. 3 and Fifth Amendment Effective Date.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Credit Exposure</w:t>
      </w:r>
      <w:r>
        <w:rPr>
          <w:rFonts w:ascii="Times New Roman" w:cs="Times New Roman" w:eastAsia="Times New Roman" w:hAnsi="Times New Roman"/>
          <w:sz w:val="20"/>
          <w:szCs w:val="20"/>
          <w:color w:val="auto"/>
        </w:rPr>
        <w:t>” means, with respect to a Canadian Revolving Lender, the sum of (i) the outstanding principal amount of Canadian Revolving Loans made by such Lender and (ii) the Canadian Letter of Credit Exposure of such Canadian Revolving Lender.</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Facility</w:t>
      </w:r>
      <w:r>
        <w:rPr>
          <w:rFonts w:ascii="Times New Roman" w:cs="Times New Roman" w:eastAsia="Times New Roman" w:hAnsi="Times New Roman"/>
          <w:sz w:val="20"/>
          <w:szCs w:val="20"/>
          <w:color w:val="auto"/>
        </w:rPr>
        <w:t>” means the credit facility under this Agreement evidenced by the Canadian Revolving Commitments and the Canadian Revolving Loans.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Lender</w:t>
      </w:r>
      <w:r>
        <w:rPr>
          <w:rFonts w:ascii="Times New Roman" w:cs="Times New Roman" w:eastAsia="Times New Roman" w:hAnsi="Times New Roman"/>
          <w:sz w:val="20"/>
          <w:szCs w:val="20"/>
          <w:color w:val="auto"/>
        </w:rPr>
        <w:t>” means any Lender which has a Canadian Revolving Commitment.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Loan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Canadian Revolving Loans</w:t>
      </w:r>
      <w:r>
        <w:rPr>
          <w:rFonts w:ascii="Times New Roman" w:cs="Times New Roman" w:eastAsia="Times New Roman" w:hAnsi="Times New Roman"/>
          <w:sz w:val="20"/>
          <w:szCs w:val="20"/>
          <w:color w:val="auto"/>
        </w:rPr>
        <w:t xml:space="preserve">” as defined have the meanings given in </w:t>
      </w:r>
      <w:r>
        <w:rPr>
          <w:rFonts w:ascii="Times New Roman" w:cs="Times New Roman" w:eastAsia="Times New Roman" w:hAnsi="Times New Roman"/>
          <w:sz w:val="20"/>
          <w:szCs w:val="20"/>
          <w:u w:val="single" w:color="auto"/>
          <w:color w:val="auto"/>
        </w:rPr>
        <w:t>Section 2A.1</w:t>
      </w:r>
      <w:r>
        <w:rPr>
          <w:rFonts w:ascii="Times New Roman" w:cs="Times New Roman" w:eastAsia="Times New Roman" w:hAnsi="Times New Roman"/>
          <w:sz w:val="20"/>
          <w:szCs w:val="20"/>
          <w:color w:val="auto"/>
        </w:rPr>
        <w:t xml:space="preserve">, including by way of Bankers’ Acceptances and B/A Equivalent Loans, pursuant to </w:t>
      </w:r>
      <w:r>
        <w:rPr>
          <w:rFonts w:ascii="Times New Roman" w:cs="Times New Roman" w:eastAsia="Times New Roman" w:hAnsi="Times New Roman"/>
          <w:sz w:val="20"/>
          <w:szCs w:val="20"/>
          <w:u w:val="single" w:color="auto"/>
          <w:color w:val="auto"/>
        </w:rPr>
        <w:t>Section 2A.1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2A.9</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Revolving Note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2A.2(a)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with respect to any Person, any and all common shares, preferred shares, interests, participations, rights in or other equivalents (however designated) of such Person’s capital stock, partnership interests, membership interests or other equivalent interests and any rights (other than debt securities convertible into or exchangeable for capital stock or other ownership interests or rights, warrants or options), warrants or options exchangeable for or convertible into such capital stock or other equity interests.</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w:t>
      </w:r>
      <w:r>
        <w:rPr>
          <w:rFonts w:ascii="Times New Roman" w:cs="Times New Roman" w:eastAsia="Times New Roman" w:hAnsi="Times New Roman"/>
          <w:sz w:val="20"/>
          <w:szCs w:val="20"/>
          <w:color w:val="auto"/>
        </w:rPr>
        <w:t>” means, at the time any determination thereof is to be made, any lease of property, real or personal, in respect of which the present value of the minimum rental commitment is capitalized on the balance sheet of the lessee in accordance with GAAP as in effect on December 15, 2018.</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 Obligation</w:t>
      </w:r>
      <w:r>
        <w:rPr>
          <w:rFonts w:ascii="Times New Roman" w:cs="Times New Roman" w:eastAsia="Times New Roman" w:hAnsi="Times New Roman"/>
          <w:sz w:val="20"/>
          <w:szCs w:val="20"/>
          <w:color w:val="auto"/>
        </w:rPr>
        <w:t>” means, at the time any determination thereof is to be made, the amount of the liability in respect of a Capitalized Lease which would at such time be so required to be capitalized on the balance sheet of the lessee in accordance with GAAP as in effect on December 15, 2018.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70" w:name="page71"/>
    <w:bookmarkEnd w:id="70"/>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means money, currency or the available credit balance in Dollars, Canadian Dollars, an Alternative Currency or another currency reasonably acceptable to the Administrative Agent in a Deposit Account.</w:t>
      </w:r>
    </w:p>
    <w:p>
      <w:pPr>
        <w:spacing w:after="0" w:line="14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Equivalents</w:t>
      </w:r>
      <w:r>
        <w:rPr>
          <w:rFonts w:ascii="Times New Roman" w:cs="Times New Roman" w:eastAsia="Times New Roman" w:hAnsi="Times New Roman"/>
          <w:sz w:val="19"/>
          <w:szCs w:val="19"/>
          <w:color w:val="auto"/>
        </w:rPr>
        <w:t>” means (i) any evidence of indebtedness, maturing not more than one year after the date of issue, issued by an Approved Member State, the United States of America, Canada, or any instrumentality or agency thereof, the principal, interest and premium, if any, of which is guaranteed fully by, or backed by the full faith and credit of, such Approved Member State, the United States of America or Canada, (ii) time deposits, certificates of deposit and bankers acceptances maturing not more than one year after the date of purchase, issued or guaranteed by or placed with, and money market accounts issued or offered by, (x) any Lender or (y) a commercial banking institution having, or which is the principal banking subsidiary of a bank holding company having, at the time of such deposit, certificates of deposit or banker’s acceptance, or the opening of such money market account, combined capital and surplus and undivided profits of not less than $200,000,000 (or the Dollar Equivalent of $100,000,000 in the case of non-U.S. banking institutions) or whose commercial paper (or the commercial paper of such bank’s holding company) has a rating of “P-2” (or higher) according to Moody’s, “A-2” (or higher) according to S&amp;P or the equivalent rating by any other nationally recognized rating agency (any such bank, an “</w:t>
      </w:r>
      <w:r>
        <w:rPr>
          <w:rFonts w:ascii="Times New Roman" w:cs="Times New Roman" w:eastAsia="Times New Roman" w:hAnsi="Times New Roman"/>
          <w:sz w:val="19"/>
          <w:szCs w:val="19"/>
          <w:u w:val="single" w:color="auto"/>
          <w:color w:val="auto"/>
        </w:rPr>
        <w:t>Approved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Bank</w:t>
      </w:r>
      <w:r>
        <w:rPr>
          <w:rFonts w:ascii="Times New Roman" w:cs="Times New Roman" w:eastAsia="Times New Roman" w:hAnsi="Times New Roman"/>
          <w:sz w:val="19"/>
          <w:szCs w:val="19"/>
          <w:color w:val="auto"/>
        </w:rPr>
        <w:t>”), (iii) commercial paper, maturing not more than one year after the date of purchase with a rating, at the time as of the acquisition thereof, of “P-2” (or higher) according to Moody’s, or “A-2” (or higher) according to S&amp;P or the equivalent rating by any other nationally recognized rating agency, (iv) demand deposits with any bank or trust company maintained in the ordinary course of business, (v) repurchase or reverse repurchase agreements covering obligations of the type specified in clause (i) with a term of not more than 30 days with any Approved Bank and (vi) shares of any money market mutual fund rated at least AA- or the equivalent thereof by S&amp;P or at least Aa3 or the equivalent thereof by Moody’s at the time of the acquisition thereof, including, without limitation, any such mutual fund managed or advised by any Lender or Administrative Agent. In the case of Investments by any Non-U.S. Subsidiary or Investments made in a country outside of the United States of America, Cash Equivalents shall include (a) investments of the type and maturity described in clauses (i) through (vi) above of foreign obligors, which Investments or obligors (or the parents of such obligors) have ratings described in such clauses or equivalent ratings from comparable foreign rating agencies and (b) other short-term investments utilized by Non-U.S. Subsidiaries in accordance with normal investment practices for cash management in investments analogous to the foregoing investments in clauses (i) through (vi) above.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CCAA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Companies Creditors Arrangement Act</w:t>
      </w:r>
      <w:r>
        <w:rPr>
          <w:rFonts w:ascii="Times New Roman" w:cs="Times New Roman" w:eastAsia="Times New Roman" w:hAnsi="Times New Roman"/>
          <w:sz w:val="20"/>
          <w:szCs w:val="20"/>
          <w:color w:val="auto"/>
        </w:rPr>
        <w:t xml:space="preserve"> (Canada),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CCSC</w:t>
      </w:r>
      <w:r>
        <w:rPr>
          <w:rFonts w:ascii="Times New Roman" w:cs="Times New Roman" w:eastAsia="Times New Roman" w:hAnsi="Times New Roman"/>
          <w:sz w:val="20"/>
          <w:szCs w:val="20"/>
          <w:color w:val="auto"/>
        </w:rPr>
        <w:t>” has the meaning assigned to such term in the preamble to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CCSC 2026 Debentures</w:t>
      </w:r>
      <w:r>
        <w:rPr>
          <w:rFonts w:ascii="Times New Roman" w:cs="Times New Roman" w:eastAsia="Times New Roman" w:hAnsi="Times New Roman"/>
          <w:sz w:val="20"/>
          <w:szCs w:val="20"/>
          <w:color w:val="auto"/>
        </w:rPr>
        <w:t>” means the $350,000,000 7.375% Debentures due 2026 of CCSC issued under the 1996 Indenture.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CCSC 2096 Debentures</w:t>
      </w:r>
      <w:r>
        <w:rPr>
          <w:rFonts w:ascii="Times New Roman" w:cs="Times New Roman" w:eastAsia="Times New Roman" w:hAnsi="Times New Roman"/>
          <w:sz w:val="20"/>
          <w:szCs w:val="20"/>
          <w:color w:val="auto"/>
        </w:rPr>
        <w:t>” means the $150,000,000 7.50% Debentures due 2096 of CCSC issued under the 1996 Indenture.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CDOR Rate</w:t>
      </w:r>
      <w:r>
        <w:rPr>
          <w:rFonts w:ascii="Times New Roman" w:cs="Times New Roman" w:eastAsia="Times New Roman" w:hAnsi="Times New Roman"/>
          <w:sz w:val="20"/>
          <w:szCs w:val="20"/>
          <w:color w:val="auto"/>
        </w:rPr>
        <w:t>” means, on any day, the per annum rate of interest which is the rate determined as being the arithmetic average of the annual yield rates applicable to Canadian Dollar bankers’ acceptances having identical issue and comparable maturity dates as the Bankers’ Acceptances proposed to be issued, displayed and identified as such on the display referred to as the “CDOR Page” (or any display substituted therefor) of Reuters Monitor Money Rates Service as at approximately 10:00 a.m. (Toronto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time) on such day, or if such day is not a Business Day, then on the immediately preceding Business Day (as adjusted by Canadian Administrative Agent in good faith after 10:00 a.m. (Toronto time) to reflect any error in a posted rate of interest or in the posted average annual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if such a rate does not appear on such CDOR Page, then the CDOR Rate, on any day, shall be the discount rate quoted by Canadian Administrative Agent (determined as of 10:00 a.m. (Toronto time)) on such day at which Canadian Administrative Agent would purchase its own bankers acceptances in a comparable face amount and with comparable maturity dates to the Bankers’ Acceptances proposed to be issued on such day, or if such day is not a Business Day, then on the immediately preceding Business Day. Notwithstanding the foregoing, the CDOR Rate shall not in any event be less than zero.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CERCLA</w:t>
      </w:r>
      <w:r>
        <w:rPr>
          <w:rFonts w:ascii="Times New Roman" w:cs="Times New Roman" w:eastAsia="Times New Roman" w:hAnsi="Times New Roman"/>
          <w:sz w:val="20"/>
          <w:szCs w:val="20"/>
          <w:color w:val="auto"/>
        </w:rPr>
        <w:t>” means the Comprehensive Environmental Response, Compensation, and Liability Act of 1980,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“controlled foreign corporation” within the meaning of Section 957 of the Code.</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xml:space="preserve">” means the occurrence, after the Incremental Amendment No. 3 and Fifth Amendment Effective Date,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 the acquisition of ownership, directly or indirectly (including, without limitation, through the issuance, sale or exchange of Capital Stock, a merger, amalgamation or consolidation or otherwise), beneficially or of record, by any Person or group (within the meaning of the Exchange Act and the rules of the SEC thereunder) of Capital Stock representing more than 40% of the aggregate ordinary voting power represented by the issued and outstanding Capital Stock of Crown Holdings, (b) Crown Holdings shall fail to own, directly or indirectly, beneficially or of record all of the outstanding Capital Stock of either U.S. Borrower or European Borrower (other than director’s qualifying shares) or (c) the occurrence of a “Change of Control” as defined in any Public Debt Document.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Civil Procedural Law</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14.14(a)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Agents</w:t>
      </w:r>
      <w:r>
        <w:rPr>
          <w:rFonts w:ascii="Times New Roman" w:cs="Times New Roman" w:eastAsia="Times New Roman" w:hAnsi="Times New Roman"/>
          <w:sz w:val="20"/>
          <w:szCs w:val="20"/>
          <w:color w:val="auto"/>
        </w:rPr>
        <w:t>” means Coöperatieve Rabobank U.A., New York Branch, Credit Agricole Corporate and Investment Bank, ING Bank N.V., Dublin Branch, MUFG Bank, Ltd., , Sumitomo Mitsui Banking Corporation, CoBank, ACB and The Huntington National Bank, each in its capacity as a co-documentation agent under this Agreement, and the Incremental Amendment No. 3 and Fifth Amendment Co-Documentation Agents.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U.S. Internal Revenue Code of 1986, as amended.</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“Collateral” as defined in any applicable Security Document and all other assets pledged or otherwise subject to security pursuant to the Security Documents.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Account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4.4(a)(ii)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Collateral Agents</w:t>
      </w:r>
      <w:r>
        <w:rPr>
          <w:rFonts w:ascii="Times New Roman" w:cs="Times New Roman" w:eastAsia="Times New Roman" w:hAnsi="Times New Roman"/>
          <w:sz w:val="20"/>
          <w:szCs w:val="20"/>
          <w:color w:val="auto"/>
        </w:rPr>
        <w:t>” means U.S. Collateral Agent and/or Euro Collateral Agent, as the context may require.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Reinstatement Event</w:t>
      </w:r>
      <w:r>
        <w:rPr>
          <w:rFonts w:ascii="Times New Roman" w:cs="Times New Roman" w:eastAsia="Times New Roman" w:hAnsi="Times New Roman"/>
          <w:sz w:val="20"/>
          <w:szCs w:val="20"/>
          <w:color w:val="auto"/>
        </w:rPr>
        <w:t>” means, at any time after the occurrence of a Collateral Release Event, the occurrence of either of the following: (a) the public corporate/corporate family ratings of Crown Holdings from either Moody’s or S&amp;P fall below Baa3 or BBB-respectively or (b) Crown Holdings requests that the Liens and security interests in all Collateral granted by the Credit Parties to secure the Obligations be reinstated.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Event</w:t>
      </w:r>
      <w:r>
        <w:rPr>
          <w:rFonts w:ascii="Times New Roman" w:cs="Times New Roman" w:eastAsia="Times New Roman" w:hAnsi="Times New Roman"/>
          <w:sz w:val="20"/>
          <w:szCs w:val="20"/>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Baa3 and BBB- respectively and (c) the Administrative Agent shall have received a certificate from Crown Holdings certifying to the foregoing in a manner reasonably acceptable to the Administrative Agent.</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Period</w:t>
      </w:r>
      <w:r>
        <w:rPr>
          <w:rFonts w:ascii="Times New Roman" w:cs="Times New Roman" w:eastAsia="Times New Roman" w:hAnsi="Times New Roman"/>
          <w:sz w:val="20"/>
          <w:szCs w:val="20"/>
          <w:color w:val="auto"/>
        </w:rPr>
        <w:t>” means each period commencing with the occurrence of a Collateral Release Event and continuing until the occurrence of the next Collateral Reinstatement Event, if any, immediately following such Collateral Release Event.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with respect to each Lender, the aggregate of the Dollar Revolving Commitment, Multicurrency Revolving Commitment, Canadian Revolving Commitment and the Term Commitments of such Lender and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means such commitments of all of the Lenders collectively.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means collectively, Dollar Commitment Fees, Multicurrency Commitment Fees and Canadian Commitment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Fees.</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Period</w:t>
      </w:r>
      <w:r>
        <w:rPr>
          <w:rFonts w:ascii="Times New Roman" w:cs="Times New Roman" w:eastAsia="Times New Roman" w:hAnsi="Times New Roman"/>
          <w:sz w:val="20"/>
          <w:szCs w:val="20"/>
          <w:color w:val="auto"/>
        </w:rPr>
        <w:t>” means, the period from and including the Incremental Amendment No. 3 and Fifth Amendment Effective Date to but not including the applicable Revolver Termination Date or, in the case of the Swing Line Commitment, five (5) Business Days prior to the Revolver Termination Date for the Multicurrency Revolving Facility.</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Competitor</w:t>
      </w:r>
      <w:r>
        <w:rPr>
          <w:rFonts w:ascii="Times New Roman" w:cs="Times New Roman" w:eastAsia="Times New Roman" w:hAnsi="Times New Roman"/>
          <w:sz w:val="20"/>
          <w:szCs w:val="20"/>
          <w:color w:val="auto"/>
        </w:rPr>
        <w:t xml:space="preserve">” means any Person that is or becomes a competitor of the Borrowers or any of their respective Subsidiaries or is or becomes an Affiliate or Subsidiary of any such Person, in each case as specifically identified by Crown Holdings or its Subsidiaries to the Administrative Agent from time to time in writing (whether before, on or after the Original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Company Competitor shall not include any bona fide debt fund or investment vehicle (other than a Disqualified Institution referred to in clause (a) of the definition thereof) that is engaged in making, purchasing, holding or otherwise investing in commercial loans and similar extensions of credit in the ordinary course of business which is managed independently from any Company Competitor and any affiliate or a Company Competitor that manages a Company Competitor.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7.2(a)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Computation Date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either the use or administration of Term SOFR or the use, administration, adoption or implementation of any Benchmark Replacement for any applicable currency,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other technical, administrative or operational matters) that the Administrative Agent, in consultation with Crown Holdings,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Capital Expenditures</w:t>
      </w:r>
      <w:r>
        <w:rPr>
          <w:rFonts w:ascii="Times New Roman" w:cs="Times New Roman" w:eastAsia="Times New Roman" w:hAnsi="Times New Roman"/>
          <w:sz w:val="20"/>
          <w:szCs w:val="20"/>
          <w:color w:val="auto"/>
        </w:rPr>
        <w:t>” means, for any Person, for any period, the aggregate of all expenditures (whether paid in cash or accrued as liabilities and including in all events all Capitalized Lease Obligations but excluding any capitalized interest with respect thereto) by such Person and its Subsidiaries during that period that, in conformity with GAAP, are or are required to be included in the property, plant or equipment reflected in the consolidated balance sheet of such Person.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Assets</w:t>
      </w:r>
      <w:r>
        <w:rPr>
          <w:rFonts w:ascii="Times New Roman" w:cs="Times New Roman" w:eastAsia="Times New Roman" w:hAnsi="Times New Roman"/>
          <w:sz w:val="20"/>
          <w:szCs w:val="20"/>
          <w:color w:val="auto"/>
        </w:rPr>
        <w:t>” means, with respect to any Person as at any date of determination, the total assets of such Person and its consolidated Subsidiaries which should properly be classified as current assets on a consolidated balance sheet of such Person and its consolidated Subsidiaries in accordance with GAAP.</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Liabilities</w:t>
      </w:r>
      <w:r>
        <w:rPr>
          <w:rFonts w:ascii="Times New Roman" w:cs="Times New Roman" w:eastAsia="Times New Roman" w:hAnsi="Times New Roman"/>
          <w:sz w:val="20"/>
          <w:szCs w:val="20"/>
          <w:color w:val="auto"/>
        </w:rPr>
        <w:t>” means, with respect to any Person as at any date of determination, the total liabilities of such Person and its consolidated Subsidiaries which should properly be classified as current liabilities (other than the current portion of any Loans) on a consolidated balance sheet of such Person and its consolidated Subsidiaries in accordance with GAAP.</w:t>
      </w:r>
    </w:p>
    <w:p>
      <w:pPr>
        <w:spacing w:after="0" w:line="16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means, for any period and with respect to any Person, Consolidated Net Income of such Person and its Subsidiaries for such period plus (a) without duplication and to the extent deducted in determining such Consolidated Net Income, the sum of</w:t>
      </w:r>
    </w:p>
    <w:p>
      <w:pPr>
        <w:spacing w:after="0" w:line="1" w:lineRule="exact"/>
        <w:rPr>
          <w:sz w:val="20"/>
          <w:szCs w:val="20"/>
          <w:color w:val="auto"/>
        </w:rPr>
      </w:pPr>
    </w:p>
    <w:p>
      <w:pPr>
        <w:jc w:val="both"/>
        <w:ind w:firstLine="8"/>
        <w:spacing w:after="0" w:line="250" w:lineRule="auto"/>
        <w:tabs>
          <w:tab w:leader="none" w:pos="25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of such Person and its Subsidiaries for such period, (ii) provision for taxes based on income, profits or capital gains, including, without limitation, federal, state and local, franchise and similar taxes and foreign withholding, franchise and similar income taxes (including the Restricted Payments permitted pursuant to </w:t>
      </w:r>
      <w:r>
        <w:rPr>
          <w:rFonts w:ascii="Times New Roman" w:cs="Times New Roman" w:eastAsia="Times New Roman" w:hAnsi="Times New Roman"/>
          <w:sz w:val="20"/>
          <w:szCs w:val="20"/>
          <w:u w:val="single" w:color="auto"/>
          <w:color w:val="auto"/>
        </w:rPr>
        <w:t>Sections 8.8(f)</w:t>
      </w:r>
      <w:r>
        <w:rPr>
          <w:rFonts w:ascii="Times New Roman" w:cs="Times New Roman" w:eastAsia="Times New Roman" w:hAnsi="Times New Roman"/>
          <w:sz w:val="20"/>
          <w:szCs w:val="20"/>
          <w:color w:val="auto"/>
        </w:rPr>
        <w:t>) paid or accrued by such Person and its Subsidiaries during such period, including tax settlements, penalties and interest related to such taxes, arising from any tax examinations or pursuant to any tax sharing arrangement, (iii) all amounts attributable to depreciation and amortization of such Person and its Subsidiaries for such period, (iv) any non-cash deductions made in determining Consolidated Net Income of such Person and its Subsidiaries for such period (including, without limitation, non-cash deductions relating to translation and foreign exchange adjustments) (other than any deductions which (or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should) represent the accrual of a reserve for the payment of cash charges in any future period or amortization of a prepaid cash expense that was paid in a prior period) (it being understood that (x) reserves for pension or health care benefits shall not be so “added back” to Consolidated Net Income except for non-cash charges recorded in current period Consolidated Net Income that represent the reclassification of previously unrecognized net losses from other comprehensive income as a result of a plan settlement and (y) reserves for Asbestos Payments shall be “added back”), (v) actual cash realized relating to the sale of Real Property or equipment in connection with restructuring activities, (vi) (A) fees, costs and expenses in connection with the Transactions, (B) transaction fees, costs and expenses (including up-front fees, commissions, premiums or charges) incurred in connection with, to the extent permitted under the Loan Documents and whether or not consummated, equity issuances, investments, acquisitions, asset dispositions, recapitalizations, refinancings, mergers, option buy-outs, or the incurrence or repayment of Indebtedness or any amendments, waivers or other modifications under the agreements relating to such Indebtedness or similar transactions, (C) fees, costs and expenses in connection with strategic initiatives, transition costs and other business optimization and information systems related fees costs and expenses (including non-recurring employee bonuses in connection therewith and the separation and eventual disposal of businesses or lines of business) and (D) fees, costs and expenses with respect to Permitted Receivables or Factoring Financings, to the extent not included in Consolidated Interest Expense, plus (vii) the amount of “run-rate” cost savings, product margin synergies (including increased share of shelf), operating expense reductions and product cost (including sourcing), and other operating improvements and synergies reasonably identifiable and factually supportable relating to, and projected by Crown Holdings in good faith to result from, actions taken or with respect to which substantial steps have been taken or are expected to be taken by Borrowers or any of their Subsidiaries within 24 months after (A) in the case of the Transactions, the Incremental Amendment No. 3 and Fifth Amendment Effective Date and (B) in the case of asset sales, investments, asset dispositions, operating improvements, mergers or other business combinations, Acquisitions, divestitures, restructurings and cost savings initiatives, the date it is consummated;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added back pursuant to this clause (vii) (other than in connection with any mergers, business combinations, acquisitions or divestitures) and clause (viii) and pursuant to any pro forma adjustments in accordance with the definition of “Pro Forma Basis” in any Test Period shall not exceed 30% of Consolidated EBITDA with respect to such period (after giving effect to such add-backs pursuant to this clause (vii) and clause (viii) and such adjustments), plus (viii) costs, charges, accruals, reserves or expenses attributable to the undertaking or implementation of cost savings initiatives, operating expense reductions, integration, transition, facilities opening and pre-opening, business optimization and other restructuring costs, charges, accruals, reserves and expenses (including, without limitation, inventory optimization programs, software development costs and costs related to the closure or consolidation of facilities, stores or distribution centers and curtailments, costs related to entry into new markets, consulting fees, signing costs, retention or completion bonuses, relocation expenses, severance payments, modifications to pension and post-retirement employee benefit plans, new systems design and implementation costs and project startup costs);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any such costs, charges, accruals, reserves or expenses (other than in connection with any mergers, business combinations, acquisitions or divestures), together with any amounts added back pursuant to clause (vii) and pursuant to any pro forma adjustment in accordance with the definition of “Pro Forma Basis” in any Test Period shall not exceed 30% of Consolidated EBITDA with respect to such period (after giving effect to such add-backs pursuant to this clause (viii) and clause (vii) and such adjustments), minus (b) any non-cash additions to Consolidated Net Income of such Person and its Subsidiaries for such period (including, without limitation, non-cash additions relating to translation and foreign exchange adjustments), minus (c) without duplication and to the extent included in determining such Consolidated Net Income of such Person and its Subsidiaries, any extraordinary gains (or plus extraordinary losses) for such period and any gains (or plus losses) realized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83" w:lineRule="auto"/>
        <w:rPr>
          <w:sz w:val="20"/>
          <w:szCs w:val="20"/>
          <w:color w:val="auto"/>
        </w:rPr>
      </w:pPr>
      <w:r>
        <w:rPr>
          <w:rFonts w:ascii="Times New Roman" w:cs="Times New Roman" w:eastAsia="Times New Roman" w:hAnsi="Times New Roman"/>
          <w:sz w:val="20"/>
          <w:szCs w:val="20"/>
          <w:color w:val="auto"/>
        </w:rPr>
        <w:t>connection with any Asset Disposition of such Person and its Subsidiaries during such period, all determined on a consolidated basis in accordance with GAAP.</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xml:space="preserve">” means, for any Person, for any period, the sum of (a) gross interest expense for such period, including (i) the amortization of debt discounts, (ii) the amortization of all fees (including fees with respect to Hedging Agreements) payable in connection with the incurrence of Indebtedness to the extent included in interest expense, (iii) subject to the last sentence of </w:t>
      </w:r>
      <w:r>
        <w:rPr>
          <w:rFonts w:ascii="Times New Roman" w:cs="Times New Roman" w:eastAsia="Times New Roman" w:hAnsi="Times New Roman"/>
          <w:sz w:val="20"/>
          <w:szCs w:val="20"/>
          <w:u w:val="single" w:color="auto"/>
          <w:color w:val="auto"/>
        </w:rPr>
        <w:t>Section 1.2(a)</w:t>
      </w:r>
      <w:r>
        <w:rPr>
          <w:rFonts w:ascii="Times New Roman" w:cs="Times New Roman" w:eastAsia="Times New Roman" w:hAnsi="Times New Roman"/>
          <w:sz w:val="20"/>
          <w:szCs w:val="20"/>
          <w:color w:val="auto"/>
        </w:rPr>
        <w:t>, the portion of any payments or accruals with respect to Capitalized Lease Obligations allocable to interest expense and (iv) the interest component of any lease payments under Attributable Debt transactions of such Person and its Subsidiaries plus any yield, discount, interest expense or fees associated with any Permitted Receivables or Factoring Financing (other than amounts payable to any Credit Party), (b) capitalized interest for such period and (c) dividends paid in cash during such period on Disqualified Preferred Stock, in each case on a consolidated basis for such Person and its Subsidiaries. For purposes of the foregoing, gross interest expense shall be determined after giving effect to any net payments made by such Person and its Subsidiaries with respect to Hedging Agreements. Breakage costs in connection with repaying Loans outstanding under the Credit Agreement on the Incremental Amendment No. 3 and Fifth Amendment Effective Date shall not be considered Consolidated Interest Expense.</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Consolidated Net Loss</w:t>
      </w:r>
      <w:r>
        <w:rPr>
          <w:rFonts w:ascii="Times New Roman" w:cs="Times New Roman" w:eastAsia="Times New Roman" w:hAnsi="Times New Roman"/>
          <w:sz w:val="20"/>
          <w:szCs w:val="20"/>
          <w:color w:val="auto"/>
        </w:rPr>
        <w:t xml:space="preserve">” mean, respectively, for any period and for any Person, the net income (loss) of such Person and its Subsidiaries for such period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for any such Person therefrom (i) the net income or loss of any Person (other than consolidated Subsidiaries of such Person) in which any other Person (other than such Person or any of its Subsidiaries) has a joint interest, except to the extent of the amount of dividends, distributions or other payments actually paid to such Person or any of its Subsidiaries by such Person during such period, (ii) the cumulative effect of a change in accounting principles during such period to the extent included in Consolidated Net Income, (iii) any net after-tax income (loss) from discontinued operations and any net after-tax gains or losses on disposal of discontinued operations, in each case after the date of disposal and not in the ordinary course of business, (iv) the net income or loss of any Person accrued prior to the date it becomes a Subsidiary or is merged into, amalgamated with or consolidated with such Person or any of its Subsidiaries or that Person’s assets are acquired by such Person or any of its Subsidiaries and (v) gains and losses for such period from the early extinguishment of Indebtedness to the extent included in Consolidated Net Income.</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Tangible Assets</w:t>
      </w:r>
      <w:r>
        <w:rPr>
          <w:rFonts w:ascii="Times New Roman" w:cs="Times New Roman" w:eastAsia="Times New Roman" w:hAnsi="Times New Roman"/>
          <w:sz w:val="20"/>
          <w:szCs w:val="20"/>
          <w:color w:val="auto"/>
        </w:rPr>
        <w:t xml:space="preserve">” means the aggregate amount of assets (less applicable reserves and other properly deductible items) after deducting therefrom all goodwill, trade names, trademarks, patents, unamortized debt discount and expense (to the extent included in said aggregate amount of assets) and other like intangibles, all as set forth in the most recent consolidated balance sheet of Crown Holdings and its Subsidiaries for which financial statements have been delivered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Consolidated Tangible Assets shall be calculated after giving effect to the transaction giving rise to the need to calculate Consolidated Tangible Assets.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means the aggregate amount of assets (less applicable reserves and other properly deductible items), all as set forth in the most recent consolidated balance sheet of Crown Holdings and its Subsidiaries for which financial statements have been delivered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Consolidated Total Assets shall be calculated after giving effect to the transaction giving rise to the need to calculate Consolidated Total Assets.</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 Period</w:t>
      </w:r>
      <w:r>
        <w:rPr>
          <w:rFonts w:ascii="Times New Roman" w:cs="Times New Roman" w:eastAsia="Times New Roman" w:hAnsi="Times New Roman"/>
          <w:sz w:val="20"/>
          <w:szCs w:val="20"/>
          <w:color w:val="auto"/>
        </w:rPr>
        <w:t xml:space="preserve">” means the term of a B/A Loan selected by Canadian Borrower in accordance with </w:t>
      </w:r>
      <w:r>
        <w:rPr>
          <w:rFonts w:ascii="Times New Roman" w:cs="Times New Roman" w:eastAsia="Times New Roman" w:hAnsi="Times New Roman"/>
          <w:sz w:val="20"/>
          <w:szCs w:val="20"/>
          <w:u w:val="single" w:color="auto"/>
          <w:color w:val="auto"/>
        </w:rPr>
        <w:t>Section 2A.5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 xml:space="preserve"> commencing on the date of such B/A Loan and expiring on a Business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Day which shall be either 30 days, 60 days, 90 days or 180 days (subject to availability)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Contract Period would otherwise expire on a day which is not a Business Day, such Contract Period shall expire on the next succeeding Business Day (or if such next succeeding Business Day is in a different month, on the next preceding Business Day) and (ii) no Contract Period for a Canadian Revolving Loan shall extend beyond the Canadian Revolver Termination Date.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Securities issued by such Person or of any indenture or credit agreement or any agreement, instrument or other undertaking to which such Person is a party or by which it or any of its property is bound or to which it may be subject.</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ownership of Voting Securities, by contract or otherwise, and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Converted Acceptances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 of the Canadian Overnight Repo Rate Average).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means the making of any Loan or the issuance of any Letter of Credit.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U.S. Borrower, European Borrower, Canadian Borrower, each Parent Guarantor, Crown Développement, each Subsidiary Credit Party and any other guarantor which may hereafter enter into a guarantee agreement or a pledge agreement with respect to all or any portion of the Obligations.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 Développement</w:t>
      </w:r>
      <w:r>
        <w:rPr>
          <w:rFonts w:ascii="Times New Roman" w:cs="Times New Roman" w:eastAsia="Times New Roman" w:hAnsi="Times New Roman"/>
          <w:sz w:val="20"/>
          <w:szCs w:val="20"/>
          <w:color w:val="auto"/>
        </w:rPr>
        <w:t>” means Crown Développement SAS, a simplified joint stock corporation (société par actions simplifiée) organized under the laws of France.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 Finance</w:t>
      </w:r>
      <w:r>
        <w:rPr>
          <w:rFonts w:ascii="Times New Roman" w:cs="Times New Roman" w:eastAsia="Times New Roman" w:hAnsi="Times New Roman"/>
          <w:sz w:val="20"/>
          <w:szCs w:val="20"/>
          <w:color w:val="auto"/>
        </w:rPr>
        <w:t>” means Crown Americas Capital Corp., a Delaware corporation.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 Finance II</w:t>
      </w:r>
      <w:r>
        <w:rPr>
          <w:rFonts w:ascii="Times New Roman" w:cs="Times New Roman" w:eastAsia="Times New Roman" w:hAnsi="Times New Roman"/>
          <w:sz w:val="20"/>
          <w:szCs w:val="20"/>
          <w:color w:val="auto"/>
        </w:rPr>
        <w:t>” means Crown Americas Capital Corp. II, a Delaware corporation.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 Holdings</w:t>
      </w:r>
      <w:r>
        <w:rPr>
          <w:rFonts w:ascii="Times New Roman" w:cs="Times New Roman" w:eastAsia="Times New Roman" w:hAnsi="Times New Roman"/>
          <w:sz w:val="20"/>
          <w:szCs w:val="20"/>
          <w:color w:val="auto"/>
        </w:rPr>
        <w:t>” has the meaning assigned to such term in the preamble to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Crown International</w:t>
      </w:r>
      <w:r>
        <w:rPr>
          <w:rFonts w:ascii="Times New Roman" w:cs="Times New Roman" w:eastAsia="Times New Roman" w:hAnsi="Times New Roman"/>
          <w:sz w:val="20"/>
          <w:szCs w:val="20"/>
          <w:color w:val="auto"/>
        </w:rPr>
        <w:t>” has the meaning assigned to such term in the preamble to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CTA</w:t>
      </w:r>
      <w:r>
        <w:rPr>
          <w:rFonts w:ascii="Times New Roman" w:cs="Times New Roman" w:eastAsia="Times New Roman" w:hAnsi="Times New Roman"/>
          <w:sz w:val="20"/>
          <w:szCs w:val="20"/>
          <w:color w:val="auto"/>
        </w:rPr>
        <w:t>” means the Corporation Tax Act 2009 (United Kingdom).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DB</w:t>
      </w:r>
      <w:r>
        <w:rPr>
          <w:rFonts w:ascii="Times New Roman" w:cs="Times New Roman" w:eastAsia="Times New Roman" w:hAnsi="Times New Roman"/>
          <w:sz w:val="20"/>
          <w:szCs w:val="20"/>
          <w:color w:val="auto"/>
        </w:rPr>
        <w:t>” means Deutsche Bank AG New York Branch, and its successors.</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Rate</w:t>
      </w:r>
      <w:r>
        <w:rPr>
          <w:rFonts w:ascii="Times New Roman" w:cs="Times New Roman" w:eastAsia="Times New Roman" w:hAnsi="Times New Roman"/>
          <w:sz w:val="20"/>
          <w:szCs w:val="20"/>
          <w:color w:val="auto"/>
        </w:rPr>
        <w:t>” means, when used in reference to any Loan or Borrowing, refers to whether such Loan, or the Loans comprising such Borrowing, are bearing interest at a rate determined by reference to the Alternative Currency Alternate Rate. For the avoidance of doubt, RFR Loans do not constitute Daily Rate Loans for the purposes of this Agreement.</w:t>
      </w:r>
    </w:p>
    <w:p>
      <w:pPr>
        <w:spacing w:after="0" w:line="16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that is five U.S. Government Securities Business Days prior to (i) if such SOFR Rate Day is 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20"/>
          <w:szCs w:val="20"/>
          <w:color w:val="auto"/>
        </w:rPr>
        <w:t>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Daily Simple SOFR determined as provided above shall ever be less than, 0.00%, then Daily Simple SOFR shall be deemed to be 0.00%.</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w:t>
      </w:r>
      <w:r>
        <w:rPr>
          <w:rFonts w:ascii="Times New Roman" w:cs="Times New Roman" w:eastAsia="Times New Roman" w:hAnsi="Times New Roman"/>
          <w:sz w:val="20"/>
          <w:szCs w:val="20"/>
          <w:color w:val="auto"/>
        </w:rPr>
        <w:t>” means, for any day (an “</w:t>
      </w:r>
      <w:r>
        <w:rPr>
          <w:rFonts w:ascii="Times New Roman" w:cs="Times New Roman" w:eastAsia="Times New Roman" w:hAnsi="Times New Roman"/>
          <w:sz w:val="20"/>
          <w:szCs w:val="20"/>
          <w:u w:val="single" w:color="auto"/>
          <w:color w:val="auto"/>
        </w:rPr>
        <w:t>RFR Rate Day</w:t>
      </w:r>
      <w:r>
        <w:rPr>
          <w:rFonts w:ascii="Times New Roman" w:cs="Times New Roman" w:eastAsia="Times New Roman" w:hAnsi="Times New Roman"/>
          <w:sz w:val="20"/>
          <w:szCs w:val="20"/>
          <w:color w:val="auto"/>
        </w:rPr>
        <w:t>”), a rate per annum equal to, for any Obligations denominated in, or calculated with respect to, Sterling, the greater of (i) SONIA for the day (such day, an “</w:t>
      </w:r>
      <w:r>
        <w:rPr>
          <w:rFonts w:ascii="Times New Roman" w:cs="Times New Roman" w:eastAsia="Times New Roman" w:hAnsi="Times New Roman"/>
          <w:sz w:val="20"/>
          <w:szCs w:val="20"/>
          <w:u w:val="single" w:color="auto"/>
          <w:color w:val="auto"/>
        </w:rPr>
        <w:t>RFR Determination Day</w:t>
      </w:r>
      <w:r>
        <w:rPr>
          <w:rFonts w:ascii="Times New Roman" w:cs="Times New Roman" w:eastAsia="Times New Roman" w:hAnsi="Times New Roman"/>
          <w:sz w:val="20"/>
          <w:szCs w:val="20"/>
          <w:color w:val="auto"/>
        </w:rPr>
        <w:t>”) that is five (5) RFR Business Days prior to (A) if such RFR Rate Day is an RFR Business Day, such RFR Rate Day or (B) if such RFR Rate Day is not an RFR Business Day, the RFR Business Day immediately preceding such RFR Rate Day, and (ii) 0.0%. If by 5:00 pm, London time, on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RFR Business Day immediately following any RFR Determination Day, SONIA in respect of such RFR Determination Day has not been published, then SONIA for such RFR Determination Day will be SONIA as published in respect of the first preceding RFR Business Day for which SONIA was published on the SONIA Administrator’s Website;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SONIA as determined pursuant to this sentence shall be utilized for purposes of calculating Daily Simple RFR for no more than three (3) consecutive RFR Rate Days. Any change in Daily Simple RFR due to a change in SONIA shall be effective from and including the effective date of such change in SONIA without notice to the Borrowers.</w:t>
      </w:r>
    </w:p>
    <w:p>
      <w:pPr>
        <w:spacing w:after="0" w:line="18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 Borrowing</w:t>
      </w:r>
      <w:r>
        <w:rPr>
          <w:rFonts w:ascii="Times New Roman" w:cs="Times New Roman" w:eastAsia="Times New Roman" w:hAnsi="Times New Roman"/>
          <w:sz w:val="20"/>
          <w:szCs w:val="20"/>
          <w:color w:val="auto"/>
        </w:rPr>
        <w:t>” means, as to any Borrowing of Daily Simple RFR Loans, the Daily Simple RFR Loans comprising such Borrowing.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RFR Loan</w:t>
      </w:r>
      <w:r>
        <w:rPr>
          <w:rFonts w:ascii="Times New Roman" w:cs="Times New Roman" w:eastAsia="Times New Roman" w:hAnsi="Times New Roman"/>
          <w:sz w:val="20"/>
          <w:szCs w:val="20"/>
          <w:color w:val="auto"/>
        </w:rPr>
        <w:t>” means a Loan that bears interest at a rate based on Daily Simple RFR.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Debentures</w:t>
      </w:r>
      <w:r>
        <w:rPr>
          <w:rFonts w:ascii="Times New Roman" w:cs="Times New Roman" w:eastAsia="Times New Roman" w:hAnsi="Times New Roman"/>
          <w:sz w:val="20"/>
          <w:szCs w:val="20"/>
          <w:color w:val="auto"/>
        </w:rPr>
        <w:t>” means the CCSC 2026 Debentures and the CCSC 2096 Debentures.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 Basket Amount</w:t>
      </w:r>
      <w:r>
        <w:rPr>
          <w:rFonts w:ascii="Times New Roman" w:cs="Times New Roman" w:eastAsia="Times New Roman" w:hAnsi="Times New Roman"/>
          <w:sz w:val="20"/>
          <w:szCs w:val="20"/>
          <w:color w:val="auto"/>
        </w:rPr>
        <w:t xml:space="preserve">” means 20% of Consolidated Tangible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variable rate per annum which shall be two percent (2%) per annum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either (i) the then applicable interest rate hereunder in respect of the amount on which the Default Rate is being assessed or (ii) if there is no such applicable interest rate, the Base Rate plus the Applicable Base Rate Margin, and with respect to the obligations denominated in Canadian Dollars the Canadian Prime Rate plus the Applicable Canadian Prime Rate Margin, but in no event in excess of that permitted by applicable law.</w:t>
      </w:r>
    </w:p>
    <w:p>
      <w:pPr>
        <w:spacing w:after="0" w:line="18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Lender that (a) has failed, within two Business Days of the date required to be funded or paid, to (i) fund any portion of its Loans, (ii) fund any portion of its participations in Letters of Credit or Swing Line Loans or (iii) pay over to any Agent, any Facing Agent, any Swing Line Lender or any other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w:t>
      </w:r>
    </w:p>
    <w:p>
      <w:pPr>
        <w:spacing w:after="0" w:line="2" w:lineRule="exact"/>
        <w:rPr>
          <w:sz w:val="20"/>
          <w:szCs w:val="20"/>
          <w:color w:val="auto"/>
        </w:rPr>
      </w:pPr>
    </w:p>
    <w:p>
      <w:pPr>
        <w:jc w:val="both"/>
        <w:ind w:firstLine="8"/>
        <w:spacing w:after="0" w:line="253" w:lineRule="auto"/>
        <w:tabs>
          <w:tab w:leader="none" w:pos="2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notified the Borrowers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(specifically identified and including the particular default, if any) to funding a loan under this Agreement cannot be satisfied), (c) has failed, within three Business Days after written request by a Borrower, acting in good faith, to provide a written confirmation from an authorized officer of such Lender that it will comply with its obligations to fund prospective Loans and participations in then outstanding Letters of Credit and Swing Line Loans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such Borrower’s receipt of such certification in form and substance reasonably satisfactory to it and the Administrative Agent; or (d) (i) has, or has a direct or indirect parent company that has, become the subject of a bankruptcy or Insolvency Proceeding or (ii) has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20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means a demand, time, savings, passbook or like account with a bank, savings and loan association, credit union or like organization, other than an account evidenced by a negotiable certificate of deposit.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Obligations</w:t>
      </w:r>
      <w:r>
        <w:rPr>
          <w:rFonts w:ascii="Times New Roman" w:cs="Times New Roman" w:eastAsia="Times New Roman" w:hAnsi="Times New Roman"/>
          <w:sz w:val="20"/>
          <w:szCs w:val="20"/>
          <w:color w:val="auto"/>
        </w:rPr>
        <w:t>” means all Obligations of the Credit Parties in respect of accrued and unpaid (a) principal of and interest on the Loans (including B/As, B/A Equivalent Loans and Acceptance Fees with respect thereto), (b) Multicurrency LC Commissions, Dollar LC Commissions and Canadian LC Commissions and (c) Commitment Fees, whether or not the same shall at the time of any determination be due and payable under the terms of the Loan Documents.</w:t>
      </w:r>
    </w:p>
    <w:p>
      <w:pPr>
        <w:spacing w:after="0" w:line="17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Determination Date</w:t>
      </w:r>
      <w:r>
        <w:rPr>
          <w:rFonts w:ascii="Times New Roman" w:cs="Times New Roman" w:eastAsia="Times New Roman" w:hAnsi="Times New Roman"/>
          <w:sz w:val="19"/>
          <w:szCs w:val="19"/>
          <w:color w:val="auto"/>
        </w:rPr>
        <w:t>” means with respect to any Letter of Credit, (i) the most recent date upon which one of the following shall have occurred: (x) the date of issuance of such Letter of Credit, (y) the date on which any Facing Agent was or is, as applicable, required to deliver a notice of non-renewal with respect to such Letter of Credit, and (z) the first Business Day of each month, commencing on the first Business Day following the issuance of such Letter of Credit; and (ii) such other date determined by the Administrative Agent in its sole discretion.</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Discount Proceeds</w:t>
      </w:r>
      <w:r>
        <w:rPr>
          <w:rFonts w:ascii="Times New Roman" w:cs="Times New Roman" w:eastAsia="Times New Roman" w:hAnsi="Times New Roman"/>
          <w:sz w:val="20"/>
          <w:szCs w:val="20"/>
          <w:color w:val="auto"/>
        </w:rPr>
        <w:t>” means in respect of any Bankers’ Acceptance (or, as applicable, any B/A Equivalent Loan) required to be accepted and purchased by a Canadian Revolving Lender an amount (rounded to the nearest whole cent with one-half one cent being rounded-up) determined as of the applicable date of the Canadian Revolving Loan or rollover date for such Canadian Revolving Loan which is equal to:</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Face Amount x Price</w:t>
      </w:r>
    </w:p>
    <w:p>
      <w:pPr>
        <w:spacing w:after="0" w:line="216" w:lineRule="exact"/>
        <w:rPr>
          <w:sz w:val="20"/>
          <w:szCs w:val="20"/>
          <w:color w:val="auto"/>
        </w:rPr>
      </w:pPr>
    </w:p>
    <w:p>
      <w:pPr>
        <w:ind w:left="1300" w:right="20"/>
        <w:spacing w:after="0" w:line="283" w:lineRule="auto"/>
        <w:rPr>
          <w:sz w:val="20"/>
          <w:szCs w:val="20"/>
          <w:color w:val="auto"/>
        </w:rPr>
      </w:pPr>
      <w:r>
        <w:rPr>
          <w:rFonts w:ascii="Times New Roman" w:cs="Times New Roman" w:eastAsia="Times New Roman" w:hAnsi="Times New Roman"/>
          <w:sz w:val="20"/>
          <w:szCs w:val="20"/>
          <w:color w:val="auto"/>
        </w:rPr>
        <w:t>where “Face Amount” is the face amount of such Bankers’ Acceptance (or, as applicable, the B/A Equivalent Loan) and “Price” is equal to:</w:t>
      </w:r>
    </w:p>
    <w:p>
      <w:pPr>
        <w:spacing w:after="0" w:line="20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22860</wp:posOffset>
            </wp:positionV>
            <wp:extent cx="12598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34" w:lineRule="exact"/>
        <w:rPr>
          <w:sz w:val="20"/>
          <w:szCs w:val="20"/>
          <w:color w:val="auto"/>
        </w:rPr>
      </w:pPr>
    </w:p>
    <w:p>
      <w:pPr>
        <w:ind w:left="1420"/>
        <w:spacing w:after="0"/>
        <w:tabs>
          <w:tab w:leader="none" w:pos="2480" w:val="left"/>
        </w:tabs>
        <w:rPr>
          <w:sz w:val="20"/>
          <w:szCs w:val="20"/>
          <w:color w:val="auto"/>
        </w:rPr>
      </w:pPr>
      <w:r>
        <w:rPr>
          <w:rFonts w:ascii="Times New Roman" w:cs="Times New Roman" w:eastAsia="Times New Roman" w:hAnsi="Times New Roman"/>
          <w:sz w:val="20"/>
          <w:szCs w:val="20"/>
          <w:color w:val="auto"/>
        </w:rPr>
        <w:t>1 + (Rate x</w:t>
      </w:r>
      <w:r>
        <w:rPr>
          <w:sz w:val="20"/>
          <w:szCs w:val="20"/>
          <w:color w:val="auto"/>
        </w:rPr>
        <w:tab/>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w:t>
      </w:r>
    </w:p>
    <w:p>
      <w:pPr>
        <w:spacing w:after="0" w:line="5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365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79" w:name="page80"/>
    <w:bookmarkEnd w:id="79"/>
    <w:p>
      <w:pPr>
        <w:spacing w:after="0" w:line="18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where the “Rate” is the Discount Rate expressed as a decimal on the date of the Canadian Revolving Loan or rollover date for such Canadian Revolving Loan, as the case may be; the “Term” is the Contract Period of such Bankers’ Acceptance expressed as a number of days; and the Price as so determined is rounded up or down to the fifth decimal place with .000005 being rounded-up.</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Discount Rate</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left="660" w:firstLine="644"/>
        <w:spacing w:after="0" w:line="283" w:lineRule="auto"/>
        <w:tabs>
          <w:tab w:leader="none" w:pos="19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 issue of Bankers’ Acceptances accepted and purchased by a Canadian Revolving Lender that is a Schedule I Bank, the CDOR Rate; and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 issue of Bankers’ Acceptances accepted and purchased by a Canadian Revolving Lender that is not a Schedule I Bank, including without limitation, a Schedule II Bank and a Schedule III Bank, the CDOR Rate plus ten (10) basis points (0.10%).</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Institution</w:t>
      </w:r>
      <w:r>
        <w:rPr>
          <w:rFonts w:ascii="Times New Roman" w:cs="Times New Roman" w:eastAsia="Times New Roman" w:hAnsi="Times New Roman"/>
          <w:sz w:val="20"/>
          <w:szCs w:val="20"/>
          <w:color w:val="auto"/>
        </w:rPr>
        <w:t>” means (a) each bank, financial institution or other institutional lender identified on a list made available to the Administrative Agent on or prior to the Original Closing Date and (b) any Company Competitor. Notwithstanding the foregoing, any list of Disqualified Institutions shall be required to be available to any Lender on a confidential basis that requests a copy of such list from the Administrative Agent.</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Preferred Stock</w:t>
      </w:r>
      <w:r>
        <w:rPr>
          <w:rFonts w:ascii="Times New Roman" w:cs="Times New Roman" w:eastAsia="Times New Roman" w:hAnsi="Times New Roman"/>
          <w:sz w:val="20"/>
          <w:szCs w:val="20"/>
          <w:color w:val="auto"/>
        </w:rPr>
        <w:t>” means any preferred stock of Crown Holdings (or any equity security of Crown Holdings that is convertible or exchangeable into any such preferred stock of Crown Holdings) that is not Permitted Preferred Stock.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Disregarded Subsidiary</w:t>
      </w:r>
      <w:r>
        <w:rPr>
          <w:rFonts w:ascii="Times New Roman" w:cs="Times New Roman" w:eastAsia="Times New Roman" w:hAnsi="Times New Roman"/>
          <w:sz w:val="20"/>
          <w:szCs w:val="20"/>
          <w:color w:val="auto"/>
        </w:rPr>
        <w:t>” means a Subsidiary of Crown Holdings that is disregarded as an entity separate from its owner for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income tax purposes and that has no material assets other than Capital Stock of one or more Non-U.S. Subsidiaries that are CFCs.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 of America.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Commitment Fee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3.2(a)(i)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xml:space="preserve">” means, at any time, (a) as to any amount denominated in Dollars, the amount thereof at such time, (b) as to any amount denominated in an Alternative Currency or Canadian Dollars, the equivalent amount in Dollars as determined by Administrative Agent at such time on the basis of the Exchange Rate for the purchase of Dollars with such Alternative Currency or Canadian Dollars on the most recent Computation Date provided for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 xml:space="preserve"> and (c) as to any amount denominated in any other currency, the equivalent in Dollars of such amount determined by Administrative Agent using the Exchange Rate then in effect.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Facing Agent</w:t>
      </w:r>
      <w:r>
        <w:rPr>
          <w:rFonts w:ascii="Times New Roman" w:cs="Times New Roman" w:eastAsia="Times New Roman" w:hAnsi="Times New Roman"/>
          <w:sz w:val="20"/>
          <w:szCs w:val="20"/>
          <w:color w:val="auto"/>
        </w:rPr>
        <w:t>” means PNC Bank, National Association or any of its affiliates in its capacity as issuer of Dollar Letters of Credit and any other Dollar Revolving Lender which at the request of the U.S. Borrower and with the consent of Administrative Agent (not to be unreasonably withheld) agrees to issue Dollar Letters of Credit, in its capacity as an issuer of Dollar Letters of Credit.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LC Commission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2.10(g)(ii)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LC Obligations</w:t>
      </w:r>
      <w:r>
        <w:rPr>
          <w:rFonts w:ascii="Times New Roman" w:cs="Times New Roman" w:eastAsia="Times New Roman" w:hAnsi="Times New Roman"/>
          <w:sz w:val="20"/>
          <w:szCs w:val="20"/>
          <w:color w:val="auto"/>
        </w:rPr>
        <w:t>” means, at any time, an amount equal to the sum of (a) the aggregate Stated Amount of the then outstanding Dollar Letters of Credit and (b) the aggregate amount of Unpaid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40" w:right="3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Drawings under the Dollar Letters of Credit which have not then been reimbursed pursuant to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The Dollar LC Obligation of any Dollar Revolving Lender at any time shall mean its Dollar Revolver Pro Rata Share of the aggregate Dollar LC Obligations outstanding at such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Letters of Credit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Letter of Credit Exposure</w:t>
      </w:r>
      <w:r>
        <w:rPr>
          <w:rFonts w:ascii="Times New Roman" w:cs="Times New Roman" w:eastAsia="Times New Roman" w:hAnsi="Times New Roman"/>
          <w:sz w:val="20"/>
          <w:szCs w:val="20"/>
          <w:color w:val="auto"/>
        </w:rPr>
        <w:t>” means, with respect to a Dollar Revolving Lender, such Lender’s Dollar Revolver Pro Rata Share of the aggregate Dollar LC Obligations.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Revolver Pro Rata Share</w:t>
      </w:r>
      <w:r>
        <w:rPr>
          <w:rFonts w:ascii="Times New Roman" w:cs="Times New Roman" w:eastAsia="Times New Roman" w:hAnsi="Times New Roman"/>
          <w:sz w:val="20"/>
          <w:szCs w:val="20"/>
          <w:color w:val="auto"/>
        </w:rPr>
        <w:t>” means, when used with reference to any Dollar Revolving Lender and any described aggregate or total amount, an amount equal to the result obtained by multiplying such described aggregate or total amount by a fraction the numerator of which shall be such Dollar Revolving Lender’s Dollar Revolving Commitment or, if the Revolver Termination Date for the Dollar Revolving Facility has occurred, the Effective Amount of such Dollar Revolving Lender’s then outstanding Dollar Revolving Loans and the denominator of which shall be the Dollar Revolving Commitments or, if the Revolver Termination Date for the Dollar Revolving Facility has occurred, the Effective Amount of all then outstanding Dollar Revolving Loans.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Revolving Commitment</w:t>
      </w:r>
      <w:r>
        <w:rPr>
          <w:rFonts w:ascii="Times New Roman" w:cs="Times New Roman" w:eastAsia="Times New Roman" w:hAnsi="Times New Roman"/>
          <w:sz w:val="20"/>
          <w:szCs w:val="20"/>
          <w:color w:val="auto"/>
        </w:rPr>
        <w:t xml:space="preserve">” means, with respect to any Dollar Revolving Lender, the obligation of such Dollar Revolving Lender to make Dollar Revolving Loans and to participate in Dollar Letters of Credit, as such commitment may be adjusted from time to time pursuant to this Agreement, which commitment as of the Incremental Amendment No. 3 and Fifth Amendment Effective Date is the amount set forth opposite such lender’s name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to Incremental Amendment No. 3 and Fifth Amendment under the caption “Amount of Dollar Revolving Commitment” as the same may be adjusted from time to time pursuant to the terms hereof and “Dollar Revolving Commitments” means such commitments collectively, which commitments equal $800,000,000 in the aggregate as of the Incremental No. 3 and Fifth Amendment Effective Date.</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Revolving Credit Exposure</w:t>
      </w:r>
      <w:r>
        <w:rPr>
          <w:rFonts w:ascii="Times New Roman" w:cs="Times New Roman" w:eastAsia="Times New Roman" w:hAnsi="Times New Roman"/>
          <w:sz w:val="20"/>
          <w:szCs w:val="20"/>
          <w:color w:val="auto"/>
        </w:rPr>
        <w:t>” means, with respect to a Dollar Revolving Lender, the sum of (i) the outstanding principal amount of Dollar Revolving Loans made by such Lender and (ii) the Dollar Letter of Credit Exposure of such Dollar Revolving Lender.</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Revolving Facility</w:t>
      </w:r>
      <w:r>
        <w:rPr>
          <w:rFonts w:ascii="Times New Roman" w:cs="Times New Roman" w:eastAsia="Times New Roman" w:hAnsi="Times New Roman"/>
          <w:sz w:val="20"/>
          <w:szCs w:val="20"/>
          <w:color w:val="auto"/>
        </w:rPr>
        <w:t>” means the credit facility under this Agreement evidenced by the Dollar Revolving Commitments and the Dollar Revolving Loans.</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Revolving Lender</w:t>
      </w:r>
      <w:r>
        <w:rPr>
          <w:rFonts w:ascii="Times New Roman" w:cs="Times New Roman" w:eastAsia="Times New Roman" w:hAnsi="Times New Roman"/>
          <w:sz w:val="20"/>
          <w:szCs w:val="20"/>
          <w:color w:val="auto"/>
        </w:rPr>
        <w:t>” means any Lender which has an Dollar Revolving Commitment or is owed an Dollar Revolving Loan (or a portion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Revolving Loan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Dollar Revolving Loans</w:t>
      </w:r>
      <w:r>
        <w:rPr>
          <w:rFonts w:ascii="Times New Roman" w:cs="Times New Roman" w:eastAsia="Times New Roman" w:hAnsi="Times New Roman"/>
          <w:sz w:val="20"/>
          <w:szCs w:val="20"/>
          <w:color w:val="auto"/>
        </w:rPr>
        <w:t xml:space="preserve">” have the meanings given in </w:t>
      </w:r>
      <w:r>
        <w:rPr>
          <w:rFonts w:ascii="Times New Roman" w:cs="Times New Roman" w:eastAsia="Times New Roman" w:hAnsi="Times New Roman"/>
          <w:sz w:val="20"/>
          <w:szCs w:val="20"/>
          <w:u w:val="single" w:color="auto"/>
          <w:color w:val="auto"/>
        </w:rPr>
        <w:t>Section 2.1(b)(i)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Dormant Company</w:t>
      </w:r>
      <w:r>
        <w:rPr>
          <w:rFonts w:ascii="Times New Roman" w:cs="Times New Roman" w:eastAsia="Times New Roman" w:hAnsi="Times New Roman"/>
          <w:sz w:val="20"/>
          <w:szCs w:val="20"/>
          <w:color w:val="auto"/>
        </w:rPr>
        <w:t>” means a company, trust or any other legal entity which carries on no operations and does not own, legally or beneficially, assets which in aggregate have a value of £100,000 or more or its equivalent in other currencies as of the last day of the most recently completed period of four consecutive Fiscal Quarters of Crown Holdings.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Drawing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2.10(d)(ii)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Borrowers</w:t>
      </w:r>
      <w:r>
        <w:rPr>
          <w:rFonts w:ascii="Times New Roman" w:cs="Times New Roman" w:eastAsia="Times New Roman" w:hAnsi="Times New Roman"/>
          <w:sz w:val="20"/>
          <w:szCs w:val="20"/>
          <w:color w:val="auto"/>
        </w:rPr>
        <w:t xml:space="preserve">” means each Subsidiary of European Borrower organized under the laws of the Netherlands, and designated as such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and each other Subsidiary of European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83" w:lineRule="auto"/>
        <w:rPr>
          <w:sz w:val="20"/>
          <w:szCs w:val="20"/>
          <w:color w:val="auto"/>
        </w:rPr>
      </w:pPr>
      <w:r>
        <w:rPr>
          <w:rFonts w:ascii="Times New Roman" w:cs="Times New Roman" w:eastAsia="Times New Roman" w:hAnsi="Times New Roman"/>
          <w:sz w:val="20"/>
          <w:szCs w:val="20"/>
          <w:color w:val="auto"/>
        </w:rPr>
        <w:t>Borrower organized under the laws of the Netherlands and requested by European Borrower to be a Dutch Borrower, subject to the approval of Administrative Agent.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Amount</w:t>
      </w:r>
      <w:r>
        <w:rPr>
          <w:rFonts w:ascii="Times New Roman" w:cs="Times New Roman" w:eastAsia="Times New Roman" w:hAnsi="Times New Roman"/>
          <w:sz w:val="20"/>
          <w:szCs w:val="20"/>
          <w:color w:val="auto"/>
        </w:rPr>
        <w:t>” means (a) with respect to any Loans on any date, the aggregate outstanding principal Dollar Equivalent amount thereof after giving effect to any Borrowings and prepayments or repayments of Loans occurring on such date; (b) with respect to any outstanding Multicurrency LC Obligations on any date, the Dollar amount (or, if applicable, the Dollar Equivalent amount) of such Multicurrency LC Obligations on such date after giving effect to any issuances of Multicurrency Letters of Credit occurring on such date and any other changes in the aggregate amount of the Multicurrency LC Obligations as of such date, including as a result of any reimbursements of outstanding unpaid drawings under any Multicurrency Letters of Credit or any reductions in the maximum amount available for drawing under Multicurrency Letters of Credit taking effect on such date, (c) with respect to any outstanding Dollar LC Obligations on any date, the Dollar amount of such Dollar LC Obligations on such date after giving effect to any issuances of Dollar Letters of Credit occurring on such date and any other changes in the aggregate amount of the Dollar LC Obligations as of such date, including as a result of any reimbursements of outstanding unpaid drawings under any Dollar Letters of Credit or any reductions in the maximum amount available for drawing under Dollar Letters of Credit taking effect on such date and (d) with respect to any outstanding Canadian LC Obligations on any date, the Dollar Equivalent amount of such Canadian LC Obligations on such date after giving effect to any issuances of Canadian Letters of Credit occurring on such date and any other changes in the aggregate amount of the Canadian LC Obligations as of such date, including as a result of any reimbursements of outstanding unpaid drawings under any Canadian Letters of Credit or any reductions in the maximum amount available for drawing under Canadian Letters of Credit taking effect on such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April 7, 2017.</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Yield</w:t>
      </w:r>
      <w:r>
        <w:rPr>
          <w:rFonts w:ascii="Times New Roman" w:cs="Times New Roman" w:eastAsia="Times New Roman" w:hAnsi="Times New Roman"/>
          <w:sz w:val="20"/>
          <w:szCs w:val="20"/>
          <w:color w:val="auto"/>
        </w:rPr>
        <w:t>” means, as to any Loans of any class, the effective yield on such Loans, taking into account the applicable interest rate margins, any interest rate floors or similar devices and all fees, including upfront or similar fees or original issue discount (amortized over the shorter of (x) the original stated life of such Loans and (y) the four years following the date of incurrence thereof) incurred by a Borrower and payable ratably to all Lenders making such Loans, but excluding any prepayment premium, arrangement fees, syndication fees, structuring fees, commitment fees, underwriting fees, placement fees, success fees, advisory fees, ticking and unused line fees, consent or amendment fees and any other fees payable in connection therewith (regardless of whether shared or paid, in whole or in part, with or to any or all Lenders making such Loans) and any other fees that are not paid ratably to all relevant Lenders;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82" w:name="page83"/>
    <w:bookmarkEnd w:id="82"/>
    <w:p>
      <w:pPr>
        <w:jc w:val="both"/>
        <w:ind w:right="20"/>
        <w:spacing w:after="0" w:line="310"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increase in the Effective Yield applicable to any Loans of any class then outstanding is required due to the application of an interest rate floor, such increase shall be effected solely through an increase in such floor (or the implementation of a floor), as applicable.</w:t>
      </w:r>
    </w:p>
    <w:p>
      <w:pPr>
        <w:spacing w:after="0" w:line="1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 commercial bank, financial institution, financial company, Fund or insurance company in each case, together with its Affiliates or Related Funds, which extends credit or buys loans in the ordinary course of its business or any other Person approved by Administrative Agent and, so long as no Unmatured Event of Default or Event of Default exists, Crown Holdings, such approval not to be unreasonably withheld;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Disqualified Institution shall not be deemed an Eligible Assignee, (ii) Crown Holdings and its Subsidiaries and their respective Affiliates shall not be deemed to be Eligible Assignees, (iii) natural persons (or holding company, investment vehicle or trust for, or owned and operated for the primary benefit of a natural person) shall not be deemed to be Eligible Assignees and (iv) a Defaulting Lender shall not be deemed to be an Eligible Assignee.</w:t>
      </w:r>
    </w:p>
    <w:p>
      <w:pPr>
        <w:spacing w:after="0" w:line="179" w:lineRule="exact"/>
        <w:rPr>
          <w:sz w:val="20"/>
          <w:szCs w:val="20"/>
          <w:color w:val="auto"/>
        </w:rPr>
      </w:pPr>
    </w:p>
    <w:p>
      <w:pPr>
        <w:jc w:val="both"/>
        <w:ind w:right="20"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w:t>
      </w:r>
      <w:r>
        <w:rPr>
          <w:rFonts w:ascii="Times New Roman" w:cs="Times New Roman" w:eastAsia="Times New Roman" w:hAnsi="Times New Roman"/>
          <w:sz w:val="19"/>
          <w:szCs w:val="19"/>
          <w:color w:val="auto"/>
        </w:rPr>
        <w:t>” means ambient air, indoor air, surface water and groundwater (including potable water, navigable water and wetlands), the land surface or subsurface strata, natural resources such as flora and fauna, or as otherwise defined in any Environmental Law.</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applicable treaties, laws (including common law), rules, regulations, codes, ordinances, orders, decrees, judgments, injunctions or binding agreements issued, promulgated or entered into by any Governmental Authority, relating in any way to the Environment, preservation or reclamation of natural resources, the management, Release or threatened Release of, or exposure to, any Hazardous Material or to health and safety matters.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but not limited to, any liability for damages, natural resource damage, costs of environmental remediation, administrative oversight costs, fines, penalties or indemnities),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Lien</w:t>
      </w:r>
      <w:r>
        <w:rPr>
          <w:rFonts w:ascii="Times New Roman" w:cs="Times New Roman" w:eastAsia="Times New Roman" w:hAnsi="Times New Roman"/>
          <w:sz w:val="20"/>
          <w:szCs w:val="20"/>
          <w:color w:val="auto"/>
        </w:rPr>
        <w:t>” means a Lien in favor of any Governmental Authority for (i) any liability under Environmental Laws, or (ii) damages relating to, or costs incurred by such Governmental Authority in response to, a Release or threatened Release of a Hazardous Material into the Environment.</w:t>
      </w:r>
    </w:p>
    <w:p>
      <w:pPr>
        <w:spacing w:after="0" w:line="16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Permits</w:t>
      </w:r>
      <w:r>
        <w:rPr>
          <w:rFonts w:ascii="Times New Roman" w:cs="Times New Roman" w:eastAsia="Times New Roman" w:hAnsi="Times New Roman"/>
          <w:sz w:val="20"/>
          <w:szCs w:val="20"/>
          <w:color w:val="auto"/>
        </w:rPr>
        <w:t>” means any permit, approval, authorization, certificate, license, variance, filing or permission required by or from any Governmental Authority pursuant to any Environmental Law.</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xml:space="preserve">” means the Employee Retirement Income Security Act of 1974, as from time to time amended, </w:t>
      </w:r>
      <w:r>
        <w:rPr>
          <w:rFonts w:ascii="Times New Roman" w:cs="Times New Roman" w:eastAsia="Times New Roman" w:hAnsi="Times New Roman"/>
          <w:sz w:val="21"/>
          <w:szCs w:val="21"/>
          <w:color w:val="auto"/>
        </w:rPr>
        <w:t>and the rules and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regulations promulgated thereunder</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with respect to any Person, any trade or business (whether or not incorporated) which, together with such Person, is under common control as described in Section 414(c) of the Code, or is a member of a “controlled group,” as defined in Section 414(b) of the Code, which includes such Person or, solely for purposes of Section 302 of ERISA and Section 412 of the Code, is treated as a single employer under Section 414(m) of the Code. Unless otherwise qualified, all references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to an “ERISA Affiliate” in this Agreement shall refer to an ERISA Affiliate of Crown Holdings or any Subsidiary.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11.14(d)(i)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11.14(d)(i).</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11.14(d)(i)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Subrogation Rights</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11.14(e)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Amendment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Pricing Provisions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Ratings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the lawful currency of Participating Member States.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Bank Pledge Agreement</w:t>
      </w:r>
      <w:r>
        <w:rPr>
          <w:rFonts w:ascii="Times New Roman" w:cs="Times New Roman" w:eastAsia="Times New Roman" w:hAnsi="Times New Roman"/>
          <w:sz w:val="20"/>
          <w:szCs w:val="20"/>
          <w:color w:val="auto"/>
        </w:rPr>
        <w:t>” means that certain Euro Pledge Agreement, dated as December 19, 2013, as amended, restated, amended and restated or otherwise modified from time to time, among the U.S. Credit Parties and the Euro Collateral Agent for the benefit of the Secured Creditors named therein.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Collateral</w:t>
      </w:r>
      <w:r>
        <w:rPr>
          <w:rFonts w:ascii="Times New Roman" w:cs="Times New Roman" w:eastAsia="Times New Roman" w:hAnsi="Times New Roman"/>
          <w:sz w:val="20"/>
          <w:szCs w:val="20"/>
          <w:color w:val="auto"/>
        </w:rPr>
        <w:t>” means all Collateral securing only the Euro Obligations and/or the Canadian Obligations.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Collateral Agent</w:t>
      </w:r>
      <w:r>
        <w:rPr>
          <w:rFonts w:ascii="Times New Roman" w:cs="Times New Roman" w:eastAsia="Times New Roman" w:hAnsi="Times New Roman"/>
          <w:sz w:val="20"/>
          <w:szCs w:val="20"/>
          <w:color w:val="auto"/>
        </w:rPr>
        <w:t>” means DB in its capacity as collateral agent or security trustee, as the case may be, under the Euro Security Documents and any of its successors or assigns, and, as regards any Euro Security Document governed by French law, means Deutsche Bank AG New York Branch in its capacity as collateral agent (“</w:t>
      </w:r>
      <w:r>
        <w:rPr>
          <w:rFonts w:ascii="Times New Roman" w:cs="Times New Roman" w:eastAsia="Times New Roman" w:hAnsi="Times New Roman"/>
          <w:sz w:val="20"/>
          <w:szCs w:val="20"/>
          <w:u w:val="single" w:color="auto"/>
          <w:color w:val="auto"/>
        </w:rPr>
        <w:t>agent de sûretés</w:t>
      </w:r>
      <w:r>
        <w:rPr>
          <w:rFonts w:ascii="Times New Roman" w:cs="Times New Roman" w:eastAsia="Times New Roman" w:hAnsi="Times New Roman"/>
          <w:sz w:val="20"/>
          <w:szCs w:val="20"/>
          <w:color w:val="auto"/>
        </w:rPr>
        <w:t>”) in accordance with the provisions of Article 2328-1 of the French Civil Code.</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Credit Parties</w:t>
      </w:r>
      <w:r>
        <w:rPr>
          <w:rFonts w:ascii="Times New Roman" w:cs="Times New Roman" w:eastAsia="Times New Roman" w:hAnsi="Times New Roman"/>
          <w:sz w:val="20"/>
          <w:szCs w:val="20"/>
          <w:color w:val="auto"/>
        </w:rPr>
        <w:t>” means (a) European Borrower, (b) Canadian Borrower, (c) each Subsidiary Borrower and (d) each Subsidiary of Crown Holdings from time to time party to a Non-U.S. Guarantee Agreement.</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Obligations</w:t>
      </w:r>
      <w:r>
        <w:rPr>
          <w:rFonts w:ascii="Times New Roman" w:cs="Times New Roman" w:eastAsia="Times New Roman" w:hAnsi="Times New Roman"/>
          <w:sz w:val="20"/>
          <w:szCs w:val="20"/>
          <w:color w:val="auto"/>
        </w:rPr>
        <w:t>” means, with respect to European Borrower and any Subsidiary Borrower, the unpaid principal of and interest on (including interest accruing after the maturity of the Loans made to European Borrower and any Subsidiary Borrower and interest and fees accruing after the filing of any petition in bankruptcy, or the commencement of any insolvency, reorganizations or like proceeding, relating to European Borrower and any Subsidiary Borrower, whether or not a claim for post-filing 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52" w:lineRule="auto"/>
        <w:rPr>
          <w:sz w:val="20"/>
          <w:szCs w:val="20"/>
          <w:color w:val="auto"/>
        </w:rPr>
      </w:pPr>
      <w:r>
        <w:rPr>
          <w:rFonts w:ascii="Times New Roman" w:cs="Times New Roman" w:eastAsia="Times New Roman" w:hAnsi="Times New Roman"/>
          <w:sz w:val="20"/>
          <w:szCs w:val="20"/>
          <w:color w:val="auto"/>
        </w:rPr>
        <w:t>post-petition interest and fees is allowed in such proceeding) the Loans made to or Unpaid Drawings pursuant to Letters of Credit issued for the account of European Borrower and any Subsidiary Borrower or Euro Subsidiary Credit Party and all other obligations and liabilities of European Borrower and any Subsidiary Borrower or any Euro Subsidiary Credit Party (including Bank Related Debt) to any Agent, any Collateral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European Borrower and any Subsidiary Borrower or any Euro Subsidiary Credit Party to any Agent, any Collateral Agent, any Lender or any Hedge Bank pursuant to any Loan Document or any Bank Related Debt) or otherwise.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Security Documents</w:t>
      </w:r>
      <w:r>
        <w:rPr>
          <w:rFonts w:ascii="Times New Roman" w:cs="Times New Roman" w:eastAsia="Times New Roman" w:hAnsi="Times New Roman"/>
          <w:sz w:val="20"/>
          <w:szCs w:val="20"/>
          <w:color w:val="auto"/>
        </w:rPr>
        <w:t xml:space="preserve">” means each security agreement, pledge agreement (including the Euro Bank Pledge Agreement), mortgage or other document or instrument executed and delivered (each as amended, restated, amended and restated or otherwise modified from time to time) for the benefit of Euro Collateral Agent, or U.K. Administrative Agent on behalf of the Multicurrency Revolving Lenders, Canadian Revolving Lenders and/or Term Euro Lenders and each other security agreement, mortgage or other instrument or document executed and delivered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(each as amended, restated, amended and restated or otherwise modified from time to time) to secure any of the Euro Obligations or the Canadian Obligations.</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 Subsidiary Credit Parties</w:t>
      </w:r>
      <w:r>
        <w:rPr>
          <w:rFonts w:ascii="Times New Roman" w:cs="Times New Roman" w:eastAsia="Times New Roman" w:hAnsi="Times New Roman"/>
          <w:sz w:val="20"/>
          <w:szCs w:val="20"/>
          <w:color w:val="auto"/>
        </w:rPr>
        <w:t xml:space="preserve">” means each Non-U.S. Subsidiary of Crown Holdings designated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as a subsidiary guarantor or Subsidiary Borrower or which becomes a subsidiary guarantor pursuant to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Loan</w:t>
      </w:r>
      <w:r>
        <w:rPr>
          <w:rFonts w:ascii="Times New Roman" w:cs="Times New Roman" w:eastAsia="Times New Roman" w:hAnsi="Times New Roman"/>
          <w:sz w:val="20"/>
          <w:szCs w:val="20"/>
          <w:color w:val="auto"/>
        </w:rPr>
        <w:t>” means any Loan bearing interest at a rate determined by reference to the Eurocurrency Rate.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Rate</w:t>
      </w:r>
      <w:r>
        <w:rPr>
          <w:rFonts w:ascii="Times New Roman" w:cs="Times New Roman" w:eastAsia="Times New Roman" w:hAnsi="Times New Roman"/>
          <w:sz w:val="20"/>
          <w:szCs w:val="20"/>
          <w:color w:val="auto"/>
        </w:rPr>
        <w:t>” means the aggregate of (1) and (2) below:</w:t>
      </w:r>
    </w:p>
    <w:p>
      <w:pPr>
        <w:spacing w:after="0" w:line="216" w:lineRule="exact"/>
        <w:rPr>
          <w:sz w:val="20"/>
          <w:szCs w:val="20"/>
          <w:color w:val="auto"/>
        </w:rPr>
      </w:pPr>
    </w:p>
    <w:p>
      <w:pPr>
        <w:jc w:val="both"/>
        <w:ind w:left="660" w:firstLine="644"/>
        <w:spacing w:after="0" w:line="251" w:lineRule="auto"/>
        <w:tabs>
          <w:tab w:leader="none" w:pos="175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in the case of Euro denominated Loans, (i) the rate per annum equal to the rate determined by the Administrative Agent to be the offered rate that appears on the appropriate page of the Reuters screen that displays the Global Rate Set Systems Limited rate for deposits in Euros (for delivery on the first day of such Interest Period) with a term equivalent to such Interest Period (or the successor thereto appointed by the European Money Markets Institute, if Global Rate Set Systems Limited is no longer making the applicable interest settlement rate available) (the “</w:t>
      </w:r>
      <w:r>
        <w:rPr>
          <w:rFonts w:ascii="Times New Roman" w:cs="Times New Roman" w:eastAsia="Times New Roman" w:hAnsi="Times New Roman"/>
          <w:sz w:val="20"/>
          <w:szCs w:val="20"/>
          <w:u w:val="single" w:color="auto"/>
          <w:color w:val="auto"/>
        </w:rPr>
        <w:t>EURIBOR Screen Rate</w:t>
      </w:r>
      <w:r>
        <w:rPr>
          <w:rFonts w:ascii="Times New Roman" w:cs="Times New Roman" w:eastAsia="Times New Roman" w:hAnsi="Times New Roman"/>
          <w:sz w:val="20"/>
          <w:szCs w:val="20"/>
          <w:color w:val="auto"/>
        </w:rPr>
        <w:t>”), determined as of approximately 11:00 a.m. (Brussels time) on the applicable Interest Rate Determination Date; provided that if the EURIBOR Screen Rate shall be less than zero, such rate shall be deemed to be zero for the purposes of this Agreement (but if more than one rate is specified on such page, the rate will be an arithmetic average of all such rates); or</w:t>
      </w:r>
    </w:p>
    <w:p>
      <w:pPr>
        <w:spacing w:after="0" w:line="19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current cost of the Lenders of complying with any Eurocurrency Reserve Requirements.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the foregoing, the Eurocurrency Rate shall not in any event be less than zero.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Eurocurrency Reserve Requirements</w:t>
      </w:r>
      <w:r>
        <w:rPr>
          <w:rFonts w:ascii="Times New Roman" w:cs="Times New Roman" w:eastAsia="Times New Roman" w:hAnsi="Times New Roman"/>
          <w:sz w:val="20"/>
          <w:szCs w:val="20"/>
          <w:color w:val="auto"/>
        </w:rPr>
        <w:t>” means, for any day as applied to a Eurocurrency Loan, the aggregate (without duplication) of the maximum rates (expressed as a decimal fraction) of reserve liquid asset or similar requirements in effect on such day (including, without limitation, basic, supplemental, marginal and emergency reserves under any regulations of the Board or other Governmental Authority having jurisdiction with respect thereto), including without limitation, under regulations issued from time to time by (a) the Board, (b) any Governmental Authority of the jurisdiction of the relevant currency or (c) 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European Borrower</w:t>
      </w:r>
      <w:r>
        <w:rPr>
          <w:rFonts w:ascii="Times New Roman" w:cs="Times New Roman" w:eastAsia="Times New Roman" w:hAnsi="Times New Roman"/>
          <w:sz w:val="20"/>
          <w:szCs w:val="20"/>
          <w:color w:val="auto"/>
        </w:rPr>
        <w:t>” has the meaning assigned to that term in the preamble to this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European Receivables Purchase Agreement</w:t>
      </w:r>
      <w:r>
        <w:rPr>
          <w:rFonts w:ascii="Times New Roman" w:cs="Times New Roman" w:eastAsia="Times New Roman" w:hAnsi="Times New Roman"/>
          <w:sz w:val="20"/>
          <w:szCs w:val="20"/>
          <w:color w:val="auto"/>
        </w:rPr>
        <w:t>” means that certain Master Framework Agreement, dated July 23, 2012, by and among Crown Packaging Commercial UK Limited, Crown Commercial France, Eurofactor, Ester Finance Titrisation and Credit Agricole Corporate and Investment Bank, as the same has been amended through and including the Incremental No. 3 and Fifth Amendment Effective Date and may thereafter be amended, amended and restated, supplemented or otherwise modified from time to time in accordance with the terms 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xml:space="preserve">” means the Securities Exchange Act of 1934, as amended and as codified in 15 U.S.C. 78a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and as hereafter amended.</w:t>
      </w:r>
    </w:p>
    <w:p>
      <w:pPr>
        <w:spacing w:after="0" w:line="1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w:t>
      </w:r>
      <w:r>
        <w:rPr>
          <w:rFonts w:ascii="Times New Roman" w:cs="Times New Roman" w:eastAsia="Times New Roman" w:hAnsi="Times New Roman"/>
          <w:sz w:val="20"/>
          <w:szCs w:val="20"/>
          <w:color w:val="auto"/>
        </w:rPr>
        <w:t xml:space="preserve">” means, on any day, (a) with respect to conversions between any Alternative Currency and Dollars, the Spot Rate and (b) with respect to conversions between Canadian Dollars and Dollars, the spot rate set forth on the Reuters World Currency Page for Canadian Dollars (or, if not so quoted, the spot rate of exchange quoted for wholesale transactions made by Canadian Administrative Agent in Toronto, Ontario) at 12:00 noon (Toronto time), on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the time of any such determination, for any reason, no such spot rate is being quoted, Administrative Agent or Canadian Administrative Agent, as applicable, may use any reasonable method it deems applicable to determine such rate, and such determination shall be conclusive absent manifest error. For purposes of determining the Exchange Rate in connection with an Alternative Currency Loan, such Exchange Rate shall be determined as of the Exchange Rate Determination Date for such Borrowing. Administrative Agent shall provide Borrower with the then current Exchange Rate from time to time upon Borrower’s request therefor.</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Rate Determination Date</w:t>
      </w:r>
      <w:r>
        <w:rPr>
          <w:rFonts w:ascii="Times New Roman" w:cs="Times New Roman" w:eastAsia="Times New Roman" w:hAnsi="Times New Roman"/>
          <w:sz w:val="20"/>
          <w:szCs w:val="20"/>
          <w:color w:val="auto"/>
        </w:rPr>
        <w:t>” means for purposes of the determination of the Exchange Rate of any stated amount on any Business Day in relation to any Alternative Currency Loan, the date which is two Business Days prior to such Borrowing.</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Attributable Debt</w:t>
      </w:r>
      <w:r>
        <w:rPr>
          <w:rFonts w:ascii="Times New Roman" w:cs="Times New Roman" w:eastAsia="Times New Roman" w:hAnsi="Times New Roman"/>
          <w:sz w:val="20"/>
          <w:szCs w:val="20"/>
          <w:color w:val="auto"/>
        </w:rPr>
        <w:t>” means (a) Attributable Debt (for purposes of this definition, without regard to the proviso thereto) under any Permitted Receivables or Factoring Financing which is non-recourse except (i) for customary representations, warranties, covenants and indemnities made in connection with such facilities or (ii) as is otherwise customary (as determined by Crown Holdings in good faith) for similar transactions in the applicable jurisdictions, and (b) any off-balance sheet Permitted Receivables or Factoring Financing.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86" w:name="page87"/>
    <w:bookmarkEnd w:id="86"/>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means any Subsidiary of Crown Holdings (a) that is an Unrestricted Entity, (b) that, in accordance with the Agreed Guaranty and Security Principles, is not required to guarantee the Obligations (including pursuant to the Guaranty) or pledge or grant a security interest in its assets (including Capital Stock) on the date such Subsidiary is acquired, (c) that is a Receivables Subsidiary, (d) that is the Insurance Subsidiary or (e) that is not a Material Subsidiary.</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Guarantor, any Swap Obligation if, and to the extent that, all or a portion of the Obligations guaranteed by such Guarantor or the grant by such Guarantor of a security interest to secure, such Swap Obligation (or any Obligations guaranteed by such Guarantor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14.13</w:t>
      </w:r>
      <w:r>
        <w:rPr>
          <w:rFonts w:ascii="Times New Roman" w:cs="Times New Roman" w:eastAsia="Times New Roman" w:hAnsi="Times New Roman"/>
          <w:sz w:val="20"/>
          <w:szCs w:val="20"/>
          <w:color w:val="auto"/>
        </w:rPr>
        <w:t xml:space="preserve"> and any other “keepwell, support or other agreement” for the benefit of such Guarantor and any and all guarantees of such Guarantor’s Swap Obligations by other Credit Parties) at the time the Obligations guaranteed by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Obligations guaranteed by such Guarantor or security interest is or becomes excluded in accordance with the first sentence of this definition.</w:t>
      </w:r>
    </w:p>
    <w:p>
      <w:pPr>
        <w:spacing w:after="0" w:line="20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under any Loan Document:</w:t>
      </w:r>
    </w:p>
    <w:p>
      <w:pPr>
        <w:spacing w:after="0" w:line="146" w:lineRule="exact"/>
        <w:rPr>
          <w:sz w:val="20"/>
          <w:szCs w:val="20"/>
          <w:color w:val="auto"/>
        </w:rPr>
      </w:pPr>
    </w:p>
    <w:p>
      <w:pPr>
        <w:jc w:val="both"/>
        <w:ind w:left="660" w:firstLine="644"/>
        <w:spacing w:after="0" w:line="252" w:lineRule="auto"/>
        <w:tabs>
          <w:tab w:leader="none" w:pos="1944"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based upon, or measured by, net income (however denominated) or net profits, including franchise Taxes and similar Taxes imposed in lieu of net income Taxes, and branch profit taxes, in each case (A) imposed as a result of such Recipient being a resident of, organized under the laws of, or having its principal office located in, the jurisdiction imposing such Tax (or any political subdivision thereof), (B) in the case of a Lender, Facing Agent or Swing Line Lender imposed as a result of such Recipient having its applicable lending office located in such jurisdiction (or any political subdivision thereof), or (C) imposed as a result of any other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60" w:lineRule="auto"/>
        <w:tabs>
          <w:tab w:leader="none" w:pos="1951"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in the case of a Lender, Swing Line Lender or Facing Agent (other than an assignee pursuant to a request by Crown Holdings under </w:t>
      </w:r>
      <w:r>
        <w:rPr>
          <w:rFonts w:ascii="Times New Roman" w:cs="Times New Roman" w:eastAsia="Times New Roman" w:hAnsi="Times New Roman"/>
          <w:sz w:val="19"/>
          <w:szCs w:val="19"/>
          <w:u w:val="single" w:color="auto"/>
          <w:color w:val="auto"/>
        </w:rPr>
        <w:t>Section 3.7</w:t>
      </w:r>
      <w:r>
        <w:rPr>
          <w:rFonts w:ascii="Times New Roman" w:cs="Times New Roman" w:eastAsia="Times New Roman" w:hAnsi="Times New Roman"/>
          <w:sz w:val="19"/>
          <w:szCs w:val="19"/>
          <w:color w:val="auto"/>
        </w:rPr>
        <w:t>), any U.S. federal withholding Tax imposed on amounts payable to or for the account of such Lender, Swing Line Lender or Facing Agent, in respect of any Loans, Letters of Credit, or Commitments provided to U.S. Borrower pursuant to a law in effect on the date on which (A) such Lender, Swing Line Lender or Facing Agent acquires the applicable interest in the applicable Commitment (or, to the extent any Lender, Swing Line Lender or Facing Agent did not fund an applicable Loan or Letter of Credit pursuant to a prior commitment, on the date on which such Person acquires its interest in such Loan or Letter of Credit) or</w:t>
      </w:r>
    </w:p>
    <w:p>
      <w:pPr>
        <w:spacing w:after="0" w:line="1" w:lineRule="exact"/>
        <w:rPr>
          <w:rFonts w:ascii="Times New Roman" w:cs="Times New Roman" w:eastAsia="Times New Roman" w:hAnsi="Times New Roman"/>
          <w:sz w:val="21"/>
          <w:szCs w:val="21"/>
          <w:color w:val="auto"/>
        </w:rPr>
      </w:pPr>
    </w:p>
    <w:p>
      <w:pPr>
        <w:ind w:left="660" w:right="20" w:hanging="4"/>
        <w:spacing w:after="0" w:line="267" w:lineRule="auto"/>
        <w:tabs>
          <w:tab w:leader="none" w:pos="98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Swing Line Lender or Facing Agent changes its lending office, except in each case to the extent that, pursuant to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amounts with respect to such Taxes were payable either to such Lender’s, Swing Line Lender’s or Facing</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87" w:name="page88"/>
    <w:bookmarkEnd w:id="87"/>
    <w:p>
      <w:pPr>
        <w:ind w:left="660"/>
        <w:spacing w:after="0" w:line="283" w:lineRule="auto"/>
        <w:rPr>
          <w:sz w:val="20"/>
          <w:szCs w:val="20"/>
          <w:color w:val="auto"/>
        </w:rPr>
      </w:pPr>
      <w:r>
        <w:rPr>
          <w:rFonts w:ascii="Times New Roman" w:cs="Times New Roman" w:eastAsia="Times New Roman" w:hAnsi="Times New Roman"/>
          <w:sz w:val="20"/>
          <w:szCs w:val="20"/>
          <w:color w:val="auto"/>
        </w:rPr>
        <w:t>Agent’s assignor immediately before such Lender, Swing Line Lender or Facing Agent became a party hereto or to such Lender immediately before it changed its lending office;</w:t>
      </w:r>
    </w:p>
    <w:p>
      <w:pPr>
        <w:spacing w:after="0" w:line="146" w:lineRule="exact"/>
        <w:rPr>
          <w:sz w:val="20"/>
          <w:szCs w:val="20"/>
          <w:color w:val="auto"/>
        </w:rPr>
      </w:pPr>
    </w:p>
    <w:p>
      <w:pPr>
        <w:jc w:val="both"/>
        <w:ind w:left="660" w:firstLine="644"/>
        <w:spacing w:after="0" w:line="281" w:lineRule="auto"/>
        <w:tabs>
          <w:tab w:leader="none" w:pos="1944"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Lender (other than an assignee pursuant to a request by Crown Holdings under </w:t>
      </w:r>
      <w:r>
        <w:rPr>
          <w:rFonts w:ascii="Times New Roman" w:cs="Times New Roman" w:eastAsia="Times New Roman" w:hAnsi="Times New Roman"/>
          <w:sz w:val="19"/>
          <w:szCs w:val="19"/>
          <w:u w:val="single" w:color="auto"/>
          <w:color w:val="auto"/>
        </w:rPr>
        <w:t>Section 3.7</w:t>
      </w:r>
      <w:r>
        <w:rPr>
          <w:rFonts w:ascii="Times New Roman" w:cs="Times New Roman" w:eastAsia="Times New Roman" w:hAnsi="Times New Roman"/>
          <w:sz w:val="19"/>
          <w:szCs w:val="19"/>
          <w:color w:val="auto"/>
        </w:rPr>
        <w:t>), any Tax imposed by France on amounts payable, in respect of any Loans, Letters of Credit, or Commitments provided to European Borrower, to such Lender, to the extent that such Tax would not have been imposed but for the payment in a Non-Cooperative Jurisdiction;</w:t>
      </w:r>
    </w:p>
    <w:p>
      <w:pPr>
        <w:spacing w:after="0" w:line="164" w:lineRule="exact"/>
        <w:rPr>
          <w:rFonts w:ascii="Times New Roman" w:cs="Times New Roman" w:eastAsia="Times New Roman" w:hAnsi="Times New Roman"/>
          <w:sz w:val="19"/>
          <w:szCs w:val="19"/>
          <w:color w:val="auto"/>
        </w:rPr>
      </w:pPr>
    </w:p>
    <w:p>
      <w:pPr>
        <w:jc w:val="both"/>
        <w:ind w:left="660" w:firstLine="644"/>
        <w:spacing w:after="0" w:line="251" w:lineRule="auto"/>
        <w:tabs>
          <w:tab w:leader="none" w:pos="194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Lender (other than an assignee pursuant to a request by Crown Holdings under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any Canadian federal withholding Tax imposed under the ITA on any payment of interest (or any payments on account, in lieu, or in satisfaction of interest, or which are deemed to be interest for purposes of the ITA), in respect of any advance provided to Canadian Borrower under any Loan Document, because such Lender is not dealing at arm’s length for purposes of the ITA with the applicable Credit Party at the time of such payment or deemed payment or is a “specified shareholder” (as such term is defined in subsection 18(5) of the ITA) of the applicable Credit Party or does not deal at arm’s length for purposes of the ITA with a “specified shareholder” (as such term is defined in subsection 18(5) of the ITA) of the applicable Credit Party, or because a Person that is not resident in Canada for purposes of the ITA has made a transfer or assignment to another Person that is resident in Canada for purposes of the ITA and this other Person is not dealing at arm’s length for purposes of the ITA with the transferor or assignor other than where the non-arm’s length relationship arises, or where the Lender is a “specified shareholder” or does not deal at arm’s length with a “specified shareholder” in connection with or as a result of the Lender having become a party to, received or perfected a security interest under or received or enforced any rights under, a Loan Document;</w:t>
      </w:r>
    </w:p>
    <w:p>
      <w:pPr>
        <w:spacing w:after="0" w:line="17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Taxes attributable to a Recipient’s failure to comply with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and</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Loans, Letters of Credit, or Commitments provided to U.S. Borrower, any Taxes withheld under</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FATCA.</w:t>
      </w:r>
    </w:p>
    <w:p>
      <w:pPr>
        <w:spacing w:after="0" w:line="20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U.K. Companies</w:t>
      </w:r>
      <w:r>
        <w:rPr>
          <w:rFonts w:ascii="Times New Roman" w:cs="Times New Roman" w:eastAsia="Times New Roman" w:hAnsi="Times New Roman"/>
          <w:sz w:val="20"/>
          <w:szCs w:val="20"/>
          <w:color w:val="auto"/>
        </w:rPr>
        <w:t>” means Metal Box Pension Trustees Limited, The CarnaudMetalbox Benevolent Fund Limited and The Can Makers Limited, each a company or trust organized under the laws of England.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Order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assigned to that term in the recitals to this Agreement.</w:t>
      </w:r>
    </w:p>
    <w:p>
      <w:pPr>
        <w:spacing w:after="0" w:line="21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Factoring Facilities</w:t>
      </w:r>
      <w:r>
        <w:rPr>
          <w:rFonts w:ascii="Times New Roman" w:cs="Times New Roman" w:eastAsia="Times New Roman" w:hAnsi="Times New Roman"/>
          <w:sz w:val="20"/>
          <w:szCs w:val="20"/>
          <w:color w:val="auto"/>
        </w:rPr>
        <w:t xml:space="preserve">” means the existing factoring or discounting programs as of the Incremental No. 2 and Third Amendment Effective Date and set forth on </w:t>
      </w:r>
      <w:r>
        <w:rPr>
          <w:rFonts w:ascii="Times New Roman" w:cs="Times New Roman" w:eastAsia="Times New Roman" w:hAnsi="Times New Roman"/>
          <w:sz w:val="20"/>
          <w:szCs w:val="20"/>
          <w:u w:val="single" w:color="auto"/>
          <w:color w:val="auto"/>
        </w:rPr>
        <w:t>Schedule 6.5(b)(iii)</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2.10(j)</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Maturity Date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88" w:name="page89"/>
    <w:bookmarkEnd w:id="8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Non-U.S. Facilities</w:t>
      </w:r>
      <w:r>
        <w:rPr>
          <w:rFonts w:ascii="Times New Roman" w:cs="Times New Roman" w:eastAsia="Times New Roman" w:hAnsi="Times New Roman"/>
          <w:sz w:val="20"/>
          <w:szCs w:val="20"/>
          <w:color w:val="auto"/>
        </w:rPr>
        <w:t xml:space="preserve">” means the existing working capital facilities of the Non-U.S. Subsidiaries of European Borrower, Canadian Borrower or U.S. Borrower as of the Incremental Amendment No. 3 and Fifth Amendment Effective Date and set forth on </w:t>
      </w:r>
      <w:r>
        <w:rPr>
          <w:rFonts w:ascii="Times New Roman" w:cs="Times New Roman" w:eastAsia="Times New Roman" w:hAnsi="Times New Roman"/>
          <w:sz w:val="20"/>
          <w:szCs w:val="20"/>
          <w:u w:val="single" w:color="auto"/>
          <w:color w:val="auto"/>
        </w:rPr>
        <w:t>Schedule 6.5(b)(ii)</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Unsecured Debt</w:t>
      </w:r>
      <w:r>
        <w:rPr>
          <w:rFonts w:ascii="Times New Roman" w:cs="Times New Roman" w:eastAsia="Times New Roman" w:hAnsi="Times New Roman"/>
          <w:sz w:val="20"/>
          <w:szCs w:val="20"/>
          <w:color w:val="auto"/>
        </w:rPr>
        <w:t>” means each of the following Indebtedness to the extent outstanding on the Incremental Amendment No.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and Fifth Amendment Effective Date after giving effect to the Transactions:</w:t>
      </w:r>
    </w:p>
    <w:p>
      <w:pPr>
        <w:spacing w:after="0" w:line="207" w:lineRule="exact"/>
        <w:rPr>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Debentures; and</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Senior Notes.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Facility</w:t>
      </w:r>
      <w:r>
        <w:rPr>
          <w:rFonts w:ascii="Times New Roman" w:cs="Times New Roman" w:eastAsia="Times New Roman" w:hAnsi="Times New Roman"/>
          <w:sz w:val="20"/>
          <w:szCs w:val="20"/>
          <w:color w:val="auto"/>
        </w:rPr>
        <w:t xml:space="preserve">” means any Revolving Facility that is extended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Facility</w:t>
      </w:r>
      <w:r>
        <w:rPr>
          <w:rFonts w:ascii="Times New Roman" w:cs="Times New Roman" w:eastAsia="Times New Roman" w:hAnsi="Times New Roman"/>
          <w:sz w:val="20"/>
          <w:szCs w:val="20"/>
          <w:color w:val="auto"/>
        </w:rPr>
        <w:t xml:space="preserve">” means any Term Facility that is extended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Effective Date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any of the credit facilities established under this Agreement.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Facing Agent</w:t>
      </w:r>
      <w:r>
        <w:rPr>
          <w:rFonts w:ascii="Times New Roman" w:cs="Times New Roman" w:eastAsia="Times New Roman" w:hAnsi="Times New Roman"/>
          <w:sz w:val="20"/>
          <w:szCs w:val="20"/>
          <w:color w:val="auto"/>
        </w:rPr>
        <w:t xml:space="preserve">” means (a) with respect to Canadian Letters of Credit, the Canadian Facing Agent, (b) with respect to the Dollar Letters of Credit, the Dollar Facing Agent and (c) with respect to Multicurrency Letters of Credit, each of the Multicurrency Revolving Lenders set forth on </w:t>
      </w:r>
      <w:r>
        <w:rPr>
          <w:rFonts w:ascii="Times New Roman" w:cs="Times New Roman" w:eastAsia="Times New Roman" w:hAnsi="Times New Roman"/>
          <w:sz w:val="20"/>
          <w:szCs w:val="20"/>
          <w:u w:val="single" w:color="auto"/>
          <w:color w:val="auto"/>
        </w:rPr>
        <w:t>Schedule 1.1(g)</w:t>
      </w:r>
      <w:r>
        <w:rPr>
          <w:rFonts w:ascii="Times New Roman" w:cs="Times New Roman" w:eastAsia="Times New Roman" w:hAnsi="Times New Roman"/>
          <w:sz w:val="20"/>
          <w:szCs w:val="20"/>
          <w:color w:val="auto"/>
        </w:rPr>
        <w:t xml:space="preserve"> up to the amount of its Multicurrency Revolving Sublimit set forth on such schedule, each in its capacity as an issuer of Multicurrency Letters of Credit hereunder and any other Multicurrency Revolving Lender which at the request of the applicable Borrower and with the consent of the Administrative Agent (not to be unreasonably withheld) agrees to issue Multicurrency Letters of Credit, in its capacity as an issuer of Multicurrency Letters of Credit. Each Facing Agent may, in its good faith discretion, arrange for one or more Letters of Credit to be issued by Affiliates of the Facing Agent, in which case the term “Facing Agent” shall include any such Affiliate with respect to Letters of Credit issued by such Affiliate. Notwithstanding anything herein to the contrary, no Facing Agent shall be required to issue commercial, documentary or trade Letters of Credit unless it agrees in writing to do so in its sole discretion.</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Farm Credit Lender</w:t>
      </w:r>
      <w:r>
        <w:rPr>
          <w:rFonts w:ascii="Times New Roman" w:cs="Times New Roman" w:eastAsia="Times New Roman" w:hAnsi="Times New Roman"/>
          <w:sz w:val="20"/>
          <w:szCs w:val="20"/>
          <w:color w:val="auto"/>
        </w:rPr>
        <w:t>” means a federally-chartered Farm Credit System lending institution organized under the Farm Credit Act of 1971, as the same may be amended or supplemented from time to time.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the U.S. Treasury Regulations (and any notices, guidance or other official pronouncements) promulgated thereunder or official interpretations thereof, any agreements entered into pursuant to Section 1471(b) of the Code as of the date of this Agreement (or any amended or successor version described above), or any intergovernmental agreement (and any related law or regulation) implementing the foregoing.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on any one day, the rate per annum equal to the weighted average (rounded upwards, if necessary, to the nearest 1/100th of 1%) of the rate on overnight federal funds transactions with members of the Federal Reserve System only, as published as of such day by the Federal Reserve Bank of New York, or, if such rate is not so published, the average of the quotations for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83" w:lineRule="auto"/>
        <w:rPr>
          <w:sz w:val="20"/>
          <w:szCs w:val="20"/>
          <w:color w:val="auto"/>
        </w:rPr>
      </w:pPr>
      <w:r>
        <w:rPr>
          <w:rFonts w:ascii="Times New Roman" w:cs="Times New Roman" w:eastAsia="Times New Roman" w:hAnsi="Times New Roman"/>
          <w:sz w:val="20"/>
          <w:szCs w:val="20"/>
          <w:color w:val="auto"/>
        </w:rPr>
        <w:t>such day on such transactions received by the Administrative Agent from three federal funds brokers of recognized standing selected by the Administrative Agent. Notwithstanding the foregoing, the Federal Funds Rate shall not in any event be less than zero.</w:t>
      </w:r>
    </w:p>
    <w:p>
      <w:pPr>
        <w:spacing w:after="0" w:line="14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Fee Letter</w:t>
      </w:r>
      <w:r>
        <w:rPr>
          <w:rFonts w:ascii="Times New Roman" w:cs="Times New Roman" w:eastAsia="Times New Roman" w:hAnsi="Times New Roman"/>
          <w:sz w:val="19"/>
          <w:szCs w:val="19"/>
          <w:color w:val="auto"/>
        </w:rPr>
        <w:t>” means that certain letter agreement or agreements, in each case, between one or more Arrangers and the Borrowers and providing for the payment of certain fees in connection with this Agreement and/or the Incremental Amendment No. 3 and Fifth Amendment.</w:t>
      </w:r>
    </w:p>
    <w:p>
      <w:pPr>
        <w:spacing w:after="0" w:line="12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of any corporation, partnership or other entity means the chief financial officer, the principal accounting officer, Treasurer or Controller of such corporation, partnership or other entity.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Currency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13.1(c)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7.15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a rate of interest equal to 0.00%.</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Obligations</w:t>
      </w:r>
      <w:r>
        <w:rPr>
          <w:rFonts w:ascii="Times New Roman" w:cs="Times New Roman" w:eastAsia="Times New Roman" w:hAnsi="Times New Roman"/>
          <w:sz w:val="20"/>
          <w:szCs w:val="20"/>
          <w:color w:val="auto"/>
        </w:rPr>
        <w:t xml:space="preserve">” means the Euro Obligations, the Canadian Obligations, the Subsidiary Borrower Obligations and the Guarantee Obligations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and the Guarantee Agreements in respect of any of the foregoing.</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means any plan, agreement, fund (including, without limitation, any super-annuation fund) or other similar program, arrangement or agreement established or maintained outside of the United States of America by a Credit Party or one or more of its Subsidiaries or its Affiliates providing employee benefits, including medical, hospital care, dental, sickness, accident, disability, life insurance, pension, supplemental pension, retirement or savings benefits under which a Credit Party or such Subsidiaries or its Affiliates residing outside the United States of America has any liability with respect to any current or former employee, officer, director or contractor (or any spouses, dependents, survivors or beneficiaries of any such persons) and, for greater certainty, includes any Canadian Defined Benefit Plan.</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Requirements of Law</w:t>
      </w:r>
      <w:r>
        <w:rPr>
          <w:rFonts w:ascii="Times New Roman" w:cs="Times New Roman" w:eastAsia="Times New Roman" w:hAnsi="Times New Roman"/>
          <w:sz w:val="20"/>
          <w:szCs w:val="20"/>
          <w:color w:val="auto"/>
        </w:rPr>
        <w:t>” means any Requirement of Law of a Governmental Authority in a jurisdiction other than the United States of America or any state thereof or the District of Columbia (including any banking, exchange control, financial assistance, minimum capitalization, fraudulent conveyance, mandatory labor advice or similar rules or regulations).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 Person that is a fund that makes, purchases, holds or otherwise invests in commercial loans or similar extensions of credit in the ordinary course of its existence.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in the U.S., as in effect from time to time, but subject to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German Borrowers</w:t>
      </w:r>
      <w:r>
        <w:rPr>
          <w:rFonts w:ascii="Times New Roman" w:cs="Times New Roman" w:eastAsia="Times New Roman" w:hAnsi="Times New Roman"/>
          <w:sz w:val="20"/>
          <w:szCs w:val="20"/>
          <w:color w:val="auto"/>
        </w:rPr>
        <w:t xml:space="preserve">” means each Subsidiary of European Borrower organized under the laws of the Federal Republic of Germany, and designated as such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and each other Subsidiary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90" w:name="page91"/>
    <w:bookmarkEnd w:id="90"/>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of European Borrower organized under the laws of the Federal Republic of Germany and requested by European Borrower to be a German Borrower, subject to the approval of Administrative Agent.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 Acts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2.10(h)</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any federal, state, provincial, territorial, local or foreign court or governmental agency, authority, instrumentality or regulatory body, including any central bank and any supra-national body exercising executive, legislative, judicial, taxing, regulatory or administrative powers or functions pertaining to government, such as the European Union or the European Central Bank.</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Agreements</w:t>
      </w:r>
      <w:r>
        <w:rPr>
          <w:rFonts w:ascii="Times New Roman" w:cs="Times New Roman" w:eastAsia="Times New Roman" w:hAnsi="Times New Roman"/>
          <w:sz w:val="20"/>
          <w:szCs w:val="20"/>
          <w:color w:val="auto"/>
        </w:rPr>
        <w:t>” means the Non-U.S. Guarantee Agreements and the U.S. Guarantee Agreement.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Obligations</w:t>
      </w:r>
      <w:r>
        <w:rPr>
          <w:rFonts w:ascii="Times New Roman" w:cs="Times New Roman" w:eastAsia="Times New Roman" w:hAnsi="Times New Roman"/>
          <w:sz w:val="20"/>
          <w:szCs w:val="20"/>
          <w:color w:val="auto"/>
        </w:rPr>
        <w:t>” means, as to any Person, without duplication, any direct or indirect contractual obligation of such Person guaranteeing or intended to guarantee any Indebtedness (“</w:t>
      </w:r>
      <w:r>
        <w:rPr>
          <w:rFonts w:ascii="Times New Roman" w:cs="Times New Roman" w:eastAsia="Times New Roman" w:hAnsi="Times New Roman"/>
          <w:sz w:val="20"/>
          <w:szCs w:val="20"/>
          <w:u w:val="single" w:color="auto"/>
          <w:color w:val="auto"/>
        </w:rPr>
        <w:t>primary obligations</w:t>
      </w:r>
      <w:r>
        <w:rPr>
          <w:rFonts w:ascii="Times New Roman" w:cs="Times New Roman" w:eastAsia="Times New Roman" w:hAnsi="Times New Roman"/>
          <w:sz w:val="20"/>
          <w:szCs w:val="20"/>
          <w:color w:val="auto"/>
        </w:rPr>
        <w:t>”)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such primary obligation against loss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term Guarantee Obligations shall not include any endorsements of instruments for deposit or collection in the ordinary course of business. The amount of any Guarantee Obligation at any time shall be deemed to be an amount equal to the lesser at such time of (a) the stated or determinable amount of the primary obligation in respect of which such Guarantee Obligation is made and (b) the maximum amount for which such Person may be liable pursuant to the terms of the instrument embodying such Guarantee Obligation, unless such primary obligation and the maximum amount for which such guarantor may be liable are not stated or determinable, in which case the amount of the obligation under such Guarantee Obligation shall be such Person’s maximum reasonably anticipated liability (assuming full performance) in respect thereof as determined by the guarantor in good faith; irrespective, in any such case, of any amount thereof that would, in accordance with GAAP, be required to be reflected on a balance sheet of such Person.</w:t>
      </w:r>
    </w:p>
    <w:p>
      <w:pPr>
        <w:spacing w:after="0" w:line="20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means (i) the Credit Parties (other than the Borrowers) and (ii) for purposes of </w:t>
      </w:r>
      <w:r>
        <w:rPr>
          <w:rFonts w:ascii="Times New Roman" w:cs="Times New Roman" w:eastAsia="Times New Roman" w:hAnsi="Times New Roman"/>
          <w:sz w:val="20"/>
          <w:szCs w:val="20"/>
          <w:u w:val="single" w:color="auto"/>
          <w:color w:val="auto"/>
        </w:rPr>
        <w:t>Section 10.1(j)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only, the Parent Guarantors, the U.S. Borrower, Crown Finance and the European Borrower.</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pollutants, contaminants, wastes, substances, chemicals, materials and other constituents, including, without limitation, crude oil, petroleum or petroleum distillates, asbestos or asbestos containing materials, polychlorinated biphenyls (“</w:t>
      </w:r>
      <w:r>
        <w:rPr>
          <w:rFonts w:ascii="Times New Roman" w:cs="Times New Roman" w:eastAsia="Times New Roman" w:hAnsi="Times New Roman"/>
          <w:sz w:val="20"/>
          <w:szCs w:val="20"/>
          <w:u w:val="single" w:color="auto"/>
          <w:color w:val="auto"/>
        </w:rPr>
        <w:t>PCBs</w:t>
      </w:r>
      <w:r>
        <w:rPr>
          <w:rFonts w:ascii="Times New Roman" w:cs="Times New Roman" w:eastAsia="Times New Roman" w:hAnsi="Times New Roman"/>
          <w:sz w:val="20"/>
          <w:szCs w:val="20"/>
          <w:color w:val="auto"/>
        </w:rPr>
        <w:t>”) or PCB-containing materials or any other substances, wastes or equipment of any nature which can give rise to Environmental Liability under, or are regulated pursuant to, any Environmental Law.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has the meaning assigned to such term in the definition of “Bank Related Debt.”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means any interest rate protection agreement, foreign currency exchange agreement, commodity price protection agreement or other interest or currency exchange rate 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91" w:name="page92"/>
    <w:bookmarkEnd w:id="91"/>
    <w:p>
      <w:pPr>
        <w:ind w:right="20"/>
        <w:spacing w:after="0" w:line="283" w:lineRule="auto"/>
        <w:rPr>
          <w:sz w:val="20"/>
          <w:szCs w:val="20"/>
          <w:color w:val="auto"/>
        </w:rPr>
      </w:pPr>
      <w:r>
        <w:rPr>
          <w:rFonts w:ascii="Times New Roman" w:cs="Times New Roman" w:eastAsia="Times New Roman" w:hAnsi="Times New Roman"/>
          <w:sz w:val="20"/>
          <w:szCs w:val="20"/>
          <w:color w:val="auto"/>
        </w:rPr>
        <w:t>commodity price hedging arrangement and all other similar agreements or arrangements designed to alter the risks of any Person arising from fluctuations in interest rate, currency values or commodity prices.</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Impermissible Qualification</w:t>
      </w:r>
      <w:r>
        <w:rPr>
          <w:rFonts w:ascii="Times New Roman" w:cs="Times New Roman" w:eastAsia="Times New Roman" w:hAnsi="Times New Roman"/>
          <w:sz w:val="20"/>
          <w:szCs w:val="20"/>
          <w:color w:val="auto"/>
        </w:rPr>
        <w:t>” means, relative to the opinion or certification of any independent public accountant as to any financial statement of Crown Holdings, any qualification or exception to such opinion or certification:</w:t>
      </w:r>
    </w:p>
    <w:p>
      <w:pPr>
        <w:spacing w:after="0" w:line="146" w:lineRule="exact"/>
        <w:rPr>
          <w:sz w:val="20"/>
          <w:szCs w:val="20"/>
          <w:color w:val="auto"/>
        </w:rPr>
      </w:pPr>
    </w:p>
    <w:p>
      <w:pPr>
        <w:jc w:val="both"/>
        <w:ind w:left="660" w:firstLine="644"/>
        <w:spacing w:after="0" w:line="258" w:lineRule="auto"/>
        <w:tabs>
          <w:tab w:leader="none" w:pos="19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is of a “going concern” or similar nature other than any such qualification or exception with respect to, or resulting from, (x) changes in accounting principles or practices reflecting changes in GAAP that are required or approved by such auditor, (y) the impending maturity date of any Indebtedness of the Credit Parties or (z) any inability to demonstrate pro forma or prospective compliance with, or any anticipated breach of, the financial covenant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relates to the limited scope of examination of matters relevant to such financial statement; or</w:t>
      </w:r>
    </w:p>
    <w:p>
      <w:pPr>
        <w:spacing w:after="0" w:line="215" w:lineRule="exact"/>
        <w:rPr>
          <w:rFonts w:ascii="Times New Roman" w:cs="Times New Roman" w:eastAsia="Times New Roman" w:hAnsi="Times New Roman"/>
          <w:sz w:val="20"/>
          <w:szCs w:val="20"/>
          <w:color w:val="auto"/>
        </w:rPr>
      </w:pPr>
    </w:p>
    <w:p>
      <w:pPr>
        <w:ind w:left="660" w:firstLine="644"/>
        <w:spacing w:after="0" w:line="283" w:lineRule="auto"/>
        <w:tabs>
          <w:tab w:leader="none" w:pos="194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which relates to the treatment or classification of any item in such financial statement and which, as a condition to its removal, would require an adjustment to such item the effect of which would be to cause a default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Period</w:t>
      </w:r>
      <w:r>
        <w:rPr>
          <w:rFonts w:ascii="Times New Roman" w:cs="Times New Roman" w:eastAsia="Times New Roman" w:hAnsi="Times New Roman"/>
          <w:sz w:val="20"/>
          <w:szCs w:val="20"/>
          <w:color w:val="auto"/>
        </w:rPr>
        <w:t xml:space="preserve">” has the meaning assigned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3 and Fifth Amendment</w:t>
      </w:r>
      <w:r>
        <w:rPr>
          <w:rFonts w:ascii="Times New Roman" w:cs="Times New Roman" w:eastAsia="Times New Roman" w:hAnsi="Times New Roman"/>
          <w:sz w:val="20"/>
          <w:szCs w:val="20"/>
          <w:color w:val="auto"/>
        </w:rPr>
        <w:t>” means the Incremental Amendment No. 3 and Fifth Amendment to this Agreement, dated as of August 8, 2022, among the Borrowers, the Guarantors, the Administrative Agent, the U.K. Administrative Agent, the Canadian Administrative Agent, the 2022 Additional Term A Lenders (as defined therein), the Facing Agents, the Swing Line Lender and the Revolving Lenders.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3 and Fifth Amendment Arrangers</w:t>
      </w:r>
      <w:r>
        <w:rPr>
          <w:rFonts w:ascii="Times New Roman" w:cs="Times New Roman" w:eastAsia="Times New Roman" w:hAnsi="Times New Roman"/>
          <w:sz w:val="20"/>
          <w:szCs w:val="20"/>
          <w:color w:val="auto"/>
        </w:rPr>
        <w:t>” means the “Lead Arrangers” as defined in the Incremental Amendment No. 3 and Fifth Amendment.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3 and Fifth Amendment Co-Documentation Agents</w:t>
      </w:r>
      <w:r>
        <w:rPr>
          <w:rFonts w:ascii="Times New Roman" w:cs="Times New Roman" w:eastAsia="Times New Roman" w:hAnsi="Times New Roman"/>
          <w:sz w:val="20"/>
          <w:szCs w:val="20"/>
          <w:color w:val="auto"/>
        </w:rPr>
        <w:t>” means the “Co-Documentation Agents” as defined in the Incremental Amendment No. 3 and Fifth Amendment.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 No. 3 and Fifth Amendment Effective Date</w:t>
      </w:r>
      <w:r>
        <w:rPr>
          <w:rFonts w:ascii="Times New Roman" w:cs="Times New Roman" w:eastAsia="Times New Roman" w:hAnsi="Times New Roman"/>
          <w:sz w:val="20"/>
          <w:szCs w:val="20"/>
          <w:color w:val="auto"/>
        </w:rPr>
        <w:t>” means August 8, 2022.</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Cap</w:t>
      </w:r>
      <w:r>
        <w:rPr>
          <w:rFonts w:ascii="Times New Roman" w:cs="Times New Roman" w:eastAsia="Times New Roman" w:hAnsi="Times New Roman"/>
          <w:sz w:val="20"/>
          <w:szCs w:val="20"/>
          <w:color w:val="auto"/>
        </w:rPr>
        <w:t xml:space="preserve">” means, as of any date of determination, an aggregate principal amount equal to the sum of (x)(i) $1,750,000,000 (or the Dollar Equivalent thereof at the time of the making of an Additional Term Loans or Incremental Equivalent Debt or establishment of an Additional Revolving Credit Commitment or Additional Revolving Facility)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(ii) the aggregate principal amount of all Additional Facilities and Incremental Equivalent Debt incurred or issued in reliance on clause (x)(i) of this definition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(A) the aggregate principal amount of any voluntary prepayment, redemption, repurchase or other retirement of any Loan, including any Loan under any Additional Facility or any Incremental Equivalent Debt (other than, in each case, incurred pursuant to clause (z) below) in accordance with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(accompanied, to the extent such prepayments are of Loans under any Revolving Facility, Additional Revolving Facility and/or any Additional Revolving Credit Commitments, by a commitment reduction in the like amount under such Revolving Facility, Additional Revolving Facility and/or Additional Revolving Credit Commitment) and/or the aggregate principal amount of any permanent reduction of any Revolving Commitment or Additional Facility Commitment so long as, in the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case of any voluntary prepayment, redemption, repurchase or other retirement, such prepayment, redemption, repurchase or other retirement was not funded with the proceeds of a contemporaneous refinancing with new long-term funded Indebtedness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(B) the aggregate outstanding principal amount of all Additional Facilities and Incremental Equivalent Debt incurred or issued in reliance on clause (y)(A) of this definition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(z) such additional unlimited principal amounts such that, at the time of the incurrence of the applicable Additional Facility or Incremental Equivalent Debt, solely with respect to any incurrence in reliance on this clause (z) (immediately after giving effect to the full utilization of the applicable Additional Facility or Incremental Equivalent Debt and excluding any cash constituting proceeds of any Additional Facility or Incremental Equivalent Debt, as applicable, in reliance on this clause (z)), the Total First Lien Leverage Ratio of Crown Holdings and its Subsidiaries (calculated as if any Additional Revolving Credit Commitments and/or Additional Revolving Facilities were fully drawn and excluding any cash constituting proceeds of any Additional Facility and any Incremental Equivalent Debt) does not exceed 2.00 to 1.00 (it being acknowledged that each Additional Facility and/or Incremental Equivalent Debt under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shall be incurred under clause (z) if clause (z) is available at the time of such incurrence up to the maximum amount available, and any additional amounts incurred at any time that clause (z) is unavailable shall be incurred under clauses (x) and/or (y), and any substantially concurrent incurrence or series of related incurrences under clauses (x) and/or (y) shall not be given pro forma effect for purposes of determining the Total First Lien Leverage Ratio with respect to any incurrence under clause (z)), calculated on a Pro Forma Basis, after giving effect to the application of the proceeds thereof (but without “netting” the Cash proceeds of the applicable Additional Facility or Incremental Equivalent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the Cash proceeds thereof are used to repay Indebtedness, pro forma effect shall be given to such repayment of Indebtedness) and, in the case of any Additional Revolving Credit Commitments, assuming a full drawing under such Additional Revolving Credit Commitments, and determined on the basis of the financial statements for the most recently completed four Fiscal Quarter period of Borrowers that are internally available. For the avoidance of doubt, undrawn Commitments under the existing Facilities (other than Additional Revolving Credit Commitments or an Additional Revolving Facility (as contemplated in the proviso to the immediately preceding sentence)) shall be disregarded for purposes of calculating the amounts available under clause (z) above.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2.9(d)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applied to any Person (without duplication):</w:t>
      </w:r>
    </w:p>
    <w:p>
      <w:pPr>
        <w:spacing w:after="0" w:line="229" w:lineRule="exact"/>
        <w:rPr>
          <w:sz w:val="20"/>
          <w:szCs w:val="20"/>
          <w:color w:val="auto"/>
        </w:rPr>
      </w:pPr>
    </w:p>
    <w:p>
      <w:pPr>
        <w:ind w:left="1940" w:hanging="636"/>
        <w:spacing w:after="0"/>
        <w:tabs>
          <w:tab w:leader="none" w:pos="19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such Person for borrowed money;</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non-contingent obligations to pay the deferred and unpaid balance of the purchase price of assets or services (other than (x) trade payables and other accrued liabilities incurred in the ordinary course of business, (y) deferred compensation arrangements and (z) earn-out obligations unless such earn-out obligations have been liquidated and are not paid when due) which purchase price is due more than six months from the date of incurrence of the obligation in respect thereof;</w:t>
      </w:r>
    </w:p>
    <w:p>
      <w:pPr>
        <w:spacing w:after="0" w:line="18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Capitalized Lease Obligations;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the type described in clauses (i) through (iii) above and clauses (v) through (x) below secured by any Lien on any property owned by such Person, whether or not such Indebtedness has been assumed by such Person or is nonrecourse to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Indebtedness that is nonrecourse to the credit of such</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93" w:name="page94"/>
    <w:bookmarkEnd w:id="93"/>
    <w:p>
      <w:pPr>
        <w:ind w:left="660" w:right="20"/>
        <w:spacing w:after="0" w:line="283" w:lineRule="auto"/>
        <w:rPr>
          <w:sz w:val="20"/>
          <w:szCs w:val="20"/>
          <w:color w:val="auto"/>
        </w:rPr>
      </w:pPr>
      <w:r>
        <w:rPr>
          <w:rFonts w:ascii="Times New Roman" w:cs="Times New Roman" w:eastAsia="Times New Roman" w:hAnsi="Times New Roman"/>
          <w:sz w:val="20"/>
          <w:szCs w:val="20"/>
          <w:color w:val="auto"/>
        </w:rPr>
        <w:t>Person, such Indebtedness shall be taken into account only to the extent of the lesser of the fair market value of the asset(s) subject to such Lien and the amount of Indebtedness secured by such Lien);</w:t>
      </w:r>
    </w:p>
    <w:p>
      <w:pPr>
        <w:spacing w:after="0" w:line="146" w:lineRule="exact"/>
        <w:rPr>
          <w:sz w:val="20"/>
          <w:szCs w:val="20"/>
          <w:color w:val="auto"/>
        </w:rPr>
      </w:pPr>
    </w:p>
    <w:p>
      <w:pPr>
        <w:ind w:left="1940" w:hanging="636"/>
        <w:spacing w:after="0"/>
        <w:tabs>
          <w:tab w:leader="none" w:pos="19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or obligations of such Person, in each case, evidenced by bonds, notes or similar written instruments;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face amount of all letters of credit and bankers’ acceptances issued for the account of such Person, and without duplication, all drafts drawn thereunder other than, in each case, commercial or standby letters of credit or the functional equivalent thereof issued in connection with performance, bid or advance payment obligations incurred in the ordinary course of business, including, without limitation, performance requirements under workers compensation or similar laws;</w:t>
      </w:r>
    </w:p>
    <w:p>
      <w:pPr>
        <w:spacing w:after="0" w:line="18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Hedging Agreements;</w:t>
      </w:r>
    </w:p>
    <w:p>
      <w:pPr>
        <w:spacing w:after="0" w:line="215"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94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of such Person in respect of Indebtedness described in clauses (i) through (viii) and clause (x) of this definition; and</w:t>
      </w:r>
    </w:p>
    <w:p>
      <w:pPr>
        <w:spacing w:after="0" w:line="15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Attributable Debt of such Person;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shall exclude loans or advances made by Crown Holdings or any of its Subsidiaries to Crown Holdings or any of its Subsidiaries to the extent that such loans or advances are made or issued in the ordinary course of business and have a term of 364 days or less (inclusive of any rollover or extension of the term).</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avoidance of doubt, Excluded Attributable Debt shall not constitute Indebtedness.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 to Remain Outstanding</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(a) any and all Taxes, other than Excluded Taxes, imposed on or with respect to any payment made by or on account of any obligation of any Credit Party under any Loan Document and (b) to the extent not otherwise described in (a), Other Taxes.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Borrowing</w:t>
      </w:r>
      <w:r>
        <w:rPr>
          <w:rFonts w:ascii="Times New Roman" w:cs="Times New Roman" w:eastAsia="Times New Roman" w:hAnsi="Times New Roman"/>
          <w:sz w:val="20"/>
          <w:szCs w:val="20"/>
          <w:color w:val="auto"/>
        </w:rPr>
        <w:t>” means the first Borrowing under this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Loan</w:t>
      </w:r>
      <w:r>
        <w:rPr>
          <w:rFonts w:ascii="Times New Roman" w:cs="Times New Roman" w:eastAsia="Times New Roman" w:hAnsi="Times New Roman"/>
          <w:sz w:val="20"/>
          <w:szCs w:val="20"/>
          <w:color w:val="auto"/>
        </w:rPr>
        <w:t>” means the first Loan made by the Lenders under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Inside Maturity Date Amount</w:t>
      </w:r>
      <w:r>
        <w:rPr>
          <w:rFonts w:ascii="Times New Roman" w:cs="Times New Roman" w:eastAsia="Times New Roman" w:hAnsi="Times New Roman"/>
          <w:sz w:val="20"/>
          <w:szCs w:val="20"/>
          <w:color w:val="auto"/>
        </w:rPr>
        <w:t>” means $400,000,000, to be shared among (a) clause (i) of the definition of “Permitted Ratio Debt”,</w:t>
      </w:r>
    </w:p>
    <w:p>
      <w:pPr>
        <w:spacing w:after="0" w:line="28" w:lineRule="exact"/>
        <w:rPr>
          <w:sz w:val="20"/>
          <w:szCs w:val="20"/>
          <w:color w:val="auto"/>
        </w:rPr>
      </w:pPr>
    </w:p>
    <w:p>
      <w:pPr>
        <w:jc w:val="both"/>
        <w:ind w:firstLine="8"/>
        <w:spacing w:after="0" w:line="253" w:lineRule="auto"/>
        <w:tabs>
          <w:tab w:leader="none" w:pos="33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clause (i) of the definition of “Permitted European Borrower Debt”, (b) clause (c) of the definition of “Permitted Refinancing Indebtedness”, (c) </w:t>
      </w:r>
      <w:r>
        <w:rPr>
          <w:rFonts w:ascii="Times New Roman" w:cs="Times New Roman" w:eastAsia="Times New Roman" w:hAnsi="Times New Roman"/>
          <w:sz w:val="20"/>
          <w:szCs w:val="20"/>
          <w:u w:val="single" w:color="auto"/>
          <w:color w:val="auto"/>
        </w:rPr>
        <w:t>Section 2.9(a)(ii)</w:t>
      </w:r>
      <w:r>
        <w:rPr>
          <w:rFonts w:ascii="Times New Roman" w:cs="Times New Roman" w:eastAsia="Times New Roman" w:hAnsi="Times New Roman"/>
          <w:sz w:val="20"/>
          <w:szCs w:val="20"/>
          <w:color w:val="auto"/>
        </w:rPr>
        <w:t xml:space="preserve">, (d) </w:t>
      </w:r>
      <w:r>
        <w:rPr>
          <w:rFonts w:ascii="Times New Roman" w:cs="Times New Roman" w:eastAsia="Times New Roman" w:hAnsi="Times New Roman"/>
          <w:sz w:val="20"/>
          <w:szCs w:val="20"/>
          <w:u w:val="single" w:color="auto"/>
          <w:color w:val="auto"/>
        </w:rPr>
        <w:t>Section 2.9(a)(iii)</w:t>
      </w:r>
      <w:r>
        <w:rPr>
          <w:rFonts w:ascii="Times New Roman" w:cs="Times New Roman" w:eastAsia="Times New Roman" w:hAnsi="Times New Roman"/>
          <w:sz w:val="20"/>
          <w:szCs w:val="20"/>
          <w:color w:val="auto"/>
        </w:rPr>
        <w:t xml:space="preserve"> and (e) </w:t>
      </w:r>
      <w:r>
        <w:rPr>
          <w:rFonts w:ascii="Times New Roman" w:cs="Times New Roman" w:eastAsia="Times New Roman" w:hAnsi="Times New Roman"/>
          <w:sz w:val="20"/>
          <w:szCs w:val="20"/>
          <w:u w:val="single" w:color="auto"/>
          <w:color w:val="auto"/>
        </w:rPr>
        <w:t>Section 2.9(d)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use of the Inside Maturity Date Amount shall reduce the Inside Maturity Date Amount under any other such clause or basket.</w:t>
      </w:r>
    </w:p>
    <w:p>
      <w:pPr>
        <w:spacing w:after="0" w:line="175"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Proceedings</w:t>
      </w:r>
      <w:r>
        <w:rPr>
          <w:rFonts w:ascii="Times New Roman" w:cs="Times New Roman" w:eastAsia="Times New Roman" w:hAnsi="Times New Roman"/>
          <w:sz w:val="20"/>
          <w:szCs w:val="20"/>
          <w:color w:val="auto"/>
        </w:rPr>
        <w:t>” means, whether voluntary or involuntary (a) any case, proceeding or other action commenced by the Borrowers or any Guarantor (i) under any existing or future law of any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94" w:name="page95"/>
    <w:bookmarkEnd w:id="94"/>
    <w:p>
      <w:pPr>
        <w:jc w:val="both"/>
        <w:spacing w:after="0" w:line="250" w:lineRule="auto"/>
        <w:rPr>
          <w:sz w:val="20"/>
          <w:szCs w:val="20"/>
          <w:color w:val="auto"/>
        </w:rPr>
      </w:pPr>
      <w:r>
        <w:rPr>
          <w:rFonts w:ascii="Times New Roman" w:cs="Times New Roman" w:eastAsia="Times New Roman" w:hAnsi="Times New Roman"/>
          <w:sz w:val="20"/>
          <w:szCs w:val="20"/>
          <w:color w:val="auto"/>
        </w:rPr>
        <w:t>jurisdiction, domestic or foreign, relating to bankruptcy, insolvency, reorganization, restructuring, power of sale, compromise, foreclosure or relief of debtors, seeking to have an order for relief entered with respect to it, or seeking to adjudicate it as bankrupt or insolvent, or seeking reorganization, arrangement, adjustment, wind-up, liquidation, dissolution, composition or other relief with respect to it or its debts, or (ii) seeking appointment of a Receiver, trustee, custodian or other similar official for it or for all or any substantial part of its assets; or (b) there shall be commenced against the Borrowers or any Guarantor any such case, proceeding or other action referred to in clause (a) of this definition which results in the entry of an order for relief or any such adjudication or appointment remains undismissed, undischarged and unbonded for a period of sixty (60) days; or (c) there shall be commenced against the Borrowers or any Guarantor any case, proceeding or other action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sixty (60) days from the entry thereof.</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Subsidiary</w:t>
      </w:r>
      <w:r>
        <w:rPr>
          <w:rFonts w:ascii="Times New Roman" w:cs="Times New Roman" w:eastAsia="Times New Roman" w:hAnsi="Times New Roman"/>
          <w:sz w:val="20"/>
          <w:szCs w:val="20"/>
          <w:color w:val="auto"/>
        </w:rPr>
        <w:t>” means Crownway Insurance Company, a Vermont corporation.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Indebtedness</w:t>
      </w:r>
      <w:r>
        <w:rPr>
          <w:rFonts w:ascii="Times New Roman" w:cs="Times New Roman" w:eastAsia="Times New Roman" w:hAnsi="Times New Roman"/>
          <w:sz w:val="20"/>
          <w:szCs w:val="20"/>
          <w:color w:val="auto"/>
        </w:rPr>
        <w:t>” means Indebtedness of Crown Holdings or any of its Subsidiaries which is owing to any member of such group.</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for any period, the ratio of Consolidated EBITDA of Crown Holdings and its Subsidiaries to Consolidated Interest Expense of Crown Holdings and its Subsidiaries for such period.</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Base Rate Loan or Canadian Prime Rate Loan, each Quarterly Payment Date to occur while such Loan is outstanding, (b) as to any Eurocurrency Loan having an Interest Period of three months or less, the last day of the Interest Period applicable thereto, (c) as to any Eurocurrency Loan having an Interest Period longer than three months, each day which is a three (3) month anniversary of the first day of the Interest Period applicable thereto and the last day of the Interest Period applicable thereto, (d) as to any SOFR Loan having an Interest Period of 3 months or less, the last day of the Interest Period applicable thereto, (e) as to any SOFR Loan having an Interest Period longer than 3 months, each day that is a 3 month anniversary of the first day of the Interest Period applicable thereto and (f) as to any with respect to any Daily Simple RFR Loan, each date that is on the numerically corresponding day in each calendar month that is one month after the Borrowing of such Loan (or, if there is no such numerically corresponding day in such month, then the last day of such month); provided that, as to any such Daily Simple RFR Loan, (x) if any such date would be a day other than a Business Day, such date shall be extended to the next succeeding Business Day unless such next succeeding Business Day would fall in the next calendar month, in which case such date shall be the next preceding Business Day and (y) the Interest Payment Date with respect to any Borrowing that occurs on the last Business Day of a calendar month (or on a day for which there is no numerically corresponding day in any applicable calendar month) shall be the last Business Day of any such succeeding applicable calendar month;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addition to the foregoing, each of (i) the date upon which both the Revolving Commitments have been terminated and the Revolving Loans have been paid in full (ii) the date upon which both the Canadian Revolving Commitments have been terminated and the Canadian Revolving Loans have been paid in full and (iii) the applicable Term Maturity Date shall be deemed to be an “Interest Payment Date” with respect to any interest which is then accrued hereunder for such Loan.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95" w:name="page96"/>
    <w:bookmarkEnd w:id="95"/>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Rate Determination Date</w:t>
      </w:r>
      <w:r>
        <w:rPr>
          <w:rFonts w:ascii="Times New Roman" w:cs="Times New Roman" w:eastAsia="Times New Roman" w:hAnsi="Times New Roman"/>
          <w:sz w:val="20"/>
          <w:szCs w:val="20"/>
          <w:color w:val="auto"/>
        </w:rPr>
        <w:t>” means the date for calculating the Eurocurrency Rate for an Interest Period, which date shall be the date on which quotations would ordinarily be given by prime banks in the relevant interbank market for deposits in the Applicable Currency for value on the first day of the related Interest Period for such Eurocurrency Loan but in any event not earlier than the second Business Day prior to the first day of the related Interest Period.</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applied to any Person, (i) any direct or indirect purchase or other acquisition by that Person of, or a beneficial interest in, Securities of any other Person, or a capital contribution by that Person to any other Person, (ii) any direct or indirect loan or advance to any other Person (other than prepaid expenses or any Receivable created or acquired in the ordinary course of business and other than any intercompany loans or advances to the extent that such intercompany loans or advances have a term of 364 days or less (inclusive of any rollover or extension of term)), including all Indebtedness to such Person in respect of consideration from a sale of property by such person other than in the ordinary course of its business (iii) any Acquisition or (iv) any purchase by that Person of a futures contract or such person otherwise becoming liable for the purchase or sale of currency or other commodity at a future date in the nature of a futures contract. The amount of any Investment by any Person on any date of determination shall be the sum of the value of the gross assets transferred to or acquired by such Person (including the amount of any liability assumed in connection with such transfer or acquisition by such Person to the extent such liability would be reflected on a balance sheet prepared in accordance with GAAP) plus the cost of all additions, thereto, without any adjustments for increases or decreases in value, or write-ups, write-downs or write-offs with respect to such Investment, minus the amount of all cash returns of principal or capital thereon, cash dividends thereon and other cash returns on investment thereon or liabilities expressly assumed by another Person (other than Crown Holdings or another Subsidiary of Crown Holdings) in connection with the sale of such Investment. Whenever the term “outstanding” is used in this Agreement with reference to an Investment, it shall take into account the matters referred to in the preceding sentence.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 or any successor or analogous organization.</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w:t>
      </w:r>
      <w:r>
        <w:rPr>
          <w:rFonts w:ascii="Times New Roman" w:cs="Times New Roman" w:eastAsia="Times New Roman" w:hAnsi="Times New Roman"/>
          <w:sz w:val="20"/>
          <w:szCs w:val="20"/>
          <w:color w:val="auto"/>
        </w:rPr>
        <w:t>” means the Income Tax Act (Canada), as from time to time amended, including the regulations proposed or promulgated thereunder, or any successor statute and the regulations proposed or promulgated thereunder.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ITA-UK</w:t>
      </w:r>
      <w:r>
        <w:rPr>
          <w:rFonts w:ascii="Times New Roman" w:cs="Times New Roman" w:eastAsia="Times New Roman" w:hAnsi="Times New Roman"/>
          <w:sz w:val="20"/>
          <w:szCs w:val="20"/>
          <w:color w:val="auto"/>
        </w:rPr>
        <w:t>” means the Income Tax Act 2007 (United Kingdom).</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means, at any time, an amount equal to the sum of the aggregate Multicurrency LC Obligations, Dollar LC Obligations and Canadian LC Obligations.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Reserve Account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Legal Reservations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right="20" w:firstLine="656"/>
        <w:spacing w:after="0" w:line="269" w:lineRule="auto"/>
        <w:tabs>
          <w:tab w:leader="none" w:pos="108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principle that equitable remedies may be granted or refused at the discretion of a court and the limitation of enforcement by laws relating to insolvency, reorganization and other laws generally affecting the rights of creditors;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3"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barring of claims under the Limitations Act, 2002 (Ontario), Limitation Act 1980 and the Foreign Limitation Periods Act 1984 of the United Kingdom, the possibility that an undertaking to assume liability for or indemnify a person against non-payment of UK stamp duty may be void and defenses of set-off or counterclaim;</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principles, rights and defenses under the laws of any relevant jurisdiction; and;</w:t>
      </w:r>
    </w:p>
    <w:p>
      <w:pPr>
        <w:spacing w:after="0" w:line="215" w:lineRule="exact"/>
        <w:rPr>
          <w:rFonts w:ascii="Times New Roman" w:cs="Times New Roman" w:eastAsia="Times New Roman" w:hAnsi="Times New Roman"/>
          <w:sz w:val="20"/>
          <w:szCs w:val="20"/>
          <w:color w:val="auto"/>
        </w:rPr>
      </w:pPr>
    </w:p>
    <w:p>
      <w:pPr>
        <w:ind w:right="20" w:firstLine="656"/>
        <w:spacing w:after="0" w:line="283" w:lineRule="auto"/>
        <w:tabs>
          <w:tab w:leader="none" w:pos="11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matters which are set out as qualifications or reservations as to matters of law of general application in any legal opinion delivered in accordance with Article V (Conditions of Credit) and Section 6 of the Incremental Amendment No.2 and Third Amendment.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have the respective meanings assigned to those terms in the preamble to this Agreement and shall include any Person that becomes a “Lender” (i) pursuant to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and (ii) in connection with the incurrence of an Additional Facility or Incremental Equivalent Debt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Amendment Request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Exposure</w:t>
      </w:r>
      <w:r>
        <w:rPr>
          <w:rFonts w:ascii="Times New Roman" w:cs="Times New Roman" w:eastAsia="Times New Roman" w:hAnsi="Times New Roman"/>
          <w:sz w:val="20"/>
          <w:szCs w:val="20"/>
          <w:color w:val="auto"/>
        </w:rPr>
        <w:t>” means, with respect to a Revolving Lender, such Lender’s Multicurrency Revolver Pro Rata Share, Dollar Revolver Pro Rata Share or Canadian Revolver Pro Rata Share, as the case may be, of the aggregate LC Obligations.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means, Multicurrency Letters of Credit, the Dollar Letters of Credit and Canadian Letters of Credit, collectively or separately as the context requires, and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one of such Letters of Credit.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encumbrance, charge, assignment, hypothecation, deemed trust, prior claim or security interest in or on such asset or any filing of any financing statement under the UCC as in effect in the applicable state, province or territory of Canada or jurisdiction or any other similar notice or lien under any similar notice or recording statute of any Governmental Authority, in each of the foregoing cases whether voluntary or imposed by law, (b) the interest of a vendor or a lessor under any conditional sale agreement, capital lease or title retention agreement relating to such asset and (c) any other agreement intended to create any of the foregoing; provided that in no event shall an Operating Lease be deemed to constitute a lien.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means any Acquisition of, or similar third-party Investment by one or more of Crown Holdings and its Subsidiaries in, any assets, business or Person permitted by this Agreement the consummation of which is not conditioned on the availability of, or on obtaining, third-party financing (it being understood that such commitment may be subject to conditions precedent (including diligence and regulatory conditions), which conditions precedent may be amended, satisfied or waived in accordance with the terms of the applicable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any (a) Limited Condition Acquisition, (b) redemption, repurchase, defeasance, satisfaction, discharge or repayment of Indebtedness requiring irrevocable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9"/>
          <w:szCs w:val="19"/>
          <w:color w:val="auto"/>
        </w:rPr>
        <w:t>advance notice of such redemption, repurchase, defeasance, satisfaction, discharge or repayment that is not subject to obtaining financing, or</w:t>
      </w:r>
    </w:p>
    <w:p>
      <w:pPr>
        <w:spacing w:after="0" w:line="40" w:lineRule="exact"/>
        <w:rPr>
          <w:sz w:val="20"/>
          <w:szCs w:val="20"/>
          <w:color w:val="auto"/>
        </w:rPr>
      </w:pPr>
    </w:p>
    <w:p>
      <w:pPr>
        <w:ind w:firstLine="8"/>
        <w:spacing w:after="0" w:line="253" w:lineRule="auto"/>
        <w:tabs>
          <w:tab w:leader="none" w:pos="27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declaration of a distribution or dividend in respect of, or irrevocable advance notice of, or any irrevocable offer to, purchase, redeem or otherwise acquire or retire for value, any Capital Stock of Crown Holdings that is not subject to obtaining financing.</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means any Term Loan, Dollar Revolving Loan, Multicurrency Revolving Loans, Canadian Revolving Loan or Swing Line Loan, and “Loans” means all such Loans collectively.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collectively, this Agreement, the Notes, each Security Document, each Guarantee Agreement, each Receivables Intercreditor Agreement, each Fee Letter and all other agreements, instruments and documents executed in connection therewith, in each case as the same may at any time be amended, supplemented, restated or otherwise modified and in effect.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 to be Converted</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Luxembourg</w:t>
      </w:r>
      <w:r>
        <w:rPr>
          <w:rFonts w:ascii="Times New Roman" w:cs="Times New Roman" w:eastAsia="Times New Roman" w:hAnsi="Times New Roman"/>
          <w:sz w:val="20"/>
          <w:szCs w:val="20"/>
          <w:color w:val="auto"/>
        </w:rPr>
        <w:t>” means the Grand Duchy of Luxembourg.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KPIs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Lenders</w:t>
      </w:r>
      <w:r>
        <w:rPr>
          <w:rFonts w:ascii="Times New Roman" w:cs="Times New Roman" w:eastAsia="Times New Roman" w:hAnsi="Times New Roman"/>
          <w:sz w:val="20"/>
          <w:szCs w:val="20"/>
          <w:color w:val="auto"/>
        </w:rPr>
        <w:t>” of any Facility means those Non-Defaulting Lenders which would constitute the Required Lenders under, and as defined in, this Agreement if all outstanding Obligations of other Facilities under this Agreement were repaid in full and all Commitments with respect thereto were terminated.</w:t>
      </w:r>
    </w:p>
    <w:p>
      <w:pPr>
        <w:spacing w:after="0" w:line="16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any Permitted Acquisition (or a series of related Permitted Acquisitions) that involves an acquisition, the aggregate fair market value of which assets exceeds $150,000,000.</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materially adverse effect on (a) the business, assets, operations or financial condition, of Crown Holdings and its Subsidiaries taken as a whole, (b) the ability of the Credit Parties (taken as a whole) to perform their payment obligations under any Loan Document or (c) the rights of or benefits available to the Lenders taken as a whole under any Loan Document.</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and Letters of Credit), or obligations in respect of one or more Hedging Agreements, of any one or more of Crown Holdings and its Material Subsidiaries, individually or in an aggregate principal amount exceeding $250,000,000. For purposes of determining Material Indebtedness, the “principal amount” of the obligations of Crown Holdings or any Subsidiary in respect of any Hedging Agreement at any time shall be the maximum aggregate amount (giving effect to any netting agreements) that such Person would be required to pay if such Hedging Agreement were terminated at such time.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means any Subsidiary of Crown Holdings, which either (i) the consolidated total assets of which were more than 8% of Crown Holdings’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(ii) the consolidated total revenues of which were more than 7% of Crown Holdings’ consolidated total revenues for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Borrower and each Subsidiary Borrower (only for so long as such Subsidiary remains a Borrower, unless such Subsidiary otherwise meets the requirements under this definition) shall be deemed to be Material Subsidiaries. Assets of Non-U.S. Subsidiaries shall be converted into Dollars at the rates used for purposes of preparing the consolidated balance sheet of Crown Holdings included in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 Extension Request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Commitment</w:t>
      </w:r>
      <w:r>
        <w:rPr>
          <w:rFonts w:ascii="Times New Roman" w:cs="Times New Roman" w:eastAsia="Times New Roman" w:hAnsi="Times New Roman"/>
          <w:sz w:val="19"/>
          <w:szCs w:val="19"/>
          <w:color w:val="auto"/>
        </w:rPr>
        <w:t xml:space="preserve">” means, when used with reference to any Lender, the aggregate of such Lender’s Term Commitments, Dollar Revolving Commitment, Multicurrency Revolving Commitment and Canadian Revolving Commitment in the amounts not to exceed those set forth opposite the name of such Lender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to Incremental Amendment No. 3 and Fifth Amendment or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to Incremental Amendment No. 3 and Fifth Amendment, subject to reduction from time to time in accordance with the terms of this Agreement.</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Borrowing Amount</w:t>
      </w:r>
      <w:r>
        <w:rPr>
          <w:rFonts w:ascii="Times New Roman" w:cs="Times New Roman" w:eastAsia="Times New Roman" w:hAnsi="Times New Roman"/>
          <w:sz w:val="20"/>
          <w:szCs w:val="20"/>
          <w:color w:val="auto"/>
        </w:rPr>
        <w:t>” means (i) with respect to Base Rate Loans, $1,000,000, (ii) with respect to SOFR Loans, $5,000,000, (iii) with respect to Eurocurrency Loans, €5,000,000, (iv) with respect to Daily Simple RFR Loans, £3,000,000, (v) with respect to Swing Line Loans, (a) $500,000 in the case of a Borrowing in Dollars, (b) £500,000 in the case of a Borrowing in Sterling and (c) €500,000 in the case of a Borrowing in Euro, (iv) with respect to Canadian Prime Rate Loans, Cdn.$5,000,000, and (v) with respect to B/A Loans Cdn.$5,000,000.</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Borrowing Multiple</w:t>
      </w:r>
      <w:r>
        <w:rPr>
          <w:rFonts w:ascii="Times New Roman" w:cs="Times New Roman" w:eastAsia="Times New Roman" w:hAnsi="Times New Roman"/>
          <w:sz w:val="20"/>
          <w:szCs w:val="20"/>
          <w:color w:val="auto"/>
        </w:rPr>
        <w:t>” means, (i) in the case of a Borrowing in Dollars, $1,000,000 ($500,000 for Swing Line Loans in Dollars), (ii) in the case of a Borrowing in Euros, €1,000,000 (€500,000 for Swing Line Loans in Euros), (iii) in the case of a Borrowing in Sterling £1,000,000 (£500,000 for Swing Line Loans in Sterling) and (iv) in the case of a Borrowing in Canadian Dollars, Cdn.$1,000,000.</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Minority Interest</w:t>
      </w:r>
      <w:r>
        <w:rPr>
          <w:rFonts w:ascii="Times New Roman" w:cs="Times New Roman" w:eastAsia="Times New Roman" w:hAnsi="Times New Roman"/>
          <w:sz w:val="20"/>
          <w:szCs w:val="20"/>
          <w:color w:val="auto"/>
        </w:rPr>
        <w:t>” means any Capital Stock in any Person engaged in a line of business which is complementary, reasonably related, ancillary or useful to any business in which Crown Holdings or any of its Subsidiaries is then engaged, where such Capital Stock constitutes 50% or less of all Capital Stock issued and outstanding of such Person.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or any successor to the rating agency business thereof.</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Most Recent Total Leverage Ratio</w:t>
      </w:r>
      <w:r>
        <w:rPr>
          <w:rFonts w:ascii="Times New Roman" w:cs="Times New Roman" w:eastAsia="Times New Roman" w:hAnsi="Times New Roman"/>
          <w:sz w:val="20"/>
          <w:szCs w:val="20"/>
          <w:color w:val="auto"/>
        </w:rPr>
        <w:t xml:space="preserve">” means, at any date, the Total Leverage Ratio for the Test Period ending as of the most recently ended Fiscal Quarter for which financial statements have been delivered to the Lenders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Crown Holdings fails to deliver such financial statements as required by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and further fails to remedy such default within five Business Days of notice thereof from Administrative Agent, then, without prejudice to any other rights of any Lender hereunder, the Most Recent Total Leverage Ratio shall be deemed to be greater than the Total Leverage Ratio required to be maintained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as of the date such financial statements were required to be delivered under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Commitment Fee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3.2(a)(ii)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LC Commission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2.10(g)(ii)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LC Obligations</w:t>
      </w:r>
      <w:r>
        <w:rPr>
          <w:rFonts w:ascii="Times New Roman" w:cs="Times New Roman" w:eastAsia="Times New Roman" w:hAnsi="Times New Roman"/>
          <w:sz w:val="20"/>
          <w:szCs w:val="20"/>
          <w:color w:val="auto"/>
        </w:rPr>
        <w:t xml:space="preserve">” means, at any time, an amount equal to the sum of (a) the aggregate Stated Amount of the then outstanding Multicurrency Letters of Credit and (b) the aggregate amount of Unpaid Drawings under Multicurrency Letters of Credit which have not then been reimbursed pursuant to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The Multicurrency LC Obligation of any Lender at any time shall mean its Multicurrency Revolver Pro Rata Share of the aggregate Multicurrency LC Obligations outstanding at such time.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99" w:name="page100"/>
    <w:bookmarkEnd w:id="99"/>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Letter of Credit Exposure</w:t>
      </w:r>
      <w:r>
        <w:rPr>
          <w:rFonts w:ascii="Times New Roman" w:cs="Times New Roman" w:eastAsia="Times New Roman" w:hAnsi="Times New Roman"/>
          <w:sz w:val="20"/>
          <w:szCs w:val="20"/>
          <w:color w:val="auto"/>
        </w:rPr>
        <w:t>” means, with respect to a Revolving Lender, such Lender’s Multicurrency Revolver Pro Rata Share of the aggregate Multicurrency LC Obligations.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Letters of Credit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2.10(a)(i)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Revolver Pro Rata Share</w:t>
      </w:r>
      <w:r>
        <w:rPr>
          <w:rFonts w:ascii="Times New Roman" w:cs="Times New Roman" w:eastAsia="Times New Roman" w:hAnsi="Times New Roman"/>
          <w:sz w:val="20"/>
          <w:szCs w:val="20"/>
          <w:color w:val="auto"/>
        </w:rPr>
        <w:t>” means, when used with reference to any Multicurrency Revolving Lender and any described aggregate or total amount, an amount equal to the result obtained by multiplying such described aggregate or total amount by a fraction the numerator of which shall be such Multicurrency Revolving Lender’s Multicurrency Revolving Commitment or, if the Revolver Termination Date for the Multicurrency Revolving Facility has occurred, the Effective Amount of such Multicurrency Revolving Lender’s then outstanding Multicurrency Revolving Loans and the denominator of which shall be the Multicurrency Revolving Commitments or, if the Revolver Termination Date for the Multicurrency Revolving Facility has occurred, the Effective Amount of all then outstanding Multicurrency Revolving Loans.</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Multicurrency Revolving Commitment</w:t>
      </w:r>
      <w:r>
        <w:rPr>
          <w:rFonts w:ascii="Times New Roman" w:cs="Times New Roman" w:eastAsia="Times New Roman" w:hAnsi="Times New Roman"/>
          <w:sz w:val="19"/>
          <w:szCs w:val="19"/>
          <w:color w:val="auto"/>
        </w:rPr>
        <w:t xml:space="preserve">” means, with respect to any Multicurrency Revolving Lender, the obligation of such Multicurrency Revolving Lender to make Multicurrency Revolving Loans and to participate in Multicurrency Letters of Credit and Swing Line Loans, as such commitment may be adjusted from time to time pursuant to this Agreement, which commitment as of the Incremental Amendment No. 3 and Fifth Amendment Effective Date is the amount set forth opposite such lender’s name on </w:t>
      </w:r>
      <w:r>
        <w:rPr>
          <w:rFonts w:ascii="Times New Roman" w:cs="Times New Roman" w:eastAsia="Times New Roman" w:hAnsi="Times New Roman"/>
          <w:sz w:val="19"/>
          <w:szCs w:val="19"/>
          <w:u w:val="single" w:color="auto"/>
          <w:color w:val="auto"/>
        </w:rPr>
        <w:t>Schedule 2</w:t>
      </w:r>
      <w:r>
        <w:rPr>
          <w:rFonts w:ascii="Times New Roman" w:cs="Times New Roman" w:eastAsia="Times New Roman" w:hAnsi="Times New Roman"/>
          <w:sz w:val="19"/>
          <w:szCs w:val="19"/>
          <w:color w:val="auto"/>
        </w:rPr>
        <w:t xml:space="preserve"> to Incremental Amendment No. 2 and Third Amendment under the caption “Amount of Multicurrency Revolving Commitment” as the same may be adjusted from time to time pursuant to the terms hereof and “Multicurrency Revolving Commitments” means such commitments collectively, which commitments equal $800,000,000 in the aggregate as of the Incremental Amendment No. 3 and Fifth Amendment Effective Date.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Revolving Credit Exposure</w:t>
      </w:r>
      <w:r>
        <w:rPr>
          <w:rFonts w:ascii="Times New Roman" w:cs="Times New Roman" w:eastAsia="Times New Roman" w:hAnsi="Times New Roman"/>
          <w:sz w:val="20"/>
          <w:szCs w:val="20"/>
          <w:color w:val="auto"/>
        </w:rPr>
        <w:t>” means, with respect to a Revolving Lender, the sum of (i) the outstanding principal amount of Multicurrency Revolving Loans made by such Lender, (ii) the Multicurrency Letter of Credit Exposure of such Revolving Lender and (iii) the Swing Line Exposure of such Revolving Lender.</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Revolving Facility</w:t>
      </w:r>
      <w:r>
        <w:rPr>
          <w:rFonts w:ascii="Times New Roman" w:cs="Times New Roman" w:eastAsia="Times New Roman" w:hAnsi="Times New Roman"/>
          <w:sz w:val="20"/>
          <w:szCs w:val="20"/>
          <w:color w:val="auto"/>
        </w:rPr>
        <w:t>” means the credit facility under this Agreement evidenced by the Multicurrency Revolving Commitments and the Multicurrency Revolving Loans.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Revolving Lender</w:t>
      </w:r>
      <w:r>
        <w:rPr>
          <w:rFonts w:ascii="Times New Roman" w:cs="Times New Roman" w:eastAsia="Times New Roman" w:hAnsi="Times New Roman"/>
          <w:sz w:val="20"/>
          <w:szCs w:val="20"/>
          <w:color w:val="auto"/>
        </w:rPr>
        <w:t>” means any Lender which has a Multicurrency Revolving Commitment or is owed a Multicurrency Revolving Loan (or a portion thereof).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Revolving Loan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Multicurrency Revolving Loans</w:t>
      </w:r>
      <w:r>
        <w:rPr>
          <w:rFonts w:ascii="Times New Roman" w:cs="Times New Roman" w:eastAsia="Times New Roman" w:hAnsi="Times New Roman"/>
          <w:sz w:val="20"/>
          <w:szCs w:val="20"/>
          <w:color w:val="auto"/>
        </w:rPr>
        <w:t xml:space="preserve">” have the meanings given in </w:t>
      </w:r>
      <w:r>
        <w:rPr>
          <w:rFonts w:ascii="Times New Roman" w:cs="Times New Roman" w:eastAsia="Times New Roman" w:hAnsi="Times New Roman"/>
          <w:sz w:val="20"/>
          <w:szCs w:val="20"/>
          <w:u w:val="single" w:color="auto"/>
          <w:color w:val="auto"/>
        </w:rPr>
        <w:t>Section 2.1(b)(iii)(B)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Revolving Sublimit</w:t>
      </w:r>
      <w:r>
        <w:rPr>
          <w:rFonts w:ascii="Times New Roman" w:cs="Times New Roman" w:eastAsia="Times New Roman" w:hAnsi="Times New Roman"/>
          <w:sz w:val="20"/>
          <w:szCs w:val="20"/>
          <w:color w:val="auto"/>
        </w:rPr>
        <w:t xml:space="preserve">” means, when used in reference to U.S. Borrower or European Borrower, the Total Multicurrency Revolving Commitment and when used in reference to a Subsidiary Borrower, the maximum Effective Amount of Multicurrency Revolving Loans, Multicurrency LC Obligations and Swing Line Loans permitted to be borrowed by such Borrower, which amount is set forth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attached hereto.</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Pension Plan described in Section 4001(a)(3) of ERISA to which contributions are or have, within the preceding six years, been made, or are or were, within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color w:val="auto"/>
        </w:rPr>
        <w:t>preceding six years, required to be made, by a Credit Party or any of its Subsidiaries or any of their ERISA Affiliates.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or Foreign Plan, other than a Multiemployer Plan, which a Credit Party or any of its Subsidiaries or any of their ERISA Affiliates and at least one employer other than a Credit Party, any of its Subsidiaries or any of their ERISA Affiliates are contributing sponsors and shall include, for greater certainty, any multiemployer pension plan within the meaning of applicable pension standards legislation in Canada.</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Indebtedness</w:t>
      </w:r>
      <w:r>
        <w:rPr>
          <w:rFonts w:ascii="Times New Roman" w:cs="Times New Roman" w:eastAsia="Times New Roman" w:hAnsi="Times New Roman"/>
          <w:sz w:val="20"/>
          <w:szCs w:val="20"/>
          <w:color w:val="auto"/>
        </w:rPr>
        <w:t>” means, at any date and with respect to any Person, all Indebtedness of such Person described in clauses (i) (excluding any such Indebtedness owed to Crown Holdings or any of its Subsidiaries) through (vii) (other than commercial letters of credit and undrawn amounts under standby letters of credit) and clause (x) of the definition of “Indebtedness” and Guarantee Obligations in respect of the foregoing, on such date less Cash and Cash Equivalents of such Person on such date determined in accordance with GAAP. Net Indebtedness shall not include the amount of any Indebtedness that has been defeased or satisfied and discharged in accordance with the terms of such Indebtedness. For the avoidance of doubt, Excluded Attributable Debt shall not constitute Attributable Debt or Net Indebtedness.</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xml:space="preserve">” means, with respect to any Asset Disposition, or any Recovery Event, (a) the cash proceeds actually received in respect of such event, including (i) any cash received in respect of any non-cash proceeds, but only as and when received, (ii) in the case of a Recovery Event, insurance proceeds in excess of $750,000,000 for all Recovery Events following the Incremental Amendment No. 3 and Fifth Amendment Effective Date, and condemnation awards and similar payments in excess of $750,000,000 for all condemnation awards and similar payments following the Incremental Amendment No. 3 and Fifth Amendment Effective Date, net of (b) the sum of (i) all reasonable costs, fees and out-of-pocket expenses incurred by Crown Holdings and its Subsidiaries to third parties (other than Affiliates) in connection with such event (or, if such costs, fees or expenses have not yet then been incurred or invoiced, such Person’s good faith estimate thereof), (ii) the amount of all Taxes paid (or reasonably estimated to be payable or held in reserve in accordance with GAAP or other applicable accounting rules) by Crown Holdings and its Subsidiaries in connection with such event (including any Taxes imposed as a result of the repatriation of any such cash proceeds), (iii) the amount of all payments required to be made by Crown Holdings and its Subsidiaries as a result of such event to repay Indebtedness (other than Loans) secured by a Prior Lien (as defined in the U.S. Security Agreement) and refinancings thereof permitted hereunder or a Lien permitted by </w:t>
      </w:r>
      <w:r>
        <w:rPr>
          <w:rFonts w:ascii="Times New Roman" w:cs="Times New Roman" w:eastAsia="Times New Roman" w:hAnsi="Times New Roman"/>
          <w:sz w:val="20"/>
          <w:szCs w:val="20"/>
          <w:u w:val="single" w:color="auto"/>
          <w:color w:val="auto"/>
        </w:rPr>
        <w:t>Section 8.2(d)</w:t>
      </w:r>
      <w:r>
        <w:rPr>
          <w:rFonts w:ascii="Times New Roman" w:cs="Times New Roman" w:eastAsia="Times New Roman" w:hAnsi="Times New Roman"/>
          <w:sz w:val="20"/>
          <w:szCs w:val="20"/>
          <w:color w:val="auto"/>
        </w:rPr>
        <w:t xml:space="preserve"> and the amount of any reserves established by Crown Holdings and its Subsidiaries to fund contingent liabilities reasonably estimated to be payable, in each case during the year that such event occurred or the next succeeding two years and that are directly attributable to such event (as determined reasonably and in good faith by Crown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amount by which such reserves are reduced for reasons other than payment of any such contingent liabilities shall be considered “Net Proceeds” upon such reduction, (iv) the amount of any reasonable reserves established by Crown Holdings or any Subsidiary of Crown Holdings to fund purchase price adjustment, contingent liabilities and fixed indemnification payments reasonably estimated to be payable; provided that any amount by which such reserves are reduced for reasons other than payment of any such purchase price adjustment, contingent liabilities or indemnification payments shall be considered “Net Proceeds” upon such reduction, (v) any liabilities associated with such asset or assets and retained by Crown Holdings or any of its Subsidiaries after such Asset Disposition or Recovery Event, as applicable, including pension and other post-employment benefit liabilities and liabilities related to Environmental Liability or against any indemnification obligations associated with the transaction, (vi) all distributions and other payments required to be made to minority interest holders in Subsidiaries, Unrestricted Entities or joint ventures as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01" w:name="page102"/>
    <w:bookmarkEnd w:id="101"/>
    <w:p>
      <w:pPr>
        <w:jc w:val="both"/>
        <w:spacing w:after="0" w:line="253" w:lineRule="auto"/>
        <w:rPr>
          <w:sz w:val="20"/>
          <w:szCs w:val="20"/>
          <w:color w:val="auto"/>
        </w:rPr>
      </w:pPr>
      <w:r>
        <w:rPr>
          <w:rFonts w:ascii="Times New Roman" w:cs="Times New Roman" w:eastAsia="Times New Roman" w:hAnsi="Times New Roman"/>
          <w:sz w:val="20"/>
          <w:szCs w:val="20"/>
          <w:color w:val="auto"/>
        </w:rPr>
        <w:t>a result of such Asset Disposition or Recovery Event, as applicable, or to any other Person (other than Crown Holdings or any of its Subsidiaries) owning a beneficial interest in the assets subject to such transaction, (vii) in the case of a Recovery Event under clause (ii) of such definition, the costs and expenses of putting any affected property in a safe and secure position and (viii) in the case of proceeds arising out of the sublease or sublicense of any property, amounts required to be paid in respect of the lease or license of such property. Any proceeds received in a currency other than Dollars shall, for purposes of the calculation of the amount of Net Proceeds, be in an amount equal to the Dollar Equivalent thereof as of the date of receipt thereof by Crown Holdings or any Subsidiary of Crown Holdings.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Lender</w:t>
      </w:r>
      <w:r>
        <w:rPr>
          <w:rFonts w:ascii="Times New Roman" w:cs="Times New Roman" w:eastAsia="Times New Roman" w:hAnsi="Times New Roman"/>
          <w:sz w:val="20"/>
          <w:szCs w:val="20"/>
          <w:color w:val="auto"/>
        </w:rPr>
        <w:t xml:space="preserve">” means any Person that becomes a Lender with respect to (a) a tranche of Additional Facilities or Incremental Equivalent Debt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(b) a tranche of Replacement Revolving Loans and Replacement Revolving Commitments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(c) a tranche of Replacement Term Loans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Maturity Date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Non-Cooperative Jurisdiction</w:t>
      </w:r>
      <w:r>
        <w:rPr>
          <w:rFonts w:ascii="Times New Roman" w:cs="Times New Roman" w:eastAsia="Times New Roman" w:hAnsi="Times New Roman"/>
          <w:sz w:val="20"/>
          <w:szCs w:val="20"/>
          <w:color w:val="auto"/>
        </w:rPr>
        <w:t>” means a “non-cooperative state or territory” (</w:t>
      </w:r>
      <w:r>
        <w:rPr>
          <w:rFonts w:ascii="Times New Roman" w:cs="Times New Roman" w:eastAsia="Times New Roman" w:hAnsi="Times New Roman"/>
          <w:sz w:val="20"/>
          <w:szCs w:val="20"/>
          <w:i w:val="1"/>
          <w:iCs w:val="1"/>
          <w:color w:val="auto"/>
        </w:rPr>
        <w:t>État ou territoire non coopératif</w:t>
      </w:r>
      <w:r>
        <w:rPr>
          <w:rFonts w:ascii="Times New Roman" w:cs="Times New Roman" w:eastAsia="Times New Roman" w:hAnsi="Times New Roman"/>
          <w:sz w:val="20"/>
          <w:szCs w:val="20"/>
          <w:color w:val="auto"/>
        </w:rPr>
        <w:t xml:space="preserve">) as set out in the list referred to in article 238-0 A of the French </w:t>
      </w:r>
      <w:r>
        <w:rPr>
          <w:rFonts w:ascii="Times New Roman" w:cs="Times New Roman" w:eastAsia="Times New Roman" w:hAnsi="Times New Roman"/>
          <w:sz w:val="20"/>
          <w:szCs w:val="20"/>
          <w:i w:val="1"/>
          <w:iCs w:val="1"/>
          <w:color w:val="auto"/>
        </w:rPr>
        <w:t>Code général des impôts</w:t>
      </w:r>
      <w:r>
        <w:rPr>
          <w:rFonts w:ascii="Times New Roman" w:cs="Times New Roman" w:eastAsia="Times New Roman" w:hAnsi="Times New Roman"/>
          <w:sz w:val="20"/>
          <w:szCs w:val="20"/>
          <w:color w:val="auto"/>
        </w:rPr>
        <w:t>, as of the Effective Date.</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each Lender which is not a Defaulting Lender.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Non-Stock Collateral Release Event</w:t>
      </w:r>
      <w:r>
        <w:rPr>
          <w:rFonts w:ascii="Times New Roman" w:cs="Times New Roman" w:eastAsia="Times New Roman" w:hAnsi="Times New Roman"/>
          <w:sz w:val="20"/>
          <w:szCs w:val="20"/>
          <w:color w:val="auto"/>
        </w:rPr>
        <w:t>” means the satisfaction of each of the following conditions: (a) no Event of Default shall have occurred and be continuing; (b) the achievement of public corporate/corporate family ratings of Crown Holdings from each of Moody’s and S&amp;P of at least (in each case, with a stable or better outlook) Ba1 and BB+ respectively and (c) the Administrative Agent shall have received a certificate from Crown Holdings certifying to the foregoing in a manner reasonably acceptable to the Administrative Agent.</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Guarantee Agreement</w:t>
      </w:r>
      <w:r>
        <w:rPr>
          <w:rFonts w:ascii="Times New Roman" w:cs="Times New Roman" w:eastAsia="Times New Roman" w:hAnsi="Times New Roman"/>
          <w:sz w:val="20"/>
          <w:szCs w:val="20"/>
          <w:color w:val="auto"/>
        </w:rPr>
        <w:t>” means that certain Non-U.S. Guarantee Agreement, dated as of December 19, 2013 as amended, restated, amended and restated, supplemented or otherwise modified from time to time, among the Guarantors party thereto, Euro Collateral Agent and the Canadian Administrative Agent.</w:t>
      </w:r>
    </w:p>
    <w:p>
      <w:pPr>
        <w:spacing w:after="0" w:line="18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Non-U.S. Guarantee Subsidiary</w:t>
      </w:r>
      <w:r>
        <w:rPr>
          <w:rFonts w:ascii="Times New Roman" w:cs="Times New Roman" w:eastAsia="Times New Roman" w:hAnsi="Times New Roman"/>
          <w:sz w:val="19"/>
          <w:szCs w:val="19"/>
          <w:color w:val="auto"/>
        </w:rPr>
        <w:t xml:space="preserve">” means (i) any Wholly-Owned Subsidiary organized in England, Canada, France, Germany, Mexico, or Switzerland (other than a Receivables Subsidiary, an SLB Subsidiary, an Excluded U.K. Company, and Butimove), (ii) any Wholly-Owned Subsidiary that is organized under the laws of a jurisdiction other than the United States of America or any state thereof or the District of Columbia or England, Canada, France, Germany, Mexico or Switzerland that executes or has executed a Non-U.S. Guarantee Agreement (or a supplement thereto) and takes or has taken such other actions contemplated by </w:t>
      </w:r>
      <w:r>
        <w:rPr>
          <w:rFonts w:ascii="Times New Roman" w:cs="Times New Roman" w:eastAsia="Times New Roman" w:hAnsi="Times New Roman"/>
          <w:sz w:val="19"/>
          <w:szCs w:val="19"/>
          <w:u w:val="single" w:color="auto"/>
          <w:color w:val="auto"/>
        </w:rPr>
        <w:t>Section 7.14(c)</w:t>
      </w:r>
      <w:r>
        <w:rPr>
          <w:rFonts w:ascii="Times New Roman" w:cs="Times New Roman" w:eastAsia="Times New Roman" w:hAnsi="Times New Roman"/>
          <w:sz w:val="19"/>
          <w:szCs w:val="19"/>
          <w:color w:val="auto"/>
        </w:rPr>
        <w:t xml:space="preserve"> and (iii) all Dutch Borrowers.</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Lender</w:t>
      </w:r>
      <w:r>
        <w:rPr>
          <w:rFonts w:ascii="Times New Roman" w:cs="Times New Roman" w:eastAsia="Times New Roman" w:hAnsi="Times New Roman"/>
          <w:sz w:val="20"/>
          <w:szCs w:val="20"/>
          <w:color w:val="auto"/>
        </w:rPr>
        <w:t>” means any Lender, Swing Line Lender or Facing Agent that is not a United States person within the meaning of Section 7701(a)(30) of the Code.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Subsidiary</w:t>
      </w:r>
      <w:r>
        <w:rPr>
          <w:rFonts w:ascii="Times New Roman" w:cs="Times New Roman" w:eastAsia="Times New Roman" w:hAnsi="Times New Roman"/>
          <w:sz w:val="20"/>
          <w:szCs w:val="20"/>
          <w:color w:val="auto"/>
        </w:rPr>
        <w:t>” means, with respect to any Person, any Subsidiary of such Person that is organized under the laws of a jurisdiction other than the United States of America or any state thereof or the District of Columbia.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02" w:name="page103"/>
    <w:bookmarkEnd w:id="102"/>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means a note substantially in the form of </w:t>
      </w:r>
      <w:r>
        <w:rPr>
          <w:rFonts w:ascii="Times New Roman" w:cs="Times New Roman" w:eastAsia="Times New Roman" w:hAnsi="Times New Roman"/>
          <w:sz w:val="20"/>
          <w:szCs w:val="20"/>
          <w:u w:val="single" w:color="auto"/>
          <w:color w:val="auto"/>
        </w:rPr>
        <w:t>Exhibit 2.2(a)(1)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Exhibit 2.2(a)(2)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2A.2(a)</w:t>
      </w:r>
      <w:r>
        <w:rPr>
          <w:rFonts w:ascii="Times New Roman" w:cs="Times New Roman" w:eastAsia="Times New Roman" w:hAnsi="Times New Roman"/>
          <w:sz w:val="20"/>
          <w:szCs w:val="20"/>
          <w:color w:val="auto"/>
        </w:rPr>
        <w:t xml:space="preserve"> (or, in each case, such other form or mutually agreed by Crown Holdings and the Administrative Agent), and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means all of such Notes collectively.</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Address</w:t>
      </w:r>
      <w:r>
        <w:rPr>
          <w:rFonts w:ascii="Times New Roman" w:cs="Times New Roman" w:eastAsia="Times New Roman" w:hAnsi="Times New Roman"/>
          <w:sz w:val="20"/>
          <w:szCs w:val="20"/>
          <w:color w:val="auto"/>
        </w:rPr>
        <w:t>” means with respect to the Administrative Agent, the office of Administrative Agent located at Deutsche Bank AG New York Branch, 1 Columbus Circle, New York, New York 10019, or with respect to the U.K. Administrative Agent, the office of the U.K. Administrative Agent located at Deutsche Bank AG London Branch, Winchester House, 1 Great Winchester Street, EC2N 2DB, London, United Kingdom or such other office as the Administrative Agent may hereafter designate in writing as such to the other parties hereto, with respect to Swing Line Lender for Swing Line Loans issued in Alternative Currencies or under the Multicurrency Revolving Facility, the office located at Deutsche Bank AG London Branch, GBS Loans and LEMG, 175 Bishopsgate, EC2A 2JN, London, United Kingdom, or such other office as Swing Line Lender may designate to Borrowers from time to time (which shall be in Europe unless consented to by European Borrower), and with respect to Canadian Administrative Agent, located at Deutsche Bank AG Canada Branch, Suite 4700 Commerce Court West, 199 Bay Street, Toronto, Ontario, Canada M5L 1E9, or such other office as Canadian Administrative Agent may designate to Borrowers and the Lenders from time to time.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Canadian Borrowing</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2A.5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Canadian Conversion or Continuation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Conversion or Continuation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Issuance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the U.S. Obligations, the Euro Obligations, the Canadian Obligations, the Subsidiary Borrower Obligations and the Guarantee Obligations pursuant to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and the Guarantee Agreements. Notwithstanding the foregoing, the “Obligations” exclude Excluded Swap Obligations.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Operating Lease</w:t>
      </w:r>
      <w:r>
        <w:rPr>
          <w:rFonts w:ascii="Times New Roman" w:cs="Times New Roman" w:eastAsia="Times New Roman" w:hAnsi="Times New Roman"/>
          <w:sz w:val="20"/>
          <w:szCs w:val="20"/>
          <w:color w:val="auto"/>
        </w:rPr>
        <w:t>” of any Person, means any lease (including, without limitation, leases which may be terminated by the lessee at any time) of any property (whether real, personal or mixed) by such Person, as lessee, which is not a Capitalized Lease.</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Organic Documents</w:t>
      </w:r>
      <w:r>
        <w:rPr>
          <w:rFonts w:ascii="Times New Roman" w:cs="Times New Roman" w:eastAsia="Times New Roman" w:hAnsi="Times New Roman"/>
          <w:sz w:val="20"/>
          <w:szCs w:val="20"/>
          <w:color w:val="auto"/>
        </w:rPr>
        <w:t>” means (i) relative to each Person that is a corporation, its charter, articles of incorporation, articles of amendment, articles of amalgamation, by-laws and all shareholder agreements, voting trusts and similar arrangements applicable to any of its authorized shares of capital stock, (ii) relative to each Person that is a partnership, its partnership agreement and any other similar arrangements applicable to any partnership or other equity interests in the Person and (iii) relative to any Person that is any other type of legal entity, such documents as shall be comparable to the foregoing.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Original Closing Date</w:t>
      </w:r>
      <w:r>
        <w:rPr>
          <w:rFonts w:ascii="Times New Roman" w:cs="Times New Roman" w:eastAsia="Times New Roman" w:hAnsi="Times New Roman"/>
          <w:sz w:val="20"/>
          <w:szCs w:val="20"/>
          <w:color w:val="auto"/>
        </w:rPr>
        <w:t>” means December 19, 2013.</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13.1(c)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03" w:name="page104"/>
    <w:bookmarkEnd w:id="103"/>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Other Taxes</w:t>
      </w:r>
      <w:r>
        <w:rPr>
          <w:rFonts w:ascii="Times New Roman" w:cs="Times New Roman" w:eastAsia="Times New Roman" w:hAnsi="Times New Roman"/>
          <w:sz w:val="19"/>
          <w:szCs w:val="19"/>
          <w:color w:val="auto"/>
        </w:rPr>
        <w:t>” means any and all present or future stamp, court or documentary, intangible, recording, filing or similar Taxes (including, for the avoidance of doubt, any Taxes imposed pursuant to Article 7.1.B of the Spanish Transfer Tax and Stamp Duty Law passed by Royal Legislative Decree 1/1993, of September 24) that arise from any payment made under, from the execution, delivery, performance, enforcement or registration of, from the receipt or perfection of a security interest under, or otherwise with respect to, any Loan Document, except any such Taxes that are imposed with respect to any assignment as a result of any present or former connection between the applicable Lender and the jurisdiction imposing such Tax (other than a connection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Euro Rate</w:t>
      </w:r>
      <w:r>
        <w:rPr>
          <w:rFonts w:ascii="Times New Roman" w:cs="Times New Roman" w:eastAsia="Times New Roman" w:hAnsi="Times New Roman"/>
          <w:sz w:val="19"/>
          <w:szCs w:val="19"/>
          <w:color w:val="auto"/>
        </w:rPr>
        <w:t xml:space="preserve">” on any date means the offered quotation to first-class banks in the London interbank market by Swing Line Lender for Euro overnight deposits of amounts in immediately available funds comparable to the outstanding principal amount of the Swing Line Loan of Swing Line Lender as of 11:00 a.m. (London time) on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Administrative Agent has made any determination pursuant to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in respect of Swing Line Loans denominated in Euros, or in the circumstances described in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in respect of Swing Line Loans denominated in Euros, the Overnight Euro Rate determined pursuant to this definition shall instead be the rate determined by Swing Line Lender as the all-in-cost of funds for Swing Line Lender to fund such Swing Line Loan in each case, plus the Applicable Eurocurrency Margin. Notwithstanding the foregoing, the Overnight Euro Rate shall not in any event be less than zero.</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Sterling Rate</w:t>
      </w:r>
      <w:r>
        <w:rPr>
          <w:rFonts w:ascii="Times New Roman" w:cs="Times New Roman" w:eastAsia="Times New Roman" w:hAnsi="Times New Roman"/>
          <w:sz w:val="20"/>
          <w:szCs w:val="20"/>
          <w:color w:val="auto"/>
        </w:rPr>
        <w:t xml:space="preserve">” means Daily Simple RFR;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the Administrative Agent has made any determination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in respect of Swing Line Loans denominated in Sterling, or in the circumstances described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in respect of Swing Line Loan, the Overnight Sterling Rate determined pursuant to this definition shall instead be the rate determined by Swing Line Lender as the all-in-cost of funds for Swing Line Lender to fund such Swing Line Loan, in each case, plus the Applicable RFR Margin for Multicurrency Revolving Loans. Notwithstanding the foregoing, the Overnight Sterling Rate shall not in any event be less than zero.</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 Loan</w:t>
      </w:r>
      <w:r>
        <w:rPr>
          <w:rFonts w:ascii="Times New Roman" w:cs="Times New Roman" w:eastAsia="Times New Roman" w:hAnsi="Times New Roman"/>
          <w:sz w:val="20"/>
          <w:szCs w:val="20"/>
          <w:color w:val="auto"/>
        </w:rPr>
        <w:t>” means each Swing Line Loan which bears interest at a rate determined with reference to the Overnight Euro Rate or the Overnight Sterling Rate, as applicable based on the Alternative Currency borrowed.</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Guarantor</w:t>
      </w:r>
      <w:r>
        <w:rPr>
          <w:rFonts w:ascii="Times New Roman" w:cs="Times New Roman" w:eastAsia="Times New Roman" w:hAnsi="Times New Roman"/>
          <w:sz w:val="20"/>
          <w:szCs w:val="20"/>
          <w:color w:val="auto"/>
        </w:rPr>
        <w:t xml:space="preserve">” means each of Crown Holdings, CCSC and Crown International and any other Subsidiary of Crown Holdings that is a parent company (directly or indirectly) of either U.S. Borrower or European Borrower (other than Crown Développement) under their respective guaranties in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Crown Développement under the Non-U.S. Guarantee Agreement. For purposes of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hereof only, “Parent Guarantor” shall not include Crown Développement.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Communities that has the common currency of the European Union as its lawful currency in accordance with legislation of the European Union relating to Economic and Monetary Union.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Office</w:t>
      </w:r>
      <w:r>
        <w:rPr>
          <w:rFonts w:ascii="Times New Roman" w:cs="Times New Roman" w:eastAsia="Times New Roman" w:hAnsi="Times New Roman"/>
          <w:sz w:val="20"/>
          <w:szCs w:val="20"/>
          <w:color w:val="auto"/>
        </w:rPr>
        <w:t xml:space="preserve">” means (a) with respect to Administrative Agent or Swing Line Lender, for payments with respect to Dollar-denominated Loans and, except as provided in clauses (b) and (c) below, all other amounts, 5022 Gate Parkway Suite 200, Jacksonville, FL 32256, Attn: Commercial Loan Division, or such other address as Administrative Agent or Swing Line Lender, as the case may be, may from time to time specify in accordance with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(b) with respect to Administrative Agent or Swing Line Lender, for payments in any Alternative Currency, such account at such bank or office in London or such other place as Administrative Agent or Swing Line Lender, as the case may be, shall designate by notice to the Person required to make the relevant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Payment Office shall be designated that is in France and (c) with respect to Canadian Administrative Agent, for payments with respect to Canadian Revolving Loans, such account at such bank or office in Canada as Canadian Administrative Agent shall designate by notice to the Person required to make the relevant payment.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has the meaning assigned to it in Section 11.14(a).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created by Section 4002(a) of ERISA.</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plan described in Section 4021(a) of ERISA and not excluded pursuant to Section 4021(b) thereof, which is or has, within the preceding six years, been established or maintained, or to which contributions are being or have been, within the preceding six years, made, by a Credit Party, any of its Subsidiaries or any of their ERISA Affiliates and, for greater certainty, shall not include any Foreign Plan.</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means that certain perfection certificate delivered pursuant to the U.S. Security Agreement as amended, restated, amended and restated or otherwise modified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has the meaning assigned to such term in the definition of “Term CORRA”.</w:t>
      </w:r>
    </w:p>
    <w:p>
      <w:pPr>
        <w:spacing w:after="0" w:line="21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(A) the Signode Acquisition and (B) subject to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any Acquisition by Crown Holdings or any of its Subsidiaries if, solely with respect to this clause (B), all of the following conditions are met on the date such Acquisition is consummated (or on the date specified in the applicable condition below):</w:t>
      </w:r>
    </w:p>
    <w:p>
      <w:pPr>
        <w:spacing w:after="0" w:line="181" w:lineRule="exact"/>
        <w:rPr>
          <w:sz w:val="20"/>
          <w:szCs w:val="20"/>
          <w:color w:val="auto"/>
        </w:rPr>
      </w:pPr>
    </w:p>
    <w:p>
      <w:pPr>
        <w:jc w:val="both"/>
        <w:ind w:left="660" w:firstLine="644"/>
        <w:spacing w:after="0" w:line="261" w:lineRule="auto"/>
        <w:tabs>
          <w:tab w:leader="none" w:pos="19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date of execution of the definitive agreement in respect of such Acquisition, immediately after giving effect thereto on a Pro Forma Basis, no Event of Default under </w:t>
      </w:r>
      <w:r>
        <w:rPr>
          <w:rFonts w:ascii="Times New Roman" w:cs="Times New Roman" w:eastAsia="Times New Roman" w:hAnsi="Times New Roman"/>
          <w:sz w:val="20"/>
          <w:szCs w:val="20"/>
          <w:u w:val="single" w:color="auto"/>
          <w:color w:val="auto"/>
        </w:rPr>
        <w:t>Sections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shall have occurred and be continuing or would immediately result therefrom;</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related thereto are consummated in compliance, in all material respects, with applicable Requirements of Law;</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actions, if any, required to be taken under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(subject to any grace periods set forth therein) with respect to any newly formed Subsidiary or Person that becomes a Subsidiary as a result of such Permitted Acquisition and its property are taken as and when required under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05" w:name="page106"/>
    <w:bookmarkEnd w:id="105"/>
    <w:p>
      <w:pPr>
        <w:ind w:left="1940" w:hanging="636"/>
        <w:spacing w:after="0"/>
        <w:tabs>
          <w:tab w:leader="none" w:pos="1940" w:val="left"/>
        </w:tabs>
        <w:numPr>
          <w:ilvl w:val="1"/>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transaction involving Acquisition Consideration of more than the greater of (x) $290,000,000 and</w:t>
      </w:r>
    </w:p>
    <w:p>
      <w:pPr>
        <w:spacing w:after="0" w:line="39" w:lineRule="exact"/>
        <w:rPr>
          <w:rFonts w:ascii="Times New Roman" w:cs="Times New Roman" w:eastAsia="Times New Roman" w:hAnsi="Times New Roman"/>
          <w:sz w:val="19"/>
          <w:szCs w:val="19"/>
          <w:color w:val="auto"/>
        </w:rPr>
      </w:pPr>
    </w:p>
    <w:p>
      <w:pPr>
        <w:jc w:val="both"/>
        <w:ind w:left="660" w:hanging="4"/>
        <w:spacing w:after="0" w:line="248" w:lineRule="auto"/>
        <w:tabs>
          <w:tab w:leader="none" w:pos="9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 of Consolidated Total Assets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(excluding the maximum value of earn out obligations, if any) in assets that are not (or do not become) owned by a Credit Party or in Capital Stock of Persons that do not become Credit Parties, unless Administrative Agent shall otherwise agree, (A) (i) immediately after giving effect thereto, the aggregate principal amount of unutilized Revolving Commitments shall be equal to or greater than $150,000,000 and (ii) on or before the date of the consummation of such acquisition, Crown Holdings shall provide Administrative Agent with historical financial statements for at least the last Fiscal Year of the Person or business to be acquired (if available) and unaudited financial statements thereof for the most recent interim period (if available) and (B) an officer’s certificate executed by a Responsible Officer of Crown Holdings certifying to his or her knowledge that such transaction complies with clause (e)(A)(i) of this definition (which shall have attached thereto reasonably detailed backup data and calculations showing such compliance).</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Covenant</w:t>
      </w:r>
      <w:r>
        <w:rPr>
          <w:rFonts w:ascii="Times New Roman" w:cs="Times New Roman" w:eastAsia="Times New Roman" w:hAnsi="Times New Roman"/>
          <w:sz w:val="20"/>
          <w:szCs w:val="20"/>
          <w:color w:val="auto"/>
        </w:rPr>
        <w:t>” means (i) any periodic reporting covenant, (ii) any covenant restricting payments by Crown Holdings with respect to any securities of Crown Holdings which are junior to the Permitted Preferred Stock, (iii) any covenant the default of which can only result in an increase in the amount of any redemption price, repayment amount, dividend rate or interest rate, (iv) any covenant providing board observance rights with respect to Crown Holdings’ board of directors and (v) any other covenant that does not materially adversely affect the interests of the Lenders (as reasonably determined by Administrative Agent).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Cross Chain Transactions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660" w:firstLine="644"/>
        <w:spacing w:after="0" w:line="258" w:lineRule="auto"/>
        <w:tabs>
          <w:tab w:leader="none" w:pos="19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of any Wholly-Owned Subsidiary of U.S. Borrower or European Borrower into any other Subsidiary of U.S. Borrower or European Borrower in a transaction in which the surviving entity is a Wholly-Owned Subsidiary of U.S. Borrower or European Borrower and (if any party to such merger is a Subsidiary Credit Party) is a Subsidiary Credit Party;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9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or transfer by any Subsidiary Credit Party of all or substantially all of its assets or all of the stock of a Subsidiary that it owns to any other Subsidiary Credit Party or any such sale between Subsidiaries that are not Credit Parties (whether or not such Subsidiaries are both Subsidiaries of the same Borrower);</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one or more of the Subsidiaries that are the subject of the merger or sale of assets or sale of stock, or the seller of the stock is a Credit Party, the Liens under the Security Documents on the assets or such stock and the Guarantee Obligations of such Credit Parties under the Loan Documents will (and Administrative Agent will be satisfied that such Lien and Guarantee Obligations will) remain valid, enforceable and shall not be impaired as a result of such transactions and that the Lien on such assets or such stock continues to secure at least all Obligations secured prior to such transactions and Administrative Agent shall have received legal opinions from counsel to Borrowers and reasonably acceptable to Administrative Agent in form and substance reasonably satisfactory to Administrative Agent with respect to the continued validity and enforceability and non-impairment of such Guarantee Obligations and Liens and the continued perfection of such Liens, (b) if the surviving entity of any such merger in clause (i) is not a Credit Party or any such sale in clause (ii) is to a Subsidiary that is not a Credit Party, the parent companies of the non-surviving entity or the seller, as applicable, received fair consideration in connection with such transaction in the form of either cash or an intercompany note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83" w:lineRule="auto"/>
        <w:rPr>
          <w:sz w:val="20"/>
          <w:szCs w:val="20"/>
          <w:color w:val="auto"/>
        </w:rPr>
      </w:pPr>
      <w:r>
        <w:rPr>
          <w:rFonts w:ascii="Times New Roman" w:cs="Times New Roman" w:eastAsia="Times New Roman" w:hAnsi="Times New Roman"/>
          <w:sz w:val="20"/>
          <w:szCs w:val="20"/>
          <w:color w:val="auto"/>
        </w:rPr>
        <w:t>secured by substantially all of the assets of the obligor and (c) Crown Holdings shall have delivered an officers’ certificate to Administrative Agent confirming compliance with clauses (a) and (b).</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European Borrower Debt</w:t>
      </w:r>
      <w:r>
        <w:rPr>
          <w:rFonts w:ascii="Times New Roman" w:cs="Times New Roman" w:eastAsia="Times New Roman" w:hAnsi="Times New Roman"/>
          <w:sz w:val="20"/>
          <w:szCs w:val="20"/>
          <w:color w:val="auto"/>
        </w:rPr>
        <w:t>” means unsecured indebtedness for borrowed money, in the form of senior or subordinated unsecured term loans, senior or subordinated unsecured revolving credit loans, or senior or subordinated unsecured notes, including convertible notes, of the European Borrower, the terms of which indebtedness (i) do not provide for any scheduled repayment, mandatory redemption or sinking fund obligation prior to six months after the then latest Term Maturity Date or Revolver Termination Date (whichever is latest) (provided that the limitations set forth in this clause (i) shall not apply to Permitted European Borrower Debt in an aggregate principal amount not to exceed the Inside Maturity Date Amount), (ii) do not restrict, limit or adversely affect the ability of any Credit Party or any of its Subsidiaries to perform its obligations under any of the Loan Documents, (iii) provide that no Subsidiary of Crown Holdings is a guarantor under such notes that is not a Credit Party, (iv) are customary for similar offerings by issuers with credit ratings, financial profiles and capital structures comparable to that of the European Borrower, and (v) such indebtedness (other than notes issued pursuant to a public offering or pursuant to an offering in reliance on Section 4(2) and Rule 144A and/or Regulation S under the Securities Act of 1933, as amended) shall otherwise be issued on terms and conditions reasonably satisfactory to the Administrative Agent.</w:t>
      </w:r>
    </w:p>
    <w:p>
      <w:pPr>
        <w:spacing w:after="0" w:line="20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Guarantee Obligations</w:t>
      </w:r>
      <w:r>
        <w:rPr>
          <w:rFonts w:ascii="Times New Roman" w:cs="Times New Roman" w:eastAsia="Times New Roman" w:hAnsi="Times New Roman"/>
          <w:sz w:val="19"/>
          <w:szCs w:val="19"/>
          <w:color w:val="auto"/>
        </w:rPr>
        <w:t xml:space="preserve">” means (i) Guarantee Obligations of Crown Holdings or any of its Subsidiaries of obligations of any Person under leases, subleases, licenses, sublicenses, supply contracts and other contracts or warranties and indemnities, in each case, not constituting Indebtedness of such Person, which have been or are undertaken or made in the ordinary course of business by Crown Holdings or any of its Subsidiaries (including, without limitation, guarantees of leases and supply contracts entered into in the ordinary course of business), (ii) Guarantee Obligations of any Credit Party with respect to Indebtedness permitted under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of any Credit Party (other than </w:t>
      </w:r>
      <w:r>
        <w:rPr>
          <w:rFonts w:ascii="Times New Roman" w:cs="Times New Roman" w:eastAsia="Times New Roman" w:hAnsi="Times New Roman"/>
          <w:sz w:val="19"/>
          <w:szCs w:val="19"/>
          <w:u w:val="single" w:color="auto"/>
          <w:color w:val="auto"/>
        </w:rPr>
        <w:t>clauses (a)(xiv)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(a)(xix)</w:t>
      </w:r>
      <w:r>
        <w:rPr>
          <w:rFonts w:ascii="Times New Roman" w:cs="Times New Roman" w:eastAsia="Times New Roman" w:hAnsi="Times New Roman"/>
          <w:sz w:val="19"/>
          <w:szCs w:val="19"/>
          <w:color w:val="auto"/>
        </w:rPr>
        <w:t xml:space="preserve"> (unless such Person becomes a Credit Party as a result of such Permitted Acquisition));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that such Indebtedness is contractually subordinated to the Obligations, such Guarantee Obligation shall also be contractually subordinated to the Obligations on similar subordination terms or otherwise on terms reasonably acceptable to the Administrative Agent,</w:t>
      </w:r>
    </w:p>
    <w:p>
      <w:pPr>
        <w:spacing w:after="0" w:line="4" w:lineRule="exact"/>
        <w:rPr>
          <w:sz w:val="20"/>
          <w:szCs w:val="20"/>
          <w:color w:val="auto"/>
        </w:rPr>
      </w:pPr>
    </w:p>
    <w:p>
      <w:pPr>
        <w:jc w:val="both"/>
        <w:ind w:firstLine="8"/>
        <w:spacing w:after="0" w:line="260" w:lineRule="auto"/>
        <w:tabs>
          <w:tab w:leader="none" w:pos="36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Guarantee Obligations of any Subsidiary that is not a Credit Party with respect to Indebtedness permitted under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of Crown Holdings or any Subsidiary (except that a Subsidiary that is not a Credit Party may not, by virtue of this clause (iii), guarantee Indebtedness that such Subsidiary could not otherwise incur under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(iv) Guarantee Obligations with respect to surety, appeal, performance bonds and similar bonds or statutory obligations incurred by Crown Holdings or any of its Subsidiaries in the ordinary course, (v) Guarantee Obligations of Crown Holdings and any of its Subsidiaries with respect to Indebtedness permitted under </w:t>
      </w:r>
      <w:r>
        <w:rPr>
          <w:rFonts w:ascii="Times New Roman" w:cs="Times New Roman" w:eastAsia="Times New Roman" w:hAnsi="Times New Roman"/>
          <w:sz w:val="19"/>
          <w:szCs w:val="19"/>
          <w:u w:val="single" w:color="auto"/>
          <w:color w:val="auto"/>
        </w:rPr>
        <w:t>Sections 8.1(a)(xiv)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(a)(xix)</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such Guarantee Obligations shall rank no higher than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 right of payment with the Obligations,</w:t>
      </w:r>
    </w:p>
    <w:p>
      <w:pPr>
        <w:spacing w:after="0" w:line="4" w:lineRule="exact"/>
        <w:rPr>
          <w:rFonts w:ascii="Times New Roman" w:cs="Times New Roman" w:eastAsia="Times New Roman" w:hAnsi="Times New Roman"/>
          <w:sz w:val="19"/>
          <w:szCs w:val="19"/>
          <w:color w:val="auto"/>
        </w:rPr>
      </w:pPr>
    </w:p>
    <w:p>
      <w:pPr>
        <w:jc w:val="both"/>
        <w:ind w:firstLine="8"/>
        <w:spacing w:after="0" w:line="263" w:lineRule="auto"/>
        <w:tabs>
          <w:tab w:leader="none" w:pos="34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 Obligations incurred in the ordinary course of business or consistent with industry practice in respect of obligations of Crown Holdings or any Subsidiary to vendors, suppliers, customers, franchisees, lessors, licensees, sub-licensees and distribution partners and</w:t>
      </w:r>
    </w:p>
    <w:p>
      <w:pPr>
        <w:jc w:val="both"/>
        <w:ind w:firstLine="8"/>
        <w:spacing w:after="0" w:line="249" w:lineRule="auto"/>
        <w:tabs>
          <w:tab w:leader="none" w:pos="40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Guarantee Obligations which (other than Guarantee Obligations of Indebtedness permitted under </w:t>
      </w:r>
      <w:r>
        <w:rPr>
          <w:rFonts w:ascii="Times New Roman" w:cs="Times New Roman" w:eastAsia="Times New Roman" w:hAnsi="Times New Roman"/>
          <w:sz w:val="20"/>
          <w:szCs w:val="20"/>
          <w:u w:val="single" w:color="auto"/>
          <w:color w:val="auto"/>
        </w:rPr>
        <w:t>Section 8.1(a)(vii))</w:t>
      </w:r>
      <w:r>
        <w:rPr>
          <w:rFonts w:ascii="Times New Roman" w:cs="Times New Roman" w:eastAsia="Times New Roman" w:hAnsi="Times New Roman"/>
          <w:sz w:val="20"/>
          <w:szCs w:val="20"/>
          <w:color w:val="auto"/>
        </w:rPr>
        <w:t xml:space="preserve"> do not exceed in the aggregate at any time the greater of (x) the Dollar Equivalent of $500,000,000 and (y) 3.5% of Consolidated Total Assets as set forth in the financial statement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Holding Company Transaction</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left="660" w:right="20" w:firstLine="644"/>
        <w:spacing w:after="0" w:line="261" w:lineRule="auto"/>
        <w:tabs>
          <w:tab w:leader="none" w:pos="194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of any Subsidiary with or into a Wholly-Owned Subsidiary of Crown Holdings that is a Parent Guarantor (other than CCSC) and, if such merger or consolidation includes a Borrower, with the applicable Borrower as the surviving corporation; or</w:t>
      </w:r>
    </w:p>
    <w:p>
      <w:pPr>
        <w:spacing w:after="0" w:line="167" w:lineRule="exact"/>
        <w:rPr>
          <w:rFonts w:ascii="Times New Roman" w:cs="Times New Roman" w:eastAsia="Times New Roman" w:hAnsi="Times New Roman"/>
          <w:sz w:val="20"/>
          <w:szCs w:val="20"/>
          <w:color w:val="auto"/>
        </w:rPr>
      </w:pPr>
    </w:p>
    <w:p>
      <w:pPr>
        <w:ind w:left="660" w:firstLine="644"/>
        <w:spacing w:after="0" w:line="283" w:lineRule="auto"/>
        <w:tabs>
          <w:tab w:leader="none" w:pos="194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the Capital Stock of any Subsidiary or any distribution or dividend or other transfer of the Capital Stock of any Subsidiary to Crown Holdings or any of its Wholly-Owned Subsidiaries that is a Parent Guarantor (other than CCSC);</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 if the Subsidiary that is the subject of the merger or consolidation or the sale or dividend or distribution of Capital Stock is a Credit Party, the Liens under the Security Documents on the Capital Stock and assets and the Guarantee Obligations of such Credit Party under the Guarantee Agreements will (and Administrative Agent will be satisfied that such Lien and Guarantee Agreements will) remain valid, enforceable and shall not be impaired as a result of such transactions and that the Lien on such assets continues to secure at least all Obligations secured prior to such transactions, and Administrative Agent shall have received legal opinions from counsel to the Borrowers and reasonably acceptable to Administrative Agent in form and substance reasonably satisfactory to Administrative Agent with respect to the continued validity and enforceability and non-impairment of such Guarantee Agreements and Liens and the continued perfection of such Liens, (b) Crown Holdings shall have delivered an officers’ certificate to Administrative Agent confirming compliance with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and (c) after the consummation of such transaction, Crown Holdings will own at all times, directly or indirectly, 100% of the Capital Stock of U.S. Borrower and European Borrower (the failure of this condition to be met at any time shall be deemed an occurrence of a Change of Control).</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Preferred Stock</w:t>
      </w:r>
      <w:r>
        <w:rPr>
          <w:rFonts w:ascii="Times New Roman" w:cs="Times New Roman" w:eastAsia="Times New Roman" w:hAnsi="Times New Roman"/>
          <w:sz w:val="19"/>
          <w:szCs w:val="19"/>
          <w:color w:val="auto"/>
        </w:rPr>
        <w:t>” means any preferred stock of Crown Holdings (or any equity security of Crown Holdings that is convertible or exchangeable into any preferred stock of Crown Holdings), so long as the terms of any such preferred stock or equity security of Crown Holdings: (i) do not provide any collateral security, (ii) do not provide any guaranty or other support by Crown Holdings or any of its Subsidiaries, (iii) do not contain any mandatory put, redemption, repayment, sinking fund or other similar provision occurring before the eighth anniversary of the Incremental Amendment No. 2 and Third Amendment, (iv) do not require the cash payment of dividends or interest,</w:t>
      </w:r>
    </w:p>
    <w:p>
      <w:pPr>
        <w:spacing w:after="0" w:line="2" w:lineRule="exact"/>
        <w:rPr>
          <w:sz w:val="20"/>
          <w:szCs w:val="20"/>
          <w:color w:val="auto"/>
        </w:rPr>
      </w:pPr>
    </w:p>
    <w:p>
      <w:pPr>
        <w:jc w:val="both"/>
        <w:ind w:firstLine="8"/>
        <w:spacing w:after="0" w:line="248" w:lineRule="auto"/>
        <w:tabs>
          <w:tab w:leader="none" w:pos="29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contain any covenants other than Permitted Covenants, and (vi) do not grant the holders thereof any voting rights except for (x) voting rights required to be granted to such holders under applicable law, (y) limited customary voting rights on fundamental matters such as mergers, amalgamations, consolidations, sales of substantial assets, or liquidations involving Crown Holdings and (z) other voting rights to the extent not greater than or superior to those allocated to Crown Holdings common stock on a per share basis.</w:t>
      </w:r>
    </w:p>
    <w:p>
      <w:pPr>
        <w:spacing w:after="0" w:line="19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Ratio Debt</w:t>
      </w:r>
      <w:r>
        <w:rPr>
          <w:rFonts w:ascii="Times New Roman" w:cs="Times New Roman" w:eastAsia="Times New Roman" w:hAnsi="Times New Roman"/>
          <w:sz w:val="19"/>
          <w:szCs w:val="19"/>
          <w:color w:val="auto"/>
        </w:rPr>
        <w:t>” means Indebtedness of Crown Holdings, the U.S. Borrower, the Canadian Borrower, the European Borrower or any of their respective Subsidiaries, the terms of which Indebtedness (i) do not provide for any scheduled repayment, mandatory redemption or sinking fund obligation prior to the then latest Term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final maturity limitations set forth in this clause (i) shall not apply to Permitted Ratio Debt in an aggregate principal amount not to exceed the Inside Maturity Date Amount), (ii) do not materially restrict, limit or adversely affect the ability of any Credit Party or any of its Subsidiaries to perform its obligations under any of the Loan Documents, (iii) provide that no Subsidiary of Crown Holdings is a guarantor under such Indebtedness that is not a Credit Party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08" w:name="page109"/>
    <w:bookmarkEnd w:id="108"/>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(unless such Person shall substantially concurrently become a Credit Party hereunder pursuant to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 xml:space="preserve">), (iv) provide that no assets secure such Indebtedness that does not secure the Obligations (unless such assets shall substantially concurrently become a part of the Collateral) and (v) taken as a whole, shall be no more restrictive than those applicable to the existing Term Facilities (other than as to pricing, interest rate margins, interest rate floors, discounts, fees, premiums, other economic terms, maturity and prepayment or redemption terms (provided that such Permitted Ratio Debt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Indebtedness are incurred (without regard to the maturity date of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(X) to the extent the terms and conditions of such Indebtedness are not consistent with one or more of the existing Term Facilities (except to the extent permitted pursuant to the immediately preceding proviso or clause (Y) below), such terms and conditions may differ if reasonably satisfactory to Crown Holdings and the Administrative Agent or are on customary market terms for Indebtedness of such type or (Y) in the event such terms are more favorable (taken as a whole) to the Lenders providing such Indebtedness,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Indebtedness, no consent shall be required from the Administrative Agent or any Lender to the extent that such financial maintenance covenant is also added for the benefit of the Term Loans that remain outstanding after the issuance or incurrence of such Indebtedness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(v)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Real Property Encumbrances</w:t>
      </w:r>
      <w:r>
        <w:rPr>
          <w:rFonts w:ascii="Times New Roman" w:cs="Times New Roman" w:eastAsia="Times New Roman" w:hAnsi="Times New Roman"/>
          <w:sz w:val="20"/>
          <w:szCs w:val="20"/>
          <w:color w:val="auto"/>
        </w:rPr>
        <w:t>” means (i) as to any particular real property at any time, such easements, encroachments, covenants, conditions, restrictions, reservations, rights of way, subdivisions, parcelizations, licenses, minor defects, irregularities, encumbrances on title (including leasehold title) or other similar charges or encumbrances which do not materially detract from the value of such real property for the purpose for which it is held by the owner thereof, (ii) municipal and zoning ordinances and other land use or environmental regulations or restrictions, which are not violated in any material respect by the existing improvements and the present use made by the owner thereof of the premises, (iii) landlord’s liens, or mechanics’, carriers’, workers’, repairers’ and similar encumbrances arising or incurred in the ordinary course of business for amounts which are not delinquent, (iv) encumbrances for Taxes, assessments and governmental charges not yet due and payable, (v)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 or as to which the grace period has not yet expired (not to exceed 30 days) or the amount or validity of which are being contested in good faith by proper proceedings diligently conducted and for which adequate reserves have been established in conformity with GAAP or, in the case of a Non-U.S. Subsidiary, generally accepted accounting principles in effect from time to time in its jurisdiction of organization, (vi) any matters disclosed on any survey, aerial survey, ExpressMap or equivalent photographic depiction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09" w:name="page110"/>
    <w:bookmarkEnd w:id="109"/>
    <w:p>
      <w:pPr>
        <w:spacing w:after="0" w:line="283" w:lineRule="auto"/>
        <w:rPr>
          <w:sz w:val="20"/>
          <w:szCs w:val="20"/>
          <w:color w:val="auto"/>
        </w:rPr>
      </w:pPr>
      <w:r>
        <w:rPr>
          <w:rFonts w:ascii="Times New Roman" w:cs="Times New Roman" w:eastAsia="Times New Roman" w:hAnsi="Times New Roman"/>
          <w:sz w:val="20"/>
          <w:szCs w:val="20"/>
          <w:color w:val="auto"/>
        </w:rPr>
        <w:t>delivered by a Borrower to the Administrative Agent, and (vii) such other items to which the Administrative Agent may consent in its reasonable discretion.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or Factoring Financings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left="660" w:firstLine="644"/>
        <w:spacing w:after="0" w:line="261" w:lineRule="auto"/>
        <w:tabs>
          <w:tab w:leader="none" w:pos="194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transactions under the Receivables Purchase Agreement and under the “Transaction Documents” as defined therein and (y) the transactions under the Receivables Purchase Agreement II and under the “Transaction Documents” as defined therein,</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under the European Receivables Purchase Agreement and under the “Transaction Documents” as</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therein,</w:t>
      </w:r>
    </w:p>
    <w:p>
      <w:pPr>
        <w:spacing w:after="0" w:line="20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Factoring Facilities, and</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94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refinancings of the program under the Receivables Purchase Agreement, the European Receivables Purchase Agreement, the Receivables Purchase Agreement II and/or the Existing Factoring Facilities (including, without limitation, by extending the maturity thereof) or the consummation of one or more other receivables or factoring financings (including any amendment, modification or supplement thereto or refinancing or extension thereof), with the aggregate Receivables Net Investment of all Permitted Receivables or Factoring Financings under clauses (i) through (iv) outstanding at any time not to exceed $1,950,000,000, in each case pursuant to a structured receivables financing consisting of a securitization or factoring of Receivables Assets the material terms of which are (x) substantially similar to the receivables or factoring programs described in clauses (i) through (iii) or (y) on market terms for companies having a credit profile similar to Crown Holdings and its Subsidiaries at the time of such refinancing or financing.</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xml:space="preserve">” means any extension, renewal, refinancing, refunding, defeasance, restructuring or replacement of any Indebtedness incurred by a Credit Party that (a) does not increase the principal amount outstanding thereunder as of the Incremental Amendment No. 3 and Fifth Amendment Effective Date plus, (i) in the case of a revolving facility or other undrawn letter of credit or term loan, the unutilized commitments thereunder (as determined as of the date of the incurrence of the Indebtedness in accordance with GAAP) does not exceed the Dollar Equivalent of the principal amount of the aggregate amount of Indebtedness and unutilized commitments refinanced thereby on such date, plus (ii) all accrued interest and premiums and the amounts of all fees, expenses, commissions, penalties (including prepayment penalties) and premiums incurred in connection with such extension, renewal, refinancing, refunding, defeasance, restructuring or replacement, plus (iii) without duplication, any additional amount that would otherwise be permitted to be incurred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(and, if applicable, secured under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(b) the final maturity date of such Indebtedness shall be no earlier than the final maturity date of the Indebtedness being replaced, renewed, refinanced, extended, defeased, restructured, or refunded; (c) the Weighted Average Life to Maturity of such Indebtedness is not less than the Weighted Average Life to Maturity of the Indebtedness being replaced, renewed, refinanced, extended, defeased, restructured, or refunded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Weighted Average Life to Maturity and final maturity limitations set forth in clauses (b) and (c) of this definition shall not apply to Additional Term Loans in an aggregate principal amount not to exceed the Inside Maturity Date Amount); (d) such Indebtedness is not guaranteed by any Credit Party or any Subsidiary of any Credit Party except (i) to the extent such Person guaranteed or was the borrower or issuer of such Indebtedness being replaced, renewed, refinanced, extended, defeased, restructured, or refunded or (ii) to the extent such Person is or becomes a Credit Party within 5 Business Days (or within such longer period of time that the Collateral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10" w:name="page111"/>
    <w:bookmarkEnd w:id="110"/>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Agent may agree in its sole discretion) after the date such Permitted Refinancing Indebtedness is incurred; (e) such Indebtedness is not secured by any assets other than those required to secure such Indebtedness on the Incremental Amendment No. 3 and Fifth Amendment Effective Date (or, if later, the date such Indebtedness was incurred, assumed or acquired) and, in the case of Capital Lease Obligations and Attributable Debt, such Indebtedness may also be secured by assets of the type securing such Indebtedness (to the extent that such assets would be permitted to be subject to Liens securing Capital Lease Obligations or Attributable Debt pursuant to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without regard to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on the Incremental Amendment No. 3 and Fifth Amendment Effective Date (or, if later, the date such Indebtedness was incurred, assumed or acquired); (f) in the case of other such Indebtedness the Dollar Equivalent amount which is in excess of the greater of</w:t>
      </w:r>
    </w:p>
    <w:p>
      <w:pPr>
        <w:spacing w:after="0" w:line="6" w:lineRule="exact"/>
        <w:rPr>
          <w:sz w:val="20"/>
          <w:szCs w:val="20"/>
          <w:color w:val="auto"/>
        </w:rPr>
      </w:pPr>
    </w:p>
    <w:p>
      <w:pPr>
        <w:jc w:val="both"/>
        <w:ind w:firstLine="8"/>
        <w:spacing w:after="0" w:line="248" w:lineRule="auto"/>
        <w:tabs>
          <w:tab w:leader="none" w:pos="28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$435,000,000 and (y) 3% of Consolidated Total Assets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the covenants, defaults and similar non-economic provisions applicable to such Indebtedness that are either (A), taken as a whole, are not materially less favorable to the obligor thereon or to the Lenders than either (i) the provisions contained in the original documentation for such Indebtedness or (ii) in this Agreement or (B) on customary market terms for Indebtedness of such type, and, in either case, do not contravene in any material respect the provisions of this Agreement and such Indebtedness is at the then prevailing market rates (it being understood and agreed that Crown Holdings may, at its option, deliver a certificate to the Administrative Agent at least 5 Business Days prior to the incurrence of such Indebtedness certifying that the requirements of either clause (A) or (B) of this clause (f) have been satisfied,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and notwithstanding the foregoing, the covenants, defaults and similar non-economic provisions applicable to such Indebtedness shall not be deemed to contravene in any material respect the provisions of this Agreement solely because (i) prepayment or repayment of such Indebtedness, in whole or in part, by Crown Holdings or its Subsidiaries is required pursuant to any “change of control” or “asset sale” prepayment provisions customary for such Indebtedness, (ii) such Indebtedness may be converted into, exchanged for, or which may, in whole or in part, be satisfied by the delivery of Crown Holdings’ Capital Stock upon the occurrence of a conversion or exchange event related to the price of Crown Holdings’ Capital Stock, the trading price of such Indebtedness, a “change of control”, “asset sale” or “fundamental change” or other specified corporate transaction or corporate event or (iii) prepayment or repayment of such Indebtedness, in whole or in part, by Crown Holdings or its Subsidiaries is required upon the occurrence of any special and/or mandatory redemption event (or similar or equivalent terms) as a result of a specified corporate transaction or corporate event not proceeding because of a failure of condition precedent in relation to such specified corporate transaction or corporate event; (g) in the case of Permitted Refinancing Indebtedness of Subordinated Indebtedness, such Permitted Refinancing Indebtedness constitutes Subordinated Indebtedness; and (i) in the case of Permitted Refinancing Indebtedness of CCSC 2026 Debentures or CCSC 2096 Debentures, if the Indebtedness under this Agreement is rated Ba2 or lower by Moody’s and BB- or lower by S&amp;P, Crown Holdings shall provide written confirmation from each of Moody’s and S&amp;P that the rating of such Indebtedness will not be downgraded by either Moody’s or S&amp;P as a result of the incurrence of such Permitted Refinancing Indebtedness. For the avoidance of doubt, it is understood that a Permitted Refinancing Indebtedness may constitute a portion of an issuance of Indebtedness in excess of the amount of such Permitted Refinancing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excess amount is otherwise permitted to be incurred under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or a corporation, partnership, limited liability company, trust, incorporated or unincorporated association, joint venture, joint stock company, government (or an agency or political subdivision thereof) or other entity of any kind.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Pension Plan or Welfare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Securities</w:t>
      </w:r>
      <w:r>
        <w:rPr>
          <w:rFonts w:ascii="Times New Roman" w:cs="Times New Roman" w:eastAsia="Times New Roman" w:hAnsi="Times New Roman"/>
          <w:sz w:val="20"/>
          <w:szCs w:val="20"/>
          <w:color w:val="auto"/>
        </w:rPr>
        <w:t>” means any of the pledged Capital Stock pursuant to any Security Document.</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Property</w:t>
      </w:r>
      <w:r>
        <w:rPr>
          <w:rFonts w:ascii="Times New Roman" w:cs="Times New Roman" w:eastAsia="Times New Roman" w:hAnsi="Times New Roman"/>
          <w:sz w:val="20"/>
          <w:szCs w:val="20"/>
          <w:color w:val="auto"/>
        </w:rPr>
        <w:t>” has the meaning given to such term under the indentures, agreements and instruments governing the Debentures, as such indentures, agreements and instruments are in effect on the Effective Date.</w:t>
      </w:r>
    </w:p>
    <w:p>
      <w:pPr>
        <w:spacing w:after="0" w:line="14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means, (a) with respect to the preparation of pro forma financial statements for purposes of the tests set forth in the definition of “Permitted Acquisitions” and for any other purpose relating to a Permitted Acquisition, pro forma on the basis that (i) any Indebtedness incurred or assumed in connection with such Acquisition was incurred or assumed on the first day of the applicable period, (ii) if such Indebtedness bears a floating interest rate, such interest shall be paid over the pro forma period at the rate in effect on the date of such Acquisition, and (iii) all income and expense associated with the assets or entity acquired in connection with such Acquisition (other than the fees, costs and expenses associated with the consummation of such Acquisition)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 (b) with respect to the preparation of a pro forma financial statement for any purpose relating to an Asset Disposition, pro forma on the basis that (i) any Indebtedness prepaid out of the proceeds of such Asset Disposition shall be deemed to have been prepaid as of the first day of the applicable Test Period, and (ii) all income and expense (other than such expenses as Crown Holdings, in good faith, estimates will not be reduced or eliminated as a consequence of such Asset Disposition) associated with the assets or entity disposed of in connection with such Asset Disposition shall be deemed to have been eliminated as of the first day of the applicable Test Period and (c) with respect to the preparation of pro forma financial statements for any purpose relating to an incurrence of Indebtedness or the payment of any Restricted Payment, pro forma on the basis that (i) any Indebtedness incurred or assumed in connection with such incurrence of Indebtedness or such payment was incurred or assumed on the first day of the applicable period, (ii) if such incurrence of Indebtedness bears a floating interest rate, such interest shall be paid over the pro forma period at the rate in effect on the date of the incurrence of such Indebtedness, and (iii) all income and expense associated with any Permitted Acquisition consummated in connection with the incurrence of Indebtedness (other than the fees, costs and expenses associated with the consummation of such incurrence of Indebtedness) for the most recently ended four fiscal quarter period for which such income and expense amounts are available shall be treated as being earned or incurred by Crown Holdings over the applicable period on a pro forma basis without giving effect to any cost savings other than Pro Forma Cost Savings.</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Cost Savings</w:t>
      </w:r>
      <w:r>
        <w:rPr>
          <w:rFonts w:ascii="Times New Roman" w:cs="Times New Roman" w:eastAsia="Times New Roman" w:hAnsi="Times New Roman"/>
          <w:sz w:val="20"/>
          <w:szCs w:val="20"/>
          <w:color w:val="auto"/>
        </w:rPr>
        <w:t>” means for any applicable four fiscal quarter period ending on or prior to the date of the applicable Subject Transaction, whenever pro forma effect is to be given to a Subject Transaction of the type described in clauses (a), (b), (c) and (d) of that definition, the amount of “run-rate” cost savings, product margin synergies (including increased share of shelf), operating expense reductions and product cost (including sourcing), and other operating improvements and synergies resulting from or relating to any such Subject Transaction which is being given pro forma effect that have been realized or are projected in good faith to result (in the good faith determination of Crown Holdings) from such Subject Transaction (calculated on a pro forma basis by reference to the Borrowers’ most recently available internal financial statements as determined by Borrowers in good faith as though such cost savings, product margin synergies (including increased share of shelf), operating expense reductions and product cost (including sourcing), and other operating improvements and synergies had been realized on the first day of such period and as if such cost savings, product margin synergies (including increased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12" w:name="page113"/>
    <w:bookmarkEnd w:id="112"/>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share of shelf), operating expense reductions and product cost (including sourcing), and other operating improvements and synergies were realized during the entirety of such period and “run-rate” means the full recurring projected benefit net of the amount of actual savings or other benefits realized during such period from such actions) and any such adjustments shall be included in the initial pro forma calculations of any financial ratios or tests (and in respect of any subsequent pro forma calculations in which such Subject Transaction is given pro forma effect) and during any applicable subsequent period in which the effects thereof are expected to be realized;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amounts are reasonably identifiable and factually supportable in the good faith judgment of the Borrowers, (b) such amounts result from actions taken or actions with respect to which substantial steps have been taken or are expected to be taken (in the good faith determination of the Borrowers) no later than 24 months after the date of such Subject Transaction, (c) no amounts shall be added pursuant to this clause (c) to the extent duplicative of any amounts that are otherwise added back in computing Consolidated EBITDA (or any other components thereof), whether through a pro forma adjustment or otherwise, with respect to such period, (d) the aggregate amount of any such amounts added back pursuant to this definition (other than in connection with any mergers, business combinations, acquisitions or divestures and other than as permitted pursuant to Rule 11.02 of Regulation S-X) shall not exceed, together with any amounts added back pursuant to clauses (vii) and</w:t>
      </w:r>
    </w:p>
    <w:p>
      <w:pPr>
        <w:spacing w:after="0" w:line="8" w:lineRule="exact"/>
        <w:rPr>
          <w:sz w:val="20"/>
          <w:szCs w:val="20"/>
          <w:color w:val="auto"/>
        </w:rPr>
      </w:pPr>
    </w:p>
    <w:p>
      <w:pPr>
        <w:jc w:val="both"/>
        <w:ind w:firstLine="8"/>
        <w:spacing w:after="0" w:line="259" w:lineRule="auto"/>
        <w:tabs>
          <w:tab w:leader="none" w:pos="46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definition of Consolidated EBITDA, 30% of Consolidated EBITDA in any four-Fiscal Quarter period (calculated after giving effect to any such add-backs and adjustments) and (e) if any calculation of Pro Forma Cost Savings is determined by reference to Borrowers’ internal financial statements, the effect of this provision shall not apply for purposes of calculating any financial ratio or test for purposes of</w:t>
      </w:r>
    </w:p>
    <w:p>
      <w:pPr>
        <w:spacing w:after="0" w:line="1" w:lineRule="exact"/>
        <w:rPr>
          <w:rFonts w:ascii="Times New Roman" w:cs="Times New Roman" w:eastAsia="Times New Roman" w:hAnsi="Times New Roman"/>
          <w:sz w:val="19"/>
          <w:szCs w:val="19"/>
          <w:color w:val="auto"/>
        </w:rPr>
      </w:pPr>
    </w:p>
    <w:p>
      <w:pPr>
        <w:jc w:val="both"/>
        <w:ind w:firstLine="8"/>
        <w:spacing w:after="0" w:line="249" w:lineRule="auto"/>
        <w:tabs>
          <w:tab w:leader="none" w:pos="27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calculating the “Applicable Adjusted Term SOFR Margin”, “Applicable Base Rate Margin”, “Applicable B/A Margin”, “Applicable Canadian Prime Rate Margin”, “Applicable Eurocurrency Margin”, “Applicable RFR Margin” and “Applicable Commitment Fee Percentage,” and (ii) compliance with Article IX (other than for the purpose of determining pro forma compliance with Article IX), all of which calculations shall be based on the financial statements delivered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 for the relevant Test Period (it being understood that such financial ratios, tests and financial statements may otherwise be calculated on a Pro Forma Basis and be adjusted to include the effects of Pro Forma Cost Savings for all other purposes under the Loan Documents, except for (x) any such calculation of the “Applicable Adjusted Term SOFR Margin”, “Applicable Base Rate Margin”, “Applicable Eurocurrency Margin”, “Applicable B/A Margin”, “Applicable Canadian Prime Rate Margin”, “Applicable RFR Margin” and “Applicable Commitment Fee Percentage” or (y) any such determination of actual compliance with Article IX, in the case of clauses (x) and (y), in respect of which only Pro Forma Cost Savings relating to such Subject Transactions that have occurred on or before the end of the applicable Test Period shall be given effect).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Rata Share</w:t>
      </w:r>
      <w:r>
        <w:rPr>
          <w:rFonts w:ascii="Times New Roman" w:cs="Times New Roman" w:eastAsia="Times New Roman" w:hAnsi="Times New Roman"/>
          <w:sz w:val="20"/>
          <w:szCs w:val="20"/>
          <w:color w:val="auto"/>
        </w:rPr>
        <w:t>” means, when used with reference to any Lender and any described aggregate or total amount of any Facility or Facilities, an amount equal to the result obtained by multiplying such described aggregate or total amount by a fraction the numerator of which shall be such Lender’s Maximum Commitment with respect to such Facility or Facilities and the denominator of which shall be the Total Commitment with respect to such Facility or Facilities or, if no Commitments are then outstanding, such Lender’s aggregate Loans to the aggregate Loans and Obligations hereunder with respect to such Facility.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6.5(c)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13" w:name="page114"/>
    <w:bookmarkEnd w:id="113"/>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Debt Documents</w:t>
      </w:r>
      <w:r>
        <w:rPr>
          <w:rFonts w:ascii="Times New Roman" w:cs="Times New Roman" w:eastAsia="Times New Roman" w:hAnsi="Times New Roman"/>
          <w:sz w:val="20"/>
          <w:szCs w:val="20"/>
          <w:color w:val="auto"/>
        </w:rPr>
        <w:t>” means, collectively, the Debentures, the Senior Notes Documents and any other documents evidencing, guaranteeing or otherwise governing any Permitted European Borrower Debt and Permitted Ratio Debt.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at any time, each Credit Party incorporated in the United States with total assets exceeding $10,000,000 or that qualifies at such time as an “eligible contract participant” under the Commodity Exchange Act and can cause another person to qualify as an “eligible contract participant” at such time under §1a(18)(A)(v)(II) of the Commodity Exchange Act.</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Quarterly Payment Date</w:t>
      </w:r>
      <w:r>
        <w:rPr>
          <w:rFonts w:ascii="Times New Roman" w:cs="Times New Roman" w:eastAsia="Times New Roman" w:hAnsi="Times New Roman"/>
          <w:sz w:val="20"/>
          <w:szCs w:val="20"/>
          <w:color w:val="auto"/>
        </w:rPr>
        <w:t>” means the last Business Day of each March, June, September and December of each year following the Incremental Amendment No. 3 and Fifth Amendment Effective Date (commencing on December 31, 2022).</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Reaffirmation Agreement</w:t>
      </w:r>
      <w:r>
        <w:rPr>
          <w:rFonts w:ascii="Times New Roman" w:cs="Times New Roman" w:eastAsia="Times New Roman" w:hAnsi="Times New Roman"/>
          <w:sz w:val="20"/>
          <w:szCs w:val="20"/>
          <w:color w:val="auto"/>
        </w:rPr>
        <w:t>” means that certain Reaffirmation Agreement, dated as of the Effective Date, by and among the Credit Parties party thereto.</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Property</w:t>
      </w:r>
      <w:r>
        <w:rPr>
          <w:rFonts w:ascii="Times New Roman" w:cs="Times New Roman" w:eastAsia="Times New Roman" w:hAnsi="Times New Roman"/>
          <w:sz w:val="20"/>
          <w:szCs w:val="20"/>
          <w:color w:val="auto"/>
        </w:rPr>
        <w:t>” means all right, title and interest of any Credit Party or any of its respective Subsidiaries in and to a parcel of real property owned, leased or operated (including, without limitation, any leasehold estate) by any Credit Party or any of its respective Subsidiaries together with, in each case, all improvements and, to the extent deemed real property under applicable laws, appurtenant fixtures, equipment, personal property, easements and other property and rights incidental to the ownership, lease or operation thereof.</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means and includes all of Crown Holdings’ and its Subsidiaries’ presently existing and hereafter arising or acquired accounts, accounts receivable, and all present and future rights of Crown Holdings and its Subsidiaries to payment for goods sold or leased or for services rendered (except those evidenced by instruments or chattel paper), whether or not they have been earned by performance, and all rights in any merchandise or goods which any of the same may represent, and all rights, title, security and guaranties with respect to each of the foregoing, including, without limitation, any right of stoppage in transit.</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Assets</w:t>
      </w:r>
      <w:r>
        <w:rPr>
          <w:rFonts w:ascii="Times New Roman" w:cs="Times New Roman" w:eastAsia="Times New Roman" w:hAnsi="Times New Roman"/>
          <w:sz w:val="20"/>
          <w:szCs w:val="20"/>
          <w:color w:val="auto"/>
        </w:rPr>
        <w:t>” means accounts receivable (including any bills of exchange), any security therefor, collections thereof, bank accounts holding payments in respect of accounts receivable, and related assets and property.</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Intercreditor Agreement</w:t>
      </w:r>
      <w:r>
        <w:rPr>
          <w:rFonts w:ascii="Times New Roman" w:cs="Times New Roman" w:eastAsia="Times New Roman" w:hAnsi="Times New Roman"/>
          <w:sz w:val="20"/>
          <w:szCs w:val="20"/>
          <w:color w:val="auto"/>
        </w:rPr>
        <w:t>” means, (a) in connection with the Receivables Purchase Agreement, the Intercreditor Agreement, dated as of July 27, 2018 (and as amended from time to time) among Crown Holdings, Crown International, CCSC, Crown Receivables III LLC, Crown Cork &amp; Seal USA, Inc., Crown Metal Packaging Canada LP, Coöperative Rabobank, U.A., New York Branch, as Program Agent (as defined therein) and Administrative Agent, Canadian Administrative Agent and U.K. Administrative Agent, as Bank Agents (as defined therein), and (b) in connection with any amendment to or refinancing of the Receivables Purchase Agreement or any other Permitted Receivables or Factoring Financing, if applicable, an intercreditor agreement (or amendment thereto or amendment and restatement thereof) substantially similar to the intercreditor agreement referred to above with such changes as may be reasonably acceptable to the Administrative Agent or otherwise on market terms for companies having a credit profile similar to Crown Holdings and its Subsidiaries as determined in good faith by Crown Holdings and agreed to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14" w:name="page115"/>
    <w:bookmarkEnd w:id="114"/>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Net Investment</w:t>
      </w:r>
      <w:r>
        <w:rPr>
          <w:rFonts w:ascii="Times New Roman" w:cs="Times New Roman" w:eastAsia="Times New Roman" w:hAnsi="Times New Roman"/>
          <w:sz w:val="20"/>
          <w:szCs w:val="20"/>
          <w:color w:val="auto"/>
        </w:rPr>
        <w:t xml:space="preserve">” means at any date of determination thereof, the aggregate Dollar Equivalent of the net cash amount paid by a funding source to a Receivables Subsidiary (including, without limitation, the lenders or purchasers under any Permitted Receivables or Factoring Financings or in connection with sales by Crown Holdings or any Subsidiary permitted pursuant to </w:t>
      </w:r>
      <w:r>
        <w:rPr>
          <w:rFonts w:ascii="Times New Roman" w:cs="Times New Roman" w:eastAsia="Times New Roman" w:hAnsi="Times New Roman"/>
          <w:sz w:val="20"/>
          <w:szCs w:val="20"/>
          <w:u w:val="single" w:color="auto"/>
          <w:color w:val="auto"/>
        </w:rPr>
        <w:t>Section 8.7(b)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in connection with their purchase of, or the making of loans secured by, Receivables Assets or interests therein, as the same may be reduced from time to time by collections with respect to such Receivables Assets or otherwise in accordance with the terms of such Permitted Receivables or Factoring Financings;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all or any part of such Receivables Net Investment shall have been reduced by application of any distribution and thereafter such distribution is rescinded or must otherwise be returned for any reason, such Receivables Net Investment shall be increased by the amount of such distribution, all as if such distribution had not been made.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Purchase Agreement</w:t>
      </w:r>
      <w:r>
        <w:rPr>
          <w:rFonts w:ascii="Times New Roman" w:cs="Times New Roman" w:eastAsia="Times New Roman" w:hAnsi="Times New Roman"/>
          <w:sz w:val="20"/>
          <w:szCs w:val="20"/>
          <w:color w:val="auto"/>
        </w:rPr>
        <w:t>” means that certain Receivables Purchase Agreement dated as of July 27, 2018, among Crown Receivables III LLC, as the seller, Crown Cork &amp; Seal USA, Inc., as the servicer, Coöperatieve Rabobank, U.A., New York Branch, as administrative agent, and the conduit purchasers, alternate purchasers, facility agents party thereto from time to time, as amended, amended and restated, supplemented or otherwise modified from time to time in accordance with the terms hereof.</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Purchase Agreement II</w:t>
      </w:r>
      <w:r>
        <w:rPr>
          <w:rFonts w:ascii="Times New Roman" w:cs="Times New Roman" w:eastAsia="Times New Roman" w:hAnsi="Times New Roman"/>
          <w:sz w:val="20"/>
          <w:szCs w:val="20"/>
          <w:color w:val="auto"/>
        </w:rPr>
        <w:t>” means that certain Second Amended and Restated Receivables Purchase Agreement, dated as of December 20, 2017, among Crown Cork and Seal Receivables II LLC, as the seller, Fábricas Monterrey, S.A. de C.V., as the initial master servicer, the servicers party thereto, the purchasers party thereto from time to time, and Coöperatieve Rabobank U.A., New York Branch, as administrative agent, as the same has been amended by that certain First Amendment to Second Amended and Restated Receivables Purchase Agreement, dated as of December 19, 2019, and may thereafter be amended, amended and restated, supplemented or otherwise modified from time to time in accordance with the terms hereof.</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Subsidiary</w:t>
      </w:r>
      <w:r>
        <w:rPr>
          <w:rFonts w:ascii="Times New Roman" w:cs="Times New Roman" w:eastAsia="Times New Roman" w:hAnsi="Times New Roman"/>
          <w:sz w:val="20"/>
          <w:szCs w:val="20"/>
          <w:color w:val="auto"/>
        </w:rPr>
        <w:t xml:space="preserve">” means, initially, Crown Cork and Seal Receivables II LLC, Crown Receivables III LLC and any other special purpose subsidiary which exists solely to purchase and sell Receivables Assets or to otherwise raise financing in connection with a Permitted Receivables or Factoring 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law of a jurisdiction in which Crown Holdings or its Subsidiaries proposes to create a Receivables Subsidiary does not provide for the creation of a bankruptcy remote entity that is acceptable to Crown Holdings or requires the formation of one or more additional entities (whether or not Subsidiaries of Crown Holdings), Administrative Agent may in its discretion permit Crown Holdings or its Subsidiaries to form such other type of entity in such jurisdiction to serve as a Receivables Subsidiary as is necessary or customary for similar transactions in such jurisdiction.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Receiver</w:t>
      </w:r>
      <w:r>
        <w:rPr>
          <w:rFonts w:ascii="Times New Roman" w:cs="Times New Roman" w:eastAsia="Times New Roman" w:hAnsi="Times New Roman"/>
          <w:sz w:val="20"/>
          <w:szCs w:val="20"/>
          <w:color w:val="auto"/>
        </w:rPr>
        <w:t>” means a receiver, interim receiver, receiver and manager, liquidator, trustee in bankruptcy or similar person.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any Agent, any Facing Agent, any Lender or any Swing Line Lender, as applicable.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Recovery Event</w:t>
      </w:r>
      <w:r>
        <w:rPr>
          <w:rFonts w:ascii="Times New Roman" w:cs="Times New Roman" w:eastAsia="Times New Roman" w:hAnsi="Times New Roman"/>
          <w:sz w:val="20"/>
          <w:szCs w:val="20"/>
          <w:color w:val="auto"/>
        </w:rPr>
        <w:t>” means the receipt by Crown Holdings (or any of its Subsidiaries) of any insurance or condemnation proceeds payable (i) by reason of any theft, physical destruction or damage or any other similar event with respect to any properties or assets of Crown Holdings or any of its Subsidiaries, (ii) by reason of any condemnation, taking, seizing or similar event with respect to any properties or assets of Crown Holdings or any of its Subsidiaries or (iii) under any policy of insurance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required to be maintained under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payments made under business interruption insurance or rent insurance constitute a Recovery Event.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Revolving Commitments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Revolving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Term Commitments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Term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Refunded Swing Line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12.12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Board as from time to time in effect and any successor provision to all or a portion thereof establishing reserve requirements.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Fund</w:t>
      </w:r>
      <w:r>
        <w:rPr>
          <w:rFonts w:ascii="Times New Roman" w:cs="Times New Roman" w:eastAsia="Times New Roman" w:hAnsi="Times New Roman"/>
          <w:sz w:val="20"/>
          <w:szCs w:val="20"/>
          <w:color w:val="auto"/>
        </w:rPr>
        <w:t>” means, with respect to any Lender which is a Fund, any other Fund that is administered or managed by the same investment advisor of such Lender or by an Affiliate of such investment advisor.</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and advisors of such Person and of such Person’s Affiliates.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spilling, leaking, pumping, pouring, emitting, emptying, discharging, injecting, escaping, leaching, dumping, disposing, depositing, dispersing, emanating or migrating of any Hazardous Material in, into, onto or through the Environment.</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Remedial Action</w:t>
      </w:r>
      <w:r>
        <w:rPr>
          <w:rFonts w:ascii="Times New Roman" w:cs="Times New Roman" w:eastAsia="Times New Roman" w:hAnsi="Times New Roman"/>
          <w:sz w:val="20"/>
          <w:szCs w:val="20"/>
          <w:color w:val="auto"/>
        </w:rPr>
        <w:t>” means (a) “remedial action,” as such term is defined in CERCLA, 42 USC Section 9601(24), and (b) all other actions required by any Governmental Authority or voluntarily undertaken to: (i) clean up, remove, treat, abate or otherwise take corrective action to address any Hazardous Material in the Environment; (ii) prevent the Release or threat of Release, or minimize the further Release of any Hazardous Material so it does not migrate or endanger or threaten to endanger public health, welfare or the Environment; or (iii) perform studies and investigations in connection with, or as a precondition to, (i) or (ii) above.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Repayments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8.11(b)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Facility</w:t>
      </w:r>
      <w:r>
        <w:rPr>
          <w:rFonts w:ascii="Times New Roman" w:cs="Times New Roman" w:eastAsia="Times New Roman" w:hAnsi="Times New Roman"/>
          <w:sz w:val="20"/>
          <w:szCs w:val="20"/>
          <w:color w:val="auto"/>
        </w:rPr>
        <w:t>” means a Replacement Revolving Facility and/or a Replacement Term Facility, as the context requires.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Commitments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Facility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Revolving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Commitments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Facility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 “reportable event” described in Section 4043(c) of ERISA or in the regulations thereunder with respect to a Plan, excluding any event for which the thirty (30) day notice requirement has been waived.</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Non-Defaulting Lenders the sum of whose Effective Amount of outstanding Term Loans, Dollar Revolving Commitments, Multicurrency Revolving Commitments and Canadian Revolving Commitments (or, if after the Total Dollar Revolving Commitment, Total Multicurrency Revolving Commitment or Total Canadian Revolving Commitment, as applicable, has been terminated (or any Facility thereof), outstanding Dollar Revolving Loans and Dollar Revolver Pro Rata Share of the Dollar LC Obligations, Multicurrency Revolving Loans and Multicurrency Revolver Pro Rata Share of outstanding Swing Line Loans and Multicurrency LC Obligations or Canadian Revolving Loans and Canadian Revolver Pro Rata Share of the Canadian LC Obligations, as applicable) constitute greater than 50% of the sum of (i) the total Effective Amount of outstanding Term Loans of Non-Defaulting Lenders, (ii) the Total Revolving Commitment less the aggregate Revolving Commitments of Defaulting Lenders (or, if after the Total Revolving Commitment has been terminated, the total Effective Amount of outstanding Revolving Loans of Non-Defaulting Lenders and the aggregate Revolver Pro Rata Share of all Non-Defaulting Lenders of the total outstanding Swing Line Loans, Dollar LC Obligations and Multicurrency LC Obligations at such time) and (iii) the Total Canadian Revolving Commitment less the aggregate Canadian Revolving Commitments of the Defaulting Lenders (or, if after the Total Canadian Revolving Commitment has been terminated, the total Effective Amount of outstanding Canadian Revolving Loans of all Non-Defaulting Lenders and the aggregate Canadian Revolver Pro Rata Share of all Non-Defaulting Lenders of the total outstanding Canadian LC Obligations at such time).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as to any Person, any law (including common law), treaty, rule or regulation or judgment, decree, determination or award of an arbitrator or a court or other Governmental Authority, including without limitation, any Environmental Law, in each case imposing a legal obligation or binding upon such Person or any of its property or to which such Person or any of its property is subject.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Reset Date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the EEA Resolution Authority or, with respect to any UK Financial Institution, a UK Resolution Authority.</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Financial Officer</w:t>
      </w:r>
      <w:r>
        <w:rPr>
          <w:rFonts w:ascii="Times New Roman" w:cs="Times New Roman" w:eastAsia="Times New Roman" w:hAnsi="Times New Roman"/>
          <w:sz w:val="20"/>
          <w:szCs w:val="20"/>
          <w:color w:val="auto"/>
        </w:rPr>
        <w:t>” means the Chief Financial Officer, Principal Accounting Officer, Controller or Treasurer of Crown Holdings, or, if being applied to a Subsidiary, of the applicable Subsidiary.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17" w:name="page118"/>
    <w:bookmarkEnd w:id="117"/>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any of the Chairman or Vice Chairman of the Board of Directors, the President, any Executive Vice President, any Senior Vice President, the Chief Financial Officer, any Vice President, the Treasurer or any Assistant Treasurer of Crown Holdings or, if being applied to a Subsidiary, of the Subsidiary (and in England and Belgium shall include any director).</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direct or indirect dividend or other distribution (whether in cash, securities or other property) with respect to any Capital Stock of Crown Holdings or any Subsidiary, or any payment (whether in cash, securities or other property), including any sinking fund or similar deposit, on account of the purchase, redemption, retirement, acquisition, cancellation or termination of any Capital Stock of Crown Holdings or any Subsidiary.</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Securities</w:t>
      </w:r>
      <w:r>
        <w:rPr>
          <w:rFonts w:ascii="Times New Roman" w:cs="Times New Roman" w:eastAsia="Times New Roman" w:hAnsi="Times New Roman"/>
          <w:sz w:val="20"/>
          <w:szCs w:val="20"/>
          <w:color w:val="auto"/>
        </w:rPr>
        <w:t>” means any shares of capital stock or evidences of indebtedness for borrowed money issued by any Restricted Subsidiary and owned by CCSC or any Restricted Subsidiary.</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CCSC that would be considered a “Restricted Subsidiary” under (and as defined in) any indenture, agreement or instrument governing or evidencing any Debenture as such indenture, agreement or instrument is in effect on the Incremental Amendment No. 3 and Fifth Amendment Effective Date.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Retained Declined Proceeds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Pro Rata Share</w:t>
      </w:r>
      <w:r>
        <w:rPr>
          <w:rFonts w:ascii="Times New Roman" w:cs="Times New Roman" w:eastAsia="Times New Roman" w:hAnsi="Times New Roman"/>
          <w:sz w:val="20"/>
          <w:szCs w:val="20"/>
          <w:color w:val="auto"/>
        </w:rPr>
        <w:t>” means, when used with reference to any Revolving Lender and any described aggregate or total amount, an amount equal to the result obtained by multiplying such described aggregate or total amount by a fraction the numerator of which shall be such Revolving Lender’s Revolving Commitment or, if the Revolver Termination Date for any Revolving Facility has occurred, the Effective Amount of such Revolving Lender’s then outstanding Revolving Loans and the denominator of which shall be the Revolving Commitments or, if the Revolver Termination Date for any Facility has occurred, the Effective Amount of all then outstanding Revolving Loans for such terminated Facility.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Revolver Termination Date</w:t>
      </w:r>
      <w:r>
        <w:rPr>
          <w:rFonts w:ascii="Times New Roman" w:cs="Times New Roman" w:eastAsia="Times New Roman" w:hAnsi="Times New Roman"/>
          <w:sz w:val="20"/>
          <w:szCs w:val="20"/>
          <w:color w:val="auto"/>
        </w:rPr>
        <w:t xml:space="preserve">” means, (a) with respect to each Revolving Facility other than the Canadian Revolving Facility, the five year anniversary of the Incremental Amendment No. 3 and Fifth Amendment Effective Date (or such later termination date for such Facility to the extent extended or replaced as permitted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such earlier date as the Revolving Commitments shall have been terminated or otherwise reduced to $0 pursuant to this Agreement and (b) with respect to the Canadian Revolving Facility, the Canadian Revolver Termination Date (or such later termination date for such Facility to the extent extended or replaced as permitted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with respect to any Revolving Lender, such Lender’s Dollar Revolving Commitment, Replacement Revolving Commitment and/or Multicurrency Revolving Commitment and, with respect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including such Lender’s Canadian Revolving Commitment, and “</w:t>
      </w:r>
      <w:r>
        <w:rPr>
          <w:rFonts w:ascii="Times New Roman" w:cs="Times New Roman" w:eastAsia="Times New Roman" w:hAnsi="Times New Roman"/>
          <w:sz w:val="20"/>
          <w:szCs w:val="20"/>
          <w:u w:val="single" w:color="auto"/>
          <w:color w:val="auto"/>
        </w:rPr>
        <w:t>Revolving Commitments</w:t>
      </w:r>
      <w:r>
        <w:rPr>
          <w:rFonts w:ascii="Times New Roman" w:cs="Times New Roman" w:eastAsia="Times New Roman" w:hAnsi="Times New Roman"/>
          <w:sz w:val="20"/>
          <w:szCs w:val="20"/>
          <w:color w:val="auto"/>
        </w:rPr>
        <w:t>” means such commitments collectively.</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with respect to a Revolving Lender, the sum of (i) the outstanding principal amount of the Revolving Loans made by such Revolving Lender, (ii) the Letter of Credit Exposure of such Revolving Lender and (iii) the Swing Line Exposure of such Revolving Lender.</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Facilities</w:t>
      </w:r>
      <w:r>
        <w:rPr>
          <w:rFonts w:ascii="Times New Roman" w:cs="Times New Roman" w:eastAsia="Times New Roman" w:hAnsi="Times New Roman"/>
          <w:sz w:val="20"/>
          <w:szCs w:val="20"/>
          <w:color w:val="auto"/>
        </w:rPr>
        <w:t>” means the Dollar Revolving Facility, the Multicurrency Revolving Facility, the Replacement Revolving Facility and the Canadian Revolving Facility.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any Lender which has a Revolving Commitment or is owed a Revolving Loan (or a portion thereof).</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Dollar Revolving Loan, a Replacement Revolving Loan or a Multicurrency Revolving Loan as the case may be and “</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means such Loans collectively.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Business Day</w:t>
      </w:r>
      <w:r>
        <w:rPr>
          <w:rFonts w:ascii="Times New Roman" w:cs="Times New Roman" w:eastAsia="Times New Roman" w:hAnsi="Times New Roman"/>
          <w:sz w:val="20"/>
          <w:szCs w:val="20"/>
          <w:color w:val="auto"/>
        </w:rPr>
        <w:t>” means, any day except for (i) a Saturday, (ii) a Sunday or (iii) a day on which banks are closed for general business in London.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Determination Day</w:t>
      </w:r>
      <w:r>
        <w:rPr>
          <w:rFonts w:ascii="Times New Roman" w:cs="Times New Roman" w:eastAsia="Times New Roman" w:hAnsi="Times New Roman"/>
          <w:sz w:val="21"/>
          <w:szCs w:val="21"/>
          <w:color w:val="auto"/>
        </w:rPr>
        <w:t>” has the meaning assigned to such term in the definition of “Daily Simple RFR”.</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RFR Rate Day</w:t>
      </w:r>
      <w:r>
        <w:rPr>
          <w:rFonts w:ascii="Times New Roman" w:cs="Times New Roman" w:eastAsia="Times New Roman" w:hAnsi="Times New Roman"/>
          <w:sz w:val="21"/>
          <w:szCs w:val="21"/>
          <w:color w:val="auto"/>
        </w:rPr>
        <w:t>” has the meaning assigned to such term in the definition of “Daily Simple RFR”.</w:t>
      </w:r>
    </w:p>
    <w:p>
      <w:pPr>
        <w:spacing w:after="0" w:line="22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 Service, a division of the McGraw-Hill Companies, Inc., or any successor to the rating agency business thereof.</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the subject or target of any comprehensive Sanctions (which, as of the Incremental Amendment No. 3 and Fifth Amendment Effective Date, includes the Crimea region of Ukraine, the so-called Donetsk People’s Republic and the so-called Luhansk People’s Republic, Cuba, Iran, North Korea and Syria).</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the Office of Foreign Assets Control of the U.S. Department of the Treasury, the U.S. Department of State, Her Majesty’s Treasury of the United Kingdom, by the United Nations Security Council, Canada, the European Union or any EU member state, (b) any Person operating, organized or resident in a Sanctioned Country or (c) any Person owned or controlled by any such Person.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6.21(a)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 I Bank</w:t>
      </w:r>
      <w:r>
        <w:rPr>
          <w:rFonts w:ascii="Times New Roman" w:cs="Times New Roman" w:eastAsia="Times New Roman" w:hAnsi="Times New Roman"/>
          <w:sz w:val="20"/>
          <w:szCs w:val="20"/>
          <w:color w:val="auto"/>
        </w:rPr>
        <w:t>” means a bank that is a Canadian chartered bank listed on Schedule I under the Bank Act (Canada).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 II Bank</w:t>
      </w:r>
      <w:r>
        <w:rPr>
          <w:rFonts w:ascii="Times New Roman" w:cs="Times New Roman" w:eastAsia="Times New Roman" w:hAnsi="Times New Roman"/>
          <w:sz w:val="20"/>
          <w:szCs w:val="20"/>
          <w:color w:val="auto"/>
        </w:rPr>
        <w:t>” means a bank that is a Canadian chartered bank listed on Schedule II under the Bank Act (Canada).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 III Bank</w:t>
      </w:r>
      <w:r>
        <w:rPr>
          <w:rFonts w:ascii="Times New Roman" w:cs="Times New Roman" w:eastAsia="Times New Roman" w:hAnsi="Times New Roman"/>
          <w:sz w:val="20"/>
          <w:szCs w:val="20"/>
          <w:color w:val="auto"/>
        </w:rPr>
        <w:t>” means an authorized foreign bank listed on Schedule III under the Bank Act (Canada).</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Term Euro Loan Repayments</w:t>
      </w:r>
      <w:r>
        <w:rPr>
          <w:rFonts w:ascii="Times New Roman" w:cs="Times New Roman" w:eastAsia="Times New Roman" w:hAnsi="Times New Roman"/>
          <w:sz w:val="20"/>
          <w:szCs w:val="20"/>
          <w:color w:val="auto"/>
        </w:rPr>
        <w:t xml:space="preserve">” means, with respect to the principal payments on the Term Euro Loan, on the last Business Day of each March, June, September and December ending on or prior to each date set forth below (commencing on December 31, 2022), 0.25 times the percentage of the original aggregate principal amount of Term Euro Loans made on the Incremental Amendment No. 3 and Fifth Amendment Effective Date set forth opposite thereto, as reduced from time to time pursuant to </w:t>
      </w:r>
      <w:r>
        <w:rPr>
          <w:rFonts w:ascii="Times New Roman" w:cs="Times New Roman" w:eastAsia="Times New Roman" w:hAnsi="Times New Roman"/>
          <w:sz w:val="20"/>
          <w:szCs w:val="20"/>
          <w:u w:val="single" w:color="auto"/>
          <w:color w:val="auto"/>
        </w:rPr>
        <w:t>Sections 4.3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4.4</w:t>
      </w:r>
      <w:r>
        <w:rPr>
          <w:rFonts w:ascii="Times New Roman" w:cs="Times New Roman" w:eastAsia="Times New Roman" w:hAnsi="Times New Roman"/>
          <w:sz w:val="20"/>
          <w:szCs w:val="20"/>
          <w:color w:val="auto"/>
        </w:rPr>
        <w:t>, and on the Term Euro Loan Maturity Date, the remaining outstanding principal amount thereof:</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19" w:name="page120"/>
    <w:bookmarkEnd w:id="119"/>
    <w:tbl>
      <w:tblPr>
        <w:tblLayout w:type="fixed"/>
        <w:tblInd w:w="148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Scheduled Term</w:t>
            </w:r>
          </w:p>
        </w:tc>
        <w:tc>
          <w:tcPr>
            <w:tcW w:w="0" w:type="dxa"/>
            <w:vAlign w:val="bottom"/>
          </w:tcPr>
          <w:p>
            <w:pPr>
              <w:spacing w:after="0"/>
              <w:rPr>
                <w:sz w:val="1"/>
                <w:szCs w:val="1"/>
                <w:color w:val="auto"/>
              </w:rPr>
            </w:pPr>
          </w:p>
        </w:tc>
      </w:tr>
      <w:tr>
        <w:trPr>
          <w:trHeight w:val="202"/>
        </w:trPr>
        <w:tc>
          <w:tcPr>
            <w:tcW w:w="484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258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Euro Loan Repayment</w:t>
            </w:r>
          </w:p>
        </w:tc>
        <w:tc>
          <w:tcPr>
            <w:tcW w:w="0" w:type="dxa"/>
            <w:vAlign w:val="bottom"/>
          </w:tcPr>
          <w:p>
            <w:pPr>
              <w:spacing w:after="0"/>
              <w:rPr>
                <w:sz w:val="1"/>
                <w:szCs w:val="1"/>
                <w:color w:val="auto"/>
              </w:rPr>
            </w:pPr>
          </w:p>
        </w:tc>
      </w:tr>
      <w:tr>
        <w:trPr>
          <w:trHeight w:val="257"/>
        </w:trPr>
        <w:tc>
          <w:tcPr>
            <w:tcW w:w="4840" w:type="dxa"/>
            <w:vAlign w:val="bottom"/>
            <w:tcBorders>
              <w:bottom w:val="single" w:sz="8" w:color="auto"/>
            </w:tcBorders>
            <w:vMerge w:val="continue"/>
          </w:tcPr>
          <w:p>
            <w:pPr>
              <w:spacing w:after="0"/>
              <w:rPr>
                <w:sz w:val="22"/>
                <w:szCs w:val="22"/>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Percentage</w:t>
            </w:r>
          </w:p>
        </w:tc>
        <w:tc>
          <w:tcPr>
            <w:tcW w:w="0" w:type="dxa"/>
            <w:vAlign w:val="bottom"/>
          </w:tcPr>
          <w:p>
            <w:pPr>
              <w:spacing w:after="0"/>
              <w:rPr>
                <w:sz w:val="1"/>
                <w:szCs w:val="1"/>
                <w:color w:val="auto"/>
              </w:rPr>
            </w:pPr>
          </w:p>
        </w:tc>
      </w:tr>
      <w:tr>
        <w:trPr>
          <w:trHeight w:val="187"/>
        </w:trPr>
        <w:tc>
          <w:tcPr>
            <w:tcW w:w="4840" w:type="dxa"/>
            <w:vAlign w:val="bottom"/>
          </w:tcPr>
          <w:p>
            <w:pPr>
              <w:ind w:left="80"/>
              <w:spacing w:after="0" w:line="186" w:lineRule="exact"/>
              <w:rPr>
                <w:sz w:val="20"/>
                <w:szCs w:val="20"/>
                <w:color w:val="auto"/>
              </w:rPr>
            </w:pPr>
            <w:r>
              <w:rPr>
                <w:rFonts w:ascii="Times New Roman" w:cs="Times New Roman" w:eastAsia="Times New Roman" w:hAnsi="Times New Roman"/>
                <w:sz w:val="20"/>
                <w:szCs w:val="20"/>
                <w:color w:val="auto"/>
              </w:rPr>
              <w:t>First anniversary of the Incremental Amendment No. 3 and</w:t>
            </w:r>
          </w:p>
        </w:tc>
        <w:tc>
          <w:tcPr>
            <w:tcW w:w="2580" w:type="dxa"/>
            <w:vAlign w:val="bottom"/>
          </w:tcPr>
          <w:p>
            <w:pPr>
              <w:ind w:left="60"/>
              <w:spacing w:after="0" w:line="186" w:lineRule="exact"/>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Fifth Amendment Effective Date</w:t>
            </w: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4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Second anniversary of the Incremental Amendment No. 3</w:t>
            </w:r>
          </w:p>
        </w:tc>
        <w:tc>
          <w:tcPr>
            <w:tcW w:w="2580" w:type="dxa"/>
            <w:vAlign w:val="bottom"/>
          </w:tcPr>
          <w:p>
            <w:pPr>
              <w:ind w:left="60"/>
              <w:spacing w:after="0" w:line="203" w:lineRule="exact"/>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Fifth Amendment Effective Date</w:t>
            </w: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2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20"/>
                <w:szCs w:val="20"/>
                <w:color w:val="auto"/>
              </w:rPr>
              <w:t>Third anniversary of the Incremental Amendment No. 3 and 2.5%</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Fifth Amendment Effective Date</w:t>
            </w: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Fourth anniversary of the Incremental Amendment No. 3</w:t>
            </w:r>
          </w:p>
        </w:tc>
        <w:tc>
          <w:tcPr>
            <w:tcW w:w="2580" w:type="dxa"/>
            <w:vAlign w:val="bottom"/>
          </w:tcPr>
          <w:p>
            <w:pPr>
              <w:ind w:left="60"/>
              <w:spacing w:after="0" w:line="203"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3"/>
        </w:trPr>
        <w:tc>
          <w:tcPr>
            <w:tcW w:w="4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Fifth Amendment Effective Date</w:t>
            </w: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w w:val="99"/>
              </w:rPr>
              <w:t>Fifth anniversary of the Incremental Amendment No. 3 and</w:t>
            </w:r>
          </w:p>
        </w:tc>
        <w:tc>
          <w:tcPr>
            <w:tcW w:w="2580" w:type="dxa"/>
            <w:vAlign w:val="bottom"/>
          </w:tcPr>
          <w:p>
            <w:pPr>
              <w:ind w:left="60"/>
              <w:spacing w:after="0" w:line="203"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58"/>
        </w:trPr>
        <w:tc>
          <w:tcPr>
            <w:tcW w:w="4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Fifth Amendment Effective Date</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Term Loan A Repayments</w:t>
      </w:r>
      <w:r>
        <w:rPr>
          <w:rFonts w:ascii="Times New Roman" w:cs="Times New Roman" w:eastAsia="Times New Roman" w:hAnsi="Times New Roman"/>
          <w:sz w:val="20"/>
          <w:szCs w:val="20"/>
          <w:color w:val="auto"/>
        </w:rPr>
        <w:t xml:space="preserve">” means, with respect to the principal payments on the Term A Loan, on the last Business Day of each March, June, September and December ending on or prior to each date set forth below (commencing on December 31, 2022), 0.25 times the percentage of the original aggregate principal amount of Term A Loans made on the Incremental Amendment No. 3 and Fifth Amendment Effective Date set forth opposite thereto, as reduced from time to time pursuant to </w:t>
      </w:r>
      <w:r>
        <w:rPr>
          <w:rFonts w:ascii="Times New Roman" w:cs="Times New Roman" w:eastAsia="Times New Roman" w:hAnsi="Times New Roman"/>
          <w:sz w:val="20"/>
          <w:szCs w:val="20"/>
          <w:u w:val="single" w:color="auto"/>
          <w:color w:val="auto"/>
        </w:rPr>
        <w:t>Sections 4.3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4.4</w:t>
      </w:r>
      <w:r>
        <w:rPr>
          <w:rFonts w:ascii="Times New Roman" w:cs="Times New Roman" w:eastAsia="Times New Roman" w:hAnsi="Times New Roman"/>
          <w:sz w:val="20"/>
          <w:szCs w:val="20"/>
          <w:color w:val="auto"/>
        </w:rPr>
        <w:t>, and on the Term Loan A Maturity Date, the remaining outstanding principal amount thereof:</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Scheduled Term</w:t>
            </w:r>
          </w:p>
        </w:tc>
        <w:tc>
          <w:tcPr>
            <w:tcW w:w="0" w:type="dxa"/>
            <w:vAlign w:val="bottom"/>
          </w:tcPr>
          <w:p>
            <w:pPr>
              <w:spacing w:after="0"/>
              <w:rPr>
                <w:sz w:val="1"/>
                <w:szCs w:val="1"/>
                <w:color w:val="auto"/>
              </w:rPr>
            </w:pPr>
          </w:p>
        </w:tc>
      </w:tr>
      <w:tr>
        <w:trPr>
          <w:trHeight w:val="189"/>
        </w:trPr>
        <w:tc>
          <w:tcPr>
            <w:tcW w:w="486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2560" w:type="dxa"/>
            <w:vAlign w:val="bottom"/>
          </w:tcPr>
          <w:p>
            <w:pPr>
              <w:jc w:val="center"/>
              <w:spacing w:after="0" w:line="189" w:lineRule="exact"/>
              <w:rPr>
                <w:sz w:val="20"/>
                <w:szCs w:val="20"/>
                <w:color w:val="auto"/>
              </w:rPr>
            </w:pPr>
            <w:r>
              <w:rPr>
                <w:rFonts w:ascii="Times New Roman" w:cs="Times New Roman" w:eastAsia="Times New Roman" w:hAnsi="Times New Roman"/>
                <w:sz w:val="20"/>
                <w:szCs w:val="20"/>
                <w:b w:val="1"/>
                <w:bCs w:val="1"/>
                <w:color w:val="auto"/>
                <w:w w:val="98"/>
              </w:rPr>
              <w:t>Loan A Repayment</w:t>
            </w:r>
          </w:p>
        </w:tc>
        <w:tc>
          <w:tcPr>
            <w:tcW w:w="0" w:type="dxa"/>
            <w:vAlign w:val="bottom"/>
          </w:tcPr>
          <w:p>
            <w:pPr>
              <w:spacing w:after="0"/>
              <w:rPr>
                <w:sz w:val="1"/>
                <w:szCs w:val="1"/>
                <w:color w:val="auto"/>
              </w:rPr>
            </w:pPr>
          </w:p>
        </w:tc>
      </w:tr>
      <w:tr>
        <w:trPr>
          <w:trHeight w:val="266"/>
        </w:trPr>
        <w:tc>
          <w:tcPr>
            <w:tcW w:w="4860" w:type="dxa"/>
            <w:vAlign w:val="bottom"/>
            <w:tcBorders>
              <w:bottom w:val="single" w:sz="8" w:color="auto"/>
            </w:tcBorders>
            <w:vMerge w:val="continue"/>
          </w:tcPr>
          <w:p>
            <w:pPr>
              <w:spacing w:after="0"/>
              <w:rPr>
                <w:sz w:val="23"/>
                <w:szCs w:val="23"/>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Percentage</w:t>
            </w:r>
          </w:p>
        </w:tc>
        <w:tc>
          <w:tcPr>
            <w:tcW w:w="0" w:type="dxa"/>
            <w:vAlign w:val="bottom"/>
          </w:tcPr>
          <w:p>
            <w:pPr>
              <w:spacing w:after="0"/>
              <w:rPr>
                <w:sz w:val="1"/>
                <w:szCs w:val="1"/>
                <w:color w:val="auto"/>
              </w:rPr>
            </w:pPr>
          </w:p>
        </w:tc>
      </w:tr>
      <w:tr>
        <w:trPr>
          <w:trHeight w:val="541"/>
        </w:trPr>
        <w:tc>
          <w:tcPr>
            <w:tcW w:w="4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First anniversary of the Incremental Amendment No. 3 and</w:t>
            </w:r>
          </w:p>
        </w:tc>
        <w:tc>
          <w:tcPr>
            <w:tcW w:w="2560" w:type="dxa"/>
            <w:vAlign w:val="bottom"/>
          </w:tcPr>
          <w:p>
            <w:pPr>
              <w:jc w:val="right"/>
              <w:ind w:right="1961"/>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3"/>
        </w:trPr>
        <w:tc>
          <w:tcPr>
            <w:tcW w:w="4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Fifth Amendment Effective Date</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80"/>
              <w:spacing w:after="0" w:line="203" w:lineRule="exact"/>
              <w:rPr>
                <w:sz w:val="20"/>
                <w:szCs w:val="20"/>
                <w:color w:val="auto"/>
              </w:rPr>
            </w:pPr>
            <w:r>
              <w:rPr>
                <w:rFonts w:ascii="Times New Roman" w:cs="Times New Roman" w:eastAsia="Times New Roman" w:hAnsi="Times New Roman"/>
                <w:sz w:val="20"/>
                <w:szCs w:val="20"/>
                <w:color w:val="auto"/>
              </w:rPr>
              <w:t>Second anniversary of the Incremental Amendment No. 3</w:t>
            </w:r>
          </w:p>
        </w:tc>
        <w:tc>
          <w:tcPr>
            <w:tcW w:w="2560" w:type="dxa"/>
            <w:vAlign w:val="bottom"/>
          </w:tcPr>
          <w:p>
            <w:pPr>
              <w:jc w:val="right"/>
              <w:ind w:right="1961"/>
              <w:spacing w:after="0" w:line="203" w:lineRule="exact"/>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58"/>
        </w:trPr>
        <w:tc>
          <w:tcPr>
            <w:tcW w:w="4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and Fifth Amendment Effective Date</w:t>
            </w: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1560"/>
        <w:spacing w:after="0" w:line="218" w:lineRule="auto"/>
        <w:rPr>
          <w:sz w:val="20"/>
          <w:szCs w:val="20"/>
          <w:color w:val="auto"/>
        </w:rPr>
      </w:pPr>
      <w:r>
        <w:rPr>
          <w:rFonts w:ascii="Times New Roman" w:cs="Times New Roman" w:eastAsia="Times New Roman" w:hAnsi="Times New Roman"/>
          <w:sz w:val="20"/>
          <w:szCs w:val="20"/>
          <w:color w:val="auto"/>
        </w:rPr>
        <w:t>Third anniversary of the Incremental Amendment No. 3 and 2.5%</w:t>
      </w:r>
    </w:p>
    <w:p>
      <w:pPr>
        <w:ind w:left="1560"/>
        <w:spacing w:after="0"/>
        <w:rPr>
          <w:sz w:val="20"/>
          <w:szCs w:val="20"/>
          <w:color w:val="auto"/>
        </w:rPr>
      </w:pPr>
      <w:r>
        <w:rPr>
          <w:rFonts w:ascii="Times New Roman" w:cs="Times New Roman" w:eastAsia="Times New Roman" w:hAnsi="Times New Roman"/>
          <w:sz w:val="20"/>
          <w:szCs w:val="20"/>
          <w:color w:val="auto"/>
        </w:rPr>
        <w:t>Fifth Amendment Effective Date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22" w:right="339" w:bottom="1440" w:gutter="0" w:footer="0" w:header="0"/>
        </w:sectPr>
      </w:pPr>
    </w:p>
    <w:bookmarkStart w:id="120" w:name="page121"/>
    <w:bookmarkEnd w:id="120"/>
    <w:tbl>
      <w:tblPr>
        <w:tblLayout w:type="fixed"/>
        <w:tblInd w:w="156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Fourth anniversary of the Incremental Amendment No. 3</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and Fifth Amendment Effective Date</w:t>
            </w:r>
          </w:p>
        </w:tc>
        <w:tc>
          <w:tcPr>
            <w:tcW w:w="340" w:type="dxa"/>
            <w:vAlign w:val="bottom"/>
          </w:tcPr>
          <w:p>
            <w:pPr>
              <w:spacing w:after="0"/>
              <w:rPr>
                <w:sz w:val="21"/>
                <w:szCs w:val="21"/>
                <w:color w:val="auto"/>
              </w:rPr>
            </w:pPr>
          </w:p>
        </w:tc>
      </w:tr>
      <w:tr>
        <w:trPr>
          <w:trHeight w:val="203"/>
        </w:trPr>
        <w:tc>
          <w:tcPr>
            <w:tcW w:w="478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w w:val="99"/>
              </w:rPr>
              <w:t>Fifth anniversary of the Incremental Amendment No. 3 and</w:t>
            </w:r>
          </w:p>
        </w:tc>
        <w:tc>
          <w:tcPr>
            <w:tcW w:w="340" w:type="dxa"/>
            <w:vAlign w:val="bottom"/>
          </w:tcPr>
          <w:p>
            <w:pPr>
              <w:jc w:val="right"/>
              <w:spacing w:after="0" w:line="203" w:lineRule="exact"/>
              <w:rPr>
                <w:sz w:val="20"/>
                <w:szCs w:val="20"/>
                <w:color w:val="auto"/>
              </w:rPr>
            </w:pPr>
            <w:r>
              <w:rPr>
                <w:rFonts w:ascii="Times New Roman" w:cs="Times New Roman" w:eastAsia="Times New Roman" w:hAnsi="Times New Roman"/>
                <w:sz w:val="20"/>
                <w:szCs w:val="20"/>
                <w:color w:val="auto"/>
              </w:rPr>
              <w:t>5%</w:t>
            </w:r>
          </w:p>
        </w:tc>
      </w:tr>
      <w:tr>
        <w:trPr>
          <w:trHeight w:val="258"/>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Fifth Amendment Effective Date</w:t>
            </w:r>
          </w:p>
        </w:tc>
        <w:tc>
          <w:tcPr>
            <w:tcW w:w="340" w:type="dxa"/>
            <w:vAlign w:val="bottom"/>
          </w:tcPr>
          <w:p>
            <w:pPr>
              <w:spacing w:after="0"/>
              <w:rPr>
                <w:sz w:val="22"/>
                <w:szCs w:val="22"/>
                <w:color w:val="auto"/>
              </w:rPr>
            </w:pPr>
          </w:p>
        </w:tc>
      </w:tr>
    </w:tbl>
    <w:p>
      <w:pPr>
        <w:spacing w:after="0" w:line="200" w:lineRule="exact"/>
        <w:rPr>
          <w:sz w:val="20"/>
          <w:szCs w:val="20"/>
          <w:color w:val="auto"/>
        </w:rPr>
      </w:pPr>
    </w:p>
    <w:p>
      <w:pPr>
        <w:spacing w:after="0" w:line="3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Term Repayments</w:t>
      </w:r>
      <w:r>
        <w:rPr>
          <w:rFonts w:ascii="Times New Roman" w:cs="Times New Roman" w:eastAsia="Times New Roman" w:hAnsi="Times New Roman"/>
          <w:sz w:val="20"/>
          <w:szCs w:val="20"/>
          <w:color w:val="auto"/>
        </w:rPr>
        <w:t>” means, for any Term Facility, the scheduled principal repayments set forth in the “Scheduled Term Repayments” definition applicable to such Term Facility.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successor thereto.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Currency</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Creditors</w:t>
      </w:r>
      <w:r>
        <w:rPr>
          <w:rFonts w:ascii="Times New Roman" w:cs="Times New Roman" w:eastAsia="Times New Roman" w:hAnsi="Times New Roman"/>
          <w:sz w:val="20"/>
          <w:szCs w:val="20"/>
          <w:color w:val="auto"/>
        </w:rPr>
        <w:t>” has the meaning provided in the respective Security Documents to the extent defined therein and shall include any Person who is granted a Lien or security interest pursuant to any Loan Document.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means any stock, shares, voting trust certificates, bonds, debentures, options, warrants,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means, collectively the Euro Security Documents, the U.S. Security Documents, and all other agreements, assignments, security agreements, instruments and documents executed in connection therewith, in each case as the same may at any time be amended, supplemented, restated or otherwise modified and in effect. For purposes of this Agreement, “Security Documents” shall also include all guaranties, security agreements, mortgages, pledge agreements, collateral assignments, subordination agreements and other collateral documents in the nature of any thereof entered into by Crown Holdings or any of its Subsidiaries after the date of this Agreement in favor of a Collateral Agent in satisfaction of the requirements of this Agreement, in each case as the same may at any time be amended, supplemented, restated or otherwise modified and in effect.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SEMs</w:t>
      </w:r>
      <w:r>
        <w:rPr>
          <w:rFonts w:ascii="Times New Roman" w:cs="Times New Roman" w:eastAsia="Times New Roman" w:hAnsi="Times New Roman"/>
          <w:sz w:val="20"/>
          <w:szCs w:val="20"/>
          <w:color w:val="auto"/>
        </w:rPr>
        <w:t>” means the US Environmental Protection Agency Superfund Enterprise Management System (SEMS) database.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w:t>
      </w:r>
      <w:r>
        <w:rPr>
          <w:rFonts w:ascii="Times New Roman" w:cs="Times New Roman" w:eastAsia="Times New Roman" w:hAnsi="Times New Roman"/>
          <w:sz w:val="20"/>
          <w:szCs w:val="20"/>
          <w:color w:val="auto"/>
        </w:rPr>
        <w:t>” means each of the following: (i) the Senior Notes 2023, (ii) the Senior Notes 2023-2, (iii) the Senior Notes 2024, (iv) the Senior Notes 2025, (v) the Senior Notes 2026, (vi) the Senior Notes 2026-2, (vii) the Senior Notes 2026-3 and (viii) any exchange notes which are issued in a registered exchange offer for any of such notes.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Notes 2023</w:t>
      </w:r>
      <w:r>
        <w:rPr>
          <w:rFonts w:ascii="Times New Roman" w:cs="Times New Roman" w:eastAsia="Times New Roman" w:hAnsi="Times New Roman"/>
          <w:sz w:val="19"/>
          <w:szCs w:val="19"/>
          <w:color w:val="auto"/>
        </w:rPr>
        <w:t>” means the €335,000,000 in aggregate principal amount of 2.250% senior notes due 2023 of European Borrower.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2023 Indenture</w:t>
      </w:r>
      <w:r>
        <w:rPr>
          <w:rFonts w:ascii="Times New Roman" w:cs="Times New Roman" w:eastAsia="Times New Roman" w:hAnsi="Times New Roman"/>
          <w:sz w:val="20"/>
          <w:szCs w:val="20"/>
          <w:color w:val="auto"/>
        </w:rPr>
        <w:t>” means the Indenture governing the Senior Notes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26" w:right="339" w:bottom="1440" w:gutter="0" w:footer="0" w:header="0"/>
        </w:sectPr>
      </w:pPr>
    </w:p>
    <w:bookmarkStart w:id="121" w:name="page122"/>
    <w:bookmarkEnd w:id="121"/>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2023-2</w:t>
      </w:r>
      <w:r>
        <w:rPr>
          <w:rFonts w:ascii="Times New Roman" w:cs="Times New Roman" w:eastAsia="Times New Roman" w:hAnsi="Times New Roman"/>
          <w:sz w:val="20"/>
          <w:szCs w:val="20"/>
          <w:color w:val="auto"/>
        </w:rPr>
        <w:t>” means the €550,000,000 in aggregate principal amount of 0.750% senior notes due 2023 of European Borrower.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2023-2 Indenture</w:t>
      </w:r>
      <w:r>
        <w:rPr>
          <w:rFonts w:ascii="Times New Roman" w:cs="Times New Roman" w:eastAsia="Times New Roman" w:hAnsi="Times New Roman"/>
          <w:sz w:val="20"/>
          <w:szCs w:val="20"/>
          <w:color w:val="auto"/>
        </w:rPr>
        <w:t>” means the Indenture governing the Senior Notes 2023-2.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Notes 2024</w:t>
      </w:r>
      <w:r>
        <w:rPr>
          <w:rFonts w:ascii="Times New Roman" w:cs="Times New Roman" w:eastAsia="Times New Roman" w:hAnsi="Times New Roman"/>
          <w:sz w:val="19"/>
          <w:szCs w:val="19"/>
          <w:color w:val="auto"/>
        </w:rPr>
        <w:t>” means the €600,000,000 in aggregate principal amount of 2.625% senior notes due 2024 of European Borrower.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2024 Indenture</w:t>
      </w:r>
      <w:r>
        <w:rPr>
          <w:rFonts w:ascii="Times New Roman" w:cs="Times New Roman" w:eastAsia="Times New Roman" w:hAnsi="Times New Roman"/>
          <w:sz w:val="20"/>
          <w:szCs w:val="20"/>
          <w:color w:val="auto"/>
        </w:rPr>
        <w:t>” means the Indenture governing the Senior Notes 2024.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Senior Notes 2025</w:t>
      </w:r>
      <w:r>
        <w:rPr>
          <w:rFonts w:ascii="Times New Roman" w:cs="Times New Roman" w:eastAsia="Times New Roman" w:hAnsi="Times New Roman"/>
          <w:sz w:val="19"/>
          <w:szCs w:val="19"/>
          <w:color w:val="auto"/>
        </w:rPr>
        <w:t>” means the €600,000,000 in aggregate principal amount of 3.375% senior notes due 2025 of European Borrower.</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2025 Indenture</w:t>
      </w:r>
      <w:r>
        <w:rPr>
          <w:rFonts w:ascii="Times New Roman" w:cs="Times New Roman" w:eastAsia="Times New Roman" w:hAnsi="Times New Roman"/>
          <w:sz w:val="20"/>
          <w:szCs w:val="20"/>
          <w:color w:val="auto"/>
        </w:rPr>
        <w:t>” means the Indenture governing the Senior Notes 2025.</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w:t>
      </w:r>
      <w:r>
        <w:rPr>
          <w:rFonts w:ascii="Times New Roman" w:cs="Times New Roman" w:eastAsia="Times New Roman" w:hAnsi="Times New Roman"/>
          <w:sz w:val="20"/>
          <w:szCs w:val="20"/>
          <w:color w:val="auto"/>
        </w:rPr>
        <w:t>” means the $400,000,000 in aggregate principal amount of 4.25% senior notes due 2026 of U.S. Borrower and Crown Americas Capital Corp. V.</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 Indenture</w:t>
      </w:r>
      <w:r>
        <w:rPr>
          <w:rFonts w:ascii="Times New Roman" w:cs="Times New Roman" w:eastAsia="Times New Roman" w:hAnsi="Times New Roman"/>
          <w:sz w:val="20"/>
          <w:szCs w:val="20"/>
          <w:color w:val="auto"/>
        </w:rPr>
        <w:t>” means the Indenture governing the Senior Notes 2026.</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2026-2</w:t>
      </w:r>
      <w:r>
        <w:rPr>
          <w:rFonts w:ascii="Times New Roman" w:cs="Times New Roman" w:eastAsia="Times New Roman" w:hAnsi="Times New Roman"/>
          <w:sz w:val="20"/>
          <w:szCs w:val="20"/>
          <w:color w:val="auto"/>
        </w:rPr>
        <w:t>” means the $875,000,000 in aggregate principal amount of 4.750% senior notes due 2026 of U.S. Borrower and Crown Americas Capital Corp. VI.</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2026-2 Indenture</w:t>
      </w:r>
      <w:r>
        <w:rPr>
          <w:rFonts w:ascii="Times New Roman" w:cs="Times New Roman" w:eastAsia="Times New Roman" w:hAnsi="Times New Roman"/>
          <w:sz w:val="20"/>
          <w:szCs w:val="20"/>
          <w:color w:val="auto"/>
        </w:rPr>
        <w:t>” means the Indenture governing the Senior Notes 2026-2.</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2026-3</w:t>
      </w:r>
      <w:r>
        <w:rPr>
          <w:rFonts w:ascii="Times New Roman" w:cs="Times New Roman" w:eastAsia="Times New Roman" w:hAnsi="Times New Roman"/>
          <w:sz w:val="20"/>
          <w:szCs w:val="20"/>
          <w:color w:val="auto"/>
        </w:rPr>
        <w:t>” means the €500,000,000 in aggregate principal amount of 2.875% senior notes due 2026 of European Borrower.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2026-3 Indenture</w:t>
      </w:r>
      <w:r>
        <w:rPr>
          <w:rFonts w:ascii="Times New Roman" w:cs="Times New Roman" w:eastAsia="Times New Roman" w:hAnsi="Times New Roman"/>
          <w:sz w:val="20"/>
          <w:szCs w:val="20"/>
          <w:color w:val="auto"/>
        </w:rPr>
        <w:t>” means the Indenture governing the Senior Notes 2026-3.</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Documents</w:t>
      </w:r>
      <w:r>
        <w:rPr>
          <w:rFonts w:ascii="Times New Roman" w:cs="Times New Roman" w:eastAsia="Times New Roman" w:hAnsi="Times New Roman"/>
          <w:sz w:val="20"/>
          <w:szCs w:val="20"/>
          <w:color w:val="auto"/>
        </w:rPr>
        <w:t>” means the Senior Notes, the Senior Notes Indentures and all other documents evidencing, guaranteeing or otherwise governing the terms of any of the Senior Notes.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Notes Indentures</w:t>
      </w:r>
      <w:r>
        <w:rPr>
          <w:rFonts w:ascii="Times New Roman" w:cs="Times New Roman" w:eastAsia="Times New Roman" w:hAnsi="Times New Roman"/>
          <w:sz w:val="20"/>
          <w:szCs w:val="20"/>
          <w:color w:val="auto"/>
        </w:rPr>
        <w:t>” means the Senior Notes 2023 Indenture, the Senior Notes 2023-2 Indenture, the Senior Notes 2024 Indenture, the Senior Notes 2025 Indenture, the Senior Notes 2026 Indenture, the Senior Notes 2026-2 Indenture and the Senior Notes 2026-3 Indenture.</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Signode Acquisition</w:t>
      </w:r>
      <w:r>
        <w:rPr>
          <w:rFonts w:ascii="Times New Roman" w:cs="Times New Roman" w:eastAsia="Times New Roman" w:hAnsi="Times New Roman"/>
          <w:sz w:val="20"/>
          <w:szCs w:val="20"/>
          <w:color w:val="auto"/>
        </w:rPr>
        <w:t>” means the acquisition by Crown Holdings and/or one or more of its subsidiaries of Signode Industrial Group Holdings (Bermuda) Ltd., pursuant to the Signode Acquisition Agreement.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Signode Acquisition Agreement</w:t>
      </w:r>
      <w:r>
        <w:rPr>
          <w:rFonts w:ascii="Times New Roman" w:cs="Times New Roman" w:eastAsia="Times New Roman" w:hAnsi="Times New Roman"/>
          <w:sz w:val="20"/>
          <w:szCs w:val="20"/>
          <w:color w:val="auto"/>
        </w:rPr>
        <w:t>” means the Agreement and Plan of Merger, dated as of December 19, 2017 (as amended, amended and restated, supplemented or otherwise modified from time to time), by and among Crown Holdings, Cobra Merger Sub, Ltd., Signode Industrial Group Holdings (Bermuda) Ltd. and TC Group VI, L.P.</w:t>
      </w:r>
    </w:p>
    <w:p>
      <w:pPr>
        <w:spacing w:after="0" w:line="16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SLB Subsidiary</w:t>
      </w:r>
      <w:r>
        <w:rPr>
          <w:rFonts w:ascii="Times New Roman" w:cs="Times New Roman" w:eastAsia="Times New Roman" w:hAnsi="Times New Roman"/>
          <w:sz w:val="20"/>
          <w:szCs w:val="20"/>
          <w:color w:val="auto"/>
        </w:rPr>
        <w:t>” means, any special purpose subsidiary which is created solely to enter into a sale and leaseback transaction otherwise permitted under this Agreement.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22" w:name="page123"/>
    <w:bookmarkEnd w:id="122"/>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with respect to any U.S. Government Securities Business Day, a rate per annum equal to the secured overnight financing rate for such U.S. Government Securities Business Day published by the SOFR Administrator on the SOFR Administrator’s Website on the immediately succeeding U.S. Government Securities Business Day.</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Borrowing</w:t>
      </w:r>
      <w:r>
        <w:rPr>
          <w:rFonts w:ascii="Times New Roman" w:cs="Times New Roman" w:eastAsia="Times New Roman" w:hAnsi="Times New Roman"/>
          <w:sz w:val="20"/>
          <w:szCs w:val="20"/>
          <w:color w:val="auto"/>
        </w:rPr>
        <w:t>” means, as to any Borrowing, the SOFR Loans comprising such Borrowing.</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means a Loan that bears interest at a rate based on Adjusted Term SOFR, other than pursuant to clause (iii) of the definition of “Base Rate”.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means, with respect to any RFR Business Day, a rate per annum equal to the Sterling Overnight Index Average for such RFR Business Day published by the SONIA Administrator on the SONIA Administrator’s Website on the immediately succeeding RFR Business Day.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w:t>
      </w:r>
      <w:r>
        <w:rPr>
          <w:rFonts w:ascii="Times New Roman" w:cs="Times New Roman" w:eastAsia="Times New Roman" w:hAnsi="Times New Roman"/>
          <w:sz w:val="20"/>
          <w:szCs w:val="20"/>
          <w:color w:val="auto"/>
        </w:rPr>
        <w:t>” means the Bank of England (or any successor administrator of the Sterling Overnight Index Average).</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Administrator’s Website</w:t>
      </w:r>
      <w:r>
        <w:rPr>
          <w:rFonts w:ascii="Times New Roman" w:cs="Times New Roman" w:eastAsia="Times New Roman" w:hAnsi="Times New Roman"/>
          <w:sz w:val="20"/>
          <w:szCs w:val="20"/>
          <w:color w:val="auto"/>
        </w:rPr>
        <w:t>” means the Bank of England’s website, currently at http://www.bankofengland.co.uk, or any successor source for the Sterling Overnight Index Average identified as such by the SONIA Administrator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Spanish Obligor</w:t>
      </w:r>
      <w:r>
        <w:rPr>
          <w:rFonts w:ascii="Times New Roman" w:cs="Times New Roman" w:eastAsia="Times New Roman" w:hAnsi="Times New Roman"/>
          <w:sz w:val="20"/>
          <w:szCs w:val="20"/>
          <w:color w:val="auto"/>
        </w:rPr>
        <w:t>” means any Subsidiary Credit Party incorporated under the Laws of Spain.</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Spanish Public Document</w:t>
      </w:r>
      <w:r>
        <w:rPr>
          <w:rFonts w:ascii="Times New Roman" w:cs="Times New Roman" w:eastAsia="Times New Roman" w:hAnsi="Times New Roman"/>
          <w:sz w:val="20"/>
          <w:szCs w:val="20"/>
          <w:color w:val="auto"/>
        </w:rPr>
        <w:t>” means a public document (</w:t>
      </w:r>
      <w:r>
        <w:rPr>
          <w:rFonts w:ascii="Times New Roman" w:cs="Times New Roman" w:eastAsia="Times New Roman" w:hAnsi="Times New Roman"/>
          <w:sz w:val="20"/>
          <w:szCs w:val="20"/>
          <w:i w:val="1"/>
          <w:iCs w:val="1"/>
          <w:color w:val="auto"/>
        </w:rPr>
        <w:t>documento público</w:t>
      </w:r>
      <w:r>
        <w:rPr>
          <w:rFonts w:ascii="Times New Roman" w:cs="Times New Roman" w:eastAsia="Times New Roman" w:hAnsi="Times New Roman"/>
          <w:sz w:val="20"/>
          <w:szCs w:val="20"/>
          <w:color w:val="auto"/>
        </w:rPr>
        <w:t xml:space="preserve">), being either an </w:t>
      </w:r>
      <w:r>
        <w:rPr>
          <w:rFonts w:ascii="Times New Roman" w:cs="Times New Roman" w:eastAsia="Times New Roman" w:hAnsi="Times New Roman"/>
          <w:sz w:val="20"/>
          <w:szCs w:val="20"/>
          <w:i w:val="1"/>
          <w:iCs w:val="1"/>
          <w:color w:val="auto"/>
        </w:rPr>
        <w:t>escritura pública</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i w:val="1"/>
          <w:iCs w:val="1"/>
          <w:color w:val="auto"/>
        </w:rPr>
        <w:t>póliza</w:t>
      </w:r>
      <w:r>
        <w:rPr>
          <w:rFonts w:ascii="Times New Roman" w:cs="Times New Roman" w:eastAsia="Times New Roman" w:hAnsi="Times New Roman"/>
          <w:sz w:val="20"/>
          <w:szCs w:val="20"/>
          <w:color w:val="auto"/>
        </w:rPr>
        <w:t xml:space="preserve"> or an </w:t>
      </w:r>
      <w:r>
        <w:rPr>
          <w:rFonts w:ascii="Times New Roman" w:cs="Times New Roman" w:eastAsia="Times New Roman" w:hAnsi="Times New Roman"/>
          <w:sz w:val="20"/>
          <w:szCs w:val="20"/>
          <w:i w:val="1"/>
          <w:iCs w:val="1"/>
          <w:color w:val="auto"/>
        </w:rPr>
        <w:t>efecto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intervenido por fedatario público.</w:t>
      </w:r>
    </w:p>
    <w:p>
      <w:pPr>
        <w:spacing w:after="0" w:line="16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Credit Party</w:t>
      </w:r>
      <w:r>
        <w:rPr>
          <w:rFonts w:ascii="Times New Roman" w:cs="Times New Roman" w:eastAsia="Times New Roman" w:hAnsi="Times New Roman"/>
          <w:sz w:val="20"/>
          <w:szCs w:val="20"/>
          <w:color w:val="auto"/>
        </w:rPr>
        <w:t xml:space="preserve">” means any Credit Party incorporated in the United States that is not an “eligible contract participant” under the Commodity Exchange Act (determined prior to giving effect to </w:t>
      </w:r>
      <w:r>
        <w:rPr>
          <w:rFonts w:ascii="Times New Roman" w:cs="Times New Roman" w:eastAsia="Times New Roman" w:hAnsi="Times New Roman"/>
          <w:sz w:val="20"/>
          <w:szCs w:val="20"/>
          <w:u w:val="single" w:color="auto"/>
          <w:color w:val="auto"/>
        </w:rPr>
        <w:t>Section 14.13</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Foreign Credit Party</w:t>
      </w:r>
      <w:r>
        <w:rPr>
          <w:rFonts w:ascii="Times New Roman" w:cs="Times New Roman" w:eastAsia="Times New Roman" w:hAnsi="Times New Roman"/>
          <w:sz w:val="20"/>
          <w:szCs w:val="20"/>
          <w:color w:val="auto"/>
        </w:rPr>
        <w:t>” means each Credit Party of Crown Holdings that is incorporated or formed in the United Kingdom or Canada.</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xml:space="preserve">” means the representations and warranties made by the Borrower and Guarantors, in or pursuant to </w:t>
      </w:r>
      <w:r>
        <w:rPr>
          <w:rFonts w:ascii="Times New Roman" w:cs="Times New Roman" w:eastAsia="Times New Roman" w:hAnsi="Times New Roman"/>
          <w:sz w:val="20"/>
          <w:szCs w:val="20"/>
          <w:u w:val="single" w:color="auto"/>
          <w:color w:val="auto"/>
        </w:rPr>
        <w:t>Sections 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w:t>
      </w:r>
      <w:r>
        <w:rPr>
          <w:rFonts w:ascii="Times New Roman" w:cs="Times New Roman" w:eastAsia="Times New Roman" w:hAnsi="Times New Roman"/>
          <w:sz w:val="20"/>
          <w:szCs w:val="20"/>
          <w:color w:val="auto"/>
        </w:rPr>
        <w:t xml:space="preserve"> (solely as relates to entering into and performance of the relevant credit documentation by Crown Holdings and each other Credit Party), </w:t>
      </w:r>
      <w:r>
        <w:rPr>
          <w:rFonts w:ascii="Times New Roman" w:cs="Times New Roman" w:eastAsia="Times New Roman" w:hAnsi="Times New Roman"/>
          <w:sz w:val="20"/>
          <w:szCs w:val="20"/>
          <w:u w:val="single" w:color="auto"/>
          <w:color w:val="auto"/>
        </w:rPr>
        <w:t>6.3</w:t>
      </w:r>
      <w:r>
        <w:rPr>
          <w:rFonts w:ascii="Times New Roman" w:cs="Times New Roman" w:eastAsia="Times New Roman" w:hAnsi="Times New Roman"/>
          <w:sz w:val="20"/>
          <w:szCs w:val="20"/>
          <w:color w:val="auto"/>
        </w:rPr>
        <w:t xml:space="preserve"> (solely with respect to each Credit Party’s Organic Documents), </w:t>
      </w:r>
      <w:r>
        <w:rPr>
          <w:rFonts w:ascii="Times New Roman" w:cs="Times New Roman" w:eastAsia="Times New Roman" w:hAnsi="Times New Roman"/>
          <w:sz w:val="20"/>
          <w:szCs w:val="20"/>
          <w:u w:val="single" w:color="auto"/>
          <w:color w:val="auto"/>
        </w:rPr>
        <w:t>6.8(c)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6.22</w:t>
      </w:r>
      <w:r>
        <w:rPr>
          <w:rFonts w:ascii="Times New Roman" w:cs="Times New Roman" w:eastAsia="Times New Roman" w:hAnsi="Times New Roman"/>
          <w:sz w:val="20"/>
          <w:szCs w:val="20"/>
          <w:color w:val="auto"/>
        </w:rPr>
        <w:t xml:space="preserve"> (solely as relates to use of proceeds) and </w:t>
      </w:r>
      <w:r>
        <w:rPr>
          <w:rFonts w:ascii="Times New Roman" w:cs="Times New Roman" w:eastAsia="Times New Roman" w:hAnsi="Times New Roman"/>
          <w:sz w:val="20"/>
          <w:szCs w:val="20"/>
          <w:u w:val="single" w:color="auto"/>
          <w:color w:val="auto"/>
        </w:rPr>
        <w:t>6.23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Spot Rate</w:t>
      </w:r>
      <w:r>
        <w:rPr>
          <w:rFonts w:ascii="Times New Roman" w:cs="Times New Roman" w:eastAsia="Times New Roman" w:hAnsi="Times New Roman"/>
          <w:sz w:val="19"/>
          <w:szCs w:val="19"/>
          <w:color w:val="auto"/>
        </w:rPr>
        <w:t>” for a currency means the rate determined by the Administrative Agent or Facing Agent, as applicable, to be the rate quoted by the Person acting in such capacity as the spot rate for the purchase by such Person of such currency with another currency through its principal foreign exchange trading office at approximately 11:00 a.m. on the date 2 Business Days prior to the date as of which the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or Facing Agent may obtain such spot rate from another financial institution designated by the Administrative Agent or Facing Agent if the Person acting in such capacity does not have as of the date of determination a spot buying rate for any such currency; and provided, further, that Facing Agent may use such spot rate quoted on the date as of which the foreign exchange computation is made in the case of any Letter of Credit denominated in an Alternative Currency.</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Stated Amount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Stated Amounts</w:t>
      </w:r>
      <w:r>
        <w:rPr>
          <w:rFonts w:ascii="Times New Roman" w:cs="Times New Roman" w:eastAsia="Times New Roman" w:hAnsi="Times New Roman"/>
          <w:sz w:val="20"/>
          <w:szCs w:val="20"/>
          <w:color w:val="auto"/>
        </w:rPr>
        <w:t>” means (i) with respect to any Multicurrency Letter of Credit issued in Dollars, the stated or face amount of such Letter of Credit (to the extent) available at the time for drawing (subject to presentment of all requisite documents), and</w:t>
      </w:r>
    </w:p>
    <w:p>
      <w:pPr>
        <w:spacing w:after="0" w:line="1" w:lineRule="exact"/>
        <w:rPr>
          <w:sz w:val="20"/>
          <w:szCs w:val="20"/>
          <w:color w:val="auto"/>
        </w:rPr>
      </w:pPr>
    </w:p>
    <w:p>
      <w:pPr>
        <w:jc w:val="both"/>
        <w:ind w:firstLine="8"/>
        <w:spacing w:after="0" w:line="248" w:lineRule="auto"/>
        <w:tabs>
          <w:tab w:leader="none" w:pos="29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Letter of Credit issued in any currency other than Dollars, the Dollar Equivalent of the stated or face amount of such Letter of Credit (to the extent) available at the time for drawing (subject to presentment of all requisite documents), in either case as the same may be increased or decreased from time to time in accordance with the terms of such Letter of Credit. For purposes of calculating the Stated Amount of any Letter of Credit at any time:</w:t>
      </w:r>
    </w:p>
    <w:p>
      <w:pPr>
        <w:spacing w:after="0" w:line="19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increase in the Stated Amount of any Letter of Credit by reason of any amendment to any Letter of Credit shall be deemed effective under this Agreement as of the date Facing Agent actually issues an amendment purporting to increase the Stated Amount of such Letter of Credit, whether or not Facing Agent receives the consent of the Letter of Credit beneficiary or beneficiaries to the amendment, except that if a Borrower has required that the increase in Stated Amount be given effect as of an earlier date and Facing Agent issues an amendment to that effect, then such increase in Stated Amount shall be deemed effective under this Agreement as of such earlier date requested by such Borrower; and</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4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reduction in the Stated Amount of any Letter of Credit by reason of any amendment to any Letter of Credit shall be deemed effective under this Agreement as of the later of (x) the date Facing Agent actually issues an amendment purporting to reduce the Stated Amount of such Letter of Credit, whether or not the amendment provides that the reduction be given effect as of an earlier date, or (y) the date Facing Agent receives the written consent (including by authenticated telex, cable, SWIFT messages or facsimile transmission with, in the case of a facsimile transmission, a follow-up original hard copy) of the Letter of Credit beneficiary or beneficiaries to such reduction, whether written consent must be dated on or after the date of the amendment issued by Facing Agent purporting to effect such reduction.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Step-Up</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means the lawful currency of the United Kingdom.</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 Equivalent</w:t>
      </w:r>
      <w:r>
        <w:rPr>
          <w:rFonts w:ascii="Times New Roman" w:cs="Times New Roman" w:eastAsia="Times New Roman" w:hAnsi="Times New Roman"/>
          <w:sz w:val="20"/>
          <w:szCs w:val="20"/>
          <w:color w:val="auto"/>
        </w:rPr>
        <w:t xml:space="preserve">” means at the time of determination thereof (a) with respect to Sterling, the amount in Sterling and (b) with respect to any amount in Dollars, the equivalent of such amount in Sterling determined by Administrative Agent at such time on the basis of the Exchange Rate for the purchase of Sterling with Dollars on the most recent Computation Date provided for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Subject Transaction</w:t>
      </w:r>
      <w:r>
        <w:rPr>
          <w:rFonts w:ascii="Times New Roman" w:cs="Times New Roman" w:eastAsia="Times New Roman" w:hAnsi="Times New Roman"/>
          <w:sz w:val="20"/>
          <w:szCs w:val="20"/>
          <w:color w:val="auto"/>
        </w:rPr>
        <w:t>” means, with respect to any period, (a) the Transactions, (b) any Permitted Acquisition or the making of other third-party Investments by one or more of Crown Holdings and its Subsidiaries permitted by this Agreement, (c) any material Asset Disposition as determined in good faith by Crown Holdings, in each case permitted by this Agreement, (d) the incurrence, assumption or repayment of Indebtedness, (e) any Restricted Payment, (f) any Additional Term Loans, Additional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24" w:name="page125"/>
    <w:bookmarkEnd w:id="124"/>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Revolving Credit Commitments, Additional Revolving Facilities or Incremental Equivalent Debt, (g) the designation of a Subsidiary as an Unrestricted Entity or an Unrestricted Entity as a Subsidiary in accordance with </w:t>
      </w:r>
      <w:r>
        <w:rPr>
          <w:rFonts w:ascii="Times New Roman" w:cs="Times New Roman" w:eastAsia="Times New Roman" w:hAnsi="Times New Roman"/>
          <w:sz w:val="20"/>
          <w:szCs w:val="20"/>
          <w:u w:val="single" w:color="auto"/>
          <w:color w:val="auto"/>
        </w:rPr>
        <w:t>Section 12.21</w:t>
      </w:r>
      <w:r>
        <w:rPr>
          <w:rFonts w:ascii="Times New Roman" w:cs="Times New Roman" w:eastAsia="Times New Roman" w:hAnsi="Times New Roman"/>
          <w:sz w:val="20"/>
          <w:szCs w:val="20"/>
          <w:color w:val="auto"/>
        </w:rPr>
        <w:t xml:space="preserve"> and (h) any other event that by the terms of the Loan Documents requires pro forma compliance with a test or covenant hereunder or requires such test or covenant to be calculated on a Pro Forma Basis.</w:t>
      </w:r>
    </w:p>
    <w:p>
      <w:pPr>
        <w:spacing w:after="0" w:line="17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Indebtedness of Crown Holdings or any of its Subsidiaries that is expressly subordinated in right of payment to the Obligations.</w:t>
      </w:r>
    </w:p>
    <w:p>
      <w:pPr>
        <w:spacing w:after="0" w:line="16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(i) any corporation of which more than 50% of the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is at the time directly or indirectly owned by such Person, by such Person and one or more other Subsidiaries of such Person, or by one or more other Subsidiaries of such Person; (ii) any partnership of which more than 50% of the outstanding partnership interests having the power to act as a general partner of such partnership (irrespective of whether at the time any partnership interests other than general partnership interests of such partnership shall or might have voting power upon the occurrence of any contingency) are at the time directly or indirectly owned by such Person, by such Person and one or more other Subsidiaries of such Person, or by one or more other Subsidiaries of such Person; or (iii) any other legal entity the accounts of which would or should be consolidated with those of such Person on a consolidated balance sheet of such Person prepared in accordance with GAAP. Unless otherwise qualified, all references to a “Subsidiary” or to “Subsidiaries” in this Agreement (a) shall refer to a Subsidiary or Subsidiaries of Crown Holdings and (b) shall not include any Unrestricted Entity.</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Borrower</w:t>
      </w:r>
      <w:r>
        <w:rPr>
          <w:rFonts w:ascii="Times New Roman" w:cs="Times New Roman" w:eastAsia="Times New Roman" w:hAnsi="Times New Roman"/>
          <w:sz w:val="20"/>
          <w:szCs w:val="20"/>
          <w:color w:val="auto"/>
        </w:rPr>
        <w:t xml:space="preserve">” means each Non-U.S. Subsidiary listed as a Subsidiary Borrower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as amended from time to time in accordance with </w:t>
      </w:r>
      <w:r>
        <w:rPr>
          <w:rFonts w:ascii="Times New Roman" w:cs="Times New Roman" w:eastAsia="Times New Roman" w:hAnsi="Times New Roman"/>
          <w:sz w:val="20"/>
          <w:szCs w:val="20"/>
          <w:u w:val="single" w:color="auto"/>
          <w:color w:val="auto"/>
        </w:rPr>
        <w:t>Section 12.1(c)</w:t>
      </w:r>
      <w:r>
        <w:rPr>
          <w:rFonts w:ascii="Times New Roman" w:cs="Times New Roman" w:eastAsia="Times New Roman" w:hAnsi="Times New Roman"/>
          <w:sz w:val="20"/>
          <w:szCs w:val="20"/>
          <w:color w:val="auto"/>
        </w:rPr>
        <w:t xml:space="preserve">, including each Dutch Borrower, each German Borrower and each U.K.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commencing on the Incremental Amendment No. 3 and Fifth Amendment Effective Date, each such new Subsidiary Borrower must be incorporated (or similarly organized) in a jurisdiction as to which all applicable Lenders have confirmed to the Administrative Agent their ability and willingness to make Loans into such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Lender confirmation shall be required with respect to new Subsidiary Borrowers organized in a jurisdiction in which any Credit Party exists on the Incremental Amendment No. 3 and Fifth Amendment Effective Date.</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Borrower Obligations</w:t>
      </w:r>
      <w:r>
        <w:rPr>
          <w:rFonts w:ascii="Times New Roman" w:cs="Times New Roman" w:eastAsia="Times New Roman" w:hAnsi="Times New Roman"/>
          <w:sz w:val="20"/>
          <w:szCs w:val="20"/>
          <w:color w:val="auto"/>
        </w:rPr>
        <w:t>” means, with respect to each Subsidiary Borrower, the unpaid principal of and interest on (including interest accruing after the maturity of the Loans made to such Subsidiary Borrower and interest and fees accruing after the filing of any petition in bankruptcy, or the commencement of any insolvency, reorganization or like proceeding, relating to such Subsidiary Borrower, whether or not a claim for post-filing or post-petition interest and fees is allowed in such proceeding) the Loans made to or Unpaid Drawings pursuant to Multicurrency Letters of Credit issued for the account of such Subsidiary Borrower and all other obligations and liabilities of such Subsidiary Borrower or any of its Subsidiaries (including Bank Related Debt) to any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such</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83" w:lineRule="auto"/>
        <w:rPr>
          <w:sz w:val="20"/>
          <w:szCs w:val="20"/>
          <w:color w:val="auto"/>
        </w:rPr>
      </w:pPr>
      <w:r>
        <w:rPr>
          <w:rFonts w:ascii="Times New Roman" w:cs="Times New Roman" w:eastAsia="Times New Roman" w:hAnsi="Times New Roman"/>
          <w:sz w:val="20"/>
          <w:szCs w:val="20"/>
          <w:color w:val="auto"/>
        </w:rPr>
        <w:t>Subsidiary Borrower or any of its Subsidiaries to any Agent, any Lender or any Hedge Bank pursuant to any Loan Document or any Bank Related Debt) or otherwise.</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Credit Parties</w:t>
      </w:r>
      <w:r>
        <w:rPr>
          <w:rFonts w:ascii="Times New Roman" w:cs="Times New Roman" w:eastAsia="Times New Roman" w:hAnsi="Times New Roman"/>
          <w:sz w:val="20"/>
          <w:szCs w:val="20"/>
          <w:color w:val="auto"/>
        </w:rPr>
        <w:t xml:space="preserve">” means (i) each of U.S. Borrower’s U.S. Subsidiaries (other than any Excluded Subsidiary), (ii) each Subsidiary Borrower and (iii) each Subsidiary of European Borrower, and each other Subsidiary, designated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as a subsidiary guarantor or which becomes a subsidiary guarantor pursuant to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Assurance Provider</w:t>
      </w:r>
      <w:r>
        <w:rPr>
          <w:rFonts w:ascii="Times New Roman" w:cs="Times New Roman" w:eastAsia="Times New Roman" w:hAnsi="Times New Roman"/>
          <w:sz w:val="20"/>
          <w:szCs w:val="20"/>
          <w:color w:val="auto"/>
        </w:rPr>
        <w:t>” means (a) a qualified external reviewer, independent of Crown Holdings and its Affiliates, with relevant expertise with respect to evaluating KPIs with respect to ESG targets and ESG Ratings targets, such as an auditor, environmental consultant and/or independent ratings agency of recognized national standing, or (b) another Person designated by the Crown Holdings and approved by the Required Lenders.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Coordinators</w:t>
      </w:r>
      <w:r>
        <w:rPr>
          <w:rFonts w:ascii="Times New Roman" w:cs="Times New Roman" w:eastAsia="Times New Roman" w:hAnsi="Times New Roman"/>
          <w:sz w:val="20"/>
          <w:szCs w:val="20"/>
          <w:color w:val="auto"/>
        </w:rPr>
        <w:t>” means each of Deutsche Bank Securities Inc., BNP Paribas, Coöperatieve Rabobank U.A., New York Branch, Credit Agricole Corporate and Investment Bank, ING Capital LLC and UniCredit Bank AG, or any of their respective affiliates, each in their capacity as a Sustainability Coordinator.</w:t>
      </w:r>
    </w:p>
    <w:p>
      <w:pPr>
        <w:spacing w:after="0" w:line="16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Obligations</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Commitment</w:t>
      </w:r>
      <w:r>
        <w:rPr>
          <w:rFonts w:ascii="Times New Roman" w:cs="Times New Roman" w:eastAsia="Times New Roman" w:hAnsi="Times New Roman"/>
          <w:sz w:val="20"/>
          <w:szCs w:val="20"/>
          <w:color w:val="auto"/>
        </w:rPr>
        <w:t xml:space="preserve">” means, at any date, the obligation of the Swing Line Lender to make Swing Line Loans pursuant to </w:t>
      </w:r>
      <w:r>
        <w:rPr>
          <w:rFonts w:ascii="Times New Roman" w:cs="Times New Roman" w:eastAsia="Times New Roman" w:hAnsi="Times New Roman"/>
          <w:sz w:val="20"/>
          <w:szCs w:val="20"/>
          <w:u w:val="single" w:color="auto"/>
          <w:color w:val="auto"/>
        </w:rPr>
        <w:t>Section 2.1(c)</w:t>
      </w:r>
      <w:r>
        <w:rPr>
          <w:rFonts w:ascii="Times New Roman" w:cs="Times New Roman" w:eastAsia="Times New Roman" w:hAnsi="Times New Roman"/>
          <w:sz w:val="20"/>
          <w:szCs w:val="20"/>
          <w:color w:val="auto"/>
        </w:rPr>
        <w:t xml:space="preserve"> in the amount referred to therein.</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Exposure</w:t>
      </w:r>
      <w:r>
        <w:rPr>
          <w:rFonts w:ascii="Times New Roman" w:cs="Times New Roman" w:eastAsia="Times New Roman" w:hAnsi="Times New Roman"/>
          <w:sz w:val="20"/>
          <w:szCs w:val="20"/>
          <w:color w:val="auto"/>
        </w:rPr>
        <w:t>” means, with respect to a Revolving Lender, such Lender’s Multicurrency Revolver Pro Rata Share of the then outstanding Swing Line Loans.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Facility</w:t>
      </w:r>
      <w:r>
        <w:rPr>
          <w:rFonts w:ascii="Times New Roman" w:cs="Times New Roman" w:eastAsia="Times New Roman" w:hAnsi="Times New Roman"/>
          <w:sz w:val="20"/>
          <w:szCs w:val="20"/>
          <w:color w:val="auto"/>
        </w:rPr>
        <w:t>” means the sub-credit facility of the Revolving Facility under this Agreement evidenced by the Swing Line Commitment and the Swing Line Loans.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DB, or an Affiliate of DB, as applicable.</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Participation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2.1(c)</w:t>
      </w:r>
      <w:r>
        <w:rPr>
          <w:rFonts w:ascii="Times New Roman" w:cs="Times New Roman" w:eastAsia="Times New Roman" w:hAnsi="Times New Roman"/>
          <w:sz w:val="20"/>
          <w:szCs w:val="20"/>
          <w:color w:val="auto"/>
        </w:rPr>
        <w:t xml:space="preserve"> (or such other form as mutually agreed by Crown Holdings and the Administrative Agent).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and future taxes, duties, levies, imposts, deductions, assessments, withholdings (including backup withholding), fees or other charges imposed by any Governmental Authority, and any liabilities (including interest and penalties and other additions to taxes) with respect to the foregoing.</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means, (i) with respect to any Lender and the Term Euro Facility, the Term Euro Commitment, (ii) with respect to any Lender and the Term Loan A Facility, the Term Loan A Commitment and (iii) with respect to any Lender and any other Term Facility, the principal amount set forth opposite such Lender’s name in the Register or in any Assignment and Assumption Agreement under the caption for the amount of commitment to such Term Facility, as such commitments may be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color w:val="auto"/>
        </w:rPr>
        <w:t>adjusted from time to time pursuant to this Agreement, and “</w:t>
      </w:r>
      <w:r>
        <w:rPr>
          <w:rFonts w:ascii="Times New Roman" w:cs="Times New Roman" w:eastAsia="Times New Roman" w:hAnsi="Times New Roman"/>
          <w:sz w:val="20"/>
          <w:szCs w:val="20"/>
          <w:u w:val="single" w:color="auto"/>
          <w:color w:val="auto"/>
        </w:rPr>
        <w:t>Term Commitments</w:t>
      </w:r>
      <w:r>
        <w:rPr>
          <w:rFonts w:ascii="Times New Roman" w:cs="Times New Roman" w:eastAsia="Times New Roman" w:hAnsi="Times New Roman"/>
          <w:sz w:val="20"/>
          <w:szCs w:val="20"/>
          <w:color w:val="auto"/>
        </w:rPr>
        <w:t>” means such commitments collectively.</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w:t>
      </w:r>
      <w:r>
        <w:rPr>
          <w:rFonts w:ascii="Times New Roman" w:cs="Times New Roman" w:eastAsia="Times New Roman" w:hAnsi="Times New Roman"/>
          <w:sz w:val="20"/>
          <w:szCs w:val="20"/>
          <w:color w:val="auto"/>
        </w:rPr>
        <w:t>” means, for any calculation with respect to a Canadian Prime Rate Loan, the Term CORRA Reference Rate for a tenor of one month on the day (such day, the “</w:t>
      </w:r>
      <w:r>
        <w:rPr>
          <w:rFonts w:ascii="Times New Roman" w:cs="Times New Roman" w:eastAsia="Times New Roman" w:hAnsi="Times New Roman"/>
          <w:sz w:val="20"/>
          <w:szCs w:val="20"/>
          <w:u w:val="single" w:color="auto"/>
          <w:color w:val="auto"/>
        </w:rPr>
        <w:t>Periodic Term CORRA Determination Day</w:t>
      </w:r>
      <w:r>
        <w:rPr>
          <w:rFonts w:ascii="Times New Roman" w:cs="Times New Roman" w:eastAsia="Times New Roman" w:hAnsi="Times New Roman"/>
          <w:sz w:val="20"/>
          <w:szCs w:val="20"/>
          <w:color w:val="auto"/>
        </w:rPr>
        <w:t>”) that is two (2) Business Days prior to such day,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Adjustment</w:t>
      </w:r>
      <w:r>
        <w:rPr>
          <w:rFonts w:ascii="Times New Roman" w:cs="Times New Roman" w:eastAsia="Times New Roman" w:hAnsi="Times New Roman"/>
          <w:sz w:val="20"/>
          <w:szCs w:val="20"/>
          <w:color w:val="auto"/>
        </w:rPr>
        <w:t>” means a percentage equal to 0.29547% per annum.</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Administrator</w:t>
      </w:r>
      <w:r>
        <w:rPr>
          <w:rFonts w:ascii="Times New Roman" w:cs="Times New Roman" w:eastAsia="Times New Roman" w:hAnsi="Times New Roman"/>
          <w:sz w:val="20"/>
          <w:szCs w:val="20"/>
          <w:color w:val="auto"/>
        </w:rPr>
        <w:t>” means Candeal Benchmark Administration Services Inc., TSX Inc., or any successor administrator of the Term CORRA Reference Rate selected by the Administrative Agent in its reasonable discretion.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Reference Rate</w:t>
      </w:r>
      <w:r>
        <w:rPr>
          <w:rFonts w:ascii="Times New Roman" w:cs="Times New Roman" w:eastAsia="Times New Roman" w:hAnsi="Times New Roman"/>
          <w:sz w:val="20"/>
          <w:szCs w:val="20"/>
          <w:color w:val="auto"/>
        </w:rPr>
        <w:t>” means the forward-looking term rate based on CORRA.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Euro Commitment</w:t>
      </w:r>
      <w:r>
        <w:rPr>
          <w:rFonts w:ascii="Times New Roman" w:cs="Times New Roman" w:eastAsia="Times New Roman" w:hAnsi="Times New Roman"/>
          <w:sz w:val="20"/>
          <w:szCs w:val="20"/>
          <w:color w:val="auto"/>
        </w:rPr>
        <w:t xml:space="preserve">” means, with respect to any Lender, the principal amount set forth opposite such Lender’s name in the Register or in any Assignment and Assumption Agreement under the caption “Amount of Term Euro Commitment,” which commitment as of the Incremental Amendment No. 3 and Fifth Amendment Effective Date is the amount set forth opposite such lender’s name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w:t>
      </w:r>
      <w:r>
        <w:rPr>
          <w:rFonts w:ascii="Times New Roman" w:cs="Times New Roman" w:eastAsia="Times New Roman" w:hAnsi="Times New Roman"/>
          <w:sz w:val="20"/>
          <w:szCs w:val="20"/>
          <w:color w:val="auto"/>
        </w:rPr>
        <w:t xml:space="preserve"> to Incremental Amendment No. 2 and Third Amendment under the caption “Amount of Additional Term Euro Commitment” as the same may be adjusted from time to time pursuant to the terms hereof, and “</w:t>
      </w:r>
      <w:r>
        <w:rPr>
          <w:rFonts w:ascii="Times New Roman" w:cs="Times New Roman" w:eastAsia="Times New Roman" w:hAnsi="Times New Roman"/>
          <w:sz w:val="20"/>
          <w:szCs w:val="20"/>
          <w:u w:val="single" w:color="auto"/>
          <w:color w:val="auto"/>
        </w:rPr>
        <w:t>Term Euro Commitments</w:t>
      </w:r>
      <w:r>
        <w:rPr>
          <w:rFonts w:ascii="Times New Roman" w:cs="Times New Roman" w:eastAsia="Times New Roman" w:hAnsi="Times New Roman"/>
          <w:sz w:val="20"/>
          <w:szCs w:val="20"/>
          <w:color w:val="auto"/>
        </w:rPr>
        <w:t>” means such commitments collectively, which commitments equal €540,000,000 in the aggregate as of the Incremental Amendment No. 3 and Fifth Amendment Effective Date.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Euro Facility</w:t>
      </w:r>
      <w:r>
        <w:rPr>
          <w:rFonts w:ascii="Times New Roman" w:cs="Times New Roman" w:eastAsia="Times New Roman" w:hAnsi="Times New Roman"/>
          <w:sz w:val="20"/>
          <w:szCs w:val="20"/>
          <w:color w:val="auto"/>
        </w:rPr>
        <w:t>” means the credit facility under this Agreement evidenced by the Term Euro Commitments and the Term Euro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Euro Lender</w:t>
      </w:r>
      <w:r>
        <w:rPr>
          <w:rFonts w:ascii="Times New Roman" w:cs="Times New Roman" w:eastAsia="Times New Roman" w:hAnsi="Times New Roman"/>
          <w:sz w:val="20"/>
          <w:szCs w:val="20"/>
          <w:color w:val="auto"/>
        </w:rPr>
        <w:t>” means any Lender which has a Term Euro Commitment or is owed a Term Euro Loan (or a portion thereof).</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Euro Loan</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2.1(a)(ii)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Euro Loan Maturity Date</w:t>
      </w:r>
      <w:r>
        <w:rPr>
          <w:rFonts w:ascii="Times New Roman" w:cs="Times New Roman" w:eastAsia="Times New Roman" w:hAnsi="Times New Roman"/>
          <w:sz w:val="20"/>
          <w:szCs w:val="20"/>
          <w:color w:val="auto"/>
        </w:rPr>
        <w:t>” means the date that is the fifth anniversary of the Incremental Amendment No. 3 and Fifth Amendment Effective Date.</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Facilities</w:t>
      </w:r>
      <w:r>
        <w:rPr>
          <w:rFonts w:ascii="Times New Roman" w:cs="Times New Roman" w:eastAsia="Times New Roman" w:hAnsi="Times New Roman"/>
          <w:sz w:val="20"/>
          <w:szCs w:val="20"/>
          <w:color w:val="auto"/>
        </w:rPr>
        <w:t>” means the Facilities under the Agreement other than the Revolving Facilities and the Swing Line Facility, collectively.</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with respect to any Term Facility, any Lender which has a Term Commitment for such Term Facility or is owed a Term Loan (or portion thereof) under such Term Facility.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Term A Loans</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A Commitment</w:t>
      </w:r>
      <w:r>
        <w:rPr>
          <w:rFonts w:ascii="Times New Roman" w:cs="Times New Roman" w:eastAsia="Times New Roman" w:hAnsi="Times New Roman"/>
          <w:sz w:val="19"/>
          <w:szCs w:val="19"/>
          <w:color w:val="auto"/>
        </w:rPr>
        <w:t xml:space="preserve">” means, with respect to any Lender, the principal amount set forth opposite such Lender’s name in the Register or in any Assignment and Assumption Agreement under the caption “Amount of Term Loan A Commitment,” which commitment as of the Incremental Amendment No. 3 and Fifth Amendment Effective Date is the amount set forth opposite such lender’s name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w:t>
      </w:r>
      <w:r>
        <w:rPr>
          <w:rFonts w:ascii="Times New Roman" w:cs="Times New Roman" w:eastAsia="Times New Roman" w:hAnsi="Times New Roman"/>
          <w:sz w:val="19"/>
          <w:szCs w:val="19"/>
          <w:color w:val="auto"/>
        </w:rPr>
        <w:t xml:space="preserve"> to Incremental Amendment No. 2 and Third Amendment under the caption “Amount of Additional Term Loan A Commitment” as the same may be adjusted from time to time pursuant to the terms hereof, and “</w:t>
      </w:r>
      <w:r>
        <w:rPr>
          <w:rFonts w:ascii="Times New Roman" w:cs="Times New Roman" w:eastAsia="Times New Roman" w:hAnsi="Times New Roman"/>
          <w:sz w:val="19"/>
          <w:szCs w:val="19"/>
          <w:u w:val="single" w:color="auto"/>
          <w:color w:val="auto"/>
        </w:rPr>
        <w:t>Term Loan A Commitments</w:t>
      </w:r>
      <w:r>
        <w:rPr>
          <w:rFonts w:ascii="Times New Roman" w:cs="Times New Roman" w:eastAsia="Times New Roman" w:hAnsi="Times New Roman"/>
          <w:sz w:val="19"/>
          <w:szCs w:val="19"/>
          <w:color w:val="auto"/>
        </w:rPr>
        <w:t>” means all such commitments collectively, which commitments equal $1,800,000,000 in the aggregate as of the Incremental Amendment No. 3 and Fifth Amendment Effective Date.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A Facility</w:t>
      </w:r>
      <w:r>
        <w:rPr>
          <w:rFonts w:ascii="Times New Roman" w:cs="Times New Roman" w:eastAsia="Times New Roman" w:hAnsi="Times New Roman"/>
          <w:sz w:val="19"/>
          <w:szCs w:val="19"/>
          <w:color w:val="auto"/>
        </w:rPr>
        <w:t>” means the credit facility under this Agreement evidenced by the Term Loan A Commitments and the Term A</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Loan A Lender</w:t>
      </w:r>
      <w:r>
        <w:rPr>
          <w:rFonts w:ascii="Times New Roman" w:cs="Times New Roman" w:eastAsia="Times New Roman" w:hAnsi="Times New Roman"/>
          <w:sz w:val="19"/>
          <w:szCs w:val="19"/>
          <w:color w:val="auto"/>
        </w:rPr>
        <w:t>” means any Lender which has a Term Loan A Commitment or is owed a Term A Loan (or a portion thereof).</w:t>
      </w:r>
    </w:p>
    <w:p>
      <w:pPr>
        <w:spacing w:after="0" w:line="24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A Maturity Date</w:t>
      </w:r>
      <w:r>
        <w:rPr>
          <w:rFonts w:ascii="Times New Roman" w:cs="Times New Roman" w:eastAsia="Times New Roman" w:hAnsi="Times New Roman"/>
          <w:sz w:val="20"/>
          <w:szCs w:val="20"/>
          <w:color w:val="auto"/>
        </w:rPr>
        <w:t>” means the date that is the fifth anniversary of the Incremental Amendment No. 3 and Fifth Amendment Effective Date.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means the Loans under the Term Facilities, collectively.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Maturity Date</w:t>
      </w:r>
      <w:r>
        <w:rPr>
          <w:rFonts w:ascii="Times New Roman" w:cs="Times New Roman" w:eastAsia="Times New Roman" w:hAnsi="Times New Roman"/>
          <w:sz w:val="20"/>
          <w:szCs w:val="20"/>
          <w:color w:val="auto"/>
        </w:rPr>
        <w:t>” means, with respect to any Term Facility, the scheduled maturity date for such Term Facility under this Agreement, or in the applicable joinder, amendment or supplement to this Agreement setting forth the terms of any Additional Facility in respect of Additional Term Loans, tranche of Extended Additional Facility Commitments in respect of Additional Term Loans, or Extended Term Facility, as the context may require.</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Percentage</w:t>
      </w:r>
      <w:r>
        <w:rPr>
          <w:rFonts w:ascii="Times New Roman" w:cs="Times New Roman" w:eastAsia="Times New Roman" w:hAnsi="Times New Roman"/>
          <w:sz w:val="20"/>
          <w:szCs w:val="20"/>
          <w:color w:val="auto"/>
        </w:rPr>
        <w:t>” means, at any time with respect to any Term Facility, a fraction (expressed as a percentage) the numerator of which is equal to the aggregate Effective Amount of all Loans under such Term Facility outstanding at such time and the denominator of which is equal to the aggregate Effective Amount of all Term Loans outstanding at such time.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Pro Rata Share</w:t>
      </w:r>
      <w:r>
        <w:rPr>
          <w:rFonts w:ascii="Times New Roman" w:cs="Times New Roman" w:eastAsia="Times New Roman" w:hAnsi="Times New Roman"/>
          <w:sz w:val="20"/>
          <w:szCs w:val="20"/>
          <w:color w:val="auto"/>
        </w:rPr>
        <w:t>” means, with respect to any Term Facility, when used with reference to any Lender and any described aggregate or total amount, an amount equal to the result obtained by multiplying such described aggregate or total amount by a fraction the numerator of which shall be such Lender’s then outstanding Loans under such Facility and the denominator of which shall be the amount of all then outstanding Loans under such Facility.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left="660" w:firstLine="644"/>
        <w:spacing w:after="0" w:line="253" w:lineRule="auto"/>
        <w:tabs>
          <w:tab w:leader="none" w:pos="1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w:t>
      </w:r>
      <w:r>
        <w:rPr>
          <w:rFonts w:ascii="Times New Roman" w:cs="Times New Roman" w:eastAsia="Times New Roman" w:hAnsi="Times New Roman"/>
          <w:sz w:val="20"/>
          <w:szCs w:val="20"/>
          <w:color w:val="auto"/>
        </w:rPr>
        <w:t>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28" w:name="page129"/>
    <w:bookmarkEnd w:id="128"/>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2" w:lineRule="exact"/>
        <w:rPr>
          <w:sz w:val="20"/>
          <w:szCs w:val="20"/>
          <w:color w:val="auto"/>
        </w:rPr>
      </w:pPr>
    </w:p>
    <w:p>
      <w:pPr>
        <w:jc w:val="both"/>
        <w:ind w:left="660" w:firstLine="644"/>
        <w:spacing w:after="0" w:line="266" w:lineRule="auto"/>
        <w:tabs>
          <w:tab w:leader="none" w:pos="1944"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calculation with respect to an Base Rate Loan on any day, the Term SOFR Reference Rate for a tenor of one month on the day (such day, the “</w:t>
      </w:r>
      <w:r>
        <w:rPr>
          <w:rFonts w:ascii="Times New Roman" w:cs="Times New Roman" w:eastAsia="Times New Roman" w:hAnsi="Times New Roman"/>
          <w:sz w:val="19"/>
          <w:szCs w:val="19"/>
          <w:u w:val="single" w:color="auto"/>
          <w:color w:val="auto"/>
        </w:rPr>
        <w:t>Base Rate Term SOFR Determination Day</w:t>
      </w:r>
      <w:r>
        <w:rPr>
          <w:rFonts w:ascii="Times New Roman" w:cs="Times New Roman" w:eastAsia="Times New Roman" w:hAnsi="Times New Roman"/>
          <w:sz w:val="19"/>
          <w:szCs w:val="19"/>
          <w:color w:val="auto"/>
        </w:rPr>
        <w:t>”)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Adjustment</w:t>
      </w:r>
      <w:r>
        <w:rPr>
          <w:rFonts w:ascii="Times New Roman" w:cs="Times New Roman" w:eastAsia="Times New Roman" w:hAnsi="Times New Roman"/>
          <w:sz w:val="20"/>
          <w:szCs w:val="20"/>
          <w:color w:val="auto"/>
        </w:rPr>
        <w:t>” means a percentage equal to 0.10% per annum.</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rate per annum determined by the Administrative Agent as the forward-looking term rate based on SOFR.</w:t>
      </w:r>
    </w:p>
    <w:p>
      <w:pPr>
        <w:spacing w:after="0" w:line="17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Termination Event</w:t>
      </w:r>
      <w:r>
        <w:rPr>
          <w:rFonts w:ascii="Times New Roman" w:cs="Times New Roman" w:eastAsia="Times New Roman" w:hAnsi="Times New Roman"/>
          <w:sz w:val="19"/>
          <w:szCs w:val="19"/>
          <w:color w:val="auto"/>
        </w:rPr>
        <w:t>” means, other than in respect of a Canadian Defined Benefit Plan, (i) a Reportable Event with respect to any Pension Plan; (ii) the withdrawal of any Credit Party, any of its Subsidiaries or any of their ERISA Affiliates from a Pension Plan during a plan year in which such Credit Party, Subsidiary or ERISA Affiliate was a “substantial employer” as defined in Section 4001(a)(2) of ERISA;</w:t>
      </w:r>
    </w:p>
    <w:p>
      <w:pPr>
        <w:jc w:val="both"/>
        <w:ind w:firstLine="8"/>
        <w:spacing w:after="0" w:line="261" w:lineRule="auto"/>
        <w:tabs>
          <w:tab w:leader="none" w:pos="346"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imposition of an obligation on any Credit Party, any of its Subsidiaries or any of their ERISA Affiliates under Section 4041 of ERISA to provide affected parties written notice of intent to terminate a Pension Plan in a standard termination or a distress termination described in Section 4041 of ERISA; (iv) the institution by the PBGC or any similar foreign governmental authority of proceedings to terminate a Pension Plan or Foreign Plan; (v) any event or condition which would constitute grounds under Section 4042 of ERISA (other than subparagraph (a)</w:t>
      </w:r>
    </w:p>
    <w:p>
      <w:pPr>
        <w:spacing w:after="0" w:line="1" w:lineRule="exact"/>
        <w:rPr>
          <w:rFonts w:ascii="Times New Roman" w:cs="Times New Roman" w:eastAsia="Times New Roman" w:hAnsi="Times New Roman"/>
          <w:sz w:val="19"/>
          <w:szCs w:val="19"/>
          <w:color w:val="auto"/>
        </w:rPr>
      </w:pPr>
    </w:p>
    <w:p>
      <w:pPr>
        <w:jc w:val="both"/>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(4) of such Section) for the termination of, or the appointment of a trustee to administer, any Pension Plan; (vi) the appointment by a foreign governmental authority of a trustee to administer any Foreign Plan in place of the existing administrator; (vii) the partial or complete withdrawal of any Credit Party, any of its Subsidiaries or any of their ERISA Affiliates from a Multiemployer Plan or Foreign Plan; (viii) receipt of a notice of reorganization or insolvency with respect to a Multiemployer Plan pursuant to Section 4242 or 4245 of ERISA; (ix) the termination of a Multiemployer Plan or a Multiple Employer Plan; (x) the failure of any Pension Plan to satisfy any applicable minimum funding standard (within the meaning of Section 412 of the Code or Section 302 of ERISA), whether or not waived, the failure to make by its due date a required installment under Section 430(j) of the Code with respect to any Pension Plan or the failure to make any required contribution to a Multiemployer Plan; (xi) the filing pursuant to Section 412 of the Code or Section 302 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58" w:lineRule="auto"/>
        <w:rPr>
          <w:sz w:val="20"/>
          <w:szCs w:val="20"/>
          <w:color w:val="auto"/>
        </w:rPr>
      </w:pPr>
      <w:r>
        <w:rPr>
          <w:rFonts w:ascii="Times New Roman" w:cs="Times New Roman" w:eastAsia="Times New Roman" w:hAnsi="Times New Roman"/>
          <w:sz w:val="20"/>
          <w:szCs w:val="20"/>
          <w:color w:val="auto"/>
        </w:rPr>
        <w:t>ERISA of an application for a waiver of the minimum funding standard or an extension of any amortization period with respect to any Pension Plan; or (xii) a determination that any Pension Plan is in at risk status (within the meaning of Section 430 of the Code or Section 303 of ERISA), insolvent or in reorganization (within the meaning of Section 4245 or Section 4241 of ERISA) or in endangered or critical status (within the meaning of Section 432 of the Code or Section 305 of ERISA).</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means the four consecutive Fiscal Quarters of Crown Holdings then last ended.</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Available Canadian Revolving Commitment</w:t>
      </w:r>
      <w:r>
        <w:rPr>
          <w:rFonts w:ascii="Times New Roman" w:cs="Times New Roman" w:eastAsia="Times New Roman" w:hAnsi="Times New Roman"/>
          <w:sz w:val="20"/>
          <w:szCs w:val="20"/>
          <w:color w:val="auto"/>
        </w:rPr>
        <w:t>” means, at the time any determination thereof is made, the sum of the respective Available Canadian Revolving Commitments of the Lenders at such time.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Available Dollar Revolving Commitment</w:t>
      </w:r>
      <w:r>
        <w:rPr>
          <w:rFonts w:ascii="Times New Roman" w:cs="Times New Roman" w:eastAsia="Times New Roman" w:hAnsi="Times New Roman"/>
          <w:sz w:val="20"/>
          <w:szCs w:val="20"/>
          <w:color w:val="auto"/>
        </w:rPr>
        <w:t>” means, at the time any determination thereof is made, the sum of the respective Available Dollar Revolving Commitments of the Lenders at such time.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Available Multicurrency Revolving Commitment</w:t>
      </w:r>
      <w:r>
        <w:rPr>
          <w:rFonts w:ascii="Times New Roman" w:cs="Times New Roman" w:eastAsia="Times New Roman" w:hAnsi="Times New Roman"/>
          <w:sz w:val="20"/>
          <w:szCs w:val="20"/>
          <w:color w:val="auto"/>
        </w:rPr>
        <w:t>” means, at the time any determination thereof is made, the sum of the respective Available Multicurrency Revolving Commitments of the Lenders at such time.</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Canadian Revolving Commitment</w:t>
      </w:r>
      <w:r>
        <w:rPr>
          <w:rFonts w:ascii="Times New Roman" w:cs="Times New Roman" w:eastAsia="Times New Roman" w:hAnsi="Times New Roman"/>
          <w:sz w:val="20"/>
          <w:szCs w:val="20"/>
          <w:color w:val="auto"/>
        </w:rPr>
        <w:t>” means, at any time, the sum of the Canadian Revolving Commitments of each of the Lenders at such time.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Commitment</w:t>
      </w:r>
      <w:r>
        <w:rPr>
          <w:rFonts w:ascii="Times New Roman" w:cs="Times New Roman" w:eastAsia="Times New Roman" w:hAnsi="Times New Roman"/>
          <w:sz w:val="20"/>
          <w:szCs w:val="20"/>
          <w:color w:val="auto"/>
        </w:rPr>
        <w:t>” means, at the time any determination thereof is made, the sum of the Term Commitments, Canadian Revolving Commitments and the Revolving Commitments of each of the Lenders at such time.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Dollar Revolving Commitment</w:t>
      </w:r>
      <w:r>
        <w:rPr>
          <w:rFonts w:ascii="Times New Roman" w:cs="Times New Roman" w:eastAsia="Times New Roman" w:hAnsi="Times New Roman"/>
          <w:sz w:val="20"/>
          <w:szCs w:val="20"/>
          <w:color w:val="auto"/>
        </w:rPr>
        <w:t>” means, at any time, the sum of the Dollar Revolving Commitments of each of the Lenders at such time.</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First Lien Leverage Ratio</w:t>
      </w:r>
      <w:r>
        <w:rPr>
          <w:rFonts w:ascii="Times New Roman" w:cs="Times New Roman" w:eastAsia="Times New Roman" w:hAnsi="Times New Roman"/>
          <w:sz w:val="20"/>
          <w:szCs w:val="20"/>
          <w:color w:val="auto"/>
        </w:rPr>
        <w:t>” means, for any Test Period, the ratio of (a) Net Indebtedness of Crown Holdings and its Subsidiaries (exclusive of Indebtedness under any Permitted Receivables or Factoring Financing) as of the last day of such Test Period less</w:t>
      </w:r>
    </w:p>
    <w:p>
      <w:pPr>
        <w:jc w:val="both"/>
        <w:ind w:firstLine="8"/>
        <w:spacing w:after="0" w:line="249" w:lineRule="auto"/>
        <w:tabs>
          <w:tab w:leader="none" w:pos="30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of Crown Holdings and its Subsidiaries as of the last day of such Test Period and (y) Indebtedness of Crown Holdings and its Subsidiaries that is secured by a Lien that is junior to such Lien securing the Obligations as of the last day of such Test Period, to (b) Consolidated EBITDA of Crown Holdings and its Subsidiaries for such Test Period.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Leverage Ratio</w:t>
      </w:r>
      <w:r>
        <w:rPr>
          <w:rFonts w:ascii="Times New Roman" w:cs="Times New Roman" w:eastAsia="Times New Roman" w:hAnsi="Times New Roman"/>
          <w:sz w:val="20"/>
          <w:szCs w:val="20"/>
          <w:color w:val="auto"/>
        </w:rPr>
        <w:t>” means, for any Test Period, the ratio of (a) Net Indebtedness of Crown Holdings and its Subsidiaries (exclusive of Indebtedness under any Permitted Receivables or Factoring Financing) as of the last day of such Test Period, to (b) Consolidated EBITDA of Crown Holdings and its Subsidiaries for such Test Period.</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Multicurrency Revolving Commitment</w:t>
      </w:r>
      <w:r>
        <w:rPr>
          <w:rFonts w:ascii="Times New Roman" w:cs="Times New Roman" w:eastAsia="Times New Roman" w:hAnsi="Times New Roman"/>
          <w:sz w:val="20"/>
          <w:szCs w:val="20"/>
          <w:color w:val="auto"/>
        </w:rPr>
        <w:t>” means, at any time, the sum of the Multicurrency Revolving Commitment of each of the Lenders at such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Commitment</w:t>
      </w:r>
      <w:r>
        <w:rPr>
          <w:rFonts w:ascii="Times New Roman" w:cs="Times New Roman" w:eastAsia="Times New Roman" w:hAnsi="Times New Roman"/>
          <w:sz w:val="20"/>
          <w:szCs w:val="20"/>
          <w:color w:val="auto"/>
        </w:rPr>
        <w:t>” means, at any time, the sum of the Revolving Commitments of each of the Lenders at such time.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Secured Leverage Ratio</w:t>
      </w:r>
      <w:r>
        <w:rPr>
          <w:rFonts w:ascii="Times New Roman" w:cs="Times New Roman" w:eastAsia="Times New Roman" w:hAnsi="Times New Roman"/>
          <w:sz w:val="20"/>
          <w:szCs w:val="20"/>
          <w:color w:val="auto"/>
        </w:rPr>
        <w:t>” means, for any Test Period, the ratio of (a) Net Indebtedness that is secured by a Lien on any asset or property of Crown Holdings and its Subsidiaries (exclusive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30" w:name="page131"/>
    <w:bookmarkEnd w:id="130"/>
    <w:p>
      <w:pPr>
        <w:jc w:val="both"/>
        <w:spacing w:after="0" w:line="283" w:lineRule="auto"/>
        <w:rPr>
          <w:sz w:val="20"/>
          <w:szCs w:val="20"/>
          <w:color w:val="auto"/>
        </w:rPr>
      </w:pPr>
      <w:r>
        <w:rPr>
          <w:rFonts w:ascii="Times New Roman" w:cs="Times New Roman" w:eastAsia="Times New Roman" w:hAnsi="Times New Roman"/>
          <w:sz w:val="20"/>
          <w:szCs w:val="20"/>
          <w:color w:val="auto"/>
        </w:rPr>
        <w:t>Indebtedness under any Permitted Receivables or Factoring Financing) as of the last day of such Test Period, to (b) Consolidated EBITDA of Crown Holdings and its Subsidiaries for such Test Period.</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and includes (i) each of the Credit Events occurring on the Incremental Amendment No. 3 and Fifth Amendment Effective Date and (ii) the payment of fees and expenses in connection with the foregoing.</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12.8(f)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any type of Loan, namely, a SOFR Loan, Base Rate Loan, Canadian Prime Rate Loan, B/A Loan, Daily Simple RFR Loan or Eurocurrency Loan. For purposes hereof, the term “Rate” shall include Adjusted Term SOFR, the Eurocurrency Rate, the Base Rate, the Canadian Prime Rate, and the Discount Rate applicable to B/A and B/A Equivalent Loans.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means the Uniform Commercial Code as in effect from time to time in the relevant jurisdictions;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if attachment, perfection or priority or a security interest in any Collateral owned by a Canadian Credit Party are governed by the personal property security laws of any province or territory of Canada, UCC shall mean those personal property security laws in such jurisdiction for the purposes of the provisions hereof relating to such attachment, perfection or priority and for the definitions related to such provisions.</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Administrative Agent</w:t>
      </w:r>
      <w:r>
        <w:rPr>
          <w:rFonts w:ascii="Times New Roman" w:cs="Times New Roman" w:eastAsia="Times New Roman" w:hAnsi="Times New Roman"/>
          <w:sz w:val="20"/>
          <w:szCs w:val="20"/>
          <w:color w:val="auto"/>
        </w:rPr>
        <w:t>” has the meaning assigned to that term in the preamble to this Agreement and any successor U.K.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in such capacity and shall include, where the context requires, the Euro Collateral Agent.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Borrowers</w:t>
      </w:r>
      <w:r>
        <w:rPr>
          <w:rFonts w:ascii="Times New Roman" w:cs="Times New Roman" w:eastAsia="Times New Roman" w:hAnsi="Times New Roman"/>
          <w:sz w:val="20"/>
          <w:szCs w:val="20"/>
          <w:color w:val="auto"/>
        </w:rPr>
        <w:t xml:space="preserve">” means each Non-U.S. Subsidiary of Crown Holdings organized under the laws of England, as designated as such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and each other Non-U.S. Subsidiary of Crown Holdings organized under the laws of England and requested by Crown Holdings to be a U.K. Borrower, subject to the approval of Administrative Agent which shall not be unreasonably withheld or delayed.</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Unasserted Contingent Obligations</w:t>
      </w:r>
      <w:r>
        <w:rPr>
          <w:rFonts w:ascii="Times New Roman" w:cs="Times New Roman" w:eastAsia="Times New Roman" w:hAnsi="Times New Roman"/>
          <w:sz w:val="20"/>
          <w:szCs w:val="20"/>
          <w:color w:val="auto"/>
        </w:rPr>
        <w:t>” means all (i) unasserted contingent indemnification obligations not then due and payable and (ii) unasserted expense reimbursement obligations not then due and payable.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Uncommitted Short Term Lines of Credit</w:t>
      </w:r>
      <w:r>
        <w:rPr>
          <w:rFonts w:ascii="Times New Roman" w:cs="Times New Roman" w:eastAsia="Times New Roman" w:hAnsi="Times New Roman"/>
          <w:sz w:val="20"/>
          <w:szCs w:val="20"/>
          <w:color w:val="auto"/>
        </w:rPr>
        <w:t>” means overdraft facilities, lines of credit or similar facilities providing for uncommitted advances to Crown Holdings or any Subsidiary; provided that no Indebtedness incurred thereunder remains outstanding for more than one year and no Subsidiary grants any Lien (other than Permitted Liens) to secure such Indebtedness.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31" w:name="page132"/>
    <w:bookmarkEnd w:id="131"/>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Unmatured Event of Default</w:t>
      </w:r>
      <w:r>
        <w:rPr>
          <w:rFonts w:ascii="Times New Roman" w:cs="Times New Roman" w:eastAsia="Times New Roman" w:hAnsi="Times New Roman"/>
          <w:sz w:val="20"/>
          <w:szCs w:val="20"/>
          <w:color w:val="auto"/>
        </w:rPr>
        <w:t>” means an event, act or occurrence which with the giving of notice or the lapse of time (or both) would become an Event of Default.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Unpaid Drawing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Unreallocated Portion</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2.12(a)(ii)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Entity</w:t>
      </w:r>
      <w:r>
        <w:rPr>
          <w:rFonts w:ascii="Times New Roman" w:cs="Times New Roman" w:eastAsia="Times New Roman" w:hAnsi="Times New Roman"/>
          <w:sz w:val="20"/>
          <w:szCs w:val="20"/>
          <w:color w:val="auto"/>
        </w:rPr>
        <w:t xml:space="preserve">” means (i) prior to a redesignation by Crown Holdings pursuant to </w:t>
      </w:r>
      <w:r>
        <w:rPr>
          <w:rFonts w:ascii="Times New Roman" w:cs="Times New Roman" w:eastAsia="Times New Roman" w:hAnsi="Times New Roman"/>
          <w:sz w:val="20"/>
          <w:szCs w:val="20"/>
          <w:u w:val="single" w:color="auto"/>
          <w:color w:val="auto"/>
        </w:rPr>
        <w:t>Section 12.21</w:t>
      </w:r>
      <w:r>
        <w:rPr>
          <w:rFonts w:ascii="Times New Roman" w:cs="Times New Roman" w:eastAsia="Times New Roman" w:hAnsi="Times New Roman"/>
          <w:sz w:val="20"/>
          <w:szCs w:val="20"/>
          <w:color w:val="auto"/>
        </w:rPr>
        <w:t xml:space="preserve">, each Person set forth on </w:t>
      </w:r>
      <w:r>
        <w:rPr>
          <w:rFonts w:ascii="Times New Roman" w:cs="Times New Roman" w:eastAsia="Times New Roman" w:hAnsi="Times New Roman"/>
          <w:sz w:val="20"/>
          <w:szCs w:val="20"/>
          <w:u w:val="single" w:color="auto"/>
          <w:color w:val="auto"/>
        </w:rPr>
        <w:t>Schedule 1.1(e)</w:t>
      </w:r>
      <w:r>
        <w:rPr>
          <w:rFonts w:ascii="Times New Roman" w:cs="Times New Roman" w:eastAsia="Times New Roman" w:hAnsi="Times New Roman"/>
          <w:sz w:val="20"/>
          <w:szCs w:val="20"/>
          <w:color w:val="auto"/>
        </w:rPr>
        <w:t xml:space="preserve"> hereto, (ii) prior to a redesignation by Crown Holdings pursuant to </w:t>
      </w:r>
      <w:r>
        <w:rPr>
          <w:rFonts w:ascii="Times New Roman" w:cs="Times New Roman" w:eastAsia="Times New Roman" w:hAnsi="Times New Roman"/>
          <w:sz w:val="20"/>
          <w:szCs w:val="20"/>
          <w:u w:val="single" w:color="auto"/>
          <w:color w:val="auto"/>
        </w:rPr>
        <w:t>Section 12.21</w:t>
      </w:r>
      <w:r>
        <w:rPr>
          <w:rFonts w:ascii="Times New Roman" w:cs="Times New Roman" w:eastAsia="Times New Roman" w:hAnsi="Times New Roman"/>
          <w:sz w:val="20"/>
          <w:szCs w:val="20"/>
          <w:color w:val="auto"/>
        </w:rPr>
        <w:t xml:space="preserve">, each Person from time to time designated as an Unrestricted Entity by Crown Holdings pursuant to a notice signed by a Responsible Officer identifying such Person to be designated as an Unrestricted Entity so long as (A) immediately before and immediately after the effectiveness of such designation, no Unmatured Event of Default or Event of Default exists or will exist (including, without limitation, the permissibility of any Investment, Indebtedness, Liens or other obligations existing at such Subsidiaries) and (B) after giving effect to such redesignation, Crown Holdings shall be in compliance with the financial covenant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(calculated on a Pro Forma Basis) as of the end of the most recent Test Period and (iii) each successor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xml:space="preserve">” means collectively and individually, as the context may require, each of Crown Americas LLC and any additional U.S. Subsidiary that (A) executes a U.S. Borrower Joinder Agreement substantially in the form of </w:t>
      </w:r>
      <w:r>
        <w:rPr>
          <w:rFonts w:ascii="Times New Roman" w:cs="Times New Roman" w:eastAsia="Times New Roman" w:hAnsi="Times New Roman"/>
          <w:sz w:val="20"/>
          <w:szCs w:val="20"/>
          <w:u w:val="single" w:color="auto"/>
          <w:color w:val="auto"/>
        </w:rPr>
        <w:t>Exhibit 13</w:t>
      </w:r>
      <w:r>
        <w:rPr>
          <w:rFonts w:ascii="Times New Roman" w:cs="Times New Roman" w:eastAsia="Times New Roman" w:hAnsi="Times New Roman"/>
          <w:sz w:val="20"/>
          <w:szCs w:val="20"/>
          <w:color w:val="auto"/>
        </w:rPr>
        <w:t xml:space="preserve"> (or such other form as mutually agreed by Crown Holdings and the Administrative Agent) and (B) delivers to the Administrative Agent, to the extent not previously delivered, (1) the Additional Security Documents required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(2) an opinion of counsel which covers matters reasonably satisfactory to Administrative Agent and (3) to the extent not previously delivered, all documentation and other information required under </w:t>
      </w:r>
      <w:r>
        <w:rPr>
          <w:rFonts w:ascii="Times New Roman" w:cs="Times New Roman" w:eastAsia="Times New Roman" w:hAnsi="Times New Roman"/>
          <w:sz w:val="20"/>
          <w:szCs w:val="20"/>
          <w:u w:val="single" w:color="auto"/>
          <w:color w:val="auto"/>
        </w:rPr>
        <w:t>Section 5.1(f)(ii)</w:t>
      </w:r>
      <w:r>
        <w:rPr>
          <w:rFonts w:ascii="Times New Roman" w:cs="Times New Roman" w:eastAsia="Times New Roman" w:hAnsi="Times New Roman"/>
          <w:sz w:val="20"/>
          <w:szCs w:val="20"/>
          <w:color w:val="auto"/>
        </w:rPr>
        <w:t xml:space="preserve">. Any additional U.S. Subsidiary (other than Crown Americas LLC) may be removed as a U.S. Borrower upon (i) execution and delivery by Crown Americas LLC of a written request providing for such removal and (ii) if not previously delivered, satisfaction of the conditions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of the Credit Agreement, if applicable. For purposes of the definition of “Existing Non-U.S. Facilities”, the definition of “Parent Guarantor”, the definition of “Senior Notes 2023”, the definition of “Senior Notes 2026”, the definition of “Senior Notes 2026-2”, </w:t>
      </w:r>
      <w:r>
        <w:rPr>
          <w:rFonts w:ascii="Times New Roman" w:cs="Times New Roman" w:eastAsia="Times New Roman" w:hAnsi="Times New Roman"/>
          <w:sz w:val="20"/>
          <w:szCs w:val="20"/>
          <w:u w:val="single" w:color="auto"/>
          <w:color w:val="auto"/>
        </w:rPr>
        <w:t>Section 2.1(a)(i)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8.1(a)(iii)</w:t>
      </w:r>
      <w:r>
        <w:rPr>
          <w:rFonts w:ascii="Times New Roman" w:cs="Times New Roman" w:eastAsia="Times New Roman" w:hAnsi="Times New Roman"/>
          <w:sz w:val="20"/>
          <w:szCs w:val="20"/>
          <w:color w:val="auto"/>
        </w:rPr>
        <w:t>, “U.S. Borrower” shall be defined to include only Crown Americas LLC and no other entity. Each reference to the “U.S. Borrower” in the Loan Documents shall be deemed to refer to this definition.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Collateral</w:t>
      </w:r>
      <w:r>
        <w:rPr>
          <w:rFonts w:ascii="Times New Roman" w:cs="Times New Roman" w:eastAsia="Times New Roman" w:hAnsi="Times New Roman"/>
          <w:sz w:val="20"/>
          <w:szCs w:val="20"/>
          <w:color w:val="auto"/>
        </w:rPr>
        <w:t>” means all Collateral securing the U.S. Obligations, the Canadian Obligations and the Euro Obligations.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Collateral Agent</w:t>
      </w:r>
      <w:r>
        <w:rPr>
          <w:rFonts w:ascii="Times New Roman" w:cs="Times New Roman" w:eastAsia="Times New Roman" w:hAnsi="Times New Roman"/>
          <w:sz w:val="20"/>
          <w:szCs w:val="20"/>
          <w:color w:val="auto"/>
        </w:rPr>
        <w:t>” means DB, in its capacity as collateral agent under the U.S. Security Documents.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Credit Parties</w:t>
      </w:r>
      <w:r>
        <w:rPr>
          <w:rFonts w:ascii="Times New Roman" w:cs="Times New Roman" w:eastAsia="Times New Roman" w:hAnsi="Times New Roman"/>
          <w:sz w:val="20"/>
          <w:szCs w:val="20"/>
          <w:color w:val="auto"/>
        </w:rPr>
        <w:t>” means Crown Holdings and its U.S. Subsidiaries (other than any Excluded Subsidiary).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 of its members be closed for the entire day for purposes of trading in United States government securities.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32" w:name="page133"/>
    <w:bookmarkEnd w:id="132"/>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Guarantee Agreement</w:t>
      </w:r>
      <w:r>
        <w:rPr>
          <w:rFonts w:ascii="Times New Roman" w:cs="Times New Roman" w:eastAsia="Times New Roman" w:hAnsi="Times New Roman"/>
          <w:sz w:val="20"/>
          <w:szCs w:val="20"/>
          <w:color w:val="auto"/>
        </w:rPr>
        <w:t>” means that certain U.S. Guarantee Agreement, dated as of December 19, 2013 as amended, restated, amended and restated, supplemented or otherwise modified from time to time, among the Guarantors party thereto, U.S. Collateral Agent and the Administrative Agent.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Indemnity, Subrogation and Contribution Agreement</w:t>
      </w:r>
      <w:r>
        <w:rPr>
          <w:rFonts w:ascii="Times New Roman" w:cs="Times New Roman" w:eastAsia="Times New Roman" w:hAnsi="Times New Roman"/>
          <w:sz w:val="20"/>
          <w:szCs w:val="20"/>
          <w:color w:val="auto"/>
        </w:rPr>
        <w:t>” means the U.S. Indemnity, Subrogation and Contribution Agreement, dated as of December 19, 2013, as amended, restated, amended and restated or otherwise modified from time to time, by and among Borrower, the Guarantors party thereto and Administrative Agent.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Obligations</w:t>
      </w:r>
      <w:r>
        <w:rPr>
          <w:rFonts w:ascii="Times New Roman" w:cs="Times New Roman" w:eastAsia="Times New Roman" w:hAnsi="Times New Roman"/>
          <w:sz w:val="20"/>
          <w:szCs w:val="20"/>
          <w:color w:val="auto"/>
        </w:rPr>
        <w:t>” means, with respect to U.S. Borrower, the unpaid principal of and interest on (including interest accruing after the maturity of the Loans made to U.S. Borrower and interest and fees accruing after the filing of any petition in bankruptcy, or the commencement of any insolvency, reorganization or like proceeding, relating to U.S. Borrower, whether or not a claim for post-filing or post-petition interest and fees is allowed in such proceeding) the Loans made to or Unpaid Drawings pursuant to Letters of Credit issued for the account of U.S. Borrower and all other obligations and liabilities of U.S. Borrower or any of its U.S. Subsidiaries (including Bank Related Debt) to any Agent, any Facing Agent, any Lender or any Hedge Bank, whether direct or indirect, absolute or contingent, due or to become due, or now existing or hereafter incurred, which may arise under, out of, or in connection with, this Agreement or any other document made, delivered or given in connection herewith or any Bank Related Debt, whether on account of principal, interest, fees, indemnities, costs or expenses (including, without limitation, all fees, charges and disbursements of counsel (including the allocated costs of internal counsel) that are to be paid by U.S. Borrower or any of its U.S. Subsidiaries to any Agent, any Facing Agent, any Lender or any Hedge Bank pursuant to any Loan Document or any Bank Related Debt) or otherwise.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Pledge Agreement</w:t>
      </w:r>
      <w:r>
        <w:rPr>
          <w:rFonts w:ascii="Times New Roman" w:cs="Times New Roman" w:eastAsia="Times New Roman" w:hAnsi="Times New Roman"/>
          <w:sz w:val="20"/>
          <w:szCs w:val="20"/>
          <w:color w:val="auto"/>
        </w:rPr>
        <w:t>” means the U.S. Pledge Agreement, dated as of December 19, 2013, as amended, restated, amended and restated or otherwise modified from time to time, among the U.S. Credit Parties and the U.S. Collateral Agent for the benefit of the Secured Creditors named therein.</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Agreement</w:t>
      </w:r>
      <w:r>
        <w:rPr>
          <w:rFonts w:ascii="Times New Roman" w:cs="Times New Roman" w:eastAsia="Times New Roman" w:hAnsi="Times New Roman"/>
          <w:sz w:val="20"/>
          <w:szCs w:val="20"/>
          <w:color w:val="auto"/>
        </w:rPr>
        <w:t>” means the U.S. Security Agreement, dated as of December 19, 2013, as amended, restated, amended and restated or otherwise modified from time to time, among the U.S. Credit Parties and the U.S. Collateral Agent for the benefit of the Secured Creditors named therein.</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Documents</w:t>
      </w:r>
      <w:r>
        <w:rPr>
          <w:rFonts w:ascii="Times New Roman" w:cs="Times New Roman" w:eastAsia="Times New Roman" w:hAnsi="Times New Roman"/>
          <w:sz w:val="20"/>
          <w:szCs w:val="20"/>
          <w:color w:val="auto"/>
        </w:rPr>
        <w:t xml:space="preserve">” means the U.S. Security Agreement, the U.S. Pledge Agreement, each Receivables Intercreditor Agreement governed by U.S. law, the Perfection Certificate executed by the U.S. Credit Parties and each other security agreement or other instrument or document executed and delivered by any U.S. Borrower or U.S. Subsidiary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to secure any of the Obligations.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Subsidiary</w:t>
      </w:r>
      <w:r>
        <w:rPr>
          <w:rFonts w:ascii="Times New Roman" w:cs="Times New Roman" w:eastAsia="Times New Roman" w:hAnsi="Times New Roman"/>
          <w:sz w:val="20"/>
          <w:szCs w:val="20"/>
          <w:color w:val="auto"/>
        </w:rPr>
        <w:t>” means any Subsidiary of Crown Holdings that is not a Non-U.S. Subsidiary of Crown Holdings.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assigned to that term in </w:t>
      </w:r>
      <w:r>
        <w:rPr>
          <w:rFonts w:ascii="Times New Roman" w:cs="Times New Roman" w:eastAsia="Times New Roman" w:hAnsi="Times New Roman"/>
          <w:sz w:val="20"/>
          <w:szCs w:val="20"/>
          <w:u w:val="single" w:color="auto"/>
          <w:color w:val="auto"/>
        </w:rPr>
        <w:t>Section 4.7(d)(ii)(B)(III)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 means any Tax imposed by EC Directive 2006/112/EC on the common system of value added tax, and any national legislation implementing that directive, together with any legislation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line="283" w:lineRule="auto"/>
        <w:rPr>
          <w:sz w:val="20"/>
          <w:szCs w:val="20"/>
          <w:color w:val="auto"/>
        </w:rPr>
      </w:pPr>
      <w:r>
        <w:rPr>
          <w:rFonts w:ascii="Times New Roman" w:cs="Times New Roman" w:eastAsia="Times New Roman" w:hAnsi="Times New Roman"/>
          <w:sz w:val="20"/>
          <w:szCs w:val="20"/>
          <w:color w:val="auto"/>
        </w:rPr>
        <w:t>supplemental thereto, and any other Tax of a similar nature imposed by any Governmental Authority and all interest, additions to tax or penalties related thereto.</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12.8(c)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Participant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12.8(c)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Securities</w:t>
      </w:r>
      <w:r>
        <w:rPr>
          <w:rFonts w:ascii="Times New Roman" w:cs="Times New Roman" w:eastAsia="Times New Roman" w:hAnsi="Times New Roman"/>
          <w:sz w:val="20"/>
          <w:szCs w:val="20"/>
          <w:color w:val="auto"/>
        </w:rPr>
        <w:t>” means any class of Capital Stock of a Person pursuant to which the holders thereof have, at the time of determination, the general voting power under ordinary circumstances to vote for the election of directors, managers, trustees or general partners of such Person (irrespective of whether or not at the time any other class or classes will have or might have voting power by reason of the happening of any contingency).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Weighted Average Life to Maturity</w:t>
      </w:r>
      <w:r>
        <w:rPr>
          <w:rFonts w:ascii="Times New Roman" w:cs="Times New Roman" w:eastAsia="Times New Roman" w:hAnsi="Times New Roman"/>
          <w:sz w:val="19"/>
          <w:szCs w:val="19"/>
          <w:color w:val="auto"/>
        </w:rPr>
        <w:t>” means, when applied to any Indebtedness at any date, the number of years obtained by dividing</w:t>
      </w:r>
    </w:p>
    <w:p>
      <w:pPr>
        <w:spacing w:after="0" w:line="33" w:lineRule="exact"/>
        <w:rPr>
          <w:sz w:val="20"/>
          <w:szCs w:val="20"/>
          <w:color w:val="auto"/>
        </w:rPr>
      </w:pPr>
    </w:p>
    <w:p>
      <w:pPr>
        <w:jc w:val="both"/>
        <w:ind w:firstLine="8"/>
        <w:spacing w:after="0" w:line="251" w:lineRule="auto"/>
        <w:tabs>
          <w:tab w:leader="none" w:pos="2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then outstanding principal amount of such Indebtedness into (b) the total of the product obtained by multiplying (x) the amount of each then remaining installment, sinking fund, serial maturity or other required payments of principal, including payment at final maturity, in respect thereof by (y) the number of years (calculated to the nearest one-twelfth) that will elapse between such date and the making of such payment.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Welfare Plan</w:t>
      </w:r>
      <w:r>
        <w:rPr>
          <w:rFonts w:ascii="Times New Roman" w:cs="Times New Roman" w:eastAsia="Times New Roman" w:hAnsi="Times New Roman"/>
          <w:sz w:val="20"/>
          <w:szCs w:val="20"/>
          <w:color w:val="auto"/>
        </w:rPr>
        <w:t>” means a “welfare plan,” as such term is defined in Section 3(1) of ERISA, that is maintained or contributed to by a Credit Party or any of its Subsidiaries or with respect to which a Credit Party or any of its Subsidiaries would reasonably be expected to incur liability and, for greater certainty, shall not include a Foreign Plan.</w:t>
      </w:r>
    </w:p>
    <w:p>
      <w:pPr>
        <w:spacing w:after="0" w:line="18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means, with respect to any Person, any Subsidiary of such Person, all of the outstanding shares of Capital Stock of which (other than qualifying shares required to be owned by directors) are at the time owned directly or indirectly by such Person and/or one or more Wholly-Owned Subsidiaries of such Person.</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written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in writing</w:t>
      </w:r>
      <w:r>
        <w:rPr>
          <w:rFonts w:ascii="Times New Roman" w:cs="Times New Roman" w:eastAsia="Times New Roman" w:hAnsi="Times New Roman"/>
          <w:sz w:val="20"/>
          <w:szCs w:val="20"/>
          <w:color w:val="auto"/>
        </w:rPr>
        <w:t>” means any form of written communication or a communication by means of facsimile device or other electronic image scan transmission (e.g., “pdf” via email).</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WURA</w:t>
      </w:r>
      <w:r>
        <w:rPr>
          <w:rFonts w:ascii="Times New Roman" w:cs="Times New Roman" w:eastAsia="Times New Roman" w:hAnsi="Times New Roman"/>
          <w:sz w:val="20"/>
          <w:szCs w:val="20"/>
          <w:color w:val="auto"/>
        </w:rPr>
        <w:t xml:space="preserve">” means the </w:t>
      </w:r>
      <w:r>
        <w:rPr>
          <w:rFonts w:ascii="Times New Roman" w:cs="Times New Roman" w:eastAsia="Times New Roman" w:hAnsi="Times New Roman"/>
          <w:sz w:val="20"/>
          <w:szCs w:val="20"/>
          <w:i w:val="1"/>
          <w:iCs w:val="1"/>
          <w:color w:val="auto"/>
        </w:rPr>
        <w:t>Winding-Up and Restructuring Act</w:t>
      </w:r>
      <w:r>
        <w:rPr>
          <w:rFonts w:ascii="Times New Roman" w:cs="Times New Roman" w:eastAsia="Times New Roman" w:hAnsi="Times New Roman"/>
          <w:sz w:val="20"/>
          <w:szCs w:val="20"/>
          <w:color w:val="auto"/>
        </w:rPr>
        <w:t xml:space="preserve"> (Canada), as amended.</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foregoing definitions shall be equally applicable to both the singular and plural forms of the defined terms. In the computation of periods of time from a specified date to a later specified date, the word “from” means “from and including” and the words “to” and “until” each mean “to but excluding.” The words “herein,” “hereof” and words of similar import as used in this Agreement shall refer to this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51" w:lineRule="auto"/>
        <w:rPr>
          <w:sz w:val="20"/>
          <w:szCs w:val="20"/>
          <w:color w:val="auto"/>
        </w:rPr>
      </w:pPr>
      <w:r>
        <w:rPr>
          <w:rFonts w:ascii="Times New Roman" w:cs="Times New Roman" w:eastAsia="Times New Roman" w:hAnsi="Times New Roman"/>
          <w:sz w:val="20"/>
          <w:szCs w:val="20"/>
          <w:color w:val="auto"/>
        </w:rPr>
        <w:t>Agreement as a whole and not to any particular provision in this Agreement. References to “Articles,” “Sections,” “paragraphs,” “Exhibits” and “Schedules” in this Agreement shall refer to Articles, Sections, paragraphs, Exhibits and Schedules of this Agreement unless otherwise expressly provided; references to Persons include their respective permitted successors and assigns or, in the case of governmental Persons, Persons succeeding to the relevant functions of such persons; and all references to statutes and related regulations shall include any amendments of same and any successor statutes and regulations. Unless otherwise expressly provided herein, references to constitutive and Organic Documents and to agreements (including the Loan Documents) and other contractual instruments shall be deemed to include subsequent amendments, restatements, extensions, supplements and other modifications thereto, but only to the extent that such amendments, restatements, extensions, supplements and other modifications are not prohibited by any Loan Document.</w:t>
      </w:r>
    </w:p>
    <w:p>
      <w:pPr>
        <w:spacing w:after="0" w:line="1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Terms Generally; Financial Statements.</w:t>
      </w:r>
    </w:p>
    <w:p>
      <w:pPr>
        <w:spacing w:after="0" w:line="21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1.2.1. Except as otherwise expressly provided herein, all accounting terms used herein but not expressly defined in this Agreement, all computations and determinations for purposes of determining compliance with the financial requirements of this Agreement shall have the respective meanings given to them or shall be made in accordance with GAAP. Except as expressly provided herein, the financial statements required to be delivered pursuant to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shall be prepared in accordance with GAAP in the United States of America as in effect on the respective dates of their preparation. Unless otherwise provided for herein, wherever any computation is to be made with respect to any Person and its Subsidiaries, such computation shall be made so as to exclude all items of income, assets and liabilities attributable to any Person which is not a Subsidiary of such Person. For purposes of the financial terms set forth herein, including, without limitation, for all purposes under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whenever a reference is made to a determination which is required to be made on a consolidated basis (whether in accordance with GAAP or otherwise) for Crown Holdings and its Subsidiaries, such determination shall be made as if all Unrestricted Entities were wholly-owned by a Person not an Affiliate of Crown Holdings. In the event that any changes in generally accepted accounting principles in the U.S. occur after the Effective Date or the application thereof from that used in the preparation of the financial statements referred to in </w:t>
      </w:r>
      <w:r>
        <w:rPr>
          <w:rFonts w:ascii="Times New Roman" w:cs="Times New Roman" w:eastAsia="Times New Roman" w:hAnsi="Times New Roman"/>
          <w:sz w:val="19"/>
          <w:szCs w:val="19"/>
          <w:u w:val="single" w:color="auto"/>
          <w:color w:val="auto"/>
        </w:rPr>
        <w:t>Section 6.5(a)</w:t>
      </w:r>
      <w:r>
        <w:rPr>
          <w:rFonts w:ascii="Times New Roman" w:cs="Times New Roman" w:eastAsia="Times New Roman" w:hAnsi="Times New Roman"/>
          <w:sz w:val="19"/>
          <w:szCs w:val="19"/>
          <w:color w:val="auto"/>
        </w:rPr>
        <w:t xml:space="preserve"> hereof occur after the Effective Date and such changes or such application result in a material variation in the method of calculation of financial covenants or other terms of this Agreement, then Crown Holdings, Administrative Agent and the Lenders agree to enter into and diligently pursue negotiations in good faith in order to amend such provisions of this Agreement so as to equitably reflect such changes so that the criteria for evaluating Crown Holdings’ financial condition will be the same after such changes as if such changes had not occurred;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until so amended, such financial covenants or other terms of this Agreement shall continue to be calculated in accordance with GAAP as in effect and applied immediately before such change shall have become effective. Notwithstanding anything to the contrary above or in the definitions of Capitalized Lease, Capitalized Lease Obligations, Consolidated Interest Expense or any other term or provision in this Agreement or any other Loan Document, in the event of a change under GAAP (or the application thereof) requiring all or certain Operating Leases to be capitalized, only those leases that would result in a Capitalized Lease or Capitalized Lease Obligation on December 15, 2018 (assuming for purposes hereof that they were in existence on December 15, 2018 and applying GAAP as in effect on such date) hereunder shall be considered Capitalized Leases or Capitalized Lease Obligations hereunder and all calculations and deliverables under this Agreement or any other Loan Document shall be made in accordance therewith.</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1.2.2. For purposes of computing ratios in the financial covenant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as of the end of any Test Period, all components of such ratios for the applicable Test Period shall include or exclude, as the case may be, without duplication, such components of such ratios attributable to any business or assets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35" w:name="page136"/>
    <w:bookmarkEnd w:id="135"/>
    <w:p>
      <w:pPr>
        <w:jc w:val="both"/>
        <w:spacing w:after="0" w:line="261" w:lineRule="auto"/>
        <w:rPr>
          <w:sz w:val="20"/>
          <w:szCs w:val="20"/>
          <w:color w:val="auto"/>
        </w:rPr>
      </w:pPr>
      <w:r>
        <w:rPr>
          <w:rFonts w:ascii="Times New Roman" w:cs="Times New Roman" w:eastAsia="Times New Roman" w:hAnsi="Times New Roman"/>
          <w:sz w:val="20"/>
          <w:szCs w:val="20"/>
          <w:color w:val="auto"/>
        </w:rPr>
        <w:t>that have been acquired or disposed of by Crown Holdings or any Subsidiary of Crown Holdings (including through mergers, amalgamations or consolidations) after the first day of such Test Period and prior to the end of such Test Period on a Pro Forma Basis as determined in good faith by Crown Holdings.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1.2.3. For purposes of the limitations, levels and baskets in </w:t>
      </w:r>
      <w:r>
        <w:rPr>
          <w:rFonts w:ascii="Times New Roman" w:cs="Times New Roman" w:eastAsia="Times New Roman" w:hAnsi="Times New Roman"/>
          <w:sz w:val="20"/>
          <w:szCs w:val="20"/>
          <w:u w:val="single" w:color="auto"/>
          <w:color w:val="auto"/>
        </w:rPr>
        <w:t>Articles 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stated in Dollars, non-Dollar currencies will be converted into Dollars at the time of incurrence or receipt, as the case may be, using the methodology set forth in the definition of “Dollar Equivalent”.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1.2.4. Any reference in this Agreement to “Bank of America Merrill Lynch International Limited” is a reference to its successor in title Bank of America Merrill Lynch International Designated Activity Company (including, without limitation, its branches) pursuant to and with effect from the merger between Bank of America Merrill Lynch International Limited and Bank of America Merrill Lynch International Designated Activity Company that takes effect in accordance with the Cross-Border Mergers Directive (2005/56/EC) (as codified) as implemented in the United Kingdom and Ireland.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1.2.5. Notwithstanding anything to the contrary contained herein, for purposes of the limitations, levels and baskets in </w:t>
      </w:r>
      <w:r>
        <w:rPr>
          <w:rFonts w:ascii="Times New Roman" w:cs="Times New Roman" w:eastAsia="Times New Roman" w:hAnsi="Times New Roman"/>
          <w:sz w:val="20"/>
          <w:szCs w:val="20"/>
          <w:u w:val="single" w:color="auto"/>
          <w:color w:val="auto"/>
        </w:rPr>
        <w:t>Articles 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no Unmatured Event of Default or Event of Default shall be deemed to have occurred with respect to any action taken in accordance with a limitation, level or basket measured as a percentage of Consolidated Tangible Assets or Consolidated Total Assets as a result of a subsequent change in Consolidated Tangible Assets or Consolidated Total Assets so long as, at the time of the taking of such action, such action was permitted to be taken.</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1.2.6. With respect to any default or Event of Default, the words “exists,” “is continuing” or similar expressions with respect thereto shall mean that such default or Event of Default has occurred and has not yet been cured or waived. If any default or Event of Default has occurred hereunder (any such default or Event of Default, an “</w:t>
      </w:r>
      <w:r>
        <w:rPr>
          <w:rFonts w:ascii="Times New Roman" w:cs="Times New Roman" w:eastAsia="Times New Roman" w:hAnsi="Times New Roman"/>
          <w:sz w:val="20"/>
          <w:szCs w:val="20"/>
          <w:b w:val="1"/>
          <w:bCs w:val="1"/>
          <w:color w:val="auto"/>
        </w:rPr>
        <w:t>Initial Default</w:t>
      </w:r>
      <w:r>
        <w:rPr>
          <w:rFonts w:ascii="Times New Roman" w:cs="Times New Roman" w:eastAsia="Times New Roman" w:hAnsi="Times New Roman"/>
          <w:sz w:val="20"/>
          <w:szCs w:val="20"/>
          <w:color w:val="auto"/>
        </w:rPr>
        <w:t>”) and is subsequently cured or waived (a “</w:t>
      </w:r>
      <w:r>
        <w:rPr>
          <w:rFonts w:ascii="Times New Roman" w:cs="Times New Roman" w:eastAsia="Times New Roman" w:hAnsi="Times New Roman"/>
          <w:sz w:val="20"/>
          <w:szCs w:val="20"/>
          <w:b w:val="1"/>
          <w:bCs w:val="1"/>
          <w:color w:val="auto"/>
        </w:rPr>
        <w:t>Cured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any other default or Event of Default that resulted from (i) the making or deemed making of any representation or warranty by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Party or (ii) the taking of any action or failure to satisfy any condition precedent to the taking of any action by any Credit Party or any Subsidiary of any Credit Party, in each case which subsequent default, Event of Default or failure would not have arisen had the Cured Default not been continuing at the time of such representation, warranty, action or failure to satisfy such condition precedent to the taking of any action, shall be deemed to automatically be cured or satisfied, as applicable, upon, and simultaneously with, the cure of the Cured Default, so long as at the time of such representation, warranty, action or failure to satisfy any condition precedent to the taking of any action, no Responsible Officer of the Borrowers had knowledge of any such Initial Default.</w:t>
      </w:r>
    </w:p>
    <w:p>
      <w:pPr>
        <w:spacing w:after="0" w:line="18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1.3. Luxembourg terms. In this Agreement, where it relates to a company incorporated under the laws of Luxembourg, a reference to:</w:t>
      </w:r>
    </w:p>
    <w:p>
      <w:pPr>
        <w:spacing w:after="0" w:line="156" w:lineRule="exact"/>
        <w:rPr>
          <w:sz w:val="20"/>
          <w:szCs w:val="20"/>
          <w:color w:val="auto"/>
        </w:rPr>
      </w:pPr>
    </w:p>
    <w:p>
      <w:pPr>
        <w:jc w:val="both"/>
        <w:ind w:left="660" w:firstLine="889"/>
        <w:spacing w:after="0" w:line="255"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winding-up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liquidation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dissolution</w:t>
      </w:r>
      <w:r>
        <w:rPr>
          <w:rFonts w:ascii="Times New Roman" w:cs="Times New Roman" w:eastAsia="Times New Roman" w:hAnsi="Times New Roman"/>
          <w:sz w:val="20"/>
          <w:szCs w:val="20"/>
          <w:color w:val="auto"/>
        </w:rPr>
        <w:t xml:space="preserve"> includes, without limitation, bankruptcy (</w:t>
      </w:r>
      <w:r>
        <w:rPr>
          <w:rFonts w:ascii="Times New Roman" w:cs="Times New Roman" w:eastAsia="Times New Roman" w:hAnsi="Times New Roman"/>
          <w:sz w:val="20"/>
          <w:szCs w:val="20"/>
          <w:i w:val="1"/>
          <w:iCs w:val="1"/>
          <w:color w:val="auto"/>
        </w:rPr>
        <w:t>faillite</w:t>
      </w:r>
      <w:r>
        <w:rPr>
          <w:rFonts w:ascii="Times New Roman" w:cs="Times New Roman" w:eastAsia="Times New Roman" w:hAnsi="Times New Roman"/>
          <w:sz w:val="20"/>
          <w:szCs w:val="20"/>
          <w:color w:val="auto"/>
        </w:rPr>
        <w:t>), insolvency, voluntary or judicial liquidation (</w:t>
      </w:r>
      <w:r>
        <w:rPr>
          <w:rFonts w:ascii="Times New Roman" w:cs="Times New Roman" w:eastAsia="Times New Roman" w:hAnsi="Times New Roman"/>
          <w:sz w:val="20"/>
          <w:szCs w:val="20"/>
          <w:i w:val="1"/>
          <w:iCs w:val="1"/>
          <w:color w:val="auto"/>
        </w:rPr>
        <w:t>liquidation volontaire ou judiciaire</w:t>
      </w:r>
      <w:r>
        <w:rPr>
          <w:rFonts w:ascii="Times New Roman" w:cs="Times New Roman" w:eastAsia="Times New Roman" w:hAnsi="Times New Roman"/>
          <w:sz w:val="20"/>
          <w:szCs w:val="20"/>
          <w:color w:val="auto"/>
        </w:rPr>
        <w:t>), composition with creditors (</w:t>
      </w:r>
      <w:r>
        <w:rPr>
          <w:rFonts w:ascii="Times New Roman" w:cs="Times New Roman" w:eastAsia="Times New Roman" w:hAnsi="Times New Roman"/>
          <w:sz w:val="20"/>
          <w:szCs w:val="20"/>
          <w:i w:val="1"/>
          <w:iCs w:val="1"/>
          <w:color w:val="auto"/>
        </w:rPr>
        <w:t>concordat préventif de faillite</w:t>
      </w:r>
      <w:r>
        <w:rPr>
          <w:rFonts w:ascii="Times New Roman" w:cs="Times New Roman" w:eastAsia="Times New Roman" w:hAnsi="Times New Roman"/>
          <w:sz w:val="20"/>
          <w:szCs w:val="20"/>
          <w:color w:val="auto"/>
        </w:rPr>
        <w:t>), reprieve from payment (</w:t>
      </w:r>
      <w:r>
        <w:rPr>
          <w:rFonts w:ascii="Times New Roman" w:cs="Times New Roman" w:eastAsia="Times New Roman" w:hAnsi="Times New Roman"/>
          <w:sz w:val="20"/>
          <w:szCs w:val="20"/>
          <w:i w:val="1"/>
          <w:iCs w:val="1"/>
          <w:color w:val="auto"/>
        </w:rPr>
        <w:t>sursis de paiement</w:t>
      </w:r>
      <w:r>
        <w:rPr>
          <w:rFonts w:ascii="Times New Roman" w:cs="Times New Roman" w:eastAsia="Times New Roman" w:hAnsi="Times New Roman"/>
          <w:sz w:val="20"/>
          <w:szCs w:val="20"/>
          <w:color w:val="auto"/>
        </w:rPr>
        <w:t>), controlled management (</w:t>
      </w:r>
      <w:r>
        <w:rPr>
          <w:rFonts w:ascii="Times New Roman" w:cs="Times New Roman" w:eastAsia="Times New Roman" w:hAnsi="Times New Roman"/>
          <w:sz w:val="20"/>
          <w:szCs w:val="20"/>
          <w:i w:val="1"/>
          <w:iCs w:val="1"/>
          <w:color w:val="auto"/>
        </w:rPr>
        <w:t>gestion contrôlée</w:t>
      </w:r>
      <w:r>
        <w:rPr>
          <w:rFonts w:ascii="Times New Roman" w:cs="Times New Roman" w:eastAsia="Times New Roman" w:hAnsi="Times New Roman"/>
          <w:sz w:val="20"/>
          <w:szCs w:val="20"/>
          <w:color w:val="auto"/>
        </w:rPr>
        <w:t>), general settlement with creditors, reorganisation or similar laws affecting the rights of creditors generally;</w:t>
      </w:r>
    </w:p>
    <w:p>
      <w:pPr>
        <w:spacing w:after="0" w:line="184" w:lineRule="exact"/>
        <w:rPr>
          <w:sz w:val="20"/>
          <w:szCs w:val="20"/>
          <w:color w:val="auto"/>
        </w:rPr>
      </w:pPr>
    </w:p>
    <w:p>
      <w:pPr>
        <w:jc w:val="both"/>
        <w:ind w:left="660" w:firstLine="900"/>
        <w:spacing w:after="0" w:line="287"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receiver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administrative receiver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liquidator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xml:space="preserve"> or the like includes, without limitation, a </w:t>
      </w:r>
      <w:r>
        <w:rPr>
          <w:rFonts w:ascii="Times New Roman" w:cs="Times New Roman" w:eastAsia="Times New Roman" w:hAnsi="Times New Roman"/>
          <w:sz w:val="20"/>
          <w:szCs w:val="20"/>
          <w:i w:val="1"/>
          <w:iCs w:val="1"/>
          <w:color w:val="auto"/>
        </w:rPr>
        <w:t>juge délégué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commissaire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juge-commissaire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liquidateur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curateur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36" w:name="page137"/>
    <w:bookmarkEnd w:id="136"/>
    <w:p>
      <w:pPr>
        <w:jc w:val="both"/>
        <w:ind w:left="660" w:firstLine="878"/>
        <w:spacing w:after="0" w:line="26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security interest</w:t>
      </w:r>
      <w:r>
        <w:rPr>
          <w:rFonts w:ascii="Times New Roman" w:cs="Times New Roman" w:eastAsia="Times New Roman" w:hAnsi="Times New Roman"/>
          <w:sz w:val="20"/>
          <w:szCs w:val="20"/>
          <w:color w:val="auto"/>
        </w:rPr>
        <w:t xml:space="preserve"> includes any </w:t>
      </w:r>
      <w:r>
        <w:rPr>
          <w:rFonts w:ascii="Times New Roman" w:cs="Times New Roman" w:eastAsia="Times New Roman" w:hAnsi="Times New Roman"/>
          <w:sz w:val="20"/>
          <w:szCs w:val="20"/>
          <w:i w:val="1"/>
          <w:iCs w:val="1"/>
          <w:color w:val="auto"/>
        </w:rPr>
        <w:t>hypothèque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nantissement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gage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privilège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sûreté réelle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droit de rétention</w:t>
      </w:r>
      <w:r>
        <w:rPr>
          <w:rFonts w:ascii="Times New Roman" w:cs="Times New Roman" w:eastAsia="Times New Roman" w:hAnsi="Times New Roman"/>
          <w:sz w:val="20"/>
          <w:szCs w:val="20"/>
          <w:color w:val="auto"/>
        </w:rPr>
        <w:t xml:space="preserve"> and any type of real security or agreement or arrangement having a similar effect and any transfer of title by way of security (</w:t>
      </w:r>
      <w:r>
        <w:rPr>
          <w:rFonts w:ascii="Times New Roman" w:cs="Times New Roman" w:eastAsia="Times New Roman" w:hAnsi="Times New Roman"/>
          <w:sz w:val="20"/>
          <w:szCs w:val="20"/>
          <w:i w:val="1"/>
          <w:iCs w:val="1"/>
          <w:color w:val="auto"/>
        </w:rPr>
        <w:t>transfert de propriété</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à titre de garantie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660" w:firstLine="846"/>
        <w:spacing w:after="0" w:line="26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xml:space="preserve"> means, so far as a guarantee is given by a Credit Party incorporated under the laws of Luxembourg under this Agreement, a first demand independent guarantee and does not constitute a suretyship (</w:t>
      </w:r>
      <w:r>
        <w:rPr>
          <w:rFonts w:ascii="Times New Roman" w:cs="Times New Roman" w:eastAsia="Times New Roman" w:hAnsi="Times New Roman"/>
          <w:sz w:val="20"/>
          <w:szCs w:val="20"/>
          <w:i w:val="1"/>
          <w:iCs w:val="1"/>
          <w:color w:val="auto"/>
        </w:rPr>
        <w:t>cautionnement</w:t>
      </w:r>
      <w:r>
        <w:rPr>
          <w:rFonts w:ascii="Times New Roman" w:cs="Times New Roman" w:eastAsia="Times New Roman" w:hAnsi="Times New Roman"/>
          <w:sz w:val="20"/>
          <w:szCs w:val="20"/>
          <w:color w:val="auto"/>
        </w:rPr>
        <w:t xml:space="preserve">) in the sense of articles 2011 </w:t>
      </w:r>
      <w:r>
        <w:rPr>
          <w:rFonts w:ascii="Times New Roman" w:cs="Times New Roman" w:eastAsia="Times New Roman" w:hAnsi="Times New Roman"/>
          <w:sz w:val="20"/>
          <w:szCs w:val="20"/>
          <w:i w:val="1"/>
          <w:iCs w:val="1"/>
          <w:color w:val="auto"/>
        </w:rPr>
        <w:t xml:space="preserve">et seq </w:t>
      </w:r>
      <w:r>
        <w:rPr>
          <w:rFonts w:ascii="Times New Roman" w:cs="Times New Roman" w:eastAsia="Times New Roman" w:hAnsi="Times New Roman"/>
          <w:sz w:val="20"/>
          <w:szCs w:val="20"/>
          <w:color w:val="auto"/>
        </w:rPr>
        <w:t>of the Luxembourg civil code; and</w:t>
      </w:r>
    </w:p>
    <w:p>
      <w:pPr>
        <w:spacing w:after="0" w:line="175" w:lineRule="exact"/>
        <w:rPr>
          <w:sz w:val="20"/>
          <w:szCs w:val="20"/>
          <w:color w:val="auto"/>
        </w:rPr>
      </w:pPr>
    </w:p>
    <w:p>
      <w:pPr>
        <w:jc w:val="both"/>
        <w:ind w:left="660" w:right="20" w:firstLine="936"/>
        <w:spacing w:after="0" w:line="273" w:lineRule="auto"/>
        <w:rPr>
          <w:sz w:val="20"/>
          <w:szCs w:val="20"/>
          <w:color w:val="auto"/>
        </w:rPr>
      </w:pPr>
      <w:r>
        <w:rPr>
          <w:rFonts w:ascii="Times New Roman" w:cs="Times New Roman" w:eastAsia="Times New Roman" w:hAnsi="Times New Roman"/>
          <w:sz w:val="20"/>
          <w:szCs w:val="20"/>
          <w:color w:val="auto"/>
        </w:rPr>
        <w:t xml:space="preserve">a person </w:t>
      </w:r>
      <w:r>
        <w:rPr>
          <w:rFonts w:ascii="Times New Roman" w:cs="Times New Roman" w:eastAsia="Times New Roman" w:hAnsi="Times New Roman"/>
          <w:sz w:val="20"/>
          <w:szCs w:val="20"/>
          <w:b w:val="1"/>
          <w:bCs w:val="1"/>
          <w:color w:val="auto"/>
        </w:rPr>
        <w:t>being unable, or admitting inability, to pay its debts</w:t>
      </w:r>
      <w:r>
        <w:rPr>
          <w:rFonts w:ascii="Times New Roman" w:cs="Times New Roman" w:eastAsia="Times New Roman" w:hAnsi="Times New Roman"/>
          <w:sz w:val="20"/>
          <w:szCs w:val="20"/>
          <w:color w:val="auto"/>
        </w:rPr>
        <w:t xml:space="preserve"> includes that person being in a state of cessation of payments (</w:t>
      </w:r>
      <w:r>
        <w:rPr>
          <w:rFonts w:ascii="Times New Roman" w:cs="Times New Roman" w:eastAsia="Times New Roman" w:hAnsi="Times New Roman"/>
          <w:sz w:val="20"/>
          <w:szCs w:val="20"/>
          <w:i w:val="1"/>
          <w:iCs w:val="1"/>
          <w:color w:val="auto"/>
        </w:rPr>
        <w:t>cessation de paiements</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tabs>
          <w:tab w:leader="none" w:pos="3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French terms. In this Agreement, where it relates to a company incorporated under the laws of France, a reference to:</w:t>
      </w:r>
    </w:p>
    <w:p>
      <w:pPr>
        <w:spacing w:after="0" w:line="212" w:lineRule="exact"/>
        <w:rPr>
          <w:sz w:val="20"/>
          <w:szCs w:val="20"/>
          <w:color w:val="auto"/>
        </w:rPr>
      </w:pPr>
    </w:p>
    <w:p>
      <w:pPr>
        <w:jc w:val="both"/>
        <w:ind w:left="660" w:firstLine="986"/>
        <w:spacing w:after="0" w:line="287"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winding-up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dissolution</w:t>
      </w:r>
      <w:r>
        <w:rPr>
          <w:rFonts w:ascii="Times New Roman" w:cs="Times New Roman" w:eastAsia="Times New Roman" w:hAnsi="Times New Roman"/>
          <w:sz w:val="20"/>
          <w:szCs w:val="20"/>
          <w:color w:val="auto"/>
        </w:rPr>
        <w:t xml:space="preserve"> includes a redressement judiciaire, a </w:t>
      </w:r>
      <w:r>
        <w:rPr>
          <w:rFonts w:ascii="Times New Roman" w:cs="Times New Roman" w:eastAsia="Times New Roman" w:hAnsi="Times New Roman"/>
          <w:sz w:val="20"/>
          <w:szCs w:val="20"/>
          <w:i w:val="1"/>
          <w:iCs w:val="1"/>
          <w:color w:val="auto"/>
        </w:rPr>
        <w:t>cession totale de l’entreprise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i w:val="1"/>
          <w:iCs w:val="1"/>
          <w:color w:val="auto"/>
        </w:rPr>
        <w:t>liquidation judiciaire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a sauvegarde</w:t>
      </w:r>
      <w:r>
        <w:rPr>
          <w:rFonts w:ascii="Times New Roman" w:cs="Times New Roman" w:eastAsia="Times New Roman" w:hAnsi="Times New Roman"/>
          <w:sz w:val="20"/>
          <w:szCs w:val="20"/>
          <w:color w:val="auto"/>
        </w:rPr>
        <w:t>, or a</w:t>
      </w:r>
      <w:r>
        <w:rPr>
          <w:rFonts w:ascii="Times New Roman" w:cs="Times New Roman" w:eastAsia="Times New Roman" w:hAnsi="Times New Roman"/>
          <w:sz w:val="20"/>
          <w:szCs w:val="20"/>
          <w:i w:val="1"/>
          <w:iCs w:val="1"/>
          <w:color w:val="auto"/>
        </w:rPr>
        <w:t xml:space="preserve"> sauvegarde accélérée </w:t>
      </w:r>
      <w:r>
        <w:rPr>
          <w:rFonts w:ascii="Times New Roman" w:cs="Times New Roman" w:eastAsia="Times New Roman" w:hAnsi="Times New Roman"/>
          <w:sz w:val="20"/>
          <w:szCs w:val="20"/>
          <w:color w:val="auto"/>
        </w:rPr>
        <w:t>under articles L. 620-1 to L. 670-8 of the French Commercial Code;</w:t>
      </w:r>
    </w:p>
    <w:p>
      <w:pPr>
        <w:spacing w:after="0" w:line="152" w:lineRule="exact"/>
        <w:rPr>
          <w:sz w:val="20"/>
          <w:szCs w:val="20"/>
          <w:color w:val="auto"/>
        </w:rPr>
      </w:pPr>
    </w:p>
    <w:p>
      <w:pPr>
        <w:jc w:val="both"/>
        <w:ind w:left="660" w:firstLine="878"/>
        <w:spacing w:after="0" w:line="27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composition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similar arrangement</w:t>
      </w:r>
      <w:r>
        <w:rPr>
          <w:rFonts w:ascii="Times New Roman" w:cs="Times New Roman" w:eastAsia="Times New Roman" w:hAnsi="Times New Roman"/>
          <w:sz w:val="20"/>
          <w:szCs w:val="20"/>
          <w:color w:val="auto"/>
        </w:rPr>
        <w:t xml:space="preserve"> with any creditor includes a </w:t>
      </w:r>
      <w:r>
        <w:rPr>
          <w:rFonts w:ascii="Times New Roman" w:cs="Times New Roman" w:eastAsia="Times New Roman" w:hAnsi="Times New Roman"/>
          <w:sz w:val="20"/>
          <w:szCs w:val="20"/>
          <w:i w:val="1"/>
          <w:iCs w:val="1"/>
          <w:color w:val="auto"/>
        </w:rPr>
        <w:t>conciliation</w:t>
      </w:r>
      <w:r>
        <w:rPr>
          <w:rFonts w:ascii="Times New Roman" w:cs="Times New Roman" w:eastAsia="Times New Roman" w:hAnsi="Times New Roman"/>
          <w:sz w:val="20"/>
          <w:szCs w:val="20"/>
          <w:color w:val="auto"/>
        </w:rPr>
        <w:t xml:space="preserve"> or a </w:t>
      </w:r>
      <w:r>
        <w:rPr>
          <w:rFonts w:ascii="Times New Roman" w:cs="Times New Roman" w:eastAsia="Times New Roman" w:hAnsi="Times New Roman"/>
          <w:sz w:val="20"/>
          <w:szCs w:val="20"/>
          <w:i w:val="1"/>
          <w:iCs w:val="1"/>
          <w:color w:val="auto"/>
        </w:rPr>
        <w:t>mandat ad hoc</w:t>
      </w:r>
      <w:r>
        <w:rPr>
          <w:rFonts w:ascii="Times New Roman" w:cs="Times New Roman" w:eastAsia="Times New Roman" w:hAnsi="Times New Roman"/>
          <w:sz w:val="20"/>
          <w:szCs w:val="20"/>
          <w:color w:val="auto"/>
        </w:rPr>
        <w:t xml:space="preserve"> under articles L. 611-3 to L. 611-16 of the French Commercial Code;</w:t>
      </w:r>
    </w:p>
    <w:p>
      <w:pPr>
        <w:spacing w:after="0" w:line="165" w:lineRule="exact"/>
        <w:rPr>
          <w:sz w:val="20"/>
          <w:szCs w:val="20"/>
          <w:color w:val="auto"/>
        </w:rPr>
      </w:pPr>
    </w:p>
    <w:p>
      <w:pPr>
        <w:jc w:val="both"/>
        <w:ind w:left="660" w:firstLine="997"/>
        <w:spacing w:after="0" w:line="256"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compulsory manager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receiver</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xml:space="preserve"> includes an </w:t>
      </w:r>
      <w:r>
        <w:rPr>
          <w:rFonts w:ascii="Times New Roman" w:cs="Times New Roman" w:eastAsia="Times New Roman" w:hAnsi="Times New Roman"/>
          <w:sz w:val="20"/>
          <w:szCs w:val="20"/>
          <w:i w:val="1"/>
          <w:iCs w:val="1"/>
          <w:color w:val="auto"/>
        </w:rPr>
        <w:t>administrateur judiciaire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i w:val="1"/>
          <w:iCs w:val="1"/>
          <w:color w:val="auto"/>
        </w:rPr>
        <w:t>mandataire ad hoc</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i w:val="1"/>
          <w:iCs w:val="1"/>
          <w:color w:val="auto"/>
        </w:rPr>
        <w:t>conciliateur</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i w:val="1"/>
          <w:iCs w:val="1"/>
          <w:color w:val="auto"/>
        </w:rPr>
        <w:t xml:space="preserve"> mandataire liquidateur </w:t>
      </w:r>
      <w:r>
        <w:rPr>
          <w:rFonts w:ascii="Times New Roman" w:cs="Times New Roman" w:eastAsia="Times New Roman" w:hAnsi="Times New Roman"/>
          <w:sz w:val="20"/>
          <w:szCs w:val="20"/>
          <w:color w:val="auto"/>
        </w:rPr>
        <w:t>or any other person appointed as a result of any proceedings described in paragraphs (a)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 above;</w:t>
      </w:r>
    </w:p>
    <w:p>
      <w:pPr>
        <w:spacing w:after="0" w:line="210" w:lineRule="exact"/>
        <w:rPr>
          <w:sz w:val="20"/>
          <w:szCs w:val="20"/>
          <w:color w:val="auto"/>
        </w:rPr>
      </w:pPr>
    </w:p>
    <w:p>
      <w:pPr>
        <w:jc w:val="both"/>
        <w:ind w:left="660" w:firstLine="921"/>
        <w:spacing w:after="0" w:line="263"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xml:space="preserve"> means, so far as a guarantee is given by a Credit Party incorporated under the laws of France under this Agreement, a first demand independent guarantee under articles 2321 and seq. of the French Civil Code and does not constitute a suretyship (</w:t>
      </w:r>
      <w:r>
        <w:rPr>
          <w:rFonts w:ascii="Times New Roman" w:cs="Times New Roman" w:eastAsia="Times New Roman" w:hAnsi="Times New Roman"/>
          <w:sz w:val="20"/>
          <w:szCs w:val="20"/>
          <w:i w:val="1"/>
          <w:iCs w:val="1"/>
          <w:color w:val="auto"/>
        </w:rPr>
        <w:t>cautionnement</w:t>
      </w:r>
      <w:r>
        <w:rPr>
          <w:rFonts w:ascii="Times New Roman" w:cs="Times New Roman" w:eastAsia="Times New Roman" w:hAnsi="Times New Roman"/>
          <w:sz w:val="20"/>
          <w:szCs w:val="20"/>
          <w:color w:val="auto"/>
        </w:rPr>
        <w:t xml:space="preserve">) in the sense of articles 2288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of the French Civil Code; and</w:t>
      </w:r>
    </w:p>
    <w:p>
      <w:pPr>
        <w:spacing w:after="0" w:line="162" w:lineRule="exact"/>
        <w:rPr>
          <w:sz w:val="20"/>
          <w:szCs w:val="20"/>
          <w:color w:val="auto"/>
        </w:rPr>
      </w:pPr>
    </w:p>
    <w:p>
      <w:pPr>
        <w:jc w:val="both"/>
        <w:ind w:left="660" w:firstLine="846"/>
        <w:spacing w:after="0" w:line="287" w:lineRule="auto"/>
        <w:rPr>
          <w:sz w:val="20"/>
          <w:szCs w:val="20"/>
          <w:color w:val="auto"/>
        </w:rPr>
      </w:pPr>
      <w:r>
        <w:rPr>
          <w:rFonts w:ascii="Times New Roman" w:cs="Times New Roman" w:eastAsia="Times New Roman" w:hAnsi="Times New Roman"/>
          <w:sz w:val="20"/>
          <w:szCs w:val="20"/>
          <w:color w:val="auto"/>
        </w:rPr>
        <w:t xml:space="preserve">a person being </w:t>
      </w:r>
      <w:r>
        <w:rPr>
          <w:rFonts w:ascii="Times New Roman" w:cs="Times New Roman" w:eastAsia="Times New Roman" w:hAnsi="Times New Roman"/>
          <w:sz w:val="20"/>
          <w:szCs w:val="20"/>
          <w:b w:val="1"/>
          <w:bCs w:val="1"/>
          <w:color w:val="auto"/>
        </w:rPr>
        <w:t>unable to pay its debts</w:t>
      </w:r>
      <w:r>
        <w:rPr>
          <w:rFonts w:ascii="Times New Roman" w:cs="Times New Roman" w:eastAsia="Times New Roman" w:hAnsi="Times New Roman"/>
          <w:sz w:val="20"/>
          <w:szCs w:val="20"/>
          <w:color w:val="auto"/>
        </w:rPr>
        <w:t xml:space="preserve"> includes that person being in a state of </w:t>
      </w:r>
      <w:r>
        <w:rPr>
          <w:rFonts w:ascii="Times New Roman" w:cs="Times New Roman" w:eastAsia="Times New Roman" w:hAnsi="Times New Roman"/>
          <w:sz w:val="20"/>
          <w:szCs w:val="20"/>
          <w:i w:val="1"/>
          <w:iCs w:val="1"/>
          <w:color w:val="auto"/>
        </w:rPr>
        <w:t>cessation des paiements</w:t>
      </w:r>
      <w:r>
        <w:rPr>
          <w:rFonts w:ascii="Times New Roman" w:cs="Times New Roman" w:eastAsia="Times New Roman" w:hAnsi="Times New Roman"/>
          <w:sz w:val="20"/>
          <w:szCs w:val="20"/>
          <w:color w:val="auto"/>
        </w:rPr>
        <w:t xml:space="preserve"> as defined in article L. 631-1 of the French Commercial Code.</w:t>
      </w:r>
    </w:p>
    <w:p>
      <w:pPr>
        <w:spacing w:after="0" w:line="14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1.5. Calculation of Exchange Rate. On each Exchange Rate Determination Date, Administrative Agent or Canadian Administrative Agent, as applicable, shall (a) determine the Exchange Rate as of such Exchange Rate Determination Date and (b) give notice thereof to each Borrower and to each Lender that shall have requested such information. The Exchange Rates so determined shall become effective on the first Business Day immediately following the relevant Exchange Rate Determination Date (each, a “</w:t>
      </w:r>
      <w:r>
        <w:rPr>
          <w:rFonts w:ascii="Times New Roman" w:cs="Times New Roman" w:eastAsia="Times New Roman" w:hAnsi="Times New Roman"/>
          <w:sz w:val="20"/>
          <w:szCs w:val="20"/>
          <w:u w:val="single" w:color="auto"/>
          <w:color w:val="auto"/>
        </w:rPr>
        <w:t>Reset Date</w:t>
      </w:r>
      <w:r>
        <w:rPr>
          <w:rFonts w:ascii="Times New Roman" w:cs="Times New Roman" w:eastAsia="Times New Roman" w:hAnsi="Times New Roman"/>
          <w:sz w:val="20"/>
          <w:szCs w:val="20"/>
          <w:color w:val="auto"/>
        </w:rPr>
        <w:t>”) and shall remain effective until the next succeeding Reset Date, and shall for all purposes of this Agreement (other than any provision expressly requiring the use of a current Exchange Rate) be the Exchange Rate employed in converting amounts between Dollars and Canadian Dollars or Alternative Currencies as applicable.</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1.6. Limited Condition Transactions. Notwithstanding anything in this Agreement or any other Loan Document to the contrary, in connection with any action being taken solely in connection with a Limited Condition Transaction, for purposes of:</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09" w:right="339" w:bottom="1440" w:gutter="0" w:footer="0" w:header="0"/>
        </w:sectPr>
      </w:pPr>
    </w:p>
    <w:bookmarkStart w:id="137" w:name="page138"/>
    <w:bookmarkEnd w:id="137"/>
    <w:p>
      <w:pPr>
        <w:jc w:val="both"/>
        <w:ind w:left="660" w:firstLine="912"/>
        <w:spacing w:after="0" w:line="253" w:lineRule="auto"/>
        <w:rPr>
          <w:sz w:val="20"/>
          <w:szCs w:val="20"/>
          <w:color w:val="auto"/>
        </w:rPr>
      </w:pPr>
      <w:r>
        <w:rPr>
          <w:rFonts w:ascii="Times New Roman" w:cs="Times New Roman" w:eastAsia="Times New Roman" w:hAnsi="Times New Roman"/>
          <w:sz w:val="20"/>
          <w:szCs w:val="20"/>
          <w:color w:val="auto"/>
        </w:rPr>
        <w:t xml:space="preserve">determining compliance with any provision of this Agreement which requires the calculation of Consolidated EBITDA (including, without limitation, tests measured as a percentage of Consolidated EBITDA), the Total First Lien Leverage Ratio, the Total Leverage Ratio, the Total Secured Leverage Ratio, Incremental Cap or Available Amount (including, without limitation,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(other than for purposes of any Applicable Adjusted Term SOFR Margin, Applicable B/A Margin, Applicable Base Rate Margin, Applicable Canadian Prime Rate Margin, Applicable RFR Margin, Applicable Eurocurrency Margin or Applicable Commitment Fee Percentage); or</w:t>
      </w:r>
    </w:p>
    <w:p>
      <w:pPr>
        <w:spacing w:after="0" w:line="192" w:lineRule="exact"/>
        <w:rPr>
          <w:sz w:val="20"/>
          <w:szCs w:val="20"/>
          <w:color w:val="auto"/>
        </w:rPr>
      </w:pPr>
    </w:p>
    <w:p>
      <w:pPr>
        <w:jc w:val="both"/>
        <w:ind w:left="660" w:firstLine="1002"/>
        <w:spacing w:after="0" w:line="269" w:lineRule="auto"/>
        <w:rPr>
          <w:sz w:val="20"/>
          <w:szCs w:val="20"/>
          <w:color w:val="auto"/>
        </w:rPr>
      </w:pPr>
      <w:r>
        <w:rPr>
          <w:rFonts w:ascii="Times New Roman" w:cs="Times New Roman" w:eastAsia="Times New Roman" w:hAnsi="Times New Roman"/>
          <w:sz w:val="20"/>
          <w:szCs w:val="20"/>
          <w:color w:val="auto"/>
        </w:rPr>
        <w:t>testing availability under baskets set forth in this Agreement (including, without limitation, baskets measured as a percentage of Consolidated Tangible Assets or Consolidated Total Assets);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each case, at the option of Crown Holdings (Crown Holdings’ election to exercise such option in connection with any Limited Condition Transaction,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(x) the date of determination of whether any such action is permitted hereunder shall be deemed to be (i) in the case of a Limited Condition Acquisition, the date the definitive agreements for such Limited Condition Acquisition are entered into,</w:t>
      </w:r>
    </w:p>
    <w:p>
      <w:pPr>
        <w:spacing w:after="0" w:line="1" w:lineRule="exact"/>
        <w:rPr>
          <w:sz w:val="20"/>
          <w:szCs w:val="20"/>
          <w:color w:val="auto"/>
        </w:rPr>
      </w:pPr>
    </w:p>
    <w:p>
      <w:pPr>
        <w:jc w:val="both"/>
        <w:ind w:firstLine="8"/>
        <w:spacing w:after="0" w:line="248" w:lineRule="auto"/>
        <w:tabs>
          <w:tab w:leader="none" w:pos="30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transaction described in clause (b) of the definition of “Limited Condition Transaction,” the date of such irrevocable advance notice and (iii) in the case of any transaction described in clause (c) of the definition of “Limited Condition Transaction,” the date of such declaration, irrevocable advance notice or irrevocable offer (each, an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and if, after giving pro forma effect to the Limited Condition Transaction and the other transactions to be entered into or consummated in connection therewith (including any incurrence of Indebtedness and the use of proceeds thereof) as if they had occurred at the beginning of the most recent Test Period ended prior to the LCT Test Date, Crown Holdings could have taken such action on the relevant LCT Test Date in compliance with such test, ratio or basket, such test, ratio or basket shall be deemed to have been complied with and (y) such tests, ratios and baskets shall not be tested at the time of consummation of such Limited Condition Transaction and all related transactions to be entered into or consummated in connection therewith. If Crown Holdings has made an LCT Election and any of the tests, ratios or baskets for which compliance was determined or tested as of the LCT Test Date are exceeded as a result of fluctuations in any such test, ratio or basket, including due to fluctuations in Consolidated EBITDA, Consolidated Total Assets or Consolidated Tangible Assets of Crown Holdings and its Subsidiaries, at or prior to the consummation of the Limited Condition Transaction, such tests, baskets or ratios will be deemed not to have been exceeded as a result of such fluctuations solely for purposes of determining whether the relevant Limited Condition Transaction is permitted to be consummated or taken. If Crown Holdings has made an LCT Election for any Limited Condition Transaction, then in connection with any subsequent calculation of any test, ratio or basket availability with respect to such Limited Condition Transaction on or following the relevant LCT Test Date and prior to the earlier of the date on which such Limited Condition Transaction is consummated or the definitive agreement (or, if applicable, the irrevocable notice or similar event) for such Limited Condition Transaction is terminated or expires without consummation of such Limited Condition Transaction, any such test, ratio or basket shall be tested by calculating the availability under such test, ratio or basket on a Pro Forma Basis assuming such Limited Condition Transaction and other transactions in connection therewith have been consummated (including any incurrence of Indebtedness and any associated Lien and the use of proceeds thereof).</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connection with any action being taken in connection with a Limited Condition Acquisition, for purposes of determining compliance with the representations and warranties and/or any provision of this Agreement which requires that no Unmatured Event of Default, Event of Default or specified Event of Default, as applicable, has occurred, is continuing or would result from any such action, as applicable,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38" w:name="page139"/>
    <w:bookmarkEnd w:id="138"/>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such condition shall, at the option of Crown Holdings, be deemed satisfied, so long as no representation or warranty would be breached and no Unmatured Event of Default, Event of Default, or specified Event of Default, as applicable, exists on the date the definitive agreements for such Limited Condition Acquisition are entered into. If Crown Holdings has exercised its option under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and any representation or warranty is breached or any Unmatured Event of Default, Event of Default or specified Event of Default occurs following the date the definitive agreements for the applicable Limited Condition Acquisition were entered into and prior to the consummation of such Limited Condition Acquisition, any such representation or warranty breach or Unmatured Event of Default, Event of Default or specified Event of Default shall be deemed to not have occurred or be continuing for purposes of determining whether any action being taken in connection with such Limited Condition Acquisition is permitted hereunder.</w:t>
      </w:r>
    </w:p>
    <w:p>
      <w:pPr>
        <w:spacing w:after="0" w:line="19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1.7. Sanctions Limitations. The representations and warranties contained in </w:t>
      </w:r>
      <w:r>
        <w:rPr>
          <w:rFonts w:ascii="Times New Roman" w:cs="Times New Roman" w:eastAsia="Times New Roman" w:hAnsi="Times New Roman"/>
          <w:sz w:val="20"/>
          <w:szCs w:val="20"/>
          <w:u w:val="single" w:color="auto"/>
          <w:color w:val="auto"/>
        </w:rPr>
        <w:t>Section 6.21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6.22</w:t>
      </w:r>
      <w:r>
        <w:rPr>
          <w:rFonts w:ascii="Times New Roman" w:cs="Times New Roman" w:eastAsia="Times New Roman" w:hAnsi="Times New Roman"/>
          <w:sz w:val="20"/>
          <w:szCs w:val="20"/>
          <w:color w:val="auto"/>
        </w:rPr>
        <w:t xml:space="preserve"> and the covenants contained in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1.7.1. are made or given by, and shall apply to, any Credit Party or any of their Affiliates that qualify as a resident party domiciled, incorporated or established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of the German Foreign Trade Act (</w:t>
      </w:r>
      <w:r>
        <w:rPr>
          <w:rFonts w:ascii="Times New Roman" w:cs="Times New Roman" w:eastAsia="Times New Roman" w:hAnsi="Times New Roman"/>
          <w:sz w:val="20"/>
          <w:szCs w:val="20"/>
          <w:i w:val="1"/>
          <w:iCs w:val="1"/>
          <w:color w:val="auto"/>
        </w:rPr>
        <w:t>Außenwirtschaftsgesetz</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AWG</w:t>
      </w:r>
      <w:r>
        <w:rPr>
          <w:rFonts w:ascii="Times New Roman" w:cs="Times New Roman" w:eastAsia="Times New Roman" w:hAnsi="Times New Roman"/>
          <w:sz w:val="20"/>
          <w:szCs w:val="20"/>
          <w:color w:val="auto"/>
        </w:rPr>
        <w:t>”) only to the extent that the making or giving of, and compliance with, such representations and warranties and covenants do not result in any violation of or conflict with, Section 7 of the German Foreign Trade Ordinance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AWV</w:t>
      </w:r>
      <w:r>
        <w:rPr>
          <w:rFonts w:ascii="Times New Roman" w:cs="Times New Roman" w:eastAsia="Times New Roman" w:hAnsi="Times New Roman"/>
          <w:sz w:val="20"/>
          <w:szCs w:val="20"/>
          <w:color w:val="auto"/>
        </w:rPr>
        <w:t>”), the Canadian Foreign Extraterritorial Measures Act (“</w:t>
      </w:r>
      <w:r>
        <w:rPr>
          <w:rFonts w:ascii="Times New Roman" w:cs="Times New Roman" w:eastAsia="Times New Roman" w:hAnsi="Times New Roman"/>
          <w:sz w:val="20"/>
          <w:szCs w:val="20"/>
          <w:u w:val="single" w:color="auto"/>
          <w:color w:val="auto"/>
        </w:rPr>
        <w:t>FEMA</w:t>
      </w:r>
      <w:r>
        <w:rPr>
          <w:rFonts w:ascii="Times New Roman" w:cs="Times New Roman" w:eastAsia="Times New Roman" w:hAnsi="Times New Roman"/>
          <w:sz w:val="20"/>
          <w:szCs w:val="20"/>
          <w:color w:val="auto"/>
        </w:rPr>
        <w:t>”), or any other applicable anti-blocking laws or regulations; and</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1.7.2. shall, with respect to any Lender which qualifies as a resident party domiciled, incorporated or established in Germany (</w:t>
      </w:r>
      <w:r>
        <w:rPr>
          <w:rFonts w:ascii="Times New Roman" w:cs="Times New Roman" w:eastAsia="Times New Roman" w:hAnsi="Times New Roman"/>
          <w:sz w:val="20"/>
          <w:szCs w:val="20"/>
          <w:i w:val="1"/>
          <w:iCs w:val="1"/>
          <w:color w:val="auto"/>
        </w:rPr>
        <w:t>Inländer</w:t>
      </w:r>
      <w:r>
        <w:rPr>
          <w:rFonts w:ascii="Times New Roman" w:cs="Times New Roman" w:eastAsia="Times New Roman" w:hAnsi="Times New Roman"/>
          <w:sz w:val="20"/>
          <w:szCs w:val="20"/>
          <w:color w:val="auto"/>
        </w:rPr>
        <w:t>) within the meaning of Section 2 paragraph 15 AWG or which notifies the Administrative Agent in writing that it does not wish to receive the benefit of those representations and warranties and covenants (a “</w:t>
      </w:r>
      <w:r>
        <w:rPr>
          <w:rFonts w:ascii="Times New Roman" w:cs="Times New Roman" w:eastAsia="Times New Roman" w:hAnsi="Times New Roman"/>
          <w:sz w:val="20"/>
          <w:szCs w:val="20"/>
          <w:u w:val="single" w:color="auto"/>
          <w:color w:val="auto"/>
        </w:rPr>
        <w:t>Restricted Lender</w:t>
      </w:r>
      <w:r>
        <w:rPr>
          <w:rFonts w:ascii="Times New Roman" w:cs="Times New Roman" w:eastAsia="Times New Roman" w:hAnsi="Times New Roman"/>
          <w:sz w:val="20"/>
          <w:szCs w:val="20"/>
          <w:color w:val="auto"/>
        </w:rPr>
        <w:t xml:space="preserve">”), apply for the benefit of such Restricted Lender only to the extent that receipt of such benefit would not result in any violation of, conflict with, or liability under, Section 7 AWV, FEMA, or any similar anti-boycott laws or regulations. In connection with any amendment, waiver, determination or direction relating to any part of this </w:t>
      </w: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6.22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of which a Restricted Lender does not have the benefit pursuant to this Section, the Commitments of that Restricted Lender will be excluded from the numerator and denominator for the purposes of determining whether the consent of the Required Lenders or any other majority of Lenders has been obtained or whether the determination or direction of the Required Lenders or any other majority of Lenders has been made.</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1.8. Effect of Amendment and Restatement of the Existing Credit Agreement. On the Effective Date, the Loans (as defined in the Existing Credit Agreement) shall be repaid with proceeds of the Loans borrowed on the Effective Date and the Revolving Commitments (as defined in the Existing Credit Agreement) shall be amended and restated in their entirety as Revolving Commitments hereunder as set forth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The parties acknowledge and agree that this Agreement and the other Loan Documents do not constitute a novation, payment and reborrowing or termination of the obligations under the Existing Credit Agreement and that all such obligations are in all respects continued and outstanding as Obligations under this Agreement except to the extent such Obligations are modified from and after the Effective Date as provided in this Agreement and the other Loan Documents. Each Lender that was a Lender (as defined in the Existing Credit Agreement) party to the Existing Credit Agreement hereby agrees that this Agreement amends and restates the Existing Credit Agreement in its entirety effective as of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each Borrower hereby reaffirms that (a) all Letters of Credit under and as defined in the Existing Credit Agreement shall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58" w:lineRule="auto"/>
        <w:rPr>
          <w:sz w:val="20"/>
          <w:szCs w:val="20"/>
          <w:color w:val="auto"/>
        </w:rPr>
      </w:pPr>
      <w:r>
        <w:rPr>
          <w:rFonts w:ascii="Times New Roman" w:cs="Times New Roman" w:eastAsia="Times New Roman" w:hAnsi="Times New Roman"/>
          <w:sz w:val="20"/>
          <w:szCs w:val="20"/>
          <w:color w:val="auto"/>
        </w:rPr>
        <w:t>continue as Letters of Credit under this Agreement and (b) the Collateral and the Loan Documents shall continue to secure, guarantee, support and otherwise benefit the Obligations on the same terms as prior to the effectiveness hereof. Upon the effectiveness of this Agreement, each Loan Document (other than the Existing Credit Agreement) that was in effect immediately prior to the date of this Agreement shall continue to be effective on its terms unless otherwise expressly stated herein.</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1.9.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color w:val="auto"/>
        </w:rPr>
        <w:t>Rates. The Administrative Agent does not warrant or accept responsibility for, and shall not have any liability with respect to</w:t>
      </w:r>
    </w:p>
    <w:p>
      <w:pPr>
        <w:spacing w:after="0" w:line="28" w:lineRule="exact"/>
        <w:rPr>
          <w:sz w:val="20"/>
          <w:szCs w:val="20"/>
          <w:color w:val="auto"/>
        </w:rPr>
      </w:pPr>
    </w:p>
    <w:p>
      <w:pPr>
        <w:jc w:val="both"/>
        <w:ind w:firstLine="8"/>
        <w:spacing w:after="0" w:line="262" w:lineRule="auto"/>
        <w:tabs>
          <w:tab w:leader="none" w:pos="2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continuation of, administration of, submission of, calculation of or any other matter related to Base Rate, the Term SOFR Reference Rate, Adjusted Term SOFR, Term SOFR, the Eurocurrency Rate, Canadian Prime Rate, Adjusted Term CORRA Rate, CDOR Rate, or Daily Simple RFR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Adjusted Term SOFR, Term SOFR, the Eurocurrency Rate, Canadian Prime Rate, Adjusted Term CORRA Rate, CDOR Rate, Daily Simple RFR 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Term SOFR, Adjusted Term SOFR, the Eurocurrency Rate, Canadian Prime Rate, Adjusted Term CORRA Rate, CDOR Rate or Daily Simple RFR, any alternative, successor or replacement rate (including any Benchmark Replacement) or any relevant adjustments thereto, in each case, in a manner adverse to the Borrowers. The Administrative Agent may select information sources or services in its reasonable discretion to ascertain Base Rate, the Term SOFR Reference Rate, Term SOFR, Adjusted Term SOFR, the Eurocurrency Rate, Canadian Prime Rate, Adjusted Term CORRA Rate, CDOR Rate or Daily Simple RFR or any other Benchmark,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2.</w:t>
      </w:r>
    </w:p>
    <w:p>
      <w:pPr>
        <w:spacing w:after="0" w:line="3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b w:val="1"/>
          <w:bCs w:val="1"/>
          <w:color w:val="auto"/>
        </w:rPr>
        <w:t>AMOUNT AND TERMS OF U.S. DOLLAR, STERLING AND EURO CREDITS</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The Commitments.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907"/>
        <w:spacing w:after="0" w:line="268" w:lineRule="auto"/>
        <w:rPr>
          <w:sz w:val="20"/>
          <w:szCs w:val="20"/>
          <w:color w:val="auto"/>
        </w:rPr>
      </w:pPr>
      <w:r>
        <w:rPr>
          <w:rFonts w:ascii="Times New Roman" w:cs="Times New Roman" w:eastAsia="Times New Roman" w:hAnsi="Times New Roman"/>
          <w:sz w:val="20"/>
          <w:szCs w:val="20"/>
          <w:color w:val="auto"/>
        </w:rPr>
        <w:t xml:space="preserve">2.1.1.1. </w:t>
      </w:r>
      <w:r>
        <w:rPr>
          <w:rFonts w:ascii="Times New Roman" w:cs="Times New Roman" w:eastAsia="Times New Roman" w:hAnsi="Times New Roman"/>
          <w:sz w:val="20"/>
          <w:szCs w:val="20"/>
          <w:u w:val="single" w:color="auto"/>
          <w:color w:val="auto"/>
        </w:rPr>
        <w:t>Term Loan A Facility</w:t>
      </w:r>
      <w:r>
        <w:rPr>
          <w:rFonts w:ascii="Times New Roman" w:cs="Times New Roman" w:eastAsia="Times New Roman" w:hAnsi="Times New Roman"/>
          <w:sz w:val="20"/>
          <w:szCs w:val="20"/>
          <w:color w:val="auto"/>
        </w:rPr>
        <w:t>. Each Term Loan A Lender, severally and for itself alone, hereby agrees, on the terms and subject to the terms and conditions set forth herein and in the Incremental Amendment No. 3 and Fifth Amendment and in reliance upon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40" w:name="page141"/>
    <w:bookmarkEnd w:id="140"/>
    <w:p>
      <w:pPr>
        <w:jc w:val="both"/>
        <w:ind w:left="460"/>
        <w:spacing w:after="0" w:line="252" w:lineRule="auto"/>
        <w:rPr>
          <w:sz w:val="20"/>
          <w:szCs w:val="20"/>
          <w:color w:val="auto"/>
        </w:rPr>
      </w:pPr>
      <w:r>
        <w:rPr>
          <w:rFonts w:ascii="Times New Roman" w:cs="Times New Roman" w:eastAsia="Times New Roman" w:hAnsi="Times New Roman"/>
          <w:sz w:val="20"/>
          <w:szCs w:val="20"/>
          <w:color w:val="auto"/>
        </w:rPr>
        <w:t>representations and warranties set forth herein and in the Incremental Amendment No. 3 and Fifth Amendment and in the other Loan Documents to make a loan (each such loan, a “</w:t>
      </w:r>
      <w:r>
        <w:rPr>
          <w:rFonts w:ascii="Times New Roman" w:cs="Times New Roman" w:eastAsia="Times New Roman" w:hAnsi="Times New Roman"/>
          <w:sz w:val="20"/>
          <w:szCs w:val="20"/>
          <w:u w:val="single" w:color="auto"/>
          <w:color w:val="auto"/>
        </w:rPr>
        <w:t>Term Loan A</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Term A Loans</w:t>
      </w:r>
      <w:r>
        <w:rPr>
          <w:rFonts w:ascii="Times New Roman" w:cs="Times New Roman" w:eastAsia="Times New Roman" w:hAnsi="Times New Roman"/>
          <w:sz w:val="20"/>
          <w:szCs w:val="20"/>
          <w:color w:val="auto"/>
        </w:rPr>
        <w:t>”) to U.S. Borrower on the Incremental Amendment No. 3 and Fifth Amendment Effective Date in an aggregate principal amount equal to the Term Loan A Commitment of such Lender. The Term A Loans (i) shall be incurred by U.S. Borrower pursuant to a single drawing, (ii) shall be denominated in Dollars and (iii) shall not exceed for any Lender at the time of incurrence thereof on the Incremental Amendment No. 3 and Fifth Amendment Effective Date that aggregate principal amount which equals the Term Loan A Commitment, if any, of such Lender at such time. Each Lender’s Term Loan A Commitment shall expire immediately and without further action on the Incremental Amendment No. 3 and Fifth Amendment Effective Date, after giving effect to the Term A Loans made thereon. No amount of any Term A Loan which is repaid or prepaid by U.S. Borrower may be reborrowed hereunder.</w:t>
      </w:r>
    </w:p>
    <w:p>
      <w:pPr>
        <w:spacing w:after="0" w:line="176" w:lineRule="exact"/>
        <w:rPr>
          <w:sz w:val="20"/>
          <w:szCs w:val="20"/>
          <w:color w:val="auto"/>
        </w:rPr>
      </w:pPr>
    </w:p>
    <w:p>
      <w:pPr>
        <w:jc w:val="both"/>
        <w:ind w:left="460" w:firstLine="907"/>
        <w:spacing w:after="0" w:line="265" w:lineRule="auto"/>
        <w:rPr>
          <w:sz w:val="20"/>
          <w:szCs w:val="20"/>
          <w:color w:val="auto"/>
        </w:rPr>
      </w:pPr>
      <w:r>
        <w:rPr>
          <w:rFonts w:ascii="Times New Roman" w:cs="Times New Roman" w:eastAsia="Times New Roman" w:hAnsi="Times New Roman"/>
          <w:sz w:val="19"/>
          <w:szCs w:val="19"/>
          <w:color w:val="auto"/>
        </w:rPr>
        <w:t xml:space="preserve">2.1.1.2. </w:t>
      </w:r>
      <w:r>
        <w:rPr>
          <w:rFonts w:ascii="Times New Roman" w:cs="Times New Roman" w:eastAsia="Times New Roman" w:hAnsi="Times New Roman"/>
          <w:sz w:val="19"/>
          <w:szCs w:val="19"/>
          <w:u w:val="single" w:color="auto"/>
          <w:color w:val="auto"/>
        </w:rPr>
        <w:t>Term Euro Facility</w:t>
      </w:r>
      <w:r>
        <w:rPr>
          <w:rFonts w:ascii="Times New Roman" w:cs="Times New Roman" w:eastAsia="Times New Roman" w:hAnsi="Times New Roman"/>
          <w:sz w:val="19"/>
          <w:szCs w:val="19"/>
          <w:color w:val="auto"/>
        </w:rPr>
        <w:t>. Each Term Euro Lender, severally and for itself alone, hereby agrees, on the terms and subject to conditions set forth herein and in the Incremental Amendment No. 3 and Fifth Amendment and in reliance upon the representations and warranties set forth herein and in the Incremental Amendment No. 3 and Fifth Amendment and in the other Loan Documents to make a loan (each such loan, a “</w:t>
      </w:r>
      <w:r>
        <w:rPr>
          <w:rFonts w:ascii="Times New Roman" w:cs="Times New Roman" w:eastAsia="Times New Roman" w:hAnsi="Times New Roman"/>
          <w:sz w:val="19"/>
          <w:szCs w:val="19"/>
          <w:u w:val="single" w:color="auto"/>
          <w:color w:val="auto"/>
        </w:rPr>
        <w:t>Term Euro Loan</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Term Euro Loans</w:t>
      </w:r>
      <w:r>
        <w:rPr>
          <w:rFonts w:ascii="Times New Roman" w:cs="Times New Roman" w:eastAsia="Times New Roman" w:hAnsi="Times New Roman"/>
          <w:sz w:val="19"/>
          <w:szCs w:val="19"/>
          <w:color w:val="auto"/>
        </w:rPr>
        <w:t>”) to European Borrower on the Incremental Amendment No. 3 and Fifth Amendment Effective Date in an aggregate principal amount equal to the Term Euro Commitment of such Lender. The Term Euro Loans (i) shall be incurred by European Borrower pursuant to a single drawing, (ii) shall be denominated in Euros, (iii) shall not exceed for any Lender at the time of incurrence thereof on the Incremental Amendment No. 3 and Fifth Amendment Effective Date that aggregate principal amount which equals the Term Euro Commitment, if any, of such Lender at such time. Each Term Euro Lender’s Term Euro Commitment shall expire immediately and without further action on the Incremental Amendment No. 3 and Fifth Amendment Effective Date, after giving effect to the Term Euro Loans made thereon. No amount of a Term Euro Loan which is repaid or prepaid by European Borrower may be reborrowed hereunder.</w:t>
      </w:r>
    </w:p>
    <w:p>
      <w:pPr>
        <w:spacing w:after="0" w:line="181" w:lineRule="exact"/>
        <w:rPr>
          <w:sz w:val="20"/>
          <w:szCs w:val="20"/>
          <w:color w:val="auto"/>
        </w:rPr>
      </w:pPr>
    </w:p>
    <w:p>
      <w:pPr>
        <w:ind w:left="500" w:hanging="494"/>
        <w:spacing w:after="0"/>
        <w:tabs>
          <w:tab w:leader="none" w:pos="5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Revolving Loans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460" w:firstLine="907"/>
        <w:spacing w:after="0" w:line="250" w:lineRule="auto"/>
        <w:rPr>
          <w:sz w:val="20"/>
          <w:szCs w:val="20"/>
          <w:color w:val="auto"/>
        </w:rPr>
      </w:pPr>
      <w:r>
        <w:rPr>
          <w:rFonts w:ascii="Times New Roman" w:cs="Times New Roman" w:eastAsia="Times New Roman" w:hAnsi="Times New Roman"/>
          <w:sz w:val="20"/>
          <w:szCs w:val="20"/>
          <w:color w:val="auto"/>
        </w:rPr>
        <w:t xml:space="preserve">2.1.2.1. </w:t>
      </w:r>
      <w:r>
        <w:rPr>
          <w:rFonts w:ascii="Times New Roman" w:cs="Times New Roman" w:eastAsia="Times New Roman" w:hAnsi="Times New Roman"/>
          <w:sz w:val="20"/>
          <w:szCs w:val="20"/>
          <w:u w:val="single" w:color="auto"/>
          <w:color w:val="auto"/>
        </w:rPr>
        <w:t>Dollar Revolving Loan Facility</w:t>
      </w:r>
      <w:r>
        <w:rPr>
          <w:rFonts w:ascii="Times New Roman" w:cs="Times New Roman" w:eastAsia="Times New Roman" w:hAnsi="Times New Roman"/>
          <w:sz w:val="20"/>
          <w:szCs w:val="20"/>
          <w:color w:val="auto"/>
        </w:rPr>
        <w:t>. Each Dollar Revolving Lender, severally and for itself alone, hereby agrees, on the terms and subject to the conditions hereinafter set forth and in reliance upon the representations and warranties set forth herein and in the other Loan Documents, to make loans to U.S. Borrower denominated in Dollars on a revolving basis from time to time during the Commitment Period, in an amount not to exceed its Dollar Revolver Pro Rata Share of the Total Available Dollar Revolving Commitment (each such loan by any Lender, a “</w:t>
      </w:r>
      <w:r>
        <w:rPr>
          <w:rFonts w:ascii="Times New Roman" w:cs="Times New Roman" w:eastAsia="Times New Roman" w:hAnsi="Times New Roman"/>
          <w:sz w:val="20"/>
          <w:szCs w:val="20"/>
          <w:u w:val="single" w:color="auto"/>
          <w:color w:val="auto"/>
        </w:rPr>
        <w:t>Dollar Revolving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Dollar Revolving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Dollar Revolving Loan shall be made if after giving effect thereto, the Total Available Dollar Revolving Commitments would equal less than zero. All Dollar Revolving Loans comprising the same Borrowing hereunder shall be made by the Dollar Revolving Lenders simultaneously and in proportion to their respective Dollar Revolving Commitments. Prior to the Revolver Termination Date for the Dollar Revolving Facility, Dollar Revolving Loans may be repaid and reborrowed by U.S. Borrower in accordance with the provisions hereof and, except as otherwise specifically provided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all Dollar Revolving Loans comprising the same Borrowing shall at all times be of the same Type.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87</w:t>
      </w:r>
    </w:p>
    <w:p>
      <w:pPr>
        <w:spacing w:after="0" w:line="8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040"/>
          </w:cols>
          <w:pgMar w:left="520" w:top="1413" w:right="339" w:bottom="1440" w:gutter="0" w:footer="0" w:header="0"/>
        </w:sectPr>
      </w:pPr>
    </w:p>
    <w:bookmarkStart w:id="141" w:name="page142"/>
    <w:bookmarkEnd w:id="141"/>
    <w:p>
      <w:pPr>
        <w:ind w:left="900"/>
        <w:spacing w:after="0"/>
        <w:tabs>
          <w:tab w:leader="none" w:pos="1900" w:val="left"/>
        </w:tabs>
        <w:rPr>
          <w:sz w:val="20"/>
          <w:szCs w:val="20"/>
          <w:color w:val="auto"/>
        </w:rPr>
      </w:pPr>
      <w:r>
        <w:rPr>
          <w:rFonts w:ascii="Times New Roman" w:cs="Times New Roman" w:eastAsia="Times New Roman" w:hAnsi="Times New Roman"/>
          <w:sz w:val="20"/>
          <w:szCs w:val="20"/>
          <w:color w:val="auto"/>
        </w:rPr>
        <w:t>2.1.2.2.</w:t>
      </w:r>
      <w:r>
        <w:rPr>
          <w:sz w:val="20"/>
          <w:szCs w:val="20"/>
          <w:color w:val="auto"/>
        </w:rPr>
        <w:tab/>
      </w:r>
      <w:r>
        <w:rPr>
          <w:rFonts w:ascii="Times New Roman" w:cs="Times New Roman" w:eastAsia="Times New Roman" w:hAnsi="Times New Roman"/>
          <w:sz w:val="19"/>
          <w:szCs w:val="19"/>
          <w:color w:val="auto"/>
        </w:rPr>
        <w:t>[Reserved].</w:t>
      </w:r>
    </w:p>
    <w:p>
      <w:pPr>
        <w:spacing w:after="0" w:line="229" w:lineRule="exact"/>
        <w:rPr>
          <w:sz w:val="20"/>
          <w:szCs w:val="20"/>
          <w:color w:val="auto"/>
        </w:rPr>
      </w:pPr>
    </w:p>
    <w:p>
      <w:pPr>
        <w:jc w:val="both"/>
        <w:ind w:firstLine="907"/>
        <w:spacing w:after="0" w:line="249" w:lineRule="auto"/>
        <w:rPr>
          <w:sz w:val="20"/>
          <w:szCs w:val="20"/>
          <w:color w:val="auto"/>
        </w:rPr>
      </w:pPr>
      <w:r>
        <w:rPr>
          <w:rFonts w:ascii="Times New Roman" w:cs="Times New Roman" w:eastAsia="Times New Roman" w:hAnsi="Times New Roman"/>
          <w:sz w:val="20"/>
          <w:szCs w:val="20"/>
          <w:color w:val="auto"/>
        </w:rPr>
        <w:t xml:space="preserve">2.1.2.3. </w:t>
      </w:r>
      <w:r>
        <w:rPr>
          <w:rFonts w:ascii="Times New Roman" w:cs="Times New Roman" w:eastAsia="Times New Roman" w:hAnsi="Times New Roman"/>
          <w:sz w:val="20"/>
          <w:szCs w:val="20"/>
          <w:u w:val="single" w:color="auto"/>
          <w:color w:val="auto"/>
        </w:rPr>
        <w:t>Multicurrency Revolving Loan Facility</w:t>
      </w:r>
      <w:r>
        <w:rPr>
          <w:rFonts w:ascii="Times New Roman" w:cs="Times New Roman" w:eastAsia="Times New Roman" w:hAnsi="Times New Roman"/>
          <w:sz w:val="20"/>
          <w:szCs w:val="20"/>
          <w:color w:val="auto"/>
        </w:rPr>
        <w:t>. Each Multicurrency Revolving Lender, severally and for itself alone, hereby agrees, on the terms and subject to the conditions hereinafter set forth and in reliance upon the representations and warranties set forth herein and in the other Loan Documents, to make loans to U.S. Borrower, European Borrower and the Subsidiary Borrowers denominated in Dollars or an Alternative Currency on a revolving basis from time to time during the Commitment Period for the Multicurrency Revolving Facility, in an amount not to exceed its Multicurrency Revolver Pro Rata Share of (a) with respect to all Borrowers the Total Available Multicurrency Revolving Commitment and (b) with respect to any applicable Borrower, such Borrower’s Available Multicurrency Revolving Sublimit (each such loan by any Lender, a “</w:t>
      </w:r>
      <w:r>
        <w:rPr>
          <w:rFonts w:ascii="Times New Roman" w:cs="Times New Roman" w:eastAsia="Times New Roman" w:hAnsi="Times New Roman"/>
          <w:sz w:val="20"/>
          <w:szCs w:val="20"/>
          <w:u w:val="single" w:color="auto"/>
          <w:color w:val="auto"/>
        </w:rPr>
        <w:t>Multicurrency Revolving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Multicurrency Revolving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 such Multicurrency Revolving Loan shall be made if after giving effect thereto, the Total Available Multicurrency Revolving Commitments would equal less than zero and (b) the aggregate principal amount of all Multicurrency Revolving Loans denominated in Sterling shall not exceed the Sterling Equivalent of $250,000,000. All Multicurrency Revolving Loans comprising the same Borrowing hereunder shall be made by the Multicurrency Revolving Lenders simultaneously and in proportion to their respective Multicurrency Revolving Commitments. Prior to the Revolver Termination Date for the Multicurrency Revolving Commitment, Multicurrency Revolving Loans may be repaid and reborrowed by U.S. Borrower, European Borrower and the Subsidiary Borrowers in accordance with the provisions hereof and, except as otherwise specifically provided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all Multicurrency Revolving Loans comprising the same Borrowing shall at all times be of the same Type.</w:t>
      </w:r>
    </w:p>
    <w:p>
      <w:pPr>
        <w:spacing w:after="0" w:line="1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Swing Line Loans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900"/>
        <w:spacing w:after="0"/>
        <w:tabs>
          <w:tab w:leader="none" w:pos="1900" w:val="left"/>
        </w:tabs>
        <w:rPr>
          <w:sz w:val="20"/>
          <w:szCs w:val="20"/>
          <w:color w:val="auto"/>
        </w:rPr>
      </w:pPr>
      <w:r>
        <w:rPr>
          <w:rFonts w:ascii="Times New Roman" w:cs="Times New Roman" w:eastAsia="Times New Roman" w:hAnsi="Times New Roman"/>
          <w:sz w:val="20"/>
          <w:szCs w:val="20"/>
          <w:color w:val="auto"/>
        </w:rPr>
        <w:t>2.1.3.1.</w:t>
      </w:r>
      <w:r>
        <w:rPr>
          <w:sz w:val="20"/>
          <w:szCs w:val="20"/>
          <w:color w:val="auto"/>
        </w:rPr>
        <w:tab/>
      </w:r>
      <w:r>
        <w:rPr>
          <w:rFonts w:ascii="Times New Roman" w:cs="Times New Roman" w:eastAsia="Times New Roman" w:hAnsi="Times New Roman"/>
          <w:sz w:val="19"/>
          <w:szCs w:val="19"/>
          <w:color w:val="auto"/>
        </w:rPr>
        <w:t>[Reserved].</w:t>
      </w:r>
    </w:p>
    <w:p>
      <w:pPr>
        <w:spacing w:after="0" w:line="216" w:lineRule="exact"/>
        <w:rPr>
          <w:sz w:val="20"/>
          <w:szCs w:val="20"/>
          <w:color w:val="auto"/>
        </w:rPr>
      </w:pPr>
    </w:p>
    <w:p>
      <w:pPr>
        <w:jc w:val="both"/>
        <w:ind w:firstLine="907"/>
        <w:spacing w:after="0" w:line="250" w:lineRule="auto"/>
        <w:rPr>
          <w:sz w:val="20"/>
          <w:szCs w:val="20"/>
          <w:color w:val="auto"/>
        </w:rPr>
      </w:pPr>
      <w:r>
        <w:rPr>
          <w:rFonts w:ascii="Times New Roman" w:cs="Times New Roman" w:eastAsia="Times New Roman" w:hAnsi="Times New Roman"/>
          <w:sz w:val="20"/>
          <w:szCs w:val="20"/>
          <w:color w:val="auto"/>
        </w:rPr>
        <w:t xml:space="preserve">2.1.3.2. </w:t>
      </w:r>
      <w:r>
        <w:rPr>
          <w:rFonts w:ascii="Times New Roman" w:cs="Times New Roman" w:eastAsia="Times New Roman" w:hAnsi="Times New Roman"/>
          <w:sz w:val="20"/>
          <w:szCs w:val="20"/>
          <w:u w:val="single" w:color="auto"/>
          <w:color w:val="auto"/>
        </w:rPr>
        <w:t>Multicurrency Swing Line</w:t>
      </w:r>
      <w:r>
        <w:rPr>
          <w:rFonts w:ascii="Times New Roman" w:cs="Times New Roman" w:eastAsia="Times New Roman" w:hAnsi="Times New Roman"/>
          <w:sz w:val="20"/>
          <w:szCs w:val="20"/>
          <w:color w:val="auto"/>
        </w:rPr>
        <w:t>. Subject to the terms and conditions hereof, the Swing Line Lender in its individual capacity agrees to make swing line loans in Dollars or Alternative Currencies (“</w:t>
      </w: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xml:space="preserve">”) to U.S. Borrower, European Borrower or any Subsidiary Borrower on any Business Day from time to time during the Commitment Period in an aggregate principal amount at any one time outstanding that do not to exceed the Dollar Equivalent of $75,000,000;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no event may the amount of any Borrowing of Swing Line Loans (A) exceed the Total Available Multicurrency Revolving Commitment immediately prior to such Borrowing (after giving effect to the use of proceeds thereof), (B) exceed the Available Multicurrency Revolving Sublimit for such Borrower immediately prior to such Borrowing or (C) cause the outstanding Multicurrency Revolving Loans of any Lender, when added to such Lender’s Multicurrency Revolver Pro Rata Share of the then outstanding Swing Line Loans and Multicurrency Revolver Pro Rata Share of the aggregate Multicurrency LC Obligations (exclusive of Unpaid Drawings relating to Multicurrency LC Obligations which are repaid with the proceeds of, and simultaneously with the incurrence of, Multicurrency Revolving Loans or Swing Line Loans) to exceed such Lender’s Multicurrency Revolving Commitment. Amounts borrowed under this </w:t>
      </w:r>
      <w:r>
        <w:rPr>
          <w:rFonts w:ascii="Times New Roman" w:cs="Times New Roman" w:eastAsia="Times New Roman" w:hAnsi="Times New Roman"/>
          <w:sz w:val="20"/>
          <w:szCs w:val="20"/>
          <w:u w:val="single" w:color="auto"/>
          <w:color w:val="auto"/>
        </w:rPr>
        <w:t>Section 2.1(c)(ii)</w:t>
      </w:r>
      <w:r>
        <w:rPr>
          <w:rFonts w:ascii="Times New Roman" w:cs="Times New Roman" w:eastAsia="Times New Roman" w:hAnsi="Times New Roman"/>
          <w:sz w:val="20"/>
          <w:szCs w:val="20"/>
          <w:color w:val="auto"/>
        </w:rPr>
        <w:t xml:space="preserve"> may be repaid and, to but excluding the Revolver Termination Date for the Multicurrency Revolving Facility, reborrowed. Swing Line Loans shall be made in Dollars or Alternative Currencies and maintained as Base Rate Loans, with respect to Swing Line Loans made in Dollars, and Overnight Rate Loans with respect to Swing Line Loans made in Alternative Currencies and,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88</w:t>
      </w:r>
    </w:p>
    <w:p>
      <w:pPr>
        <w:spacing w:after="0" w:line="6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142" w:name="page143"/>
    <w:bookmarkEnd w:id="142"/>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shall not be entitled to be converted into any other Type of Loan. Notwithstanding the foregoing, in the event there is a Defaulting Lender, Swing Line Lender shall not be required to make any Swing Line Loans unless Swing Line Lender has entered into arrangements reasonably satisfactory to it and Crown Holdings to eliminate the Swing Line Lender’s risk with respect to the refunding or participation in such Swing Line Loans of the Defaulting Lender or Lenders, including by cash collateralizing such Defaulting Lender or Lenders’ applicable Multicurrency Revolver Pro Rata Share of the applicable Swing Line Loans, which arrangements shall be deemed to be consented to by the Lenders.</w:t>
      </w:r>
    </w:p>
    <w:p>
      <w:pPr>
        <w:spacing w:after="0" w:line="192" w:lineRule="exact"/>
        <w:rPr>
          <w:sz w:val="20"/>
          <w:szCs w:val="20"/>
          <w:color w:val="auto"/>
        </w:rPr>
      </w:pPr>
    </w:p>
    <w:p>
      <w:pPr>
        <w:jc w:val="both"/>
        <w:ind w:firstLine="907"/>
        <w:spacing w:after="0" w:line="249" w:lineRule="auto"/>
        <w:rPr>
          <w:sz w:val="20"/>
          <w:szCs w:val="20"/>
          <w:color w:val="auto"/>
        </w:rPr>
      </w:pPr>
      <w:r>
        <w:rPr>
          <w:rFonts w:ascii="Times New Roman" w:cs="Times New Roman" w:eastAsia="Times New Roman" w:hAnsi="Times New Roman"/>
          <w:sz w:val="20"/>
          <w:szCs w:val="20"/>
          <w:color w:val="auto"/>
        </w:rPr>
        <w:t xml:space="preserve">2.1.3.3. </w:t>
      </w:r>
      <w:r>
        <w:rPr>
          <w:rFonts w:ascii="Times New Roman" w:cs="Times New Roman" w:eastAsia="Times New Roman" w:hAnsi="Times New Roman"/>
          <w:sz w:val="20"/>
          <w:szCs w:val="20"/>
          <w:u w:val="single" w:color="auto"/>
          <w:color w:val="auto"/>
        </w:rPr>
        <w:t>Refunding of Swing Line Loans</w:t>
      </w:r>
      <w:r>
        <w:rPr>
          <w:rFonts w:ascii="Times New Roman" w:cs="Times New Roman" w:eastAsia="Times New Roman" w:hAnsi="Times New Roman"/>
          <w:sz w:val="20"/>
          <w:szCs w:val="20"/>
          <w:color w:val="auto"/>
        </w:rPr>
        <w:t>. Swing Line Lender, at any time in its sole and absolute discretion, may on behalf of the applicable Borrower (which hereby irrevocably directs Swing Line Lender to so act on its behalf) notify each Multicurrency Revolving Lender (including Swing Line Lender) to make a Multicurrency Revolving Loan in the Applicable Currency, as the case may be, an amount equal to such Lender’s Multicurrency Revolver Pro Rata Share of the principal amount of the applicable Swing Line Loans (the “</w:t>
      </w:r>
      <w:r>
        <w:rPr>
          <w:rFonts w:ascii="Times New Roman" w:cs="Times New Roman" w:eastAsia="Times New Roman" w:hAnsi="Times New Roman"/>
          <w:sz w:val="20"/>
          <w:szCs w:val="20"/>
          <w:u w:val="single" w:color="auto"/>
          <w:color w:val="auto"/>
        </w:rPr>
        <w:t>Refunded Swing Line Loans</w:t>
      </w:r>
      <w:r>
        <w:rPr>
          <w:rFonts w:ascii="Times New Roman" w:cs="Times New Roman" w:eastAsia="Times New Roman" w:hAnsi="Times New Roman"/>
          <w:sz w:val="20"/>
          <w:szCs w:val="20"/>
          <w:color w:val="auto"/>
        </w:rPr>
        <w:t xml:space="preserve">”) outstanding on the date such notice is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notice shall be deemed to have automatically been given upon the occurrence of an Event of Default under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Unless any of the events described in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shall have occurred (in which event the procedures of this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shall apply) and regardless of whether the conditions precedent set forth in this Agreement to the making of a Revolving Loan are then satisfied, each applicable Revolving Lender shall make the proceeds of its Revolving Loan available to Swing Line Lender at the Payment Office prior to 11:00 a.m., local time in the place of funding, in funds immediately available on the Business Day next succeeding the date such notice is given. The proceeds of such Revolving Loans shall be immediately applied to repay the Refunded Swing Line Loans.</w:t>
      </w:r>
    </w:p>
    <w:p>
      <w:pPr>
        <w:spacing w:after="0" w:line="201" w:lineRule="exact"/>
        <w:rPr>
          <w:sz w:val="20"/>
          <w:szCs w:val="20"/>
          <w:color w:val="auto"/>
        </w:rPr>
      </w:pPr>
    </w:p>
    <w:p>
      <w:pPr>
        <w:jc w:val="both"/>
        <w:ind w:firstLine="907"/>
        <w:spacing w:after="0" w:line="251" w:lineRule="auto"/>
        <w:rPr>
          <w:sz w:val="20"/>
          <w:szCs w:val="20"/>
          <w:color w:val="auto"/>
        </w:rPr>
      </w:pPr>
      <w:r>
        <w:rPr>
          <w:rFonts w:ascii="Times New Roman" w:cs="Times New Roman" w:eastAsia="Times New Roman" w:hAnsi="Times New Roman"/>
          <w:sz w:val="20"/>
          <w:szCs w:val="20"/>
          <w:color w:val="auto"/>
        </w:rPr>
        <w:t xml:space="preserve">2.1.3.4. </w:t>
      </w:r>
      <w:r>
        <w:rPr>
          <w:rFonts w:ascii="Times New Roman" w:cs="Times New Roman" w:eastAsia="Times New Roman" w:hAnsi="Times New Roman"/>
          <w:sz w:val="20"/>
          <w:szCs w:val="20"/>
          <w:u w:val="single" w:color="auto"/>
          <w:color w:val="auto"/>
        </w:rPr>
        <w:t>Participation in Swing Line Loans</w:t>
      </w:r>
      <w:r>
        <w:rPr>
          <w:rFonts w:ascii="Times New Roman" w:cs="Times New Roman" w:eastAsia="Times New Roman" w:hAnsi="Times New Roman"/>
          <w:sz w:val="20"/>
          <w:szCs w:val="20"/>
          <w:color w:val="auto"/>
        </w:rPr>
        <w:t xml:space="preserve">. If, prior to refunding a Swing Line Loan with a Revolving Loan pursuant to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an Event of Default under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shall have occurred, or if for any other reason a Revolving Loan cannot be made pursuant to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then, subject to the provisions of </w:t>
      </w:r>
      <w:r>
        <w:rPr>
          <w:rFonts w:ascii="Times New Roman" w:cs="Times New Roman" w:eastAsia="Times New Roman" w:hAnsi="Times New Roman"/>
          <w:sz w:val="20"/>
          <w:szCs w:val="20"/>
          <w:u w:val="single" w:color="auto"/>
          <w:color w:val="auto"/>
        </w:rPr>
        <w:t>Section 2.1(c)(v)</w:t>
      </w:r>
      <w:r>
        <w:rPr>
          <w:rFonts w:ascii="Times New Roman" w:cs="Times New Roman" w:eastAsia="Times New Roman" w:hAnsi="Times New Roman"/>
          <w:sz w:val="20"/>
          <w:szCs w:val="20"/>
          <w:color w:val="auto"/>
        </w:rPr>
        <w:t xml:space="preserve"> below, each Multicurrency Revolving Lender will, on the date such Revolving Loan was to have been made, purchase (without recourse or warranty) from Swing Line Lender an undivided participation interest in the Swing Line Loan in an amount equal to its Multicurrency Revolver Pro Rata Share of such Swing Line Loan. Upon request, each such Revolving Lender will immediately transfer to Swing Line Lender, in immediately available funds, the amount of its participation and upon receipt thereof Swing Line Lender will deliver to such Revolving Lender a Swing Line Loan Participation Certificate dated the date of receipt of such funds and in such amount.</w:t>
      </w:r>
    </w:p>
    <w:p>
      <w:pPr>
        <w:spacing w:after="0" w:line="182" w:lineRule="exact"/>
        <w:rPr>
          <w:sz w:val="20"/>
          <w:szCs w:val="20"/>
          <w:color w:val="auto"/>
        </w:rPr>
      </w:pPr>
    </w:p>
    <w:p>
      <w:pPr>
        <w:jc w:val="both"/>
        <w:ind w:firstLine="907"/>
        <w:spacing w:after="0" w:line="252" w:lineRule="auto"/>
        <w:rPr>
          <w:sz w:val="20"/>
          <w:szCs w:val="20"/>
          <w:color w:val="auto"/>
        </w:rPr>
      </w:pPr>
      <w:r>
        <w:rPr>
          <w:rFonts w:ascii="Times New Roman" w:cs="Times New Roman" w:eastAsia="Times New Roman" w:hAnsi="Times New Roman"/>
          <w:sz w:val="20"/>
          <w:szCs w:val="20"/>
          <w:color w:val="auto"/>
        </w:rPr>
        <w:t xml:space="preserve">2.1.3.5. </w:t>
      </w:r>
      <w:r>
        <w:rPr>
          <w:rFonts w:ascii="Times New Roman" w:cs="Times New Roman" w:eastAsia="Times New Roman" w:hAnsi="Times New Roman"/>
          <w:sz w:val="20"/>
          <w:szCs w:val="20"/>
          <w:u w:val="single" w:color="auto"/>
          <w:color w:val="auto"/>
        </w:rPr>
        <w:t>Lenders’ Obligations Unconditional</w:t>
      </w:r>
      <w:r>
        <w:rPr>
          <w:rFonts w:ascii="Times New Roman" w:cs="Times New Roman" w:eastAsia="Times New Roman" w:hAnsi="Times New Roman"/>
          <w:sz w:val="20"/>
          <w:szCs w:val="20"/>
          <w:color w:val="auto"/>
        </w:rPr>
        <w:t xml:space="preserve">. Each Lender’s obligation to make Revolving Loans in accordance with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above and to purchase participating interests in accordance with </w:t>
      </w:r>
      <w:r>
        <w:rPr>
          <w:rFonts w:ascii="Times New Roman" w:cs="Times New Roman" w:eastAsia="Times New Roman" w:hAnsi="Times New Roman"/>
          <w:sz w:val="20"/>
          <w:szCs w:val="20"/>
          <w:u w:val="single" w:color="auto"/>
          <w:color w:val="auto"/>
        </w:rPr>
        <w:t>Section 2.1(c)(iv)</w:t>
      </w:r>
      <w:r>
        <w:rPr>
          <w:rFonts w:ascii="Times New Roman" w:cs="Times New Roman" w:eastAsia="Times New Roman" w:hAnsi="Times New Roman"/>
          <w:sz w:val="20"/>
          <w:szCs w:val="20"/>
          <w:color w:val="auto"/>
        </w:rPr>
        <w:t xml:space="preserve"> above shall be absolute and unconditional and shall not be affected by any circumstance, including, without limitation, (A) any set-off, counterclaim, recoupment, defense or other right which such Lender may have against Swing Line Lender, any Borrower or any other Person for any reason whatsoever; (B) the occurrence or continuance of any Event of Default or Unmatured Event of Default; (C) any adverse change in the condition (financial or otherwise) of any Borrower or any other Person; (D) any breach of this Agreement by any Borrower or any other Person; (E) any inability of any Borrower to satisfy the conditions precedent to borrowing set forth in this Agreement on the date upon which such participating interest is to be purchased or (F) any other circumstance, happening or event whatsoever, whether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89</w:t>
      </w:r>
    </w:p>
    <w:p>
      <w:pPr>
        <w:spacing w:after="0" w:line="8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143" w:name="page144"/>
    <w:bookmarkEnd w:id="143"/>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 xml:space="preserve">or not similar to any of the foregoing. If any Lender does not make available to Swing Line Lender the amount required pursuant to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as the case may be, Swing Line Lender shall be entitled to recover such amount on demand from such Lender, together with interest thereon for each day from the date of non-payment until such amount is paid in full at the Federal Funds Rate for the first two Business Days and at the Base Rate thereafter. Notwithstanding the foregoing provisions of this </w:t>
      </w:r>
      <w:r>
        <w:rPr>
          <w:rFonts w:ascii="Times New Roman" w:cs="Times New Roman" w:eastAsia="Times New Roman" w:hAnsi="Times New Roman"/>
          <w:sz w:val="20"/>
          <w:szCs w:val="20"/>
          <w:u w:val="single" w:color="auto"/>
          <w:color w:val="auto"/>
        </w:rPr>
        <w:t>Section 2.1(c)(v)</w:t>
      </w:r>
      <w:r>
        <w:rPr>
          <w:rFonts w:ascii="Times New Roman" w:cs="Times New Roman" w:eastAsia="Times New Roman" w:hAnsi="Times New Roman"/>
          <w:sz w:val="20"/>
          <w:szCs w:val="20"/>
          <w:color w:val="auto"/>
        </w:rPr>
        <w:t xml:space="preserve">, no Lender shall be required to make a Revolving Loan to any Borrower for the purpose of refunding a Swing Line Loan pursuant to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xml:space="preserve"> above or to purchase a participating interest in a Swing Line Loan pursuant to </w:t>
      </w:r>
      <w:r>
        <w:rPr>
          <w:rFonts w:ascii="Times New Roman" w:cs="Times New Roman" w:eastAsia="Times New Roman" w:hAnsi="Times New Roman"/>
          <w:sz w:val="20"/>
          <w:szCs w:val="20"/>
          <w:u w:val="single" w:color="auto"/>
          <w:color w:val="auto"/>
        </w:rPr>
        <w:t>Section 2.1(c)(iv)</w:t>
      </w:r>
      <w:r>
        <w:rPr>
          <w:rFonts w:ascii="Times New Roman" w:cs="Times New Roman" w:eastAsia="Times New Roman" w:hAnsi="Times New Roman"/>
          <w:sz w:val="20"/>
          <w:szCs w:val="20"/>
          <w:color w:val="auto"/>
        </w:rPr>
        <w:t xml:space="preserve"> above, if an Event of Default or Unmatured Event of Default has occurred and is continuing and, prior to the making by Swing Line Lender of such Swing Line Loan, the applicable Swing Line Lender has received written notice from such Lender specifying that such Event of Default or Unmatured Event of Default has occurred and is continuing, describing the nature thereof and stating that, as a result thereof, such Lender shall cease to make such Refunded Swing Line Loans and purchase such participating interests,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obligation of such Lender to make such Refunded Swing Line Loans and to purchase such participating interests shall be reinstated upon the earlier to occur of (y) the date upon which such Lender notifies Swing Line Lender that its prior notice has been withdrawn and (z) the date upon which the Event of Default or Unmatured Event of Default specified in such notice no longer is continuing.</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Evidence of Indebtedness; Repayment of Loans.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2.2.1. </w:t>
      </w:r>
      <w:r>
        <w:rPr>
          <w:rFonts w:ascii="Times New Roman" w:cs="Times New Roman" w:eastAsia="Times New Roman" w:hAnsi="Times New Roman"/>
          <w:sz w:val="20"/>
          <w:szCs w:val="20"/>
          <w:u w:val="single" w:color="auto"/>
          <w:color w:val="auto"/>
        </w:rPr>
        <w:t>Evidence of Indebtedness</w:t>
      </w:r>
      <w:r>
        <w:rPr>
          <w:rFonts w:ascii="Times New Roman" w:cs="Times New Roman" w:eastAsia="Times New Roman" w:hAnsi="Times New Roman"/>
          <w:sz w:val="20"/>
          <w:szCs w:val="20"/>
          <w:color w:val="auto"/>
        </w:rPr>
        <w:t xml:space="preserve">. At the request of any Lender (which request shall be made to Administrative Agent), each respective Borrower’s obligation to pay the principal of and interest on all the Loans made to it by such Lender shall be evidenced, (1) if Term Loans, by a promissory note duly executed and delivered by such Borrower substantially in the form of </w:t>
      </w:r>
      <w:r>
        <w:rPr>
          <w:rFonts w:ascii="Times New Roman" w:cs="Times New Roman" w:eastAsia="Times New Roman" w:hAnsi="Times New Roman"/>
          <w:sz w:val="20"/>
          <w:szCs w:val="20"/>
          <w:u w:val="single" w:color="auto"/>
          <w:color w:val="auto"/>
        </w:rPr>
        <w:t>Exhibit 2.2(a)(1)</w:t>
      </w:r>
      <w:r>
        <w:rPr>
          <w:rFonts w:ascii="Times New Roman" w:cs="Times New Roman" w:eastAsia="Times New Roman" w:hAnsi="Times New Roman"/>
          <w:sz w:val="20"/>
          <w:szCs w:val="20"/>
          <w:color w:val="auto"/>
        </w:rPr>
        <w:t xml:space="preserve"> hereto (or such other form as mutually agreed by Crown Holdings and the Administrative Agent), with blanks appropriately completed in conformity herewith and (2) if Revolving Loans, by a promissory note duly executed and delivered by such Borrower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2.2(a)(2)</w:t>
      </w:r>
      <w:r>
        <w:rPr>
          <w:rFonts w:ascii="Times New Roman" w:cs="Times New Roman" w:eastAsia="Times New Roman" w:hAnsi="Times New Roman"/>
          <w:sz w:val="20"/>
          <w:szCs w:val="20"/>
          <w:color w:val="auto"/>
        </w:rPr>
        <w:t xml:space="preserve"> hereto (or such other form as mutually agreed by Crown Holdings and the Administrative Agent), with blanks appropriately completed in conformity herewith.</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2.2.2. </w:t>
      </w:r>
      <w:r>
        <w:rPr>
          <w:rFonts w:ascii="Times New Roman" w:cs="Times New Roman" w:eastAsia="Times New Roman" w:hAnsi="Times New Roman"/>
          <w:sz w:val="20"/>
          <w:szCs w:val="20"/>
          <w:u w:val="single" w:color="auto"/>
          <w:color w:val="auto"/>
        </w:rPr>
        <w:t>Notation of Payments</w:t>
      </w:r>
      <w:r>
        <w:rPr>
          <w:rFonts w:ascii="Times New Roman" w:cs="Times New Roman" w:eastAsia="Times New Roman" w:hAnsi="Times New Roman"/>
          <w:sz w:val="20"/>
          <w:szCs w:val="20"/>
          <w:color w:val="auto"/>
        </w:rPr>
        <w:t>. Each Lender will note on its internal records the amount of each Loan made by it, the Applicable Currency of such Loan and each payment in respect thereof and will, prior to any transfer of any of its Notes, endorse on the reverse side thereof the outstanding principal amount of Loans evidenced thereby. Failure to make any such notation shall not affect any Borrower’s or any guarantor’s obligations hereunder or under the other applicable Loan Documents in respect of such Loans.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2.2.3. </w:t>
      </w:r>
      <w:r>
        <w:rPr>
          <w:rFonts w:ascii="Times New Roman" w:cs="Times New Roman" w:eastAsia="Times New Roman" w:hAnsi="Times New Roman"/>
          <w:sz w:val="20"/>
          <w:szCs w:val="20"/>
          <w:u w:val="single" w:color="auto"/>
          <w:color w:val="auto"/>
        </w:rPr>
        <w:t>Repayment of Loans</w:t>
      </w:r>
      <w:r>
        <w:rPr>
          <w:rFonts w:ascii="Times New Roman" w:cs="Times New Roman" w:eastAsia="Times New Roman" w:hAnsi="Times New Roman"/>
          <w:sz w:val="20"/>
          <w:szCs w:val="20"/>
          <w:color w:val="auto"/>
        </w:rPr>
        <w:t>. Each Borrower hereby unconditionally promises to pay to Administrative Agent for the account of the relevant Lenders (i) in respect of Revolving Loans of such Borrower, on the applicable Revolver Termination Date (or such earlier date as, and to the extent that, such Revolving Loan becomes due and payable pursuant to the terms of this Agreement), the unpaid principal amount of each Revolving Loan made to it by each such Revolving Lender, in the Applicable Currency and (ii) in respect of Term Loans of such Borrower, on the applicable Term Maturity Date (or such earlier date as, and to the extent that, such Term Loan becomes due and payable pursuant to the terms of this Agreement), the unpaid principal amount of each Term Loan made to it by each such Term Lender, in the Applicable Currency. Each Borrower hereby further agrees to pay interest in immediately available funds (in the Applicable Currency) at the applicable Payment Office on the unpaid principal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44" w:name="page145"/>
    <w:bookmarkEnd w:id="144"/>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amount of the Revolving Loans and Term Loans made to it from time to time from the Effective Date until payment in full thereof at the rates per annum, and on the dates, set forth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2.3. Minimum Amount of Each Borrowing; Maximum Number of Borrowings. The aggregate principal amount of each Borrowing by any Borrower hereunder shall be not less than the Minimum Borrowing Amount and, if greater, shall be in Minimum Borrowing Multiples above such minimum (or, if less, the then Total Available Dollar Revolving Commitment or the Total Available Multicurrency Revolving Commitment). More than one Borrowing may be incurred on any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no time shall there be outstanding more than, unless approved by Administrative Agent in its reasonable discretion, ten (10) Borrowings of Eurocurrency Loans, SOFR Loans and RFR Loans at any time.</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2.4. Borrowing Options. The Term Loans and the Revolving Loans shall, at the option of the applicable Borrower except as otherwise provided in this Agreement, be (i) Base Rate Loans, (ii) SOFR Loans, or (iii) part Base Rate Loans and part SOFR Loans. The Term Loans and Multicurrency Revolving Loans denominated in Euro shall be Eurocurrency Loans. Multicurrency Revolving Loans denominated in Sterling shall be Daily Simple RFR Loans. Multicurrency Revolving Loans denominated in any other Alternative Currency shall bear interest based on the benchmark rate agreed for such Alternative Currency pursuant to Section 2.8. As to any Loan, any Lender may, if it so elects, fulfill its commitment by causing a domestic or foreign branch or affiliate with reasonable and appropriate capacities to fund such currency and without any increased cost to Borrowers to make or continue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such event the funding of that Lender’s Loan shall, for the purposes of this Agreement, be considered to be the obligations of or to have been made by that Lender and the obligation of the applicable Borrower to repay that Lender’s Loan shall nevertheless be to that Lender and shall be deemed held by that Lender, for the account of such branch or affiliate.</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2.5. Notice of Borrowing. Whenever any Borrower desires to make a Borrowing of any Loan (other than a Swing Line Loan) hereunder, it shall give Administrative Agent at its Notice Address at least one Business Day’s prior written notice (or telephonic notice promptly confirmed in writing), given not later than 12:00 p.m. (New York City time), of each Base Rate Loan, at least one Business Day’s prior written notice (or telephonic notice promptly confirmed in writing), given not later than 8:00 a.m. (New York City time), of each Daily Simple RFR Loan, and at least three Business Days’ prior written notice (or telephonic notice promptly confirmed in writing), given not later than 12:00 p.m. (New York City time) (or 8:00 a.m. (New York City time), in the case of a borrowing in Euro), of each SOFR Loan or Eurocurrency Loan, as applicable, to be made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 Notice of Borrowing with respect to Borrowings to be made on the Incremental Amendment No. 3 and Fifth Amendment Effective Date may be delivered later than the time specified above but no later than (x) in the case of Dollar denominated Loans, 10:00 a.m. (New York City time) and (y) in the case of Alternative Currency Loans, 12:00 p.m. (London time), in each case, on the Business Day prior to the Incremental Amendment No. 3 and Fifth Amendment Effective Date. Whenever U.S. Borrower desires that Swing Line Lender make a Swing Line Loan in Dollars under </w:t>
      </w:r>
      <w:r>
        <w:rPr>
          <w:rFonts w:ascii="Times New Roman" w:cs="Times New Roman" w:eastAsia="Times New Roman" w:hAnsi="Times New Roman"/>
          <w:sz w:val="19"/>
          <w:szCs w:val="19"/>
          <w:u w:val="single" w:color="auto"/>
          <w:color w:val="auto"/>
        </w:rPr>
        <w:t>Section 2.1(c)(ii)</w:t>
      </w:r>
      <w:r>
        <w:rPr>
          <w:rFonts w:ascii="Times New Roman" w:cs="Times New Roman" w:eastAsia="Times New Roman" w:hAnsi="Times New Roman"/>
          <w:sz w:val="19"/>
          <w:szCs w:val="19"/>
          <w:color w:val="auto"/>
        </w:rPr>
        <w:t xml:space="preserve">, it shall deliver to Swing Line Lender and Administrative Agent prior to 11:00 a.m. (New York City time) on the date of Borrowing written notice (or telephonic notice promptly confirmed in writing). Whenever any Borrower (other than Canadian Borrower) desires that Swing Line Lender make a Swing Line Loan in any Alternative Currency under </w:t>
      </w:r>
      <w:r>
        <w:rPr>
          <w:rFonts w:ascii="Times New Roman" w:cs="Times New Roman" w:eastAsia="Times New Roman" w:hAnsi="Times New Roman"/>
          <w:sz w:val="19"/>
          <w:szCs w:val="19"/>
          <w:u w:val="single" w:color="auto"/>
          <w:color w:val="auto"/>
        </w:rPr>
        <w:t>Section 2.1(c)(ii)</w:t>
      </w:r>
      <w:r>
        <w:rPr>
          <w:rFonts w:ascii="Times New Roman" w:cs="Times New Roman" w:eastAsia="Times New Roman" w:hAnsi="Times New Roman"/>
          <w:sz w:val="19"/>
          <w:szCs w:val="19"/>
          <w:color w:val="auto"/>
        </w:rPr>
        <w:t>, the applicable Borrower shall deliver written notice (or telephone notice promptly confirmed in writing) to Swing Line Lender and U.K. Administrative Agent with a copy to the Administrative Agent prior to 9:30 a.m. (London time) on (i) with respect to Swing Line Loans denominated in Sterling, the date of such Borrowing and (ii) with respect to Swing Line Loans denominated in Euro, the date that is two Business Days prior to such Borrowing. Each such notice (each</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45" w:name="page146"/>
    <w:bookmarkEnd w:id="145"/>
    <w:p>
      <w:pPr>
        <w:jc w:val="both"/>
        <w:spacing w:after="0" w:line="248"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which shall be in the form of </w:t>
      </w:r>
      <w:r>
        <w:rPr>
          <w:rFonts w:ascii="Times New Roman" w:cs="Times New Roman" w:eastAsia="Times New Roman" w:hAnsi="Times New Roman"/>
          <w:sz w:val="20"/>
          <w:szCs w:val="20"/>
          <w:u w:val="single" w:color="auto"/>
          <w:color w:val="auto"/>
        </w:rPr>
        <w:t>Exhibit 2.5</w:t>
      </w:r>
      <w:r>
        <w:rPr>
          <w:rFonts w:ascii="Times New Roman" w:cs="Times New Roman" w:eastAsia="Times New Roman" w:hAnsi="Times New Roman"/>
          <w:sz w:val="20"/>
          <w:szCs w:val="20"/>
          <w:color w:val="auto"/>
        </w:rPr>
        <w:t xml:space="preserve"> hereto (or such other form as mutually agreed by Crown Holdings and the Administrative Agent), shall be irrevocable, shall be deemed a representation by such Borrower that all conditions precedent to such Borrowing have been satisfied and shall specify (i) the aggregate principal amount of the Loans to be made pursuant to such Borrowing stated in the relevant currency, (ii) the date of Borrowing (which shall be a Business Day), (iii) whether the Loans being made pursuant to such Borrowing are to be Swing Line Loans, and (iv) whether the Loans being made pursuant to such Borrowing are to be Dollar Revolving Loans or Multicurrency Revolving Loans, and, as applicable, whether such Loans are to be Base Rate Loans, SOFR Loans, Daily Simple RFR Loans or Eurocurrency Loans and, with respect to SOFR Loans and Eurocurrency Loans, the Interest Period and Applicable Currency to be applicable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Borrower shall have failed to specify the Type, Applicable Currency or Interest Period of such Loans (and shall not have promptly responded to the Administrative Agent’s request for such information), such Borrower shall be deemed to have requested a (x) in the case of a Loan denominated in Dollars, a SOFR Loan, (y) in the case of a Loan denominated in Euro, a Eurocurrency Loan or (z) in the case of a loan denominated in Sterling, an RFR Loan, with an Interest Period (in the case of a Eurocurrency Loan or a SOFR Loan) of one month, and if no currency is specified, in Dollars (or Sterling, in the case of an RFR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date of such notice is less than 3 Business Days from the date of such Borrowing, such Borrower shall be deemed to have requested a Base Rate Loan in Dollars. Administrative Agent shall as promptly as practicable give each Lender that would be required to fund a portion of a proposed Borrowing written or telephonic notice (promptly confirmed in writing) of such proposed Borrowing, such Lender’s Revolver Pro Rata Share thereof and of the other matters covered by the Notice of Borrowing. Without in any way limiting any Borrower’s obligation to confirm in writing any telephonic notice, Administrative Agent or the Swing Line Lender (in the case of Swing Line Loans) or the respective Facing Agent (in the case of Letters of Credit) may act without liability upon the basis of telephonic notice believed by Administrative Agent in good faith to be from a Responsible Officer of such Borrower prior to receipt of written confirmation. Administrative Agent’s records shall, absent manifest error, be final, conclusive and binding on each Borrower with respect to evidence of the terms of such telephonic Notice of Borrowing. Each Borrower hereby agrees not to dispute Administrative Agent’s or such Facing Agent’s record of the time of telephonic notice.</w:t>
      </w:r>
    </w:p>
    <w:p>
      <w:pPr>
        <w:spacing w:after="0" w:line="21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2.6. Conversion or Continuation. Any Borrower may elect (i) on any Business Day to convert Base Rate Loans or any portion thereof to SOFR Loans, (ii) at the end of any Interest Period with respect thereto, to convert Loans denominated in Dollars that are SOFR Loans or any portion thereof into Base Rate Loans or to continue such SOFR Loans or any portion thereof for an additional Interest Period and (iii) at the end of any Interest Period with respect thereto, to continue Eurocurrency Loans for an additional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aggregate principal amount of the Eurocurrency Loans for each Interest Period therefor must be in an aggregate principal amount equal to the Minimum Borrowing Amount for Eurocurrency Loans or Minimum Borrowing Multiples in excess thereof. Each conversion or continuation of SOFR Loans or Eurocurrency Loans shall be allocated among the SOFR Loans or Eurocurrency Loans, as applicable, in the applicable Facility of the applicable Lenders in accordance with their respective Pro Rata Shares. Each such election shall be in substantially the form of </w:t>
      </w:r>
      <w:r>
        <w:rPr>
          <w:rFonts w:ascii="Times New Roman" w:cs="Times New Roman" w:eastAsia="Times New Roman" w:hAnsi="Times New Roman"/>
          <w:sz w:val="20"/>
          <w:szCs w:val="20"/>
          <w:u w:val="single" w:color="auto"/>
          <w:color w:val="auto"/>
        </w:rPr>
        <w:t>Exhibit 2.6</w:t>
      </w:r>
      <w:r>
        <w:rPr>
          <w:rFonts w:ascii="Times New Roman" w:cs="Times New Roman" w:eastAsia="Times New Roman" w:hAnsi="Times New Roman"/>
          <w:sz w:val="20"/>
          <w:szCs w:val="20"/>
          <w:color w:val="auto"/>
        </w:rPr>
        <w:t xml:space="preserve"> hereto (or such other form as mutually agreed by Crown Holdings and the Administrative Agent) (a “</w:t>
      </w:r>
      <w:r>
        <w:rPr>
          <w:rFonts w:ascii="Times New Roman" w:cs="Times New Roman" w:eastAsia="Times New Roman" w:hAnsi="Times New Roman"/>
          <w:sz w:val="20"/>
          <w:szCs w:val="20"/>
          <w:u w:val="single" w:color="auto"/>
          <w:color w:val="auto"/>
        </w:rPr>
        <w:t>Notice of Conversion or Continuation</w:t>
      </w:r>
      <w:r>
        <w:rPr>
          <w:rFonts w:ascii="Times New Roman" w:cs="Times New Roman" w:eastAsia="Times New Roman" w:hAnsi="Times New Roman"/>
          <w:sz w:val="20"/>
          <w:szCs w:val="20"/>
          <w:color w:val="auto"/>
        </w:rPr>
        <w:t>”) and shall be made by giving Administrative Agent at least three Business Days’ (or one Business Day in the case of a conversion into Base Rate Loans) prior written notice thereof to the Notice Address given not later than 12:00 p.m. (New York City time) (12:00 p.m. London time in the case of a continuation of an Alternative Currency Loan) specifying (i) the amount and type of conversion or continuation, (ii) in the case of a conversion to or a continuation of SOFR Loans or Eurocurrency Loans, the Interest Period therefor, and (iii) in the case of a conversion, the date of conversion (which date shall be a Business Day). Notwithstanding the foregoing, no conversion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46" w:name="page147"/>
    <w:bookmarkEnd w:id="14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 whole or in part of Base Rate Loans to SOFR Loans, and no continuation in whole or in part of SOFR Loans, shall be permitted at any time at which an Event of Default shall have occurred and be continuing. If, within the time period required under the terms of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Administrative Agent does not receive a Notice of Conversion or Continuation from the applicable Borrower containing a permitted election to continue any SOFR Loans or Eurocurrency Loans for an additional Interest Period or to convert any such SOFR Loans or Eurocurrency Loans, then, upon the expiration of the Interest Period therefor, such SOFR Loans or Eurocurrency Loans will be automatically continued as SOFR Loans or Eurocurrency Loans, as applicable, in the same Applicable Currency with an Interest Period of one month. Each Notice of Conversion or Continuation shall be irrevocable.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2.7. Disbursement of Funds. No later than 9:00 a.m. (local time at the place of funding) on the date specified in each Notice of Borrowing (3:30 p.m. local time at the place of funding in the case of Swing Line Loans), each applicable Lender will make available its Pro Rata Share of Loans, of the Borrowing requested to be made on such date in the Applicable Currency and in immediately available funds, at the Payment Office (for the account of such non-U.S. office of Administrative Agent as Administrative Agent may direct in the case of Eurocurrency Loans and Daily Simple RFR Loans) and Administrative Agent will make available to the applicable Borrower at its Payment Office the aggregate of the amounts so made available by the Lenders not later than 10:00 a.m. (local time at the place of funding), or in the case of Swing Line Loans, 4:30 p.m. (local time in the place of funding). Unless Administrative Agent shall have been notified by any Lender at least one (1) Business Day prior to the date of Borrowing that such Lender does not intend to make available to Administrative Agent such Lender’s portion of the Borrowing to be made on such date, Administrative Agent may assume that such Lender has made such amount available to Administrative Agent on such date of Borrowing and Administrative Agent may, but shall not be required to, in reliance upon such assumption, make available to the applicable Borrower a corresponding amount. If such corresponding amount is not in fact made available to Administrative Agent by such Lender on the date of Borrowing, Administrative Agent shall be entitled to recover such corresponding amount on demand from such Lender. If such Lender does not pay such corresponding amount forthwith upon Administrative Agent’s demand therefor, Administrative Agent shall promptly notify the applicable Borrower and, if so notified, the applicable Borrower shall immediately pay such corresponding amount to Administrative Agent. Administrative Agent shall also be entitled to recover from the applicable Borrower interest on such corresponding amount in respect of each day from the date such corresponding amount was made available by Administrative Agent to the applicable Borrower to the date such corresponding amount is recovered by Administrative Agent, at a rate per annum equal to the rate for Base Rate Loans, SOFR Loans, Daily Simple RFR Loans or Eurocurrency Loans, as the case may be, applicable during the period in question;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any interest paid to Administrative Agent in respect of such corresponding amount shall be credited against interest payable by Borrower to such Lender under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in respect of such corresponding amount. Any amount due hereunder to Administrative Agent from any Lender which is not paid when due shall bear interest payable by such Lender, from the date due until the date paid, at the Federal Funds Rate for amounts in Dollars (and, at Administrative Agent’s cost of funds for amounts in any Alternative Currency) for the first three days after the date such amount is due and thereafter at the Federal Funds Rate (or such cost of funds rate) plus 1%, together with Administrative Agent’s standard interbank processing fee. Further, such Lender shall be deemed to have assigned any and all payments made of principal and interest on its Loans, amounts due with respect to its Letters of Credit (or its participations therein) and any other amounts due to it hereunder first to Administrative Agent to fund any outstanding Loans made available on behalf of such Lender by Administrative Agent pursuant to this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until such Loans have been funded (as a result of such assignment or otherwise) and then to fund Loans of all Lenders other than such Lender until each Lender has outstanding Loans equal to its Pro Rata Share of all Loans (as a result of such assignment or otherwise). Such Lender shall not have recourse against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47" w:name="page148"/>
    <w:bookmarkEnd w:id="147"/>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Borrower with respect to any amounts paid to Administrative Agent or any Lender with respect to the preceding sentence,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have full recourse against such Borrower to the extent of the amount of such Loans it has so been deemed to have made. Nothing herein shall be deemed to relieve any Lender from its obligation to fulfill its Commitment hereunder or to prejudice any rights which such Borrower may have against the Lender as a result of any default by such Lender hereunder.</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Utilization of Revolving Commitments in an Alternative Currency.</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2.8.1. Administrative Agent will determine the Dollar Equivalent amount with respect to any (i) Credit Event comprised of a borrowing of Revolving Loans denominated in an Alternative Currency as of the requested Credit Event date, (ii) outstanding Revolving Loans denominated in an Alternative Currency Loans as of the last Business Day of each Interest Period or Interest Payment Date, as applicable, for such Loan, (iii) Multicurrency Letter of Credit denominated in an Alternative Currency, each Determination Date and (iv) outstanding Revolving Loans and Unpaid Drawings denominated in an Alternative Currency as of any redenomination date pursuant to this Agreement (each such date under clauses (i) through (iv), a “</w:t>
      </w:r>
      <w:r>
        <w:rPr>
          <w:rFonts w:ascii="Times New Roman" w:cs="Times New Roman" w:eastAsia="Times New Roman" w:hAnsi="Times New Roman"/>
          <w:sz w:val="20"/>
          <w:szCs w:val="20"/>
          <w:u w:val="single" w:color="auto"/>
          <w:color w:val="auto"/>
        </w:rPr>
        <w:t>Computation Date</w:t>
      </w:r>
      <w:r>
        <w:rPr>
          <w:rFonts w:ascii="Times New Roman" w:cs="Times New Roman" w:eastAsia="Times New Roman" w:hAnsi="Times New Roman"/>
          <w:sz w:val="20"/>
          <w:szCs w:val="20"/>
          <w:color w:val="auto"/>
        </w:rPr>
        <w:t>”). Upon receipt of any Notice of Borrowing, Administrative Agent shall, as promptly as practicable, notify each applicable Revolving Lender thereof and of the amount of such Lender’s Revolver Pro Rata Share of the Borrowing. In the case of a Borrowing comprised of Revolving Loans denominated in an Alternative Currency, such notice will provide the approximate amount of each Lender’s Revolver Pro Rata Share of the Borrowing, and Administrative Agent will, upon the determination of the Dollar Equivalent amount of the Borrowing as specified in the Notice of Borrowing, promptly notify each Lender of the exact amount of such Lender’s Revolver Pro Rata Share of the Borrowing.</w:t>
      </w:r>
    </w:p>
    <w:p>
      <w:pPr>
        <w:spacing w:after="0" w:line="20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2.8.2. European Borrower shall be entitled to request that Multicurrency Revolving Loans hereunder also be permitted to be made in any other lawful currency constituting a eurocurrency (other than Dollars), in addition to the eurocurrencies specified in the definition of “Alternative Currency” herein, that in the reasonable opinion of each of the Multicurrency Revolving Lenders is at such time freely traded in the offshore interbank foreign exchange markets and is freely transferable and freely convertible into Dollars (an “</w:t>
      </w:r>
      <w:r>
        <w:rPr>
          <w:rFonts w:ascii="Times New Roman" w:cs="Times New Roman" w:eastAsia="Times New Roman" w:hAnsi="Times New Roman"/>
          <w:sz w:val="20"/>
          <w:szCs w:val="20"/>
          <w:u w:val="single" w:color="auto"/>
          <w:color w:val="auto"/>
        </w:rPr>
        <w:t>Agreed Alternative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Currency</w:t>
      </w:r>
      <w:r>
        <w:rPr>
          <w:rFonts w:ascii="Times New Roman" w:cs="Times New Roman" w:eastAsia="Times New Roman" w:hAnsi="Times New Roman"/>
          <w:sz w:val="20"/>
          <w:szCs w:val="20"/>
          <w:color w:val="auto"/>
        </w:rPr>
        <w:t xml:space="preserve">”). European Borrower shall deliver to Administrative Agent any request for designation of an Agreed Alternative Currency in accordance with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to be received by Administrative Agent not later than 11:00 a.m. (New York City time) at least ten (10) Business Days in advance of the date of any Borrowing hereunder proposed to be made in such Agreed Alternative Currency. Upon receipt of any such request Administrative Agent will promptly notify the applicable Multicurrency Revolving Lenders thereof, and each applicable Multicurrency Revolving Lender will use its best efforts to respond to such request within two (2) Business Days of receipt thereof. Each Multicurrency Revolving Lender may grant or accept such request in its sole discretion. Administrative Agent will promptly notify European Borrower of the acceptance or rejection of any such request.</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2.8.3. In the case of a proposed Borrowing comprised of Multicurrency Revolving Loans denominated in an Agreed Alternative Currency, the Multicurrency Revolving Lenders shall be under no obligation to make such Loans in the requested Agreed Alternative Currency as part of such Borrowing if Administrative Agent has received notice from any of the Multicurrency Revolving Lenders by 3:00 p.m. (New York City time) three (3) Business Days prior to the day of such Borrowing that such Lender cannot provide Loans in the requested Agreed Alternative Currency, in which event Administrative Agent will give notice to Crown Holdings no later than 9:00 a.m. (London time) on the second Business Day prior to the requested date of such Borrowing that the Borrowing in the requested Agreed Alternative Currency is not then available, and notice thereof also will be given promptly by Administrative Agent 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52" w:lineRule="auto"/>
        <w:rPr>
          <w:sz w:val="20"/>
          <w:szCs w:val="20"/>
          <w:color w:val="auto"/>
        </w:rPr>
      </w:pPr>
      <w:r>
        <w:rPr>
          <w:rFonts w:ascii="Times New Roman" w:cs="Times New Roman" w:eastAsia="Times New Roman" w:hAnsi="Times New Roman"/>
          <w:sz w:val="20"/>
          <w:szCs w:val="20"/>
          <w:color w:val="auto"/>
        </w:rPr>
        <w:t>the Multicurrency Revolving Lenders. If Administrative Agent shall have so notified Crown Holdings that any such Borrowing in a requested Agreed Alternative Currency is not then available, the applicable Borrower may, by notice to Administrative Agent not later than 2:00 p.m. (London time) two (2) Business Days prior to the requested date of such Borrowing, withdraw the Notice of Borrowing relating to such requested Borrowing. If a Borrower does so withdraw such Notice of Borrowing, the Borrowing requested therein shall not occur and Administrative Agent will promptly so notify each Multicurrency Revolving Lender. If such Borrower does not so withdraw such Notice of Borrowing, Administrative Agent will promptly so notify each Multicurrency Revolving Lender and such Notice of Borrowing shall be deemed to be a Notice of Borrowing that requests a Borrowing comprised of Base Rate Loans in an aggregate amount equal to the Dollar Equivalent of the originally requested Borrowing in the Notice of Borrowing; and in such notice by Administrative Agent to each Lender will state such aggregate amount of such Borrowing in Dollars and such Lender’s Pro Rata Share thereof.</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2.8.4. In the case of a proposed continuation of Revolving Loans denominated in an Agreed Alternative Currency for an additional Interest Period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the Multicurrency Revolving Lenders shall be under no obligation to continue such Loans if Administrative Agent has received notice from any of the Multicurrency Revolving Lenders by 4:00 p.m. (New York City time) four (4) Business Days prior to the day of such continuation that such Lender cannot continue to provide Loans in the Agreed Alternative Currency, in which event Administrative Agent will give notice to Crown Holdings not later than 9:00 a.m. (New York City time) on the third Business Day prior to the requested date of such continuation that the continuation of such Loans in the Agreed Alternative Currency is not then available, and notice thereof also will be given promptly by Administrative Agent to the Multicurrency Revolving Lenders. If Administrative Agent shall have so notified Crown Holdings that any such continuation of Loans is not then available, any Notice of Conversion or Continuation with respect thereto shall be deemed withdrawn and such Loans shall be redenominated into SOFR Loans in Dollars with effect from the last day of the Interest Period with respect to any such Loans. Administrative Agent will promptly notify Crown Holdings and the Multicurrency Revolving Lenders of any such redenomination and in such notice by Administrative Agent to each Lender will state the aggregate Dollar Equivalent amount of the redenominated Alternative Currency Loans as of the Computation Date with respect thereto and such Lender’s Revolver Pro Rata Share thereof.</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2.8.5. If at any time an Alternative Currency Loan denominated in a currency other than Euros is outstanding, the relevant Alternative Currency is replaced as the lawful currency of the country that issued such Alternative Currency (the “</w:t>
      </w:r>
      <w:r>
        <w:rPr>
          <w:rFonts w:ascii="Times New Roman" w:cs="Times New Roman" w:eastAsia="Times New Roman" w:hAnsi="Times New Roman"/>
          <w:sz w:val="19"/>
          <w:szCs w:val="19"/>
          <w:u w:val="single" w:color="auto"/>
          <w:color w:val="auto"/>
        </w:rPr>
        <w:t>Issuing Country</w:t>
      </w:r>
      <w:r>
        <w:rPr>
          <w:rFonts w:ascii="Times New Roman" w:cs="Times New Roman" w:eastAsia="Times New Roman" w:hAnsi="Times New Roman"/>
          <w:sz w:val="19"/>
          <w:szCs w:val="19"/>
          <w:color w:val="auto"/>
        </w:rPr>
        <w:t>”) by the Euro so that all payments are to be made in the Issuing Country in Euros and not in the Alternative Currency previously the lawful currency of such country, then such Alternative Currency Loan shall be automatically converted into an Alternative Currency Loan denominated in Euros in a principal amount equal to the amount of Euros into which the principal amount of such Alternative Currency Loan would be converted pursuant to the EMU Legislation and thereafter no further Alternative Currency Loans will be available in such Alternative Currency, with the basis of accrual of interest, notice requirements and payment offices with respect to such Alternative Currency Loan to be that consistent with the convention and practices in the Euro-zone interbank market for Euro denominated loans. Without prejudice and in addition to any method of conversion or rounding prescribed by any relevant EMU Legislation, (i) each reference in this Agreement to a minimum amount (or an integral multiple thereof) in such Alternative Currency shall be replaced by a reference to such reasonably comparable and convenient amount (or an integral multiple thereof) in Euros as the Administrative Agent may from time to time specify and</w:t>
      </w:r>
    </w:p>
    <w:p>
      <w:pPr>
        <w:spacing w:after="0" w:line="1" w:lineRule="exact"/>
        <w:rPr>
          <w:sz w:val="20"/>
          <w:szCs w:val="20"/>
          <w:color w:val="auto"/>
        </w:rPr>
      </w:pPr>
    </w:p>
    <w:p>
      <w:pPr>
        <w:ind w:right="20" w:firstLine="8"/>
        <w:spacing w:after="0" w:line="253" w:lineRule="auto"/>
        <w:tabs>
          <w:tab w:leader="none" w:pos="31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subject to such other reasonable changes of construction as the Administrative Agent may from time to time specify to be necessary or appropriate to reflect the introduction of or changeover to Euros.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49" w:name="page150"/>
    <w:bookmarkEnd w:id="149"/>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2.8.6. In each case, to the maximum extent permitted under applicable law, the applicable Borrowers from time to time, at the request of any Lender or any Facing Agent, shall pay to such Lender or Facing Agent the amount of any losses, damages, liabilities, claims, reduction in yield, additional expense, increased cost, reduction in any amount payable, reduction in the effective return of its capital, the decrease or delay in the payment of interest or any other return forgone as reasonably determined by such Lender or Facing Agent or its affiliates with respect to an Alternative Currency Loan affected by </w:t>
      </w:r>
      <w:r>
        <w:rPr>
          <w:rFonts w:ascii="Times New Roman" w:cs="Times New Roman" w:eastAsia="Times New Roman" w:hAnsi="Times New Roman"/>
          <w:sz w:val="20"/>
          <w:szCs w:val="20"/>
          <w:u w:val="single" w:color="auto"/>
          <w:color w:val="auto"/>
        </w:rPr>
        <w:t>Section 2.8(e)</w:t>
      </w:r>
      <w:r>
        <w:rPr>
          <w:rFonts w:ascii="Times New Roman" w:cs="Times New Roman" w:eastAsia="Times New Roman" w:hAnsi="Times New Roman"/>
          <w:sz w:val="20"/>
          <w:szCs w:val="20"/>
          <w:color w:val="auto"/>
        </w:rPr>
        <w:t xml:space="preserve"> as a result of the tax or currency exchange resulting from the introduction, changeover to or operation of the Euro in any applicable nation or the Eurozone. A certificate of any such Lender or the respective Facing Agent setting forth such Lender’s or such Facing Agent’s determination of the amount or amounts necessary to compensate such Lender or such Facing Agent shall be delivered to the Administrative Agent for delivery to the applicable Borrower and shall be conclusive absent manifest error so long as such determination is made by such Lender or such Facing Agent on a reasonable basis. The applicable Borrower shall pay such Lender the amount shown as due on any such certificate within 10 days after receipt thereof.</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2.8.7. Notwithstanding anything herein to the contrary, during the existence of an Event of Default, upon the request of the Majority Lenders under any Revolving Facility with outstanding Alternative Currency Loans, all or any part of any outstanding Revolving Loans that are Alternative Currency Loans under such Revolving Facility shall be redenominated and converted into Base Rate Loans in Dollars with effect from the last day of the Interest Period with respect to any such Alternative Currency Loans. The Administrative Agent will promptly notify Company of any such redenomination and conversion request.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Additional Facility.</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2.9.1. U.S. Borrower and European Borrower shall have the right at any time (subject to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with respect to any Additional Facility the proceeds of which are being used to finance a Limited Condition Transaction, so long as no Event of Default then exists) and from time to time after the Incremental Amendment No. 3 and Fifth Amendment Effective Date to obtain and incur from one or more existing Lenders and/or other Persons that are Eligible Assignees and which, in each case, agree to make such commitments and loans to such Borrower, loans and commitments to make loans in an aggregate principal amount not to exceed the Incremental Cap, which loans and commitments may be incurred as (i) commitments to increase any tranche of Revolving Commitments (“</w:t>
      </w:r>
      <w:r>
        <w:rPr>
          <w:rFonts w:ascii="Times New Roman" w:cs="Times New Roman" w:eastAsia="Times New Roman" w:hAnsi="Times New Roman"/>
          <w:sz w:val="20"/>
          <w:szCs w:val="20"/>
          <w:u w:val="single" w:color="auto"/>
          <w:color w:val="auto"/>
        </w:rPr>
        <w:t>Additional Revolving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(ii) one or more additional tranches of revolving commitments (“</w:t>
      </w:r>
      <w:r>
        <w:rPr>
          <w:rFonts w:ascii="Times New Roman" w:cs="Times New Roman" w:eastAsia="Times New Roman" w:hAnsi="Times New Roman"/>
          <w:sz w:val="20"/>
          <w:szCs w:val="20"/>
          <w:u w:val="single" w:color="auto"/>
          <w:color w:val="auto"/>
        </w:rPr>
        <w:t>Additional Revolving Facility</w:t>
      </w:r>
      <w:r>
        <w:rPr>
          <w:rFonts w:ascii="Times New Roman" w:cs="Times New Roman" w:eastAsia="Times New Roman" w:hAnsi="Times New Roman"/>
          <w:sz w:val="20"/>
          <w:szCs w:val="20"/>
          <w:color w:val="auto"/>
        </w:rPr>
        <w:t xml:space="preserve">”) as allocated by Crown Holdings and the Lenders providing commitments in respect of such Additional Revolving Facility under a facility that would provide that such Additional Revolving Facility would have a final maturity no earlier than the latest existing Revolver Termination Date (except Additional Revolving Facilities in an aggregate principal amount not to exceed the Inside Maturity Date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terms and conditions of any Additional Revolving Facility, taken as a whole, shall be no more restrictive than those applicable to the existing Revolving Facilities (other than as to pricing, interest rate margins, interest rate floors, discounts, fees, premiums, other economic terms and maturity), except for covenants and other provisions applicable only to periods after the latest Revolver Termination Date at the time such Additional Revolving Facility is obtained (without regard to the maturity date of such Additional Revolving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to the extent the terms and conditions of such Additional Revolving Facility are not consistent with one or more of the existing Revolving Facilities (except to the extent permitted pursuant to the immediately preceding proviso or clause (Y) below), such terms and conditions may differ if consistent with customary market terms for Indebtedness of such type or reasonably satisfactory to Crown Holdings and the Administrative Agent or (Y) in the event such terms are more favorable (taken as a whole) to the Lenders providing such</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50" w:name="page151"/>
    <w:bookmarkEnd w:id="150"/>
    <w:p>
      <w:pPr>
        <w:jc w:val="both"/>
        <w:spacing w:after="0" w:line="248" w:lineRule="auto"/>
        <w:rPr>
          <w:sz w:val="20"/>
          <w:szCs w:val="20"/>
          <w:color w:val="auto"/>
        </w:rPr>
      </w:pPr>
      <w:r>
        <w:rPr>
          <w:rFonts w:ascii="Times New Roman" w:cs="Times New Roman" w:eastAsia="Times New Roman" w:hAnsi="Times New Roman"/>
          <w:sz w:val="20"/>
          <w:szCs w:val="20"/>
          <w:color w:val="auto"/>
        </w:rPr>
        <w:t>Additional Revolving Facilities, (A) the applicable Borrowers shall have the right to unilaterally provide the Lenders under the existing Revolving Facilities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Additional Revolving Facility, no consent shall be required from the Administrative Agent or any Lender to the extent that such financial maintenance covenant is also added for the benefit of the Revolving Facilities that remain outstanding after the commitments under such Additional Revolving Facility (to the extent not already benefitting from any similar financial maintenance covenant and to the extent that such financial maintenance covenant would be effective prior to the latest Revolving Termination Date for such Revolving Facilities) (it being understood and agreed that Crown Holdings may, at its option, deliver a certificate to the Administrative Agent certifying that the requirements of the provisos to this clause (ii)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(iii) one or more tranches of additional term loans (“</w:t>
      </w:r>
      <w:r>
        <w:rPr>
          <w:rFonts w:ascii="Times New Roman" w:cs="Times New Roman" w:eastAsia="Times New Roman" w:hAnsi="Times New Roman"/>
          <w:sz w:val="20"/>
          <w:szCs w:val="20"/>
          <w:u w:val="single" w:color="auto"/>
          <w:color w:val="auto"/>
        </w:rPr>
        <w:t>Additional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allocated by Crown Holdings and the Lenders providing such Additional Term Loans under a facility that would provide that the Additional Term Loans would have a Weighted Average Life to Maturity of not less than the existing Term Loans with the then longest Weighted Average Life to Maturity and a final maturity no earlier than the latest Term Loan A Maturity Date ;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Weighted Average Life to Maturity and final maturity limitations set forth in this clause (iii) shall not apply to Additional Term Loans in an aggregate principal amount not to exceed the Inside Maturity Date Amount and/or (iv) increases to one or more existing Term Facilities (collectively, the increases and tranches referred to in clauses (i)-(iv), the “</w:t>
      </w:r>
      <w:r>
        <w:rPr>
          <w:rFonts w:ascii="Times New Roman" w:cs="Times New Roman" w:eastAsia="Times New Roman" w:hAnsi="Times New Roman"/>
          <w:sz w:val="20"/>
          <w:szCs w:val="20"/>
          <w:u w:val="single" w:color="auto"/>
          <w:color w:val="auto"/>
        </w:rPr>
        <w:t>Additional Facilities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terms and conditions of any Additional Term Loans, taken as a whole, shall be no more restrictive than those applicable to the existing Term Facilities (other than as to pricing, interest rate margins, interest rate floors, discounts, fees, premiums, other economic terms, maturity and prepayment or redemption terms (provided that such Additional Facilities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Additional Term Loans are incurred (without regard to the maturity date of such Additional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to the extent the terms and conditions of such Additional Term Loans are not consistent with one or more of the existing Term Facilities (except to the extent permitted pursuant to the immediately preceding proviso or clause (Y) below), such terms and conditions may differ if consistent with customary market terms for Indebtedness of such type or reasonably satisfactory to Crown Holdings and the Administrative Agent or (Y) in the event such terms are more favorable (taken as a whole) to the Lenders providing such Additional Term Loans,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Additional Term Loans, no consent shall be required from the Administrative Agent or any Lender to the extent that such financial maintenance covenant is also added for the benefit of the Term Loans that remain outstanding after the issuance or incurrence of such Additional Term Loans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existing Lender approached to provide all or a portion of the Additional Facilities may elect or decline, in its sole discretion, to provide such Additional Facilities. Any Additional Facility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then-existing tranche of Loans and/or Revolving Commitments and/or Additional Facility Commitments in right of payment and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then-existing tranche of Loans incurred by and/or Revolving Commitments and/or Additional Facility Commitments made available to the same Borrower in right of guarantees and security. No Additional Facility may be (x) guaranteed by any Person which is not a Credit Party or (y) secured by any assets other than, to the extent secured on the same terms as the Obligations (including with respect to Collateral release), the Collateral. Each New Lender that becomes a Lender with respect to a tranche of Additional Facilities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hereby acknowledges and agrees that the term of each Term Facility, each Revolving Facility and each sub-facility thereof may be extended or replaced and that each New Lender, solely with respect to the Additional Facilities held by such New Lender, agrees in advance to any changes made to this Agreement and the other Loan Documents in order to implement such extension or replacement (including changes with respect to pricing, fees and other economic terms relating solely to such extended or replaced facility or facilities) as may be reasonably proposed to be made by Borrowers (Borrowers’ signatures to be conclusive evidence of such reasonability);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extension of an Additional Facility to which a New Lender is a party shall apply to such New Lender without its consent. Each New Lender hereby agrees to take such actions and execute and deliver such amendments, agreements, instruments or documents as the Administrative Agent may reasonably request to give effect to the preceding sentence;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provision shall not be construed to require a New Lender to execute any amendment, agreement, instrument or document which contains changes other than those relating solely to such extended or replaced facility or facilities.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2.9.2. In the event that U.S. Borrower or European Borrower desires to create an Additional Facility, such Borrower will enter into an amendment to this Agreement with the lenders providing such Additional Facility (who shall by execution thereof become Lenders hereunder if not theretofore Lenders) to provide for such Additional Facility, which amendment shall set forth any terms and conditions of the Additional Facility not covered by this Agreement as agreed by the applicable Borrower and such Lenders, and shall provide for the issuance of promissory notes to evidence the Additional Facility if requested by the Lenders making advances under the Additional Facility (which notes shall constitute Notes for purposes of this Agreement), with such amendment to be in form and substance reasonably acceptable to Administrative Agent and consistent with the terms of this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and of the other provisions of this Agreement. Notwithstanding anything herein to the contrary, no consent of any Lender (other than any Lender making loans or whose commitment is increased under such Additional Facility) is required to permit the Loans or commitments contemplated by this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or the aforesaid amendment to effectuate such Additional Facility.</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2.9.3. Upon implementation of any Additional Revolving Credit Commitments or any new Additional Revolving Facility, (i) if such Additional Revolving Credit Commitments or Additional Revolving Facility, as applicable, is implemented either by increasing the amount of then-existing Revolving Commitments under an existing Revolving Facility, or by increasing the amount of then-existing Additional Facility Commitments in respect of an Additional Revolving Facility (rather than by implementing a new Additional Revolving Facility tranche), (1) each Lender under such existing Facility immediately prior to such increase will automatically and without further act be deemed to have assigned to each relevant New Lender, and each relevant New Lender will automatically and without further act be deemed to have assumed, a portion of such Lender’s participations hereunder in outstanding Letters 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52" w:name="page153"/>
    <w:bookmarkEnd w:id="152"/>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Credit issued under such Facility such that, after giving effect to each deemed assignment and assumption of participations, all of the Lenders’ (including each New Lender’s) participations hereunder in Letters of Credit under such Facility shall be held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on the basis of their respective Revolving Commitments in respect of such Revolving Facility or Additional Facility Commitments in respect of such Additional Revolving Facility (after giving effect to any increase in such Commitments pursuant to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and (2) each existing Lender under the applicable Revolving Facility or Additional Revolving Facility shall assign Loans made by them under that Facility to certain other Lenders under that Facility (including the New Lenders providing the relevant new Additional Revolving Facility), and such other Lenders under that Facility (including the New Lenders providing the relevant new Additional Revolving Facility) shall purchase such Loans, in each case to the extent necessary so that all of the Lenders under that Facility participate in each outstanding borrowing of Loans under that Facility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on the basis of their respective Revolving Commitments in respect of such Revolving Facility or Additional Facility Commitments in respect of such Additional Revolving Facility (after giving effect to any increase in such Commitments pursuant to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it being understood and agreed that the minimum borrowing,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borrowing and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payment requirements contained elsewhere in this Agreement shall not apply to the transactions effected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and (ii) if such Additional Revolving Facility is implemented pursuant to a request to add one or more new Additional Revolving Facility tranches, (1) the borrowing and repayment (except for (A) payments of interest and fees at different rates on any then-existing Revolving Facility having the same Borrowers as such Additional Revolving Facility (any such existing Revolving Facility, a “</w:t>
      </w:r>
      <w:r>
        <w:rPr>
          <w:rFonts w:ascii="Times New Roman" w:cs="Times New Roman" w:eastAsia="Times New Roman" w:hAnsi="Times New Roman"/>
          <w:sz w:val="20"/>
          <w:szCs w:val="20"/>
          <w:u w:val="single" w:color="auto"/>
          <w:color w:val="auto"/>
        </w:rPr>
        <w:t>Comparable Revolving Facility</w:t>
      </w:r>
      <w:r>
        <w:rPr>
          <w:rFonts w:ascii="Times New Roman" w:cs="Times New Roman" w:eastAsia="Times New Roman" w:hAnsi="Times New Roman"/>
          <w:sz w:val="20"/>
          <w:szCs w:val="20"/>
          <w:color w:val="auto"/>
        </w:rPr>
        <w:t xml:space="preserve">”) and such new Additional Revolving Facility, (B) repayments required upon the Maturity Date of the then-existing Comparable Revolving Facility and such new Additional Comparable Revolving Facility and (C) repayments made in connection with any permanent repayment and termination of commitments (subject to clause (3) below)) after the effective date of Additional Facility Commitments in respect of such Additional Revolving Facility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the then-outstanding Comparable Revolving Facility (if any) and the new Additional Revolving Facility, (2) any swing line loans made, or letters of credit issued, as applicable, after the effective date of Additional Facility Commitments in respect of such Additional Revolving Facility, shall be made or issued to the extent reasonably practicable on a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rata </w:t>
      </w:r>
      <w:r>
        <w:rPr>
          <w:rFonts w:ascii="Times New Roman" w:cs="Times New Roman" w:eastAsia="Times New Roman" w:hAnsi="Times New Roman"/>
          <w:sz w:val="20"/>
          <w:szCs w:val="20"/>
          <w:color w:val="auto"/>
        </w:rPr>
        <w:t>basis between the then-outstanding Comparable Revolving Facility (if any) and the new Additional Revolving Facility and (3)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permanent repayment of Loans with respect to, and termination of commitments under, such new Additional Revolving Facility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the then-outstanding Comparable Revolving Facility and the new Additional Revolving Facility, except that the Borrowers under such new Additional Revolving Facility shall be permitted to permanently repay and terminate commitments under such Additional Revolving Facility on a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than any other Comparable Revolving Facility that has a later Maturity Date than such Additional Revolving Facility either at the time of incurrence of such Additional Revolving Facility or on the date that such Revolving Facility is subsequently incurred after the incurrence of such new Additional Revolving Facility.</w:t>
      </w:r>
    </w:p>
    <w:p>
      <w:pPr>
        <w:spacing w:after="0" w:line="21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2.9.4. In addition, U.S. Borrower and European Borrower may utilize any portion of the Incremental Cap in effect at such time (subject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with respect to any Incremental Equivalent Debt the proceeds of which are being used to finance a Limited Condition Transaction, so long as no Event of Default then exists) to issue or incur Indebtedness consisting of senior secured first lien term loans or notes in lieu of an Additional Term Facility (“</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(1) such Incremental Equivalent Debt shall have a Weighted Average Life to Maturity of not less than the existing Term Loans with the then longest Weighted Average Life to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Weighted Average Life to Maturity and final maturity limitations set forth in this clause (1) shall not apply to Incremental Equivalent Debt in an aggregate principal amount not to exceed the Inside Maturity Date Amount and (2) that the terms and conditions of such Incremental Equivalent Debt, taken as a whole,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53" w:name="page154"/>
    <w:bookmarkEnd w:id="153"/>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shall be no more restrictive than those applicable to the existing Term Facilities (other than as to pricing, interest rate margins, interest rate floors, discounts, fees, premiums, other economic terms, maturity and prepayment or redemption terms (provided that such Incremental Equivalent Debt shall not include more favorable prepayment treatment than the other tranches of Term Loans)), except for covenants and other provisions applicable only to periods after the earlier to occur of the date that all other Term Loans are paid in full (other than Unasserted Contingent Obligations) and the latest Term Maturity Date at the time such Incremental Equivalent Debt is incurred (without regard to the maturity date of such Incremental Equivalent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(X) to the extent the terms and conditions of such Incremental Equivalent Debt are not consistent with one or more of the existing Term Facilities (except to the extent permitted pursuant to the immediately preceding proviso or clause (Y) below), such terms and conditions may differ if consistent with customary market terms for Indebtedness of such type or reasonably satisfactory to Crown Holdings and the Administrative Agent or (Y) in the event such terms are more favorable (taken as a whole) to the Lenders providing such Incremental Equivalent Debt, (A) the applicable Borrowers shall have the right to unilaterally provide the existing Term Lenders with additional rights and benefits and the “no more restrictive than” requirement of the preceding proviso and compliance therewith shall be determined after giving effect to such additional rights and benefits and (B) to the extent any financial maintenance covenant is added for the benefit of the Lenders under such Incremental Equivalent Debt, no consent shall be required from the Administrative Agent or any Lender to the extent that such financial maintenance covenant is also added for the benefit of the Term Loans that remain outstanding after the issuance or incurrence of such Incremental Equivalent Debt (to the extent not already benefitting from any similar financial maintenance covenant and to the extent that such financial maintenance covenant would be effective prior to the latest Term Maturity Date for such Term Facilities) (it being understood and agreed that Crown Holdings may, at its option, deliver a certificate to the Administrative Agent certifying that the requirements of the provisos to this clause (iii) have been satisfied at least 5 Business Days prior to the incurrence of such Incremental Equivalent Debt,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 Any Incremental Equivalent Debt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then-existing tranche of Loans and/or Revolving Commitments and/or Additional Facility Commitments in right of payment and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any then-existing tranche of Loans incurred by and/or Revolving Commitments and/or Additional Facility Commitments made available to the same Borrower in right of guarantees and security and the holders of such Incremental Equivalent Debt (or their representative) and the Administrative Agent shall be party to a customary intercreditor agreement in form and substance reasonably acceptable to the Administrative Agent. No Incremental Equivalent Debt may be (x) incurred or guaranteed by any Person which is not a Credit Party or (y) secured by any assets other than, to the extent secured on the same terms as the Obligations (including with respect to Collateral release), the Collateral.</w:t>
      </w:r>
    </w:p>
    <w:p>
      <w:pPr>
        <w:spacing w:after="0" w:line="21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2.9.5. Notwithstanding anything contained herein, in the event the tranche of Additional Term Loans or Incremental Equivalent Debt is used to finance a Permitted Acquisition (including the Signode Acquisition) and to the extent the Lenders participating in such tranche of Additional Term Loans or Incremental Equivalent Debt, as applicable, agree, (x) only the Specified Representations and those representations of the seller or the target company (as applicable) included in the acquisition agreement related to such Permitted Acquisition that are material to the interests of the Lenders and only to the extent Crown Holdings or the Borrowers have the right to terminate its obligations under such acquisition agreement as a result of a breach of such representation shall be required to be true and correct in all material respects (other than to the extent qualified by materiality or “Material Adverse Effect”, in which case, such representations and warranties shall be true and correct) and (y) there shall only be 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 xml:space="preserve">requirement that no Event of Default pursuant to </w:t>
      </w:r>
      <w:r>
        <w:rPr>
          <w:rFonts w:ascii="Times New Roman" w:cs="Times New Roman" w:eastAsia="Times New Roman" w:hAnsi="Times New Roman"/>
          <w:sz w:val="20"/>
          <w:szCs w:val="20"/>
          <w:u w:val="single" w:color="auto"/>
          <w:color w:val="auto"/>
        </w:rPr>
        <w:t>Sections 10.1(a)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shall have occurred and be continuing.</w:t>
      </w:r>
    </w:p>
    <w:p>
      <w:pPr>
        <w:spacing w:after="0" w:line="22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2.9.6.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12.1</w:t>
      </w:r>
      <w:r>
        <w:rPr>
          <w:rFonts w:ascii="Times New Roman" w:cs="Times New Roman" w:eastAsia="Times New Roman" w:hAnsi="Times New Roman"/>
          <w:sz w:val="20"/>
          <w:szCs w:val="20"/>
          <w:color w:val="auto"/>
        </w:rPr>
        <w:t xml:space="preserve"> to the contrary and shall be subject to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Letters of Credit.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2.10.1. </w:t>
      </w:r>
      <w:r>
        <w:rPr>
          <w:rFonts w:ascii="Times New Roman" w:cs="Times New Roman" w:eastAsia="Times New Roman" w:hAnsi="Times New Roman"/>
          <w:sz w:val="20"/>
          <w:szCs w:val="20"/>
          <w:u w:val="single" w:color="auto"/>
          <w:color w:val="auto"/>
        </w:rPr>
        <w:t>Letter of Credit Commitments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660" w:firstLine="907"/>
        <w:spacing w:after="0" w:line="249" w:lineRule="auto"/>
        <w:rPr>
          <w:sz w:val="20"/>
          <w:szCs w:val="20"/>
          <w:color w:val="auto"/>
        </w:rPr>
      </w:pPr>
      <w:r>
        <w:rPr>
          <w:rFonts w:ascii="Times New Roman" w:cs="Times New Roman" w:eastAsia="Times New Roman" w:hAnsi="Times New Roman"/>
          <w:sz w:val="20"/>
          <w:szCs w:val="20"/>
          <w:color w:val="auto"/>
        </w:rPr>
        <w:t xml:space="preserve">2.10.1.1. </w:t>
      </w:r>
      <w:r>
        <w:rPr>
          <w:rFonts w:ascii="Times New Roman" w:cs="Times New Roman" w:eastAsia="Times New Roman" w:hAnsi="Times New Roman"/>
          <w:sz w:val="20"/>
          <w:szCs w:val="20"/>
          <w:u w:val="single" w:color="auto"/>
          <w:color w:val="auto"/>
        </w:rPr>
        <w:t>Multicurrency Letters of Credit</w:t>
      </w:r>
      <w:r>
        <w:rPr>
          <w:rFonts w:ascii="Times New Roman" w:cs="Times New Roman" w:eastAsia="Times New Roman" w:hAnsi="Times New Roman"/>
          <w:sz w:val="20"/>
          <w:szCs w:val="20"/>
          <w:color w:val="auto"/>
        </w:rPr>
        <w:t xml:space="preserve">. Subject to and upon the terms and conditions herein set forth, U.S. Borrower or European Borrower may request, on behalf of itself or any Subsidiary or Unrestricted Entity, that any Facing Agent (other than the Canadian Facing Agent or the Dollar Facing Agent) issue, at any time and from time to time on and after the Incremental Amendment No. 3 and Fifth Amendment Effective Date, and prior to the 5th Business Day preceding the Revolver Termination Date for the Multicurrency Revolving Facility, for the account of such Borrower and for the benefit of any holder (or any trustee, agent or other similar representative for any such holder) of obligations of such Borrower, any of its Subsidiaries and any Unrestricted Entities (in the case of Unrestricted Entities, subject to the limitation on Investments in Unrestricted Entities set forth in </w:t>
      </w:r>
      <w:r>
        <w:rPr>
          <w:rFonts w:ascii="Times New Roman" w:cs="Times New Roman" w:eastAsia="Times New Roman" w:hAnsi="Times New Roman"/>
          <w:sz w:val="20"/>
          <w:szCs w:val="20"/>
          <w:u w:val="single" w:color="auto"/>
          <w:color w:val="auto"/>
        </w:rPr>
        <w:t>Section 8.4(m)</w:t>
      </w:r>
      <w:r>
        <w:rPr>
          <w:rFonts w:ascii="Times New Roman" w:cs="Times New Roman" w:eastAsia="Times New Roman" w:hAnsi="Times New Roman"/>
          <w:sz w:val="20"/>
          <w:szCs w:val="20"/>
          <w:color w:val="auto"/>
        </w:rPr>
        <w:t>), a letter of credit in Dollars or an Alternative Currency (other than Canadian Dollars), in a form customarily used by such Facing Agent, or in such other form as has been approved by such Facing Agent (the “</w:t>
      </w:r>
      <w:r>
        <w:rPr>
          <w:rFonts w:ascii="Times New Roman" w:cs="Times New Roman" w:eastAsia="Times New Roman" w:hAnsi="Times New Roman"/>
          <w:sz w:val="20"/>
          <w:szCs w:val="20"/>
          <w:u w:val="single" w:color="auto"/>
          <w:color w:val="auto"/>
        </w:rPr>
        <w:t>Multicurrency Letters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no Multicurrency Letter of Credit shall be issued the Dollar Equivalent of the Stated Amount of which, (i) when added to the Effective Amount of all Multicurrency LC Obligations (exclusive of Unpaid Drawings relating to Multicurrency Letters of Credit which are repaid on or prior to the date of, and prior to the issuance of, the respective Multicurrency Letter of Credit at such time), would exceed either (x) $275,000,000 or (y) when added to the Dollar Equivalent of the aggregate principal amount of all Multicurrency Revolving Loans, Swing Line Loans and Multicurrency LC Obligations then outstanding with respect to all Borrowers, the Total Multicurrency Revolving Commitment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aggregate face amount of all Multicurrency Letters of Credit issued and outstanding by any Facing Agent shall not exceed such Facing Agent’s Applicable LC Sublimit or (ii) when added to the Dollar Equivalent of the aggregate principal amount of all Multicurrency Revolving Loans, Multicurrency LC Obligations and Swing Line Loans of such Borrower, such Borrower’s Multicurrency Revolving Sublimit. Notwithstanding anything to the contrary in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at the request of the applicable requesting Borrower, any Multicurrency Letter of Credit may contain a statement to the effect that such Multicurrency Letter of Credit is issued for the account of Crown Holdings, any of its Subsidiaries or any Unrestricted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such statement, such requesting Borrower shall be the actual account party for all purposes of the Loan Documents for such Multicurrency Letter of Credit and such statement shall not affect such requesting Borrower’s reimbursement obligations hereunder with respect to such Multicurrency Letter of Credit.</w:t>
      </w:r>
    </w:p>
    <w:p>
      <w:pPr>
        <w:spacing w:after="0" w:line="187" w:lineRule="exact"/>
        <w:rPr>
          <w:sz w:val="20"/>
          <w:szCs w:val="20"/>
          <w:color w:val="auto"/>
        </w:rPr>
      </w:pPr>
    </w:p>
    <w:p>
      <w:pPr>
        <w:jc w:val="both"/>
        <w:ind w:left="660" w:firstLine="907"/>
        <w:spacing w:after="0" w:line="257" w:lineRule="auto"/>
        <w:rPr>
          <w:sz w:val="20"/>
          <w:szCs w:val="20"/>
          <w:color w:val="auto"/>
        </w:rPr>
      </w:pPr>
      <w:r>
        <w:rPr>
          <w:rFonts w:ascii="Times New Roman" w:cs="Times New Roman" w:eastAsia="Times New Roman" w:hAnsi="Times New Roman"/>
          <w:sz w:val="20"/>
          <w:szCs w:val="20"/>
          <w:color w:val="auto"/>
        </w:rPr>
        <w:t xml:space="preserve">2.10.1.2. </w:t>
      </w:r>
      <w:r>
        <w:rPr>
          <w:rFonts w:ascii="Times New Roman" w:cs="Times New Roman" w:eastAsia="Times New Roman" w:hAnsi="Times New Roman"/>
          <w:sz w:val="20"/>
          <w:szCs w:val="20"/>
          <w:u w:val="single" w:color="auto"/>
          <w:color w:val="auto"/>
        </w:rPr>
        <w:t>Canadian Letters of Credit</w:t>
      </w:r>
      <w:r>
        <w:rPr>
          <w:rFonts w:ascii="Times New Roman" w:cs="Times New Roman" w:eastAsia="Times New Roman" w:hAnsi="Times New Roman"/>
          <w:sz w:val="20"/>
          <w:szCs w:val="20"/>
          <w:color w:val="auto"/>
        </w:rPr>
        <w:t>. Subject to and upon the terms and conditions herein set forth, Canadian Borrower may request, on behalf of itself, that the Canadian Facing Agent issue, at any time and from time to time on and after the Incremental Amendment No. 3 and Fifth Amendment Effective Date, and prior to the 5th Business Day preceding the Canadian Revolver Termination Date, for the account of such Borrower and for the benefit of any holder (or any trustee, agent or other similar representative for any such holder) of obligations of</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55" w:name="page156"/>
    <w:bookmarkEnd w:id="155"/>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Canadian Borrower or any of its Subsidiaries, a letter of credit or letter of guarantee in Canadian Dollars, in a form customarily used by such Facing Agent, or in such other form as has been approved by such Facing Agent (a “</w:t>
      </w:r>
      <w:r>
        <w:rPr>
          <w:rFonts w:ascii="Times New Roman" w:cs="Times New Roman" w:eastAsia="Times New Roman" w:hAnsi="Times New Roman"/>
          <w:sz w:val="20"/>
          <w:szCs w:val="20"/>
          <w:u w:val="single" w:color="auto"/>
          <w:color w:val="auto"/>
        </w:rPr>
        <w:t>Canadian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 Canadian Letter of Credit shall be issued the Dollar Equivalent of the Stated Amount of which, when added to the Effective Amount of all Canadian LC Obligations (exclusive of Unpaid Drawings relating to Canadian Letters of Credit which are repaid on or prior to the date of, and prior to the issuance of, the respective Canadian Letter of Credit at such time), would exceed either (i) $10,000,000 or (ii) when added to the Dollar Equivalent of the aggregate principal amount of all Canadian Revolving Loans and Canadian LC Obligations then outstanding with respect to Canadian Borrower, the Total Canadian Revolving Commitment at such time.</w:t>
      </w:r>
    </w:p>
    <w:p>
      <w:pPr>
        <w:spacing w:after="0" w:line="195" w:lineRule="exact"/>
        <w:rPr>
          <w:sz w:val="20"/>
          <w:szCs w:val="20"/>
          <w:color w:val="auto"/>
        </w:rPr>
      </w:pPr>
    </w:p>
    <w:p>
      <w:pPr>
        <w:jc w:val="both"/>
        <w:ind w:left="660" w:firstLine="907"/>
        <w:spacing w:after="0" w:line="263" w:lineRule="auto"/>
        <w:rPr>
          <w:sz w:val="20"/>
          <w:szCs w:val="20"/>
          <w:color w:val="auto"/>
        </w:rPr>
      </w:pPr>
      <w:r>
        <w:rPr>
          <w:rFonts w:ascii="Times New Roman" w:cs="Times New Roman" w:eastAsia="Times New Roman" w:hAnsi="Times New Roman"/>
          <w:sz w:val="19"/>
          <w:szCs w:val="19"/>
          <w:color w:val="auto"/>
        </w:rPr>
        <w:t xml:space="preserve">2.10.1.3. </w:t>
      </w:r>
      <w:r>
        <w:rPr>
          <w:rFonts w:ascii="Times New Roman" w:cs="Times New Roman" w:eastAsia="Times New Roman" w:hAnsi="Times New Roman"/>
          <w:sz w:val="19"/>
          <w:szCs w:val="19"/>
          <w:u w:val="single" w:color="auto"/>
          <w:color w:val="auto"/>
        </w:rPr>
        <w:t>Dollar Letters of Credit</w:t>
      </w:r>
      <w:r>
        <w:rPr>
          <w:rFonts w:ascii="Times New Roman" w:cs="Times New Roman" w:eastAsia="Times New Roman" w:hAnsi="Times New Roman"/>
          <w:sz w:val="19"/>
          <w:szCs w:val="19"/>
          <w:color w:val="auto"/>
        </w:rPr>
        <w:t>. Subject to and upon the terms and conditions herein set forth, U.S. Borrower may request, on behalf of itself, that the Dollar Facing Agent issue, at any time and from time to time on and after the Incremental Amendment No. 3 and Fifth Amendment Effective Date, and prior to the 5th Business Day preceding the Revolver Termination Date for the Dollar Revolving Facility, for the account of such Borrower and for the benefit of any holder (or any trustee, agent or other similar representative for any such holder) of obligations of such U.S. Borrower or any of its Subsidiaries, a letter of credit in Dollars, in a form customarily used by such Facing Agent, or in such other form as has been approved by such Facing Agent (the “</w:t>
      </w:r>
      <w:r>
        <w:rPr>
          <w:rFonts w:ascii="Times New Roman" w:cs="Times New Roman" w:eastAsia="Times New Roman" w:hAnsi="Times New Roman"/>
          <w:sz w:val="19"/>
          <w:szCs w:val="19"/>
          <w:u w:val="single" w:color="auto"/>
          <w:color w:val="auto"/>
        </w:rPr>
        <w:t>Dollar Letters 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no Dollar Letter of Credit shall be issued the Stated Amount of which, when added to the Effective Amount of all Dollar LC Obligations (exclusive of Unpaid Drawings relating to Dollar Letters of Credit which are repaid on or prior to the date of, and prior to the issuance of, the respective Dollar Letter of Credit at such time), would exceed either</w:t>
      </w:r>
    </w:p>
    <w:p>
      <w:pPr>
        <w:ind w:left="660" w:hanging="4"/>
        <w:spacing w:after="0" w:line="260" w:lineRule="auto"/>
        <w:tabs>
          <w:tab w:leader="none" w:pos="91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$25,000,000 or (ii) when added to the Dollar Equivalent of the aggregate principal amount of all Dollar Revolving Loans and Dollar LC Obligations then outstanding with respect to the U.S. Borrower, the Total Dollar Revolving Commitment at such time.</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2.10.2. </w:t>
      </w:r>
      <w:r>
        <w:rPr>
          <w:rFonts w:ascii="Times New Roman" w:cs="Times New Roman" w:eastAsia="Times New Roman" w:hAnsi="Times New Roman"/>
          <w:sz w:val="19"/>
          <w:szCs w:val="19"/>
          <w:u w:val="single" w:color="auto"/>
          <w:color w:val="auto"/>
        </w:rPr>
        <w:t>Obligation of Facing Agent to Issue Letter of Credit</w:t>
      </w:r>
      <w:r>
        <w:rPr>
          <w:rFonts w:ascii="Times New Roman" w:cs="Times New Roman" w:eastAsia="Times New Roman" w:hAnsi="Times New Roman"/>
          <w:sz w:val="19"/>
          <w:szCs w:val="19"/>
          <w:color w:val="auto"/>
        </w:rPr>
        <w:t xml:space="preserve">. Each Facing Agent may agree, in its sole discretion, that it will (subject to the terms and conditions contained herein), at any time and from time to time on or after the Incremental Amendment No. 3 and Fifth Amendment Effective Date and prior to the Revolver Termination Date for the Multicurrency Revolving Facility with respect to Multicurrency Letters of Credit, the Revolver Termination Date for the Dollar Revolving Facility with respect to the Dollar Letters of Credit and the Canadian Revolver Termination Date with respect to Canadian Letters of Credit, following its receipt of the respective Notice of Issuance, issue for the account of the applicable Borrower but subject to the last sentence of </w:t>
      </w:r>
      <w:r>
        <w:rPr>
          <w:rFonts w:ascii="Times New Roman" w:cs="Times New Roman" w:eastAsia="Times New Roman" w:hAnsi="Times New Roman"/>
          <w:sz w:val="19"/>
          <w:szCs w:val="19"/>
          <w:u w:val="single" w:color="auto"/>
          <w:color w:val="auto"/>
        </w:rPr>
        <w:t>Section 2.10(a)(i)</w:t>
      </w:r>
      <w:r>
        <w:rPr>
          <w:rFonts w:ascii="Times New Roman" w:cs="Times New Roman" w:eastAsia="Times New Roman" w:hAnsi="Times New Roman"/>
          <w:sz w:val="19"/>
          <w:szCs w:val="19"/>
          <w:color w:val="auto"/>
        </w:rPr>
        <w:t xml:space="preserve">, one or more Letters of Credit in support of the obligations of the applicable Borrower, any of its Subsidiaries or any Unrestricted Entities,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respective Facing Agent shall be under no obligation to issue any Letter of Credit of the types described above if at the time of such issuance:</w:t>
      </w:r>
    </w:p>
    <w:p>
      <w:pPr>
        <w:spacing w:after="0" w:line="182" w:lineRule="exact"/>
        <w:rPr>
          <w:sz w:val="20"/>
          <w:szCs w:val="20"/>
          <w:color w:val="auto"/>
        </w:rPr>
      </w:pPr>
    </w:p>
    <w:p>
      <w:pPr>
        <w:jc w:val="both"/>
        <w:ind w:left="660" w:firstLine="907"/>
        <w:spacing w:after="0" w:line="253" w:lineRule="auto"/>
        <w:rPr>
          <w:sz w:val="20"/>
          <w:szCs w:val="20"/>
          <w:color w:val="auto"/>
        </w:rPr>
      </w:pPr>
      <w:r>
        <w:rPr>
          <w:rFonts w:ascii="Times New Roman" w:cs="Times New Roman" w:eastAsia="Times New Roman" w:hAnsi="Times New Roman"/>
          <w:sz w:val="20"/>
          <w:szCs w:val="20"/>
          <w:color w:val="auto"/>
        </w:rPr>
        <w:t>2.10.2.1. any order, judgment or decree of any Governmental Authority or arbitrator shall purport by its terms to enjoin or restrain such Facing Agent from issuing such Letter of Credit or any Requirement of Law applicable to such Facing Agent from any Governmental Authority with jurisdiction over such Facing Agent shall prohibit, or request that such Facing Agent refrain from, the issuance of letters of credit generally or such Letter of Credit in particular or shall impose upon such Facing Agent with respect to such Letter of Credit any restriction or reserve or capital requirement (for which such Facing Agent is not otherwise compensated) not in effect on the Incremental Amendment No. 3 and Fifth Amendment Effective Date, or any unreimbursed loss, cost or expense which was not applicable, in effect or known 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56" w:name="page157"/>
    <w:bookmarkEnd w:id="156"/>
    <w:p>
      <w:pPr>
        <w:spacing w:after="0" w:line="283" w:lineRule="auto"/>
        <w:rPr>
          <w:sz w:val="20"/>
          <w:szCs w:val="20"/>
          <w:color w:val="auto"/>
        </w:rPr>
      </w:pPr>
      <w:r>
        <w:rPr>
          <w:rFonts w:ascii="Times New Roman" w:cs="Times New Roman" w:eastAsia="Times New Roman" w:hAnsi="Times New Roman"/>
          <w:sz w:val="20"/>
          <w:szCs w:val="20"/>
          <w:color w:val="auto"/>
        </w:rPr>
        <w:t>such Facing Agent as of the Incremental Amendment No. 3 and Fifth Amendment Effective Date and which such Facing Agent in good faith deems material to it;</w:t>
      </w:r>
    </w:p>
    <w:p>
      <w:pPr>
        <w:spacing w:after="0" w:line="146" w:lineRule="exact"/>
        <w:rPr>
          <w:sz w:val="20"/>
          <w:szCs w:val="20"/>
          <w:color w:val="auto"/>
        </w:rPr>
      </w:pPr>
    </w:p>
    <w:p>
      <w:pPr>
        <w:ind w:firstLine="907"/>
        <w:spacing w:after="0" w:line="283" w:lineRule="auto"/>
        <w:rPr>
          <w:sz w:val="20"/>
          <w:szCs w:val="20"/>
          <w:color w:val="auto"/>
        </w:rPr>
      </w:pPr>
      <w:r>
        <w:rPr>
          <w:rFonts w:ascii="Times New Roman" w:cs="Times New Roman" w:eastAsia="Times New Roman" w:hAnsi="Times New Roman"/>
          <w:sz w:val="20"/>
          <w:szCs w:val="20"/>
          <w:color w:val="auto"/>
        </w:rPr>
        <w:t xml:space="preserve">2.10.2.2. such Facing Agent shall have received notice from any Lender prior to the issuance of such Letter of Credit of the type described in </w:t>
      </w:r>
      <w:r>
        <w:rPr>
          <w:rFonts w:ascii="Times New Roman" w:cs="Times New Roman" w:eastAsia="Times New Roman" w:hAnsi="Times New Roman"/>
          <w:sz w:val="20"/>
          <w:szCs w:val="20"/>
          <w:u w:val="single" w:color="auto"/>
          <w:color w:val="auto"/>
        </w:rPr>
        <w:t>Section 2.10(b)(iii)(A)(v)</w:t>
      </w:r>
      <w:r>
        <w:rPr>
          <w:rFonts w:ascii="Times New Roman" w:cs="Times New Roman" w:eastAsia="Times New Roman" w:hAnsi="Times New Roman"/>
          <w:sz w:val="20"/>
          <w:szCs w:val="20"/>
          <w:color w:val="auto"/>
        </w:rPr>
        <w:t>; or</w:t>
      </w:r>
    </w:p>
    <w:p>
      <w:pPr>
        <w:spacing w:after="0" w:line="146"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0"/>
          <w:szCs w:val="20"/>
          <w:color w:val="auto"/>
        </w:rPr>
        <w:t>2.10.2.3.</w:t>
      </w:r>
      <w:r>
        <w:rPr>
          <w:sz w:val="20"/>
          <w:szCs w:val="20"/>
          <w:color w:val="auto"/>
        </w:rPr>
        <w:tab/>
      </w:r>
      <w:r>
        <w:rPr>
          <w:rFonts w:ascii="Times New Roman" w:cs="Times New Roman" w:eastAsia="Times New Roman" w:hAnsi="Times New Roman"/>
          <w:sz w:val="19"/>
          <w:szCs w:val="19"/>
          <w:color w:val="auto"/>
        </w:rPr>
        <w:t>the issuance of such Letter of Credit would violate one or more policies of such Facing Agent.</w:t>
      </w:r>
    </w:p>
    <w:p>
      <w:pPr>
        <w:spacing w:after="0" w:line="229" w:lineRule="exact"/>
        <w:rPr>
          <w:sz w:val="20"/>
          <w:szCs w:val="20"/>
          <w:color w:val="auto"/>
        </w:rPr>
      </w:pPr>
    </w:p>
    <w:p>
      <w:pPr>
        <w:jc w:val="both"/>
        <w:ind w:left="640" w:firstLine="648"/>
        <w:spacing w:after="0" w:line="249" w:lineRule="auto"/>
        <w:rPr>
          <w:sz w:val="20"/>
          <w:szCs w:val="20"/>
          <w:color w:val="auto"/>
        </w:rPr>
      </w:pPr>
      <w:r>
        <w:rPr>
          <w:rFonts w:ascii="Times New Roman" w:cs="Times New Roman" w:eastAsia="Times New Roman" w:hAnsi="Times New Roman"/>
          <w:sz w:val="20"/>
          <w:szCs w:val="20"/>
          <w:color w:val="auto"/>
        </w:rPr>
        <w:t xml:space="preserve">2.10.2.3.1. Notwithstanding the foregoing, (i) each Multicurrency Letter of Credit, Dollar Letter of Credit and Canadian Letter of Credit shall have an expiry date occurring not later than one year after such Letter of Credit’s date of issuance,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Multicurrency Letter of Credit, Dollar Letter of Credit or Canadian Letter of Credit may be automatically extendable for periods of up to one year so long as such Letter of Credit provides that the respective Facing Agent retains an option, satisfactory to such Facing Agent, to terminate such Letter of Credit within a specified period of time prior to each scheduled extension date; (ii) (x) no Multicurrency Letter of Credit shall have an expiry date occurring later than 10 days prior to the Revolver Termination Date for the Multicurrency Revolving Facility, (y) no Dollar Letter of Credit shall have an expiry date occurring later than 10 days prior to the Revolver Termination Date for the Dollar Revolving Facility and (z) no Canadian Letter of Credit shall have an expiry date occurring later than 10 days prior to the Canadian Revolver Termination Date; (iii) each Multicurrency Letter of Credit shall be denominated in Dollars, or in the respective Facing Agent’s sole discretion, an Alternative Currency, and be payable on a sight basis, each Dollar Letter of Credit shall be denominated in Dollars and be payable on a sight basis and each Canadian Letter of Credit shall be denominated in Canadian Dollars and be payable on a sight basis; (iv) the Stated Amount of each Letter of Credit shall not be less than the Dollar Equivalent of $100,000 or such lesser amount as is acceptable to the respective Facing Agent; and (v) no Facing Agent will issue any Letter of Credit after it has received written notice from the applicable Borrower or the Required Lenders stating that an Event of Default or Unmatured Event of Default exists until such time as such Facing Agent shall have received a written notice of (x) rescission of such notice from the party or parties originally delivering the same or (y) a waiver of such Event of Default or Unmatured Event of Default by the Required Lenders (or all the Lenders to the extent required by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640" w:firstLine="648"/>
        <w:spacing w:after="0" w:line="252" w:lineRule="auto"/>
        <w:rPr>
          <w:sz w:val="20"/>
          <w:szCs w:val="20"/>
          <w:color w:val="auto"/>
        </w:rPr>
      </w:pPr>
      <w:r>
        <w:rPr>
          <w:rFonts w:ascii="Times New Roman" w:cs="Times New Roman" w:eastAsia="Times New Roman" w:hAnsi="Times New Roman"/>
          <w:sz w:val="20"/>
          <w:szCs w:val="20"/>
          <w:color w:val="auto"/>
        </w:rPr>
        <w:t xml:space="preserve">2.10.2.3.2. Notwithstanding the foregoing, in the event there is a Defaulting Lender, no Facing Agent shall be required to issue any Letter of Credit unless the respective Facing Agent is satisfied that the related exposure and the Defaulting Lender’s then outstanding Letter of Credit Exposure will be 100% covered by the Revolving Commitments and Canadian Revolving Commitments of the Non-Defaulting Lenders and/or cash collateral will be provided by the Borrowers in a manner satisfactory to it and Crown Holdings to eliminate such Facing Agent’s risk with respect to the participation in Letters of Credit of the Defaulting Lender or Lenders, including by cash collateralizing such Defaulting Lender or Lenders’ applicable Multicurrency Revolver Pro Rata Share or Canadian Revolver Pro Rata Share, as the case may be, of the applicable LC Obligations, and participating interests in any newly issued or increased Letter of Credit shall be allocated among Non-Defaulting Lenders in a manner consistent with </w:t>
      </w:r>
      <w:r>
        <w:rPr>
          <w:rFonts w:ascii="Times New Roman" w:cs="Times New Roman" w:eastAsia="Times New Roman" w:hAnsi="Times New Roman"/>
          <w:sz w:val="20"/>
          <w:szCs w:val="20"/>
          <w:u w:val="single" w:color="auto"/>
          <w:color w:val="auto"/>
        </w:rPr>
        <w:t>Section 2.12(a)(i)</w:t>
      </w:r>
      <w:r>
        <w:rPr>
          <w:rFonts w:ascii="Times New Roman" w:cs="Times New Roman" w:eastAsia="Times New Roman" w:hAnsi="Times New Roman"/>
          <w:sz w:val="20"/>
          <w:szCs w:val="20"/>
          <w:color w:val="auto"/>
        </w:rPr>
        <w:t xml:space="preserve"> (and such Defaulting Lender shall not participate therein).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103</w:t>
      </w:r>
    </w:p>
    <w:p>
      <w:pPr>
        <w:spacing w:after="0" w:line="6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157" w:name="page158"/>
    <w:bookmarkEnd w:id="157"/>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2.10.3. </w:t>
      </w:r>
      <w:r>
        <w:rPr>
          <w:rFonts w:ascii="Times New Roman" w:cs="Times New Roman" w:eastAsia="Times New Roman" w:hAnsi="Times New Roman"/>
          <w:sz w:val="20"/>
          <w:szCs w:val="20"/>
          <w:u w:val="single" w:color="auto"/>
          <w:color w:val="auto"/>
        </w:rPr>
        <w:t>Procedures for Issuance and Amendments of Letter of Credit</w:t>
      </w:r>
      <w:r>
        <w:rPr>
          <w:rFonts w:ascii="Times New Roman" w:cs="Times New Roman" w:eastAsia="Times New Roman" w:hAnsi="Times New Roman"/>
          <w:sz w:val="20"/>
          <w:szCs w:val="20"/>
          <w:color w:val="auto"/>
        </w:rPr>
        <w:t xml:space="preserve">. Whenever U.S. Borrower, European Borrower, any Subsidiary Borrower or Canadian Borrower desires that a Letter of Credit be issued, such Borrower shall give Administrative Agent and the respective Facing Agent written notice thereof prior to 1:00 p.m. (New York City time) at least five (5) Business Days (or such shorter period as may be acceptable to such Facing Agent) prior to the proposed date of issuance (which shall be a Business Day) which written notice shall be in the form of </w:t>
      </w:r>
      <w:r>
        <w:rPr>
          <w:rFonts w:ascii="Times New Roman" w:cs="Times New Roman" w:eastAsia="Times New Roman" w:hAnsi="Times New Roman"/>
          <w:sz w:val="20"/>
          <w:szCs w:val="20"/>
          <w:u w:val="single" w:color="auto"/>
          <w:color w:val="auto"/>
        </w:rPr>
        <w:t>Exhibit 2.10(c)</w:t>
      </w:r>
      <w:r>
        <w:rPr>
          <w:rFonts w:ascii="Times New Roman" w:cs="Times New Roman" w:eastAsia="Times New Roman" w:hAnsi="Times New Roman"/>
          <w:sz w:val="20"/>
          <w:szCs w:val="20"/>
          <w:color w:val="auto"/>
        </w:rPr>
        <w:t xml:space="preserve"> (or such other form as mutually agreed by Crown Holdings, the applicable Facing Agent and the Administrative Agent) (each, a “</w:t>
      </w:r>
      <w:r>
        <w:rPr>
          <w:rFonts w:ascii="Times New Roman" w:cs="Times New Roman" w:eastAsia="Times New Roman" w:hAnsi="Times New Roman"/>
          <w:sz w:val="20"/>
          <w:szCs w:val="20"/>
          <w:u w:val="single" w:color="auto"/>
          <w:color w:val="auto"/>
        </w:rPr>
        <w:t>Notice of Issuance</w:t>
      </w:r>
      <w:r>
        <w:rPr>
          <w:rFonts w:ascii="Times New Roman" w:cs="Times New Roman" w:eastAsia="Times New Roman" w:hAnsi="Times New Roman"/>
          <w:sz w:val="20"/>
          <w:szCs w:val="20"/>
          <w:color w:val="auto"/>
        </w:rPr>
        <w:t>”) and may be submitted via facsimile or other electronic image scan transmission (e.g., “pdf” or “tif” via email) to the respective Facing Agent (who may rely upon such facsimile or electronic image scan transmission if it were an original thereof). Each such notice shall specify (A) the proposed issuance date and expiration date, (B) the name(s) of each obligor with respect to such Letter of Credit, (C) the applicable Borrower as the account party, (D) the name and address of the beneficiary (which Person shall be acceptable to the applicable Facing Agent), (E) the Stated Amount in Dollars, Canadian Dollars or, if applicable, the Alternative Currency, of such proposed Letter of Credit, (F) whether such Letter of Credit is to be a Multicurrency Letter of Credit, Dollar Letter of Credit or Canadian Letter of Credit and (G) the purpose of such Letter of Credit (which shall be acceptable to Administrative Agent and the applicable Facing Agent) and such other information as such Facing Agent may reasonably request. In addition, each Notice of Issuance shall contain a general description of the terms and conditions to be included in such proposed Letter of Credit (all of which terms and conditions shall be acceptable to the respective Facing Agent). Unless otherwise specified, all Letters of Credit will be governed by the Uniform Customs and Practices for Documentary Credit Operations as in effect on the date of issuance of such Letter of Credit. Each Notice of Issuance shall include any other documents as the respective Facing Agent customarily requires in connection therewith. From time to time while a Letter of Credit is outstanding and prior to the Revolver Termination Date for the Multicurrency Revolving Facility with respect to Multicurrency Letters of Credit, the Revolver Termination Date for the Dollar Revolving Facility with respect to Dollar Letters of Credit and the Canadian Revolver Termination Date with respect to Canadian Letters of Credit, the applicable Facing Agent will, upon written request received by the Facing Agent (with a copy sent by Borrower to Administrative Agent) at least three (3) Business Days (or such shorter time as the Facing Agent and Administrative Agent may agree in a particular instance in their sole discretion) prior to the proposed date of amendment, amend any Letter of Credit issued by it. Each such request for amendment of a Letter of Credit shall be made by facsimile or other electronic image scan transmission (e.g., “pdf” or “tif” via email), confirmed promptly in an original writing (each a “</w:t>
      </w:r>
      <w:r>
        <w:rPr>
          <w:rFonts w:ascii="Times New Roman" w:cs="Times New Roman" w:eastAsia="Times New Roman" w:hAnsi="Times New Roman"/>
          <w:sz w:val="20"/>
          <w:szCs w:val="20"/>
          <w:u w:val="single" w:color="auto"/>
          <w:color w:val="auto"/>
        </w:rPr>
        <w:t>Letter of Credit Amendment Request</w:t>
      </w:r>
      <w:r>
        <w:rPr>
          <w:rFonts w:ascii="Times New Roman" w:cs="Times New Roman" w:eastAsia="Times New Roman" w:hAnsi="Times New Roman"/>
          <w:sz w:val="20"/>
          <w:szCs w:val="20"/>
          <w:color w:val="auto"/>
        </w:rPr>
        <w:t>”) and shall specify in form and detail reasonably satisfactory to the Facing Agent: (i) the Letter of Credit to be amended; (ii) the proposed date of amendment of the Letter of Credit (which shall be a Business Day); (iii) the nature of the proposed amendment; and (iv) such other matters as the Facing Agent may require. The Facing Agent shall be under no obligation to amend any Letter of Credit if: (A) the Facing Agent would have no obligation at such time to issue such Letter of Credit in its amended form under the terms of this Agreement, or (B) the beneficiary of any such Letter of Credit does not accept the proposed amendment to the Letter of Credit. In the case of Multicurrency Letters of Credit, Dollar Letters of Credit and Canadian Letters of Credit, each Facing Agent shall, promptly after the issuance of or amendment or modification to such a Letter of Credit, give Administrative Agent and the applicable Borrower written notice of the issuance, amendment or modification of such Letter of Credit, accompanied by a copy of such issuance, amendment or modification. Promptly upon receipt of such notice, Administrative Agent shall give each Multicurrency Revolving Lender or Canadian Revolving Lender, as applicable, written notice of such issuance, amendment or modification, and if so requested by any such Lender, Administrative Agent shall provide such Lender with copies of such issuance, amendment or modification.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58" w:name="page159"/>
    <w:bookmarkEnd w:id="158"/>
    <w:p>
      <w:pPr>
        <w:ind w:left="660"/>
        <w:spacing w:after="0"/>
        <w:rPr>
          <w:sz w:val="20"/>
          <w:szCs w:val="20"/>
          <w:color w:val="auto"/>
        </w:rPr>
      </w:pPr>
      <w:r>
        <w:rPr>
          <w:rFonts w:ascii="Times New Roman" w:cs="Times New Roman" w:eastAsia="Times New Roman" w:hAnsi="Times New Roman"/>
          <w:sz w:val="20"/>
          <w:szCs w:val="20"/>
          <w:color w:val="auto"/>
        </w:rPr>
        <w:t xml:space="preserve">2.10.4. </w:t>
      </w:r>
      <w:r>
        <w:rPr>
          <w:rFonts w:ascii="Times New Roman" w:cs="Times New Roman" w:eastAsia="Times New Roman" w:hAnsi="Times New Roman"/>
          <w:sz w:val="20"/>
          <w:szCs w:val="20"/>
          <w:u w:val="single" w:color="auto"/>
          <w:color w:val="auto"/>
        </w:rPr>
        <w:t>Agreement to Repay Letter of Credit Payments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473"/>
        <w:spacing w:after="0" w:line="262" w:lineRule="auto"/>
        <w:rPr>
          <w:sz w:val="20"/>
          <w:szCs w:val="20"/>
          <w:color w:val="auto"/>
        </w:rPr>
      </w:pPr>
      <w:r>
        <w:rPr>
          <w:rFonts w:ascii="Times New Roman" w:cs="Times New Roman" w:eastAsia="Times New Roman" w:hAnsi="Times New Roman"/>
          <w:sz w:val="19"/>
          <w:szCs w:val="19"/>
          <w:color w:val="auto"/>
        </w:rPr>
        <w:t>U.S. Borrower, European Borrower or Canadian Borrower, as the case may be, hereby agrees to reimburse (or to cause the applicable Subsidiary Borrower to reimburse) the respective Facing Agent, by making payment to Administrative Agent or the Canadian Administrative Agent, as the case may be, in immediately available funds in Dollars or Canadian Dollars, as the case may be at the Payment Office, for the Dollar Equivalent (or Canadian Dollar amount with respect to Canadian Dollar Letters of Credit) of any payment or disbursement made by such Facing Agent under and in accordance with any Letter of Credit (each such amount so paid or disbursed until reimbursed, an “</w:t>
      </w:r>
      <w:r>
        <w:rPr>
          <w:rFonts w:ascii="Times New Roman" w:cs="Times New Roman" w:eastAsia="Times New Roman" w:hAnsi="Times New Roman"/>
          <w:sz w:val="19"/>
          <w:szCs w:val="19"/>
          <w:u w:val="single" w:color="auto"/>
          <w:color w:val="auto"/>
        </w:rPr>
        <w:t>Unpaid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Drawing</w:t>
      </w:r>
      <w:r>
        <w:rPr>
          <w:rFonts w:ascii="Times New Roman" w:cs="Times New Roman" w:eastAsia="Times New Roman" w:hAnsi="Times New Roman"/>
          <w:sz w:val="19"/>
          <w:szCs w:val="19"/>
          <w:color w:val="auto"/>
        </w:rPr>
        <w:t>”), no later than one Business Day after the date on which such Borrower receives notice of such payment or disbursement (if such Unpaid Drawing was in an Alternative Currency other than Canadian Dollars, then in the Dollar Equivalent amount of such Unpaid Drawing), with interest on the amount so paid or disbursed by such Facing Agent, to the extent not reimbursed prior to 12:00 Noon (New York City time) on the date of such payment or disbursement, from and including the date paid or disbursed to but excluding the date such Facing Agent is reimbursed therefor by such Borrower at a rate per annum which shall be the (A) Base Rate in effect from time to time plus the Applicable Base Rate Margin for Revolving Loans with respect to Multicurrency Letters of Credit in Dollars and Dollar Letters of Credit,</w:t>
      </w:r>
    </w:p>
    <w:p>
      <w:pPr>
        <w:spacing w:after="0" w:line="4" w:lineRule="exact"/>
        <w:rPr>
          <w:sz w:val="20"/>
          <w:szCs w:val="20"/>
          <w:color w:val="auto"/>
        </w:rPr>
      </w:pPr>
    </w:p>
    <w:p>
      <w:pPr>
        <w:jc w:val="both"/>
        <w:ind w:firstLine="8"/>
        <w:spacing w:after="0" w:line="248" w:lineRule="auto"/>
        <w:tabs>
          <w:tab w:leader="none" w:pos="32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Eurocurrency Rate in effect from time to time plus the Applicable Eurocurrency Margin with respect to Multicurrency Letters of Credit in Euros, (C) Daily Simple RFR in effect from time to time plus the Applicable RFR Margin with respect to Multicurrency Letters of Credit in Sterling, and (B) the Canadian Prime Rate plus the Applicable Canadian Prime Rate Margin for Canadian Letters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anything contained in this Agreement to the contrary notwithstanding, (i) unless such Borrower shall have notified Administrative Agent or the Canadian Administrative Agent, as the case may be and the applicable Facing Agent prior to 10:00 a.m. (New York City time) on the Business Day following receipt of such notice that the applicable Facing Agent will be reimbursed for the amount of such Unpaid Drawing with funds other than the proceeds of Revolving Loans or Canadian Revolving Loans, as the case may be, such Borrower shall be deemed to have timely given a Notice of Borrowing or Notice of Canadian Borrowing, as the case may be, to Administrative Agent or the Canadian Administrative Agent, as the case may be, requesting each Multicurrency Revolving Lender or Canadian Revolving Lender, as applicable, to make Revolving Loans or Canadian Revolving Loans, as applicable, which are (v) in the case of Letters of Credit denominated in Dollars, SOFR Loans, (w) in the case of Letters of Credit denominated in Euro, Eurocurrency Loans, (x) in the case of Letters of Credit denominated in Sterling, RFR Loans, (y) in the case of Letters of Credit denominated in any other Alternative Rate, Loans bearing interest based on the benchmark rate agreed for such Alternative Currency pursuant to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and (z) in the case of Canadian Letters of Credit, Canadian Prime Rate Loans, as the case may be on the date on which such Unpaid Drawing is honored in an amount equal to the Dollar Equivalent of the amount of such Unpaid Drawing and Administrative Agent or the Canadian Administrative Agent, as the case may be, shall, if such Notice of Borrowing is deemed given, promptly notify the Lenders thereof and (ii) unless any Event of Default shall have occurred and be continuing (in which event the procedures of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 xml:space="preserve"> shall apply), each such Multicurrency Revolving Lender or Canadian Revolving Lender, as applicable, shall, on the date such drawing is honored, make Multicurrency Revolving Loans or Canadian Revolving Loans, as applicable, which are (v) in the case of Letters of Credit denominated in Dollars, SOFR Loans, (w) in the case of Letters of Credit denominated in Euro, Eurocurrency Loans, (x) in the case of Letters of Credit denominated in Sterling, RFR Loans, (y) in the case of Letters of Credit denominated in any other Alternative Rate, Loans bearing interest based on the benchmark rate agreed for such Alternative Currency pursuant to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or (z) in the case of Canadian Letters of Credit denominated in Canadian Dollars, Canadian Prime Rate Loans in the amount of its Multicurrency Revolver Pro Rata Share or Canadian Revolver Pro Rata Share of the Dollar Equivalent of such Unpaid Drawing, the proceeds of which shall be applied directly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59" w:name="page160"/>
    <w:bookmarkEnd w:id="159"/>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by Administrative Agent or the Canadian Administrative Agent, as the case may be, to reimburse the applicable Facing Agent for the amount of such Unpaid Drawing;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for any reason, proceeds of Multicurrency Revolving Loans or Canadian Revolving Loans are not received by the applicable Facing Agent on such date in an amount equal to the amount of the Dollar Equivalent of such drawing, the applicable Borrower shall reimburse the applicable Facing Agent, on the Business Day immediately following the date such drawing is honored, in an amount in same day funds equal to the excess of the amount of the Dollar Equivalent of such drawing over the Dollar Equivalent of the amount of such Multicurrency Revolving Loans or Canadian Revolving Loans, if any, which are so received, plus accrued interest on such amount at the rate set forth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to the extent such amounts are not reimbursed prior to 12:00 Noon (New York City time) on the fifth Business Day following such payment or disbursement, interest shall thereafter accrue on the amounts so paid or disbursed by such Facing Agent (and until reimbursed by the applicable Borrower) at a rate per annum which shall be the Base Rate in effect from time to time plus the Applicable Base Rate Margin for Revolving Loans for Multicurrency Letters of Credit and Dollar Letters of Credit, and the Canadian Prime Rate plus the Applicable Canadian Prime Rate Margin for Canadian Letters of Credit (in each case, plus an additional 2% per annum), such interest also to be payable on demand. The respective Facing Agent shall give the applicable Borrower prompt notice of each Drawing under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any such notice shall in no way affect, impair or diminish any Credit Party’s obligations hereunder.</w:t>
      </w:r>
    </w:p>
    <w:p>
      <w:pPr>
        <w:spacing w:after="0" w:line="183" w:lineRule="exact"/>
        <w:rPr>
          <w:sz w:val="20"/>
          <w:szCs w:val="20"/>
          <w:color w:val="auto"/>
        </w:rPr>
      </w:pPr>
    </w:p>
    <w:p>
      <w:pPr>
        <w:jc w:val="both"/>
        <w:ind w:firstLine="543"/>
        <w:spacing w:after="0" w:line="252" w:lineRule="auto"/>
        <w:rPr>
          <w:sz w:val="20"/>
          <w:szCs w:val="20"/>
          <w:color w:val="auto"/>
        </w:rPr>
      </w:pPr>
      <w:r>
        <w:rPr>
          <w:rFonts w:ascii="Times New Roman" w:cs="Times New Roman" w:eastAsia="Times New Roman" w:hAnsi="Times New Roman"/>
          <w:sz w:val="20"/>
          <w:szCs w:val="20"/>
          <w:color w:val="auto"/>
        </w:rPr>
        <w:t xml:space="preserve">The obligations of each Borrower under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to reimburse the respective Facing Agent with respect to drawings on Letters of Credit (each, a “</w:t>
      </w:r>
      <w:r>
        <w:rPr>
          <w:rFonts w:ascii="Times New Roman" w:cs="Times New Roman" w:eastAsia="Times New Roman" w:hAnsi="Times New Roman"/>
          <w:sz w:val="20"/>
          <w:szCs w:val="20"/>
          <w:u w:val="single" w:color="auto"/>
          <w:color w:val="auto"/>
        </w:rPr>
        <w:t>Drawing</w:t>
      </w:r>
      <w:r>
        <w:rPr>
          <w:rFonts w:ascii="Times New Roman" w:cs="Times New Roman" w:eastAsia="Times New Roman" w:hAnsi="Times New Roman"/>
          <w:sz w:val="20"/>
          <w:szCs w:val="20"/>
          <w:color w:val="auto"/>
        </w:rPr>
        <w:t>”) (including, in each case, interest thereon) shall be absolute and unconditional under any and all circumstances and irrespective of any setoff, counterclaim or defense to payment which such Borrower may have or have had against any Facing Agent, Agent or any Lender (including in its capacity as issuer of the Letter of Credit or as LC Participant), or any non-application or misapplication by the beneficiary of the proceeds of such Drawing, the respective Facing Agent’s only obligation to Borrowers being to confirm that any documents required to be delivered under such Letter of Credit appear to have been delivered and that they appear to substantially comply on their face with the requirements of such Letter of Credit. Any action taken or omitted to be taken by any Facing Agent under or in connection with any Letter of Credit if taken or omitted in the absence of gross negligence or willful misconduct as determined by a final and non-appealable judgment rendered by a court of competent jurisdiction, shall not create for such Facing Agent any resulting liability to any Borrower.</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2.10.5. </w:t>
      </w:r>
      <w:r>
        <w:rPr>
          <w:rFonts w:ascii="Times New Roman" w:cs="Times New Roman" w:eastAsia="Times New Roman" w:hAnsi="Times New Roman"/>
          <w:sz w:val="20"/>
          <w:szCs w:val="20"/>
          <w:u w:val="single" w:color="auto"/>
          <w:color w:val="auto"/>
        </w:rPr>
        <w:t>Letter of Credit Participations</w:t>
      </w:r>
      <w:r>
        <w:rPr>
          <w:rFonts w:ascii="Times New Roman" w:cs="Times New Roman" w:eastAsia="Times New Roman" w:hAnsi="Times New Roman"/>
          <w:sz w:val="20"/>
          <w:szCs w:val="20"/>
          <w:color w:val="auto"/>
        </w:rPr>
        <w:t xml:space="preserve">. Immediately upon the issuance by any Facing Agent of any Letter of Credit, such Facing Agent shall be deemed to have sold and transferred to (i) each Multicurrency Revolving Lender with respect to each Multicurrency Letter of Credit, (ii) each Dollar Revolving Lender with respect to each Dollar Letter of Credit and (iii) each Canadian Revolving Lender with respect to each Canadian Letter of Credit, in each case, other than such Facing Agent (each such Lender, in its capacity under this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LC Participant</w:t>
      </w:r>
      <w:r>
        <w:rPr>
          <w:rFonts w:ascii="Times New Roman" w:cs="Times New Roman" w:eastAsia="Times New Roman" w:hAnsi="Times New Roman"/>
          <w:sz w:val="20"/>
          <w:szCs w:val="20"/>
          <w:color w:val="auto"/>
        </w:rPr>
        <w:t xml:space="preserve">”), and each such LC Participant shall be deemed irrevocably and unconditionally to have purchased and received from such Facing Agent, without recourse or warranty, an undivided interest and participation, to the extent of such Revolving Lender’s Multicurrency Revolver Pro Rata Share (with respect to Multicurrency Letters of Credit), such Dollar Revolving Lender’s Dollar Revolver Pro Rata Share (with respect to Dollar Letters of Credit) and such Canadian Revolving Lender’s Canadian Revolver Pro Rata Share (with respect to Canadian Letters of Credit), as the case may be, in such Letter of Credit, each substitute Letter of Credit, each Drawing made thereunder and the obligations of the Borrowers under this Agreement with respect thereto (although Letter of Credit fees shall be payable directly to Administrative Agent for the account of the LC Participant as provided in </w:t>
      </w:r>
      <w:r>
        <w:rPr>
          <w:rFonts w:ascii="Times New Roman" w:cs="Times New Roman" w:eastAsia="Times New Roman" w:hAnsi="Times New Roman"/>
          <w:sz w:val="20"/>
          <w:szCs w:val="20"/>
          <w:u w:val="single" w:color="auto"/>
          <w:color w:val="auto"/>
        </w:rPr>
        <w:t>Section 2.10(g)</w:t>
      </w:r>
      <w:r>
        <w:rPr>
          <w:rFonts w:ascii="Times New Roman" w:cs="Times New Roman" w:eastAsia="Times New Roman" w:hAnsi="Times New Roman"/>
          <w:sz w:val="20"/>
          <w:szCs w:val="20"/>
          <w:color w:val="auto"/>
        </w:rPr>
        <w:t xml:space="preserve"> and the LC Participants shall have no right to receive any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60" w:name="page161"/>
    <w:bookmarkEnd w:id="160"/>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portion of the facing fees), and any security therefor or guaranty pertaining thereto. Upon any change in the Multicurrency Revolving Commitments of the Multicurrency Revolving Lenders or the Canadian Revolving Commitments of the Canadian Revolving Lenders, it is hereby agreed that, with respect to all outstanding Letters of Credit and Unpaid Drawings relating to Letters of Credit, there shall be an automatic adjustment pursuant to this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 xml:space="preserve"> to reflect the new Multicurrency Revolver Pro Rata Share or Canadian Revolver Pro Rata Share, as the case may be, of the assignor and assignee Lender or of all Lenders with Multicurrency Revolving Commitments or Canadian Revolving Commitments, as the case may be. In determining whether to pay under any Letter of Credit, such Facing Agent shall have no obligation relative to the LC Participants other than to confirm that any documents required to be delivered under such Letter of Credit appear to have been delivered and that they appear to comply on their face with the requirements of such Letter of Credit. Any action taken or omitted to be taken by any Facing Agent under or in connection with any Letter of Credit issued by it if taken or omitted in the absence of gross negligence or willful misconduct as determined by a final and non-appealable judgment rendered by a court of competent jurisdiction, shall not create for such Facing Agent any resulting liability to any Credit Party or any Lender.</w:t>
      </w:r>
    </w:p>
    <w:p>
      <w:pPr>
        <w:spacing w:after="0" w:line="2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2.10.6. </w:t>
      </w:r>
      <w:r>
        <w:rPr>
          <w:rFonts w:ascii="Times New Roman" w:cs="Times New Roman" w:eastAsia="Times New Roman" w:hAnsi="Times New Roman"/>
          <w:sz w:val="20"/>
          <w:szCs w:val="20"/>
          <w:u w:val="single" w:color="auto"/>
          <w:color w:val="auto"/>
        </w:rPr>
        <w:t>Draws Upon Letter of Credit; Reimbursement Obligations</w:t>
      </w:r>
      <w:r>
        <w:rPr>
          <w:rFonts w:ascii="Times New Roman" w:cs="Times New Roman" w:eastAsia="Times New Roman" w:hAnsi="Times New Roman"/>
          <w:sz w:val="20"/>
          <w:szCs w:val="20"/>
          <w:color w:val="auto"/>
        </w:rPr>
        <w:t xml:space="preserve">. In the event that any Facing Agent makes any payment under any Letter of Credit issued by it and the applicable Borrower shall not have reimbursed such amount in full to such Facing Agent pursuant to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such Facing Agent shall promptly notify Administrative Agent, and Administrative Agent shall promptly notify each LC Participant of such failure, and each such LC Participant shall promptly and unconditionally pay to Administrative Agent for the account of such Facing Agent, the amount of such LC Participant’s applicable Multicurrency Revolver Pro Rata Share or Canadian Revolver Pro Rata Share, as the case may be, of such payment in Dollars or, in the case of a Letter of Credit denominated in an Alternative Currency or Canadian Dollars, in such Alternative Currency or Canadian Dollars and in same day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LC Participant shall be obligated to pay to Administrative Agent its applicable Multicurrency Revolver Pro Rata Share or Canadian Revolver Pro Rata Share of such unreimbursed amount for any wrongful payment made by such Facing Agent under a Letter of Credit issued by it as a result of acts or omissions constituting willful misconduct or gross negligence as determined by a final and non-appealable judgment rendered by a court of competent jurisdiction on the part of such Facing Agent. If Administrative Agent so notifies any LC Participant required to fund a payment under a Letter of Credit prior to 11:00 a.m. (New York City time) or, in the case of a Letter of Credit denominated in an Alternative Currency or Canadian Dollars, 11:00 a.m. (London time) on any Business Day, such LC Participant shall make available to Administrative Agent for the account of the respective Facing Agent such LC Participant’s applicable Multicurrency Revolver Pro Rata Share or Canadian Revolver Pro Rata Share, as the case may be, of the amount of such payment on such Business Day in same day funds. If and to the extent such LC Participant shall not have so made its applicable Multicurrency Revolver Pro Rata Share or Canadian Revolver Pro Rata Share, as the case may be, of the amount of such payment available to Administrative Agent for the account of the respective Facing Agent, such LC Participant agrees to pay to Administrative Agent for the account of such Facing Agent, forthwith on demand such amount, together with interest thereon, for each day from such date until the date such amount is paid to Administrative Agent for the account of such Facing Agent at the overnight Federal Funds rate. The failure of any LC Participant to make available to Administrative Agent for the account of the respective Facing Agent its applicable Multicurrency Revolver Pro Rata Share or Canadian Revolver Pro Rata Share, as the case may be, of any payment under any Letter of Credit issued by it shall not relieve any other LC Participant of its obligation hereunder to make available to Administrative Agent for the account of such Facing Agent its applicable Multicurrency Revolver Pro Rata Share or Canadian Revolver Pro Rata Share, as the case may be, of any payment under any such Letter of Credit on the day required, as specified above, but no LC Participant shall be responsible for the failure of any other LC Participant to</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61" w:name="page162"/>
    <w:bookmarkEnd w:id="161"/>
    <w:p>
      <w:pPr>
        <w:spacing w:after="0" w:line="283" w:lineRule="auto"/>
        <w:rPr>
          <w:sz w:val="20"/>
          <w:szCs w:val="20"/>
          <w:color w:val="auto"/>
        </w:rPr>
      </w:pPr>
      <w:r>
        <w:rPr>
          <w:rFonts w:ascii="Times New Roman" w:cs="Times New Roman" w:eastAsia="Times New Roman" w:hAnsi="Times New Roman"/>
          <w:sz w:val="20"/>
          <w:szCs w:val="20"/>
          <w:color w:val="auto"/>
        </w:rPr>
        <w:t>make available to Agent for the account of such Facing Agent such other LC Participant’s applicable Multicurrency Revolver Pro Rata Share or Canadian Revolver Pro Rata Share, as the case may be, of any such payment.</w:t>
      </w:r>
    </w:p>
    <w:p>
      <w:pPr>
        <w:spacing w:after="0" w:line="146" w:lineRule="exact"/>
        <w:rPr>
          <w:sz w:val="20"/>
          <w:szCs w:val="20"/>
          <w:color w:val="auto"/>
        </w:rPr>
      </w:pPr>
    </w:p>
    <w:p>
      <w:pPr>
        <w:jc w:val="both"/>
        <w:ind w:left="660" w:firstLine="907"/>
        <w:spacing w:after="0" w:line="253" w:lineRule="auto"/>
        <w:rPr>
          <w:sz w:val="20"/>
          <w:szCs w:val="20"/>
          <w:color w:val="auto"/>
        </w:rPr>
      </w:pPr>
      <w:r>
        <w:rPr>
          <w:rFonts w:ascii="Times New Roman" w:cs="Times New Roman" w:eastAsia="Times New Roman" w:hAnsi="Times New Roman"/>
          <w:sz w:val="20"/>
          <w:szCs w:val="20"/>
          <w:color w:val="auto"/>
        </w:rPr>
        <w:t xml:space="preserve">2.10.6.1. Whenever any Facing Agent receives a payment of a reimbursement obligation as to which Administrative Agent has received for the account of such Facing Agent any payments from the LC Participants pursuant to this </w:t>
      </w:r>
      <w:r>
        <w:rPr>
          <w:rFonts w:ascii="Times New Roman" w:cs="Times New Roman" w:eastAsia="Times New Roman" w:hAnsi="Times New Roman"/>
          <w:sz w:val="20"/>
          <w:szCs w:val="20"/>
          <w:u w:val="single" w:color="auto"/>
          <w:color w:val="auto"/>
        </w:rPr>
        <w:t>Section 2.10(f)</w:t>
      </w:r>
      <w:r>
        <w:rPr>
          <w:rFonts w:ascii="Times New Roman" w:cs="Times New Roman" w:eastAsia="Times New Roman" w:hAnsi="Times New Roman"/>
          <w:sz w:val="20"/>
          <w:szCs w:val="20"/>
          <w:color w:val="auto"/>
        </w:rPr>
        <w:t>, such Facing Agent shall pay to Administrative Agent and Administrative Agent shall pay to each LC Participant which has paid its Multicurrency Revolver Pro Rata Share or Canadian Revolver Pro Rata Share, as the case may be, thereof, in Dollars or, if in an Alternative Currency, in such Alternative Currency and in same day funds, an amount equal to such LC Participant’s Multicurrency Revolver Pro Rata Share or Canadian Revolver Pro Rata Share, as the case may be, of the principal amount of such reimbursement obligation and interest thereon accruing after the purchase of the respective participations.</w:t>
      </w:r>
    </w:p>
    <w:p>
      <w:pPr>
        <w:spacing w:after="0" w:line="179" w:lineRule="exact"/>
        <w:rPr>
          <w:sz w:val="20"/>
          <w:szCs w:val="20"/>
          <w:color w:val="auto"/>
        </w:rPr>
      </w:pPr>
    </w:p>
    <w:p>
      <w:pPr>
        <w:jc w:val="both"/>
        <w:ind w:left="660" w:firstLine="907"/>
        <w:spacing w:after="0" w:line="258" w:lineRule="auto"/>
        <w:rPr>
          <w:sz w:val="20"/>
          <w:szCs w:val="20"/>
          <w:color w:val="auto"/>
        </w:rPr>
      </w:pPr>
      <w:r>
        <w:rPr>
          <w:rFonts w:ascii="Times New Roman" w:cs="Times New Roman" w:eastAsia="Times New Roman" w:hAnsi="Times New Roman"/>
          <w:sz w:val="20"/>
          <w:szCs w:val="20"/>
          <w:color w:val="auto"/>
        </w:rPr>
        <w:t>2.10.6.2. The obligations of the LC Participants to make payments to each Facing Agent with respect to Letters of Credit issued by it shall be irrevocable and not subject to any qualification or exception whatsoever and shall be made in accordance with the terms and conditions of this Agreement under all circumstances, including, without limitation, any of the following circumstances:</w:t>
      </w:r>
    </w:p>
    <w:p>
      <w:pPr>
        <w:spacing w:after="0" w:line="186"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20"/>
          <w:szCs w:val="20"/>
          <w:color w:val="auto"/>
        </w:rPr>
        <w:t>2.10.6.2.1.</w:t>
      </w:r>
      <w:r>
        <w:rPr>
          <w:sz w:val="20"/>
          <w:szCs w:val="20"/>
          <w:color w:val="auto"/>
        </w:rPr>
        <w:tab/>
      </w:r>
      <w:r>
        <w:rPr>
          <w:rFonts w:ascii="Times New Roman" w:cs="Times New Roman" w:eastAsia="Times New Roman" w:hAnsi="Times New Roman"/>
          <w:sz w:val="19"/>
          <w:szCs w:val="19"/>
          <w:color w:val="auto"/>
        </w:rPr>
        <w:t>any lack of validity or enforceability of this Agreement or any of the other Loan Documents;</w:t>
      </w:r>
    </w:p>
    <w:p>
      <w:pPr>
        <w:spacing w:after="0" w:line="216"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20"/>
          <w:szCs w:val="20"/>
          <w:color w:val="auto"/>
        </w:rPr>
        <w:t>2.10.6.2.2. The existence of any claim, setoff, defense or other right which any Borrower or any of its Subsidiaries may have at any time against a beneficiary named in a Letter of Credit, any transferee of any Letter of Credit (or any Person for whom any such transferee may be acting), Administrative Agent, any LC Participant, or any other Person, whether in connection with this Agreement, any Letter of Credit, the transactions contemplated herein or any unrelated transactions (including any underlying transaction between Crown Holdings or any of its Subsidiaries and the beneficiary named in any such Letter of Credit);</w:t>
      </w:r>
    </w:p>
    <w:p>
      <w:pPr>
        <w:spacing w:after="0" w:line="192" w:lineRule="exact"/>
        <w:rPr>
          <w:sz w:val="20"/>
          <w:szCs w:val="20"/>
          <w:color w:val="auto"/>
        </w:rPr>
      </w:pPr>
    </w:p>
    <w:p>
      <w:pPr>
        <w:jc w:val="both"/>
        <w:ind w:left="1300" w:firstLine="648"/>
        <w:spacing w:after="0" w:line="269" w:lineRule="auto"/>
        <w:rPr>
          <w:sz w:val="20"/>
          <w:szCs w:val="20"/>
          <w:color w:val="auto"/>
        </w:rPr>
      </w:pPr>
      <w:r>
        <w:rPr>
          <w:rFonts w:ascii="Times New Roman" w:cs="Times New Roman" w:eastAsia="Times New Roman" w:hAnsi="Times New Roman"/>
          <w:sz w:val="20"/>
          <w:szCs w:val="20"/>
          <w:color w:val="auto"/>
        </w:rPr>
        <w:t>2.10.6.2.3. any draft, certificate or any other document presented under any Letter of Credit proving to be forged, fraudulent, invalid or insufficient in any respect to any statement therein being untrue or inaccurate in any respect;</w:t>
      </w:r>
    </w:p>
    <w:p>
      <w:pPr>
        <w:spacing w:after="0" w:line="173" w:lineRule="exact"/>
        <w:rPr>
          <w:sz w:val="20"/>
          <w:szCs w:val="20"/>
          <w:color w:val="auto"/>
        </w:rPr>
      </w:pPr>
    </w:p>
    <w:p>
      <w:pPr>
        <w:jc w:val="both"/>
        <w:ind w:left="1300" w:firstLine="648"/>
        <w:spacing w:after="0" w:line="283" w:lineRule="auto"/>
        <w:rPr>
          <w:sz w:val="20"/>
          <w:szCs w:val="20"/>
          <w:color w:val="auto"/>
        </w:rPr>
      </w:pPr>
      <w:r>
        <w:rPr>
          <w:rFonts w:ascii="Times New Roman" w:cs="Times New Roman" w:eastAsia="Times New Roman" w:hAnsi="Times New Roman"/>
          <w:sz w:val="20"/>
          <w:szCs w:val="20"/>
          <w:color w:val="auto"/>
        </w:rPr>
        <w:t>2.10.6.2.4. the surrender or impairment of any security for the performance or observance of any of the terms of any of the Loan Documents; or</w:t>
      </w:r>
    </w:p>
    <w:p>
      <w:pPr>
        <w:spacing w:after="0" w:line="146"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20"/>
          <w:szCs w:val="20"/>
          <w:color w:val="auto"/>
        </w:rPr>
        <w:t>2.10.6.2.5.</w:t>
      </w:r>
      <w:r>
        <w:rPr>
          <w:sz w:val="20"/>
          <w:szCs w:val="20"/>
          <w:color w:val="auto"/>
        </w:rPr>
        <w:tab/>
      </w:r>
      <w:r>
        <w:rPr>
          <w:rFonts w:ascii="Times New Roman" w:cs="Times New Roman" w:eastAsia="Times New Roman" w:hAnsi="Times New Roman"/>
          <w:sz w:val="19"/>
          <w:szCs w:val="19"/>
          <w:color w:val="auto"/>
        </w:rPr>
        <w:t>the occurrence of any Event of Default or Unmatured Event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2.10.7. </w:t>
      </w:r>
      <w:r>
        <w:rPr>
          <w:rFonts w:ascii="Times New Roman" w:cs="Times New Roman" w:eastAsia="Times New Roman" w:hAnsi="Times New Roman"/>
          <w:sz w:val="20"/>
          <w:szCs w:val="20"/>
          <w:u w:val="single" w:color="auto"/>
          <w:color w:val="auto"/>
        </w:rPr>
        <w:t>Fees for Letters of Credit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firstLine="907"/>
        <w:spacing w:after="0" w:line="283" w:lineRule="auto"/>
        <w:rPr>
          <w:sz w:val="20"/>
          <w:szCs w:val="20"/>
          <w:color w:val="auto"/>
        </w:rPr>
      </w:pPr>
      <w:r>
        <w:rPr>
          <w:rFonts w:ascii="Times New Roman" w:cs="Times New Roman" w:eastAsia="Times New Roman" w:hAnsi="Times New Roman"/>
          <w:sz w:val="20"/>
          <w:szCs w:val="20"/>
          <w:color w:val="auto"/>
        </w:rPr>
        <w:t xml:space="preserve">2.10.7.1. </w:t>
      </w:r>
      <w:r>
        <w:rPr>
          <w:rFonts w:ascii="Times New Roman" w:cs="Times New Roman" w:eastAsia="Times New Roman" w:hAnsi="Times New Roman"/>
          <w:sz w:val="20"/>
          <w:szCs w:val="20"/>
          <w:u w:val="single" w:color="auto"/>
          <w:color w:val="auto"/>
        </w:rPr>
        <w:t>Facing Agent Fees</w:t>
      </w:r>
      <w:r>
        <w:rPr>
          <w:rFonts w:ascii="Times New Roman" w:cs="Times New Roman" w:eastAsia="Times New Roman" w:hAnsi="Times New Roman"/>
          <w:sz w:val="20"/>
          <w:szCs w:val="20"/>
          <w:color w:val="auto"/>
        </w:rPr>
        <w:t>. The applicable Borrower agrees to pay the following amount to the respective Facing Agent with respect to the Letters of Credit issued by it for the account of any Borrower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62" w:name="page163"/>
    <w:bookmarkEnd w:id="162"/>
    <w:p>
      <w:pPr>
        <w:jc w:val="both"/>
        <w:ind w:left="1300" w:firstLine="648"/>
        <w:spacing w:after="0" w:line="253" w:lineRule="auto"/>
        <w:rPr>
          <w:sz w:val="20"/>
          <w:szCs w:val="20"/>
          <w:color w:val="auto"/>
        </w:rPr>
      </w:pPr>
      <w:r>
        <w:rPr>
          <w:rFonts w:ascii="Times New Roman" w:cs="Times New Roman" w:eastAsia="Times New Roman" w:hAnsi="Times New Roman"/>
          <w:sz w:val="20"/>
          <w:szCs w:val="20"/>
          <w:color w:val="auto"/>
        </w:rPr>
        <w:t xml:space="preserve">2.10.7.1.1. with respect to payments made under any Letter of Credit, interest, payable on demand, on the amount paid by such Facing Agent in respect of each such payment from the date of the payments through the date such amount is reimbursed by such Borrower (including any such reimbursement out of the proceeds of Revolving Loans or Canadian Revolving Loans, as the case may be, pursuant to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at a rate determined in accordance with the terms of </w:t>
      </w:r>
      <w:r>
        <w:rPr>
          <w:rFonts w:ascii="Times New Roman" w:cs="Times New Roman" w:eastAsia="Times New Roman" w:hAnsi="Times New Roman"/>
          <w:sz w:val="20"/>
          <w:szCs w:val="20"/>
          <w:u w:val="single" w:color="auto"/>
          <w:color w:val="auto"/>
        </w:rPr>
        <w:t>Section 2.10(d)(i)</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20"/>
          <w:szCs w:val="20"/>
          <w:color w:val="auto"/>
        </w:rPr>
        <w:t>2.10.7.1.2. with respect to the issuance or amendment of each Letter of Credit and each payment made thereunder, documentary and processing charges in accordance with Facing Agent’s standard schedule for such charges in effect at the time of such issuance, amendment, transfer or payment, as the case may be; and</w:t>
      </w:r>
    </w:p>
    <w:p>
      <w:pPr>
        <w:spacing w:after="0" w:line="181"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20"/>
          <w:szCs w:val="20"/>
          <w:color w:val="auto"/>
        </w:rPr>
        <w:t xml:space="preserve">2.10.7.1.3. a facing fee equal to one-eighth of one percent (0.125%) per annum of the Stated Amount outstanding and undrawn LC Obligations payable in arrears on each Quarterly Payment Date and on the Revolver Termination Date for the Multicurrency Revolving Facility or the Canadian Revolver Termination Date for the Canadian Revolving Facility, as applicable, and thereafter, on demand together with customary issuance and payment charges;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minimum fee of $500.00 per annum shall be payable per Letter of Credit.</w:t>
      </w:r>
    </w:p>
    <w:p>
      <w:pPr>
        <w:spacing w:after="0" w:line="192" w:lineRule="exact"/>
        <w:rPr>
          <w:sz w:val="20"/>
          <w:szCs w:val="20"/>
          <w:color w:val="auto"/>
        </w:rPr>
      </w:pPr>
    </w:p>
    <w:p>
      <w:pPr>
        <w:jc w:val="both"/>
        <w:ind w:left="660" w:firstLine="907"/>
        <w:spacing w:after="0" w:line="249" w:lineRule="auto"/>
        <w:rPr>
          <w:sz w:val="20"/>
          <w:szCs w:val="20"/>
          <w:color w:val="auto"/>
        </w:rPr>
      </w:pPr>
      <w:r>
        <w:rPr>
          <w:rFonts w:ascii="Times New Roman" w:cs="Times New Roman" w:eastAsia="Times New Roman" w:hAnsi="Times New Roman"/>
          <w:sz w:val="20"/>
          <w:szCs w:val="20"/>
          <w:color w:val="auto"/>
        </w:rPr>
        <w:t xml:space="preserve">2.10.7.2. </w:t>
      </w:r>
      <w:r>
        <w:rPr>
          <w:rFonts w:ascii="Times New Roman" w:cs="Times New Roman" w:eastAsia="Times New Roman" w:hAnsi="Times New Roman"/>
          <w:sz w:val="20"/>
          <w:szCs w:val="20"/>
          <w:u w:val="single" w:color="auto"/>
          <w:color w:val="auto"/>
        </w:rPr>
        <w:t>Participating Lender Fees</w:t>
      </w:r>
      <w:r>
        <w:rPr>
          <w:rFonts w:ascii="Times New Roman" w:cs="Times New Roman" w:eastAsia="Times New Roman" w:hAnsi="Times New Roman"/>
          <w:sz w:val="20"/>
          <w:szCs w:val="20"/>
          <w:color w:val="auto"/>
        </w:rPr>
        <w:t>. Each Borrower agrees to pay to Administrative Agent or the Canadian Administrative Agent, in the case of Canadian Borrower, in the currency in which such Letter of Credit is denominated for distribution to each LC Participant (A) in respect of all Multicurrency Letters of Credit issued for the account of such Borrower outstanding such Lender’s Multicurrency Revolver Pro Rata Share of a commission equal to the then Applicable Adjusted Term SOFR Margin, Eurocurrency Margin or RFR Margin, as applicable, for Multicurrency Revolving Loans with respect to the Effective Amount under such outstanding Letters of Credit (the “</w:t>
      </w:r>
      <w:r>
        <w:rPr>
          <w:rFonts w:ascii="Times New Roman" w:cs="Times New Roman" w:eastAsia="Times New Roman" w:hAnsi="Times New Roman"/>
          <w:sz w:val="20"/>
          <w:szCs w:val="20"/>
          <w:u w:val="single" w:color="auto"/>
          <w:color w:val="auto"/>
        </w:rPr>
        <w:t>Multicurrency LC Commission</w:t>
      </w:r>
      <w:r>
        <w:rPr>
          <w:rFonts w:ascii="Times New Roman" w:cs="Times New Roman" w:eastAsia="Times New Roman" w:hAnsi="Times New Roman"/>
          <w:sz w:val="20"/>
          <w:szCs w:val="20"/>
          <w:color w:val="auto"/>
        </w:rPr>
        <w:t>”) payable in arrears on each Quarterly Payment Date, on the Revolver Termination Date for the Multicurrency Revolving Facility and thereafter, on demand, (B) in respect of all Dollar Letters of Credit issued for the account of such Borrower outstanding such Lender’s Dollar Revolver Pro Rata Share of a commission equal to the then Applicable Adjusted Term SOFR Margin for Dollar Revolving Loans with respect to the Effective Amount under such outstanding Letters of Credit (the “</w:t>
      </w:r>
      <w:r>
        <w:rPr>
          <w:rFonts w:ascii="Times New Roman" w:cs="Times New Roman" w:eastAsia="Times New Roman" w:hAnsi="Times New Roman"/>
          <w:sz w:val="20"/>
          <w:szCs w:val="20"/>
          <w:u w:val="single" w:color="auto"/>
          <w:color w:val="auto"/>
        </w:rPr>
        <w:t>Dollar LC Commission</w:t>
      </w:r>
      <w:r>
        <w:rPr>
          <w:rFonts w:ascii="Times New Roman" w:cs="Times New Roman" w:eastAsia="Times New Roman" w:hAnsi="Times New Roman"/>
          <w:sz w:val="20"/>
          <w:szCs w:val="20"/>
          <w:color w:val="auto"/>
        </w:rPr>
        <w:t>”) and (C) in respect of all Canadian Letters of Credit issued for the account of such Borrower outstanding such Lender’s Canadian Revolver Pro Rata Share of a commission equal to the then Applicable B/A Margin for Canadian Revolving Loans with respect to the Effective Amount under such outstanding Letters of Credit (the “</w:t>
      </w:r>
      <w:r>
        <w:rPr>
          <w:rFonts w:ascii="Times New Roman" w:cs="Times New Roman" w:eastAsia="Times New Roman" w:hAnsi="Times New Roman"/>
          <w:sz w:val="20"/>
          <w:szCs w:val="20"/>
          <w:u w:val="single" w:color="auto"/>
          <w:color w:val="auto"/>
        </w:rPr>
        <w:t>Canadian LC Commission</w:t>
      </w:r>
      <w:r>
        <w:rPr>
          <w:rFonts w:ascii="Times New Roman" w:cs="Times New Roman" w:eastAsia="Times New Roman" w:hAnsi="Times New Roman"/>
          <w:sz w:val="20"/>
          <w:szCs w:val="20"/>
          <w:color w:val="auto"/>
        </w:rPr>
        <w:t>”) payable in arrears on each Quarterly Payment Date, on the Canadian Revolver Termination Date and thereafter, on demand. Each of the Multicurrency LC Commission, the Dollar LC Commission and the Canadian LC Commission shall be computed on a daily basis from the first day of issuance of each Letter of Credit and on the basis of the actual number of days elapsed over a year of 360 days.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Promptly upon receipt by the respective Facing Agent or Administrative Agent or the Canadian Administrative Agent, in the case of Canadian Borrower, of any amount described in </w:t>
      </w:r>
      <w:r>
        <w:rPr>
          <w:rFonts w:ascii="Times New Roman" w:cs="Times New Roman" w:eastAsia="Times New Roman" w:hAnsi="Times New Roman"/>
          <w:sz w:val="20"/>
          <w:szCs w:val="20"/>
          <w:u w:val="single" w:color="auto"/>
          <w:color w:val="auto"/>
        </w:rPr>
        <w:t>clause (i)(A)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2.10(g)</w:t>
      </w:r>
      <w:r>
        <w:rPr>
          <w:rFonts w:ascii="Times New Roman" w:cs="Times New Roman" w:eastAsia="Times New Roman" w:hAnsi="Times New Roman"/>
          <w:sz w:val="20"/>
          <w:szCs w:val="20"/>
          <w:color w:val="auto"/>
        </w:rPr>
        <w:t xml:space="preserve">, such Facing Agent or Administrative Agent or the Canadian Administrative Agent, in the case of Canadian Borrower, shall distribute to each Lender that has reimbursed such Facing Agent in accordance with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its Multicurrency Revolver Pro Rata Share or Canadian</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63" w:name="page164"/>
    <w:bookmarkEnd w:id="163"/>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Revolver Pro Rata Share of such amount. Amounts payable under </w:t>
      </w:r>
      <w:r>
        <w:rPr>
          <w:rFonts w:ascii="Times New Roman" w:cs="Times New Roman" w:eastAsia="Times New Roman" w:hAnsi="Times New Roman"/>
          <w:sz w:val="20"/>
          <w:szCs w:val="20"/>
          <w:u w:val="single" w:color="auto"/>
          <w:color w:val="auto"/>
        </w:rPr>
        <w:t>clauses (i)(B)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2.10(g)</w:t>
      </w:r>
      <w:r>
        <w:rPr>
          <w:rFonts w:ascii="Times New Roman" w:cs="Times New Roman" w:eastAsia="Times New Roman" w:hAnsi="Times New Roman"/>
          <w:sz w:val="20"/>
          <w:szCs w:val="20"/>
          <w:color w:val="auto"/>
        </w:rPr>
        <w:t xml:space="preserve"> shall be paid directly to such Facing Agent.</w:t>
      </w:r>
    </w:p>
    <w:p>
      <w:pPr>
        <w:spacing w:after="0" w:line="14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2.10.8. </w:t>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In addition to amounts payable as elsewhere provided in this Agreement, each Borrower hereby agrees to protect, indemnify, pay and hold each Facing Agent harmless, on an after-Tax basis, from and against any and all claims, demands, liabilities, damages, losses, costs, charges and expenses (including reasonable attorneys’ fees) which any Facing Agent may incur or be subject to as a consequence, direct or indirect, of (i) the issuance of the Letters of Credit, other than as a result of the gross negligence or willful misconduct as determined by a final and non-appealable judgment rendered by a court of competent jurisdiction of the applicable with respect to such Facing Agent or (ii) the failure of the applicable Facing Agent to honor a Drawing under any Letter of Credit as a result of any act or omission, whether rightful or wrongful, of any present or future de jure or de facto government or Governmental Authority (all such acts or omissions herein called “</w:t>
      </w:r>
      <w:r>
        <w:rPr>
          <w:rFonts w:ascii="Times New Roman" w:cs="Times New Roman" w:eastAsia="Times New Roman" w:hAnsi="Times New Roman"/>
          <w:sz w:val="19"/>
          <w:szCs w:val="19"/>
          <w:u w:val="single" w:color="auto"/>
          <w:color w:val="auto"/>
        </w:rPr>
        <w:t>Government Acts</w:t>
      </w:r>
      <w:r>
        <w:rPr>
          <w:rFonts w:ascii="Times New Roman" w:cs="Times New Roman" w:eastAsia="Times New Roman" w:hAnsi="Times New Roman"/>
          <w:sz w:val="19"/>
          <w:szCs w:val="19"/>
          <w:color w:val="auto"/>
        </w:rPr>
        <w:t>”). As between any Borrower and each Facing Agent, such Borrower assumes all risks of the acts and omissions of, or misuse of the Letters of Credit issued by any Facing Agent by, the respective beneficiaries of such Letters of Credit. In furtherance and not in limitation of the foregoing, no Facing Agent shall be responsible: (i) for the form, validity, sufficiency, accuracy, genuineness or legal effect of any document submitted by any party in connection with the application for and issuance of or any Drawing under such Letters of Credit, even if it should in fact prove to be in any or all respects invalid, insufficient, inaccurate, fraudulent or forged;</w:t>
      </w:r>
    </w:p>
    <w:p>
      <w:pPr>
        <w:spacing w:after="0" w:line="8" w:lineRule="exact"/>
        <w:rPr>
          <w:sz w:val="20"/>
          <w:szCs w:val="20"/>
          <w:color w:val="auto"/>
        </w:rPr>
      </w:pPr>
    </w:p>
    <w:p>
      <w:pPr>
        <w:jc w:val="both"/>
        <w:ind w:firstLine="8"/>
        <w:spacing w:after="0" w:line="261" w:lineRule="auto"/>
        <w:tabs>
          <w:tab w:leader="none" w:pos="301"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validity or sufficiency of any instrument transferring or assigning or purporting to transfer or assign any such Letter of Credit or the rights or benefits thereunder or proceeds thereof, in whole or in part, which may prove to be invalid or ineffective for any reason; (iii) for failure of the beneficiary of any such Letter of Credit to comply fully with conditions required in order to draw upon such Letter of Credit;</w:t>
      </w:r>
    </w:p>
    <w:p>
      <w:pPr>
        <w:spacing w:after="0" w:line="2" w:lineRule="exact"/>
        <w:rPr>
          <w:rFonts w:ascii="Times New Roman" w:cs="Times New Roman" w:eastAsia="Times New Roman" w:hAnsi="Times New Roman"/>
          <w:sz w:val="19"/>
          <w:szCs w:val="19"/>
          <w:color w:val="auto"/>
        </w:rPr>
      </w:pPr>
    </w:p>
    <w:p>
      <w:pPr>
        <w:jc w:val="both"/>
        <w:ind w:firstLine="8"/>
        <w:spacing w:after="0" w:line="248" w:lineRule="auto"/>
        <w:tabs>
          <w:tab w:leader="none" w:pos="34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errors, omissions, interruptions or delays in transmission or delivery of any messages, by mail, cable, telegraph, telex or otherwise, whether or not they be in cipher; (v) for errors in interpretation of technical terms; (vi) for any loss or delay in the transmission or otherwise of any document required in order to make a Drawing under any such Letter of Credit or of the proceeds thereof; (vii) for the misapplication by the beneficiary of any such Letter of Credit of the proceeds of any Drawing under such Letter of Credit; and (viii) for any consequences arising from causes beyond the control of the applicable Facing Agent, including, without limitation, any Government Acts. None of the above shall affect, impair, or prevent the vesting of any of the applicable Facing Agent’s rights or powers hereunder. For the avoidance of doubt, this </w:t>
      </w:r>
      <w:r>
        <w:rPr>
          <w:rFonts w:ascii="Times New Roman" w:cs="Times New Roman" w:eastAsia="Times New Roman" w:hAnsi="Times New Roman"/>
          <w:sz w:val="20"/>
          <w:szCs w:val="20"/>
          <w:u w:val="single" w:color="auto"/>
          <w:color w:val="auto"/>
        </w:rPr>
        <w:t>Section 2.10(h)</w:t>
      </w:r>
      <w:r>
        <w:rPr>
          <w:rFonts w:ascii="Times New Roman" w:cs="Times New Roman" w:eastAsia="Times New Roman" w:hAnsi="Times New Roman"/>
          <w:sz w:val="20"/>
          <w:szCs w:val="20"/>
          <w:color w:val="auto"/>
        </w:rPr>
        <w:t xml:space="preserve"> shall not apply to Taxes, except any Taxes that represent claims, demands, liabilities, damages, losses, costs, charges and expenses arising from any non-Tax claim.</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furtherance and extension and not in limitation of the specific provisions hereinabove set forth, any action taken or omitted by any Facing Agent under or in connection with the Letters of Credit issued by it or the related certificates, if taken or omitted in good faith, and in the absence of gross negligence or willful misconduct as determined by a final and non-appealable judgment rendered by a court of competent jurisdiction, shall not put any Facing Agent under any resulting liability to any Borrower.</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no Borrower shall have any obligation to indemnify any Facing Agent in respect of any liability incurred by such Facing Agent to the extent arising out of the gross negligence or willful misconduct of such Facing Agent. The right of indemnification in the first paragraph of this </w:t>
      </w:r>
      <w:r>
        <w:rPr>
          <w:rFonts w:ascii="Times New Roman" w:cs="Times New Roman" w:eastAsia="Times New Roman" w:hAnsi="Times New Roman"/>
          <w:sz w:val="20"/>
          <w:szCs w:val="20"/>
          <w:u w:val="single" w:color="auto"/>
          <w:color w:val="auto"/>
        </w:rPr>
        <w:t>Section 2.10(h)</w:t>
      </w:r>
      <w:r>
        <w:rPr>
          <w:rFonts w:ascii="Times New Roman" w:cs="Times New Roman" w:eastAsia="Times New Roman" w:hAnsi="Times New Roman"/>
          <w:sz w:val="20"/>
          <w:szCs w:val="20"/>
          <w:color w:val="auto"/>
        </w:rPr>
        <w:t xml:space="preserve"> shall not prejudice any rights that any Borrower may otherwise have against each Facing Agent with respect to a Letter of Credit issued hereunder.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64" w:name="page165"/>
    <w:bookmarkEnd w:id="164"/>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2.10.9. </w:t>
      </w: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 xml:space="preserve">. If at any time after the Incremental Amendment No. 3 and Fifth Amendment Effective Date any Change in Law shall (i) impose, modify or make applicable any reserve, deposit, capital adequacy or similar requirement against letters of credit issued by any Facing Agent or participated in by any Lender, (ii) subject any Recipient to any Taxes (other than (A) Indemnified Taxes and (B) Excluded Taxes) on its loans, letters of credit commitments, or other obligations, or its deposits, reserves, other liabilities or capital attributable thereto, or (iii) impose on any Facing Agent or any Lender any other conditions relating, directly or indirectly, to this Agreement or any Letter of Credit; and the result of any of the foregoing is to increase the cost to any Facing Agent or any Lender or any such other Recipient of issuing, maintaining or participating in any Letter of Credit, or reduce the amount of any sum received or receivable by such Facing Agent, or Lender or other Recipient hereunder or reduce the rate of return on its capital with respect to Letters of Credit, then, upon demand to the applicable Borrower by the respective Facing Agent, Lender or other Recipient (a copy of which demand shall be sent by such Facing Agent, Lender or other Recipient to Administrative Agent), the applicable Borrower shall pay to such Facing Agent, Lender or other Recipient such additional amount or amounts as will compensate such Facing Agent, Lender or other Recipient for such increased cost or reduction in the amount receivable or reduction on the rate of return on its capital. Each Recipient, upon determining that any additional amounts will be payable pursuant to this </w:t>
      </w:r>
      <w:r>
        <w:rPr>
          <w:rFonts w:ascii="Times New Roman" w:cs="Times New Roman" w:eastAsia="Times New Roman" w:hAnsi="Times New Roman"/>
          <w:sz w:val="20"/>
          <w:szCs w:val="20"/>
          <w:u w:val="single" w:color="auto"/>
          <w:color w:val="auto"/>
        </w:rPr>
        <w:t>Section 2.10(i)</w:t>
      </w:r>
      <w:r>
        <w:rPr>
          <w:rFonts w:ascii="Times New Roman" w:cs="Times New Roman" w:eastAsia="Times New Roman" w:hAnsi="Times New Roman"/>
          <w:sz w:val="20"/>
          <w:szCs w:val="20"/>
          <w:color w:val="auto"/>
        </w:rPr>
        <w:t xml:space="preserve">, will give prompt written notice thereof to the applicable Borrower, which notice shall include a certificate submitted to the applicable Borrower by the respective Recipient (a copy of which certificate shall be sent by such Recipient to Administrative Agent), setting forth in reasonable detail the basis for the calculation of such additional amount or amounts necessary to compensate such Recipient, although failure to give any such notice shall not release or diminish any Credit Party’s obligations to pay additional amounts pursuant to this </w:t>
      </w:r>
      <w:r>
        <w:rPr>
          <w:rFonts w:ascii="Times New Roman" w:cs="Times New Roman" w:eastAsia="Times New Roman" w:hAnsi="Times New Roman"/>
          <w:sz w:val="20"/>
          <w:szCs w:val="20"/>
          <w:u w:val="single" w:color="auto"/>
          <w:color w:val="auto"/>
        </w:rPr>
        <w:t>Section 2.10(i)</w:t>
      </w:r>
      <w:r>
        <w:rPr>
          <w:rFonts w:ascii="Times New Roman" w:cs="Times New Roman" w:eastAsia="Times New Roman" w:hAnsi="Times New Roman"/>
          <w:sz w:val="20"/>
          <w:szCs w:val="20"/>
          <w:color w:val="auto"/>
        </w:rPr>
        <w:t xml:space="preserve">. The certificate required to be delivered pursuant to this </w:t>
      </w:r>
      <w:r>
        <w:rPr>
          <w:rFonts w:ascii="Times New Roman" w:cs="Times New Roman" w:eastAsia="Times New Roman" w:hAnsi="Times New Roman"/>
          <w:sz w:val="20"/>
          <w:szCs w:val="20"/>
          <w:u w:val="single" w:color="auto"/>
          <w:color w:val="auto"/>
        </w:rPr>
        <w:t>Section 2.10(i)</w:t>
      </w:r>
      <w:r>
        <w:rPr>
          <w:rFonts w:ascii="Times New Roman" w:cs="Times New Roman" w:eastAsia="Times New Roman" w:hAnsi="Times New Roman"/>
          <w:sz w:val="20"/>
          <w:szCs w:val="20"/>
          <w:color w:val="auto"/>
        </w:rPr>
        <w:t xml:space="preserve"> shall, absent manifest error, be final, conclusive and binding on the Credit Parties.</w:t>
      </w:r>
    </w:p>
    <w:p>
      <w:pPr>
        <w:spacing w:after="0" w:line="20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2.10.10.</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The letters of credit set forth under the caption “Letters of Credit outstanding on the Effective Date” on </w:t>
      </w:r>
      <w:r>
        <w:rPr>
          <w:rFonts w:ascii="Times New Roman" w:cs="Times New Roman" w:eastAsia="Times New Roman" w:hAnsi="Times New Roman"/>
          <w:sz w:val="20"/>
          <w:szCs w:val="20"/>
          <w:u w:val="single" w:color="auto"/>
          <w:color w:val="auto"/>
        </w:rPr>
        <w:t>Schedule 2.10(j)</w:t>
      </w:r>
      <w:r>
        <w:rPr>
          <w:rFonts w:ascii="Times New Roman" w:cs="Times New Roman" w:eastAsia="Times New Roman" w:hAnsi="Times New Roman"/>
          <w:sz w:val="20"/>
          <w:szCs w:val="20"/>
          <w:color w:val="auto"/>
        </w:rPr>
        <w:t xml:space="preserve"> annexed hereto and made a part hereof which were issued pursuant to the Existing Credit Agreement and which remain outstanding as of the Effective Date (the “</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Each Borrower, each Facing Agent and each of the Lenders hereby agree with respect to the Existing Letters of Credit that such Existing Letters of Credit, for all purposes under this Agreement shall be deemed to be Letters of Credit (as indicated on </w:t>
      </w:r>
      <w:r>
        <w:rPr>
          <w:rFonts w:ascii="Times New Roman" w:cs="Times New Roman" w:eastAsia="Times New Roman" w:hAnsi="Times New Roman"/>
          <w:sz w:val="20"/>
          <w:szCs w:val="20"/>
          <w:u w:val="single" w:color="auto"/>
          <w:color w:val="auto"/>
        </w:rPr>
        <w:t>Schedule 2.10(j)</w:t>
      </w:r>
      <w:r>
        <w:rPr>
          <w:rFonts w:ascii="Times New Roman" w:cs="Times New Roman" w:eastAsia="Times New Roman" w:hAnsi="Times New Roman"/>
          <w:sz w:val="20"/>
          <w:szCs w:val="20"/>
          <w:color w:val="auto"/>
        </w:rPr>
        <w:t>), governed by the terms and conditions of this Agreement. Each Lender agrees to participate in each Existing Letter of Credit issued by any Facing Agent in an amount equal to its Multicurrency Revolver Pro Rata Share or Canadian Revolver Pro Rata Share, as the case may be, of the Stated Amount of such Existing Letter of Credit.</w:t>
      </w:r>
    </w:p>
    <w:p>
      <w:pPr>
        <w:spacing w:after="0" w:line="19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2.11. Pro Rata Borrowings. Except as expressly provided in </w:t>
      </w:r>
      <w:r>
        <w:rPr>
          <w:rFonts w:ascii="Times New Roman" w:cs="Times New Roman" w:eastAsia="Times New Roman" w:hAnsi="Times New Roman"/>
          <w:sz w:val="20"/>
          <w:szCs w:val="20"/>
          <w:u w:val="single" w:color="auto"/>
          <w:color w:val="auto"/>
        </w:rPr>
        <w:t>Section 2A.9(e)</w:t>
      </w:r>
      <w:r>
        <w:rPr>
          <w:rFonts w:ascii="Times New Roman" w:cs="Times New Roman" w:eastAsia="Times New Roman" w:hAnsi="Times New Roman"/>
          <w:sz w:val="20"/>
          <w:szCs w:val="20"/>
          <w:color w:val="auto"/>
        </w:rPr>
        <w:t xml:space="preserve">, Borrowings of Loans under this Agreement shall be loaned by the applicable Lenders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on the basis of their applicable Facility Commitments. No Lender shall be responsible for any default by any other Lender in its obligation to make Loans hereunder and each Lender shall be obligated to make the Loans provided to be made by it hereunder, regardless of the failure of any other Lender to fulfill its Commitments hereunder.</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Defaulting Lenders.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2.12.1. </w:t>
      </w:r>
      <w:r>
        <w:rPr>
          <w:rFonts w:ascii="Times New Roman" w:cs="Times New Roman" w:eastAsia="Times New Roman" w:hAnsi="Times New Roman"/>
          <w:sz w:val="20"/>
          <w:szCs w:val="20"/>
          <w:u w:val="single" w:color="auto"/>
          <w:color w:val="auto"/>
        </w:rPr>
        <w:t>Reallocation of Defaulting Lender Commitment, Etc</w:t>
      </w:r>
      <w:r>
        <w:rPr>
          <w:rFonts w:ascii="Times New Roman" w:cs="Times New Roman" w:eastAsia="Times New Roman" w:hAnsi="Times New Roman"/>
          <w:sz w:val="20"/>
          <w:szCs w:val="20"/>
          <w:color w:val="auto"/>
        </w:rPr>
        <w:t>. If a Lender becomes, and during the period it remains, a Defaulting Lender, the following provisions shall apply with respect to any outstanding Letter of Credit Exposure and any outstanding Swing Line Exposure of such Defaulting Lender: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65" w:name="page166"/>
    <w:bookmarkEnd w:id="165"/>
    <w:p>
      <w:pPr>
        <w:jc w:val="both"/>
        <w:ind w:left="4" w:firstLine="907"/>
        <w:spacing w:after="0" w:line="265" w:lineRule="auto"/>
        <w:rPr>
          <w:sz w:val="20"/>
          <w:szCs w:val="20"/>
          <w:color w:val="auto"/>
        </w:rPr>
      </w:pPr>
      <w:r>
        <w:rPr>
          <w:rFonts w:ascii="Times New Roman" w:cs="Times New Roman" w:eastAsia="Times New Roman" w:hAnsi="Times New Roman"/>
          <w:sz w:val="19"/>
          <w:szCs w:val="19"/>
          <w:color w:val="auto"/>
        </w:rPr>
        <w:t xml:space="preserve">2.12.1.1. so long as no Event of Default has occurred and is continuing, the Letter of Credit Exposure and Swing Line Exposure of such Defaulting Lender will, subject to the limitation in the first proviso below, automatically be reallocated (effective on the day such Lender becomes a Defaulting Lender) among the Non-Defaulting Lenders </w:t>
      </w:r>
      <w:r>
        <w:rPr>
          <w:rFonts w:ascii="Times New Roman" w:cs="Times New Roman" w:eastAsia="Times New Roman" w:hAnsi="Times New Roman"/>
          <w:sz w:val="19"/>
          <w:szCs w:val="19"/>
          <w:u w:val="single" w:color="auto"/>
          <w:color w:val="auto"/>
        </w:rPr>
        <w:t>pro rata</w:t>
      </w:r>
      <w:r>
        <w:rPr>
          <w:rFonts w:ascii="Times New Roman" w:cs="Times New Roman" w:eastAsia="Times New Roman" w:hAnsi="Times New Roman"/>
          <w:sz w:val="19"/>
          <w:szCs w:val="19"/>
          <w:color w:val="auto"/>
        </w:rPr>
        <w:t xml:space="preserve"> in accordance with their respective Revolving Commitments under the applicable Revolving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after giving effect to such reallocation,</w:t>
      </w:r>
    </w:p>
    <w:p>
      <w:pPr>
        <w:spacing w:after="0" w:line="2" w:lineRule="exact"/>
        <w:rPr>
          <w:sz w:val="20"/>
          <w:szCs w:val="20"/>
          <w:color w:val="auto"/>
        </w:rPr>
      </w:pPr>
    </w:p>
    <w:p>
      <w:pPr>
        <w:jc w:val="both"/>
        <w:ind w:left="4" w:hanging="4"/>
        <w:spacing w:after="0" w:line="249" w:lineRule="auto"/>
        <w:tabs>
          <w:tab w:leader="none" w:pos="30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each Non-Defaulting Lender’s total of the Revolving Credit Exposure may not in any event exceed the Revolving Commitment of such Non-Defaulting Lender as in effect at the time of such reallocation, (y) the sum of each Non-Defaulting Lender’s total of the Multicurrency Revolving Credit Exposure may not in any event exceed the Multicurrency Revolving Commitment of such Non-Defaulting Lender as in effect at the time of such reallocation and (z) the sum of each Non-Defaulting Lender’s total of the Canadian Revolving Credit Exposure may not in any event exceed the Canadian Revolving Commitment of such Non-Defaulting Lender as in effect at the time of such reallocation and (b) subject to </w:t>
      </w:r>
      <w:r>
        <w:rPr>
          <w:rFonts w:ascii="Times New Roman" w:cs="Times New Roman" w:eastAsia="Times New Roman" w:hAnsi="Times New Roman"/>
          <w:sz w:val="20"/>
          <w:szCs w:val="20"/>
          <w:u w:val="single" w:color="auto"/>
          <w:color w:val="auto"/>
        </w:rPr>
        <w:t>Section 12.20</w:t>
      </w:r>
      <w:r>
        <w:rPr>
          <w:rFonts w:ascii="Times New Roman" w:cs="Times New Roman" w:eastAsia="Times New Roman" w:hAnsi="Times New Roman"/>
          <w:sz w:val="20"/>
          <w:szCs w:val="20"/>
          <w:color w:val="auto"/>
        </w:rPr>
        <w:t>, neither such reallocation nor any payment by a Non-Defaulting Lender pursuant thereto will constitute a waiver or release of any claim the Borrowers, the Administrative Agent, the Facing Agents, the Swing Line Lender or any other Lender may have against such Defaulting Lender or cause such Defaulting Lender to be a Non-Defaulting Lender; and</w:t>
      </w:r>
    </w:p>
    <w:p>
      <w:pPr>
        <w:spacing w:after="0" w:line="193" w:lineRule="exact"/>
        <w:rPr>
          <w:sz w:val="20"/>
          <w:szCs w:val="20"/>
          <w:color w:val="auto"/>
        </w:rPr>
      </w:pPr>
    </w:p>
    <w:p>
      <w:pPr>
        <w:jc w:val="both"/>
        <w:ind w:left="4" w:firstLine="907"/>
        <w:spacing w:after="0" w:line="251" w:lineRule="auto"/>
        <w:rPr>
          <w:sz w:val="20"/>
          <w:szCs w:val="20"/>
          <w:color w:val="auto"/>
        </w:rPr>
      </w:pPr>
      <w:r>
        <w:rPr>
          <w:rFonts w:ascii="Times New Roman" w:cs="Times New Roman" w:eastAsia="Times New Roman" w:hAnsi="Times New Roman"/>
          <w:sz w:val="20"/>
          <w:szCs w:val="20"/>
          <w:color w:val="auto"/>
        </w:rPr>
        <w:t>2.12.1.2. to the extent that any portion (the “</w:t>
      </w:r>
      <w:r>
        <w:rPr>
          <w:rFonts w:ascii="Times New Roman" w:cs="Times New Roman" w:eastAsia="Times New Roman" w:hAnsi="Times New Roman"/>
          <w:sz w:val="20"/>
          <w:szCs w:val="20"/>
          <w:u w:val="single" w:color="auto"/>
          <w:color w:val="auto"/>
        </w:rPr>
        <w:t>Unreallocated Portion</w:t>
      </w:r>
      <w:r>
        <w:rPr>
          <w:rFonts w:ascii="Times New Roman" w:cs="Times New Roman" w:eastAsia="Times New Roman" w:hAnsi="Times New Roman"/>
          <w:sz w:val="20"/>
          <w:szCs w:val="20"/>
          <w:color w:val="auto"/>
        </w:rPr>
        <w:t>”) of the Defaulting Lender’s Letter of Credit Exposure and Swing Line Exposure cannot be so reallocated, whether by reason of the first proviso in clause (i) above or otherwise, the Borrower will, not later than two Business Days after demand by the Administrative Agent (at the direction of any Facing Agent and/or the Swing Line Lender, as the case may be), (a) cash collateralize the obligations of the Borrower to the Facing Agents and the Swing Line Lender in respect of such Letter of Credit Exposure and the Swing Line Exposure of such Defaulting Lender, as the case may be, in an amount at least equal to the aggregate amount of the Unreallocated Portion of such Letter of Credit Exposure and Swing Line Exposure or (b) in the case of such Swing Line Exposure, prepay in full the Unreallocated Portion of the Swing Line Exposure of such Defaulting Lender.</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 xml:space="preserve">2.12.2. </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4" w:firstLine="907"/>
        <w:spacing w:after="0" w:line="258" w:lineRule="auto"/>
        <w:rPr>
          <w:sz w:val="20"/>
          <w:szCs w:val="20"/>
          <w:color w:val="auto"/>
        </w:rPr>
      </w:pPr>
      <w:r>
        <w:rPr>
          <w:rFonts w:ascii="Times New Roman" w:cs="Times New Roman" w:eastAsia="Times New Roman" w:hAnsi="Times New Roman"/>
          <w:sz w:val="20"/>
          <w:szCs w:val="20"/>
          <w:color w:val="auto"/>
        </w:rPr>
        <w:t xml:space="preserve">2.12.2.1. Anything herein to the contrary notwithstanding, during such period as a Lender is a Defaulting Lender, such Defaulting Lender will not be entitled to any Commitment Fee accruing during such period pursuant to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and the Borrowers shall no longer be required to pay the portion of the Commitment Fee accruing during such period that would have been payable to such Defaulting Lender.</w:t>
      </w:r>
    </w:p>
    <w:p>
      <w:pPr>
        <w:spacing w:after="0" w:line="172" w:lineRule="exact"/>
        <w:rPr>
          <w:sz w:val="20"/>
          <w:szCs w:val="20"/>
          <w:color w:val="auto"/>
        </w:rPr>
      </w:pPr>
    </w:p>
    <w:p>
      <w:pPr>
        <w:jc w:val="both"/>
        <w:ind w:left="4" w:firstLine="907"/>
        <w:spacing w:after="0" w:line="253" w:lineRule="auto"/>
        <w:rPr>
          <w:sz w:val="20"/>
          <w:szCs w:val="20"/>
          <w:color w:val="auto"/>
        </w:rPr>
      </w:pPr>
      <w:r>
        <w:rPr>
          <w:rFonts w:ascii="Times New Roman" w:cs="Times New Roman" w:eastAsia="Times New Roman" w:hAnsi="Times New Roman"/>
          <w:sz w:val="20"/>
          <w:szCs w:val="20"/>
          <w:color w:val="auto"/>
        </w:rPr>
        <w:t xml:space="preserve">2.12.2.2. Anything herein to the contrary notwithstanding, during such period as a Lender is a Defaulting Lender, such Defaulting Lender will not be entitled to any Letter of Credit fees accruing during such period (without prejudice to the rights of the Non-Defaulting Lenders in respect of such fees to the extent provided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to the extent that all or a portion of the Letter of Credit Exposure of a Defaulting Lender is reallocated to the Non-Defaulting Lenders pursuant to </w:t>
      </w:r>
      <w:r>
        <w:rPr>
          <w:rFonts w:ascii="Times New Roman" w:cs="Times New Roman" w:eastAsia="Times New Roman" w:hAnsi="Times New Roman"/>
          <w:sz w:val="20"/>
          <w:szCs w:val="20"/>
          <w:u w:val="single" w:color="auto"/>
          <w:color w:val="auto"/>
        </w:rPr>
        <w:t>Section 2.12(a)(i)</w:t>
      </w:r>
      <w:r>
        <w:rPr>
          <w:rFonts w:ascii="Times New Roman" w:cs="Times New Roman" w:eastAsia="Times New Roman" w:hAnsi="Times New Roman"/>
          <w:sz w:val="20"/>
          <w:szCs w:val="20"/>
          <w:color w:val="auto"/>
        </w:rPr>
        <w:t xml:space="preserve">, such fees that would have accrued for the benefit of such Defaulting Lender will instead accrue for the benefit of and be payable to such Non-Defaulting Lenders,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in accordance with their respective Revolving Commitments, and (y) to the extent any portion of such Letter of Credit Exposure cannot be so reallocated, such Letter of Credit fees will instead accrue for the benefit of and be payable to the Facing Agents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112</w:t>
      </w:r>
    </w:p>
    <w:p>
      <w:pPr>
        <w:spacing w:after="0" w:line="67" w:lineRule="exact"/>
        <w:rPr>
          <w:sz w:val="20"/>
          <w:szCs w:val="20"/>
          <w:color w:val="auto"/>
        </w:rPr>
      </w:pPr>
    </w:p>
    <w:p>
      <w:pPr>
        <w:ind w:left="2044"/>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4"/>
          </w:cols>
          <w:pgMar w:left="976" w:top="1413" w:right="339" w:bottom="1440" w:gutter="0" w:footer="0" w:header="0"/>
        </w:sectPr>
      </w:pPr>
    </w:p>
    <w:bookmarkStart w:id="166" w:name="page167"/>
    <w:bookmarkEnd w:id="166"/>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 xml:space="preserve">based on their pro rata share of the undrawn face amount of Letters of Credit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and so long as the Borrowers shall have cash collateralized Letter of Credit Exposure of a Defaulting Lender as required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then the Borrower shall no longer be required to pay Letter of Credit fees in respect of such cash collateralized amounts in respect of the Letter of Credit Exposure of such Defaulting Lender.</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2.12.3. </w:t>
      </w:r>
      <w:r>
        <w:rPr>
          <w:rFonts w:ascii="Times New Roman" w:cs="Times New Roman" w:eastAsia="Times New Roman" w:hAnsi="Times New Roman"/>
          <w:sz w:val="20"/>
          <w:szCs w:val="20"/>
          <w:u w:val="single" w:color="auto"/>
          <w:color w:val="auto"/>
        </w:rPr>
        <w:t>Termination of Defaulting Lender Commitment</w:t>
      </w:r>
      <w:r>
        <w:rPr>
          <w:rFonts w:ascii="Times New Roman" w:cs="Times New Roman" w:eastAsia="Times New Roman" w:hAnsi="Times New Roman"/>
          <w:sz w:val="20"/>
          <w:szCs w:val="20"/>
          <w:color w:val="auto"/>
        </w:rPr>
        <w:t xml:space="preserve">. So long as no Unmatured Event of Default or Event of Default has occurred and is continuing, the Borrowers may terminate the unused amount of the Revolving Commitment of a Defaulting Lender upon not less than three Business Days’ prior notice to the Administrative Agent (which will promptly notify the Lenders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prior to any such termination, the Borrower shall have repaid in full all outstanding Revolving Loans (without any reduction of the Revolving Commitments) and all accrued but unpaid interest and fees hereunder owing to all Lenders and (ii) such termination will not be deemed to be a waiver or release of any claim the Borrowers, the Administrative Agent, the Facing Agents, the Swing Line Lender or any Lender may have against such Defaulting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the case of the termination of a Defaulting Lender’s Revolving Commitment, if such Defaulting Lender is a Facing Agent with one or more outstanding Letters of Credit, then the Borrowers shall be required to fully cash collateralize such Letters of Credit.</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2.12.4. </w:t>
      </w:r>
      <w:r>
        <w:rPr>
          <w:rFonts w:ascii="Times New Roman" w:cs="Times New Roman" w:eastAsia="Times New Roman" w:hAnsi="Times New Roman"/>
          <w:sz w:val="20"/>
          <w:szCs w:val="20"/>
          <w:u w:val="single" w:color="auto"/>
          <w:color w:val="auto"/>
        </w:rPr>
        <w:t>Reallocation of Payments</w:t>
      </w:r>
      <w:r>
        <w:rPr>
          <w:rFonts w:ascii="Times New Roman" w:cs="Times New Roman" w:eastAsia="Times New Roman" w:hAnsi="Times New Roman"/>
          <w:sz w:val="20"/>
          <w:szCs w:val="20"/>
          <w:color w:val="auto"/>
        </w:rPr>
        <w:t xml:space="preserve">. If a Lender becomes, and during the period it remains, a Defaulting Lender, except in connection with a termination of such Defaulting Lender’s Revolving Commitments pursuant to </w:t>
      </w:r>
      <w:r>
        <w:rPr>
          <w:rFonts w:ascii="Times New Roman" w:cs="Times New Roman" w:eastAsia="Times New Roman" w:hAnsi="Times New Roman"/>
          <w:sz w:val="20"/>
          <w:szCs w:val="20"/>
          <w:u w:val="single" w:color="auto"/>
          <w:color w:val="auto"/>
        </w:rPr>
        <w:t>Section 2.12(c)</w:t>
      </w:r>
      <w:r>
        <w:rPr>
          <w:rFonts w:ascii="Times New Roman" w:cs="Times New Roman" w:eastAsia="Times New Roman" w:hAnsi="Times New Roman"/>
          <w:sz w:val="20"/>
          <w:szCs w:val="20"/>
          <w:color w:val="auto"/>
        </w:rPr>
        <w:t xml:space="preserve"> above, any amount paid by the Borrowers for the account of such Defaulting Lender (whether on account of principal, interest, fees, indemnity payments or other amounts) will not be paid or distributed to such Defaulting Lender, but will instead be retained by the Administrative Agent and will be applied by the Administrative Agent, to the fullest extent permitted by law, to the making of payments from time to time in the following order of priority: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under this Agreement,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of any amounts owing by such Defaulting Lender to the Facing Agents or the Swing Line Lender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as to the respective amounts owing to each of them) under this Agreement,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as the Borrowers may request (so long as no Unmatured Event of Default or Event of Default then exists), to the funding of any Loan in respect of which such Defaulting Lender has failed to fund its portion thereof as required by this Agreement, as determined by the Administrative Agent, and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after the earlier of (x) termination of the applicable Revolving Commitments and payment in full of all obligations of the Borrowers under such Revolving Facility and (y) the Revolver Termination Date applicable to such Defaulting Lender and payment in full of all obligations of the Borrowers under such Revolving Facility to all Lenders owing on such Revolver Termination Date, to pay amounts owing under this Agreement to such Defaulting Lender or as a court of competent jurisdiction may otherwise direct. For the sake of clarity, it is understood and agreed that any payment by the Borrowers on account of the obligations of a Defaulting Lender shall be and be deemed to be a payment by the Borrowers to such Defaulting Lender (and no interest will thereafter accrue on such amount) whether or not such payment is paid to such Defaulting Lender.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2.12.5. </w:t>
      </w:r>
      <w:r>
        <w:rPr>
          <w:rFonts w:ascii="Times New Roman" w:cs="Times New Roman" w:eastAsia="Times New Roman" w:hAnsi="Times New Roman"/>
          <w:sz w:val="20"/>
          <w:szCs w:val="20"/>
          <w:u w:val="single" w:color="auto"/>
          <w:color w:val="auto"/>
        </w:rPr>
        <w:t>Cure</w:t>
      </w:r>
      <w:r>
        <w:rPr>
          <w:rFonts w:ascii="Times New Roman" w:cs="Times New Roman" w:eastAsia="Times New Roman" w:hAnsi="Times New Roman"/>
          <w:sz w:val="20"/>
          <w:szCs w:val="20"/>
          <w:color w:val="auto"/>
        </w:rPr>
        <w:t>. If the Borrower, the Administrative Agent, the Facing Agents and the Swing Line Lender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to the extent applicable, purchase such portion of the outstanding Revolving Loans of the other Lenders (together with any break funding incurred by such other Lenders) and/or make such other adjustments as the Administrative Agent may determine to be necessary to cause the total Multicurrency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67" w:name="page168"/>
    <w:bookmarkEnd w:id="16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Revolving Commitments, Canadian Revolving Commitments, Revolving Commitments, Multicurrency Revolving Loans, Canadian Revolving Loans, Revolving Loans, Letter of Credit participation obligations and Swing Line Loans participation obligations of the Lenders to be on a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basis in accordance with their respective Revolving Commitments under the applicable Revolving Facility,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Borrowers while such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2.12.6. </w:t>
      </w: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color w:val="auto"/>
        </w:rPr>
        <w:t>Replacement Revolving Credit Facility.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2.13.1. Notwithstanding anything to the contrary in any Loan Document, this Agreement may be amended, amended and restated, supplemented or otherwise modified on one or more occasions with the written consent of the Administrative Agent, the Swing Line Lenders under the applicable Revolving Facility, the Borrowers under the applicable Revolving Facility and the Lenders and New Lenders providing the relevant Replacement Revolving Loans (as defined below) and Replacement Revolving Commitments (as defined below) to permit the refinancing of all or any portion of the Revolving Loans or Loans in respect of any Additional Revolving Credit Commitments or Loans in respect of any other Replacement Revolving Facility outstanding hereunder (“</w:t>
      </w:r>
      <w:r>
        <w:rPr>
          <w:rFonts w:ascii="Times New Roman" w:cs="Times New Roman" w:eastAsia="Times New Roman" w:hAnsi="Times New Roman"/>
          <w:sz w:val="19"/>
          <w:szCs w:val="19"/>
          <w:u w:val="single" w:color="auto"/>
          <w:color w:val="auto"/>
        </w:rPr>
        <w:t>Refinanced Revolving Loans</w:t>
      </w:r>
      <w:r>
        <w:rPr>
          <w:rFonts w:ascii="Times New Roman" w:cs="Times New Roman" w:eastAsia="Times New Roman" w:hAnsi="Times New Roman"/>
          <w:sz w:val="19"/>
          <w:szCs w:val="19"/>
          <w:color w:val="auto"/>
        </w:rPr>
        <w:t>”) and Revolving Commitments and/or any Additional Facility Commitments in respect of any Additional Revolving Credit Commitments hereunder and/or any other Replacement Revolving Commitments in respect of any other Replacement Revolving Facility hereunder (“</w:t>
      </w:r>
      <w:r>
        <w:rPr>
          <w:rFonts w:ascii="Times New Roman" w:cs="Times New Roman" w:eastAsia="Times New Roman" w:hAnsi="Times New Roman"/>
          <w:sz w:val="19"/>
          <w:szCs w:val="19"/>
          <w:u w:val="single" w:color="auto"/>
          <w:color w:val="auto"/>
        </w:rPr>
        <w:t>Refinanced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 (which for this purpose will be deemed to include any then outstanding Replacement Revolving Loans and Replacement Revolving Commitments) with replacement revolving loans (“</w:t>
      </w:r>
      <w:r>
        <w:rPr>
          <w:rFonts w:ascii="Times New Roman" w:cs="Times New Roman" w:eastAsia="Times New Roman" w:hAnsi="Times New Roman"/>
          <w:sz w:val="19"/>
          <w:szCs w:val="19"/>
          <w:u w:val="single" w:color="auto"/>
          <w:color w:val="auto"/>
        </w:rPr>
        <w:t>Replacement Revolving Loans</w:t>
      </w:r>
      <w:r>
        <w:rPr>
          <w:rFonts w:ascii="Times New Roman" w:cs="Times New Roman" w:eastAsia="Times New Roman" w:hAnsi="Times New Roman"/>
          <w:sz w:val="19"/>
          <w:szCs w:val="19"/>
          <w:color w:val="auto"/>
        </w:rPr>
        <w:t>”) and replacement revolving commitments (“</w:t>
      </w:r>
      <w:r>
        <w:rPr>
          <w:rFonts w:ascii="Times New Roman" w:cs="Times New Roman" w:eastAsia="Times New Roman" w:hAnsi="Times New Roman"/>
          <w:sz w:val="19"/>
          <w:szCs w:val="19"/>
          <w:u w:val="single" w:color="auto"/>
          <w:color w:val="auto"/>
        </w:rPr>
        <w:t>Replacement Revolving Commitments</w:t>
      </w:r>
      <w:r>
        <w:rPr>
          <w:rFonts w:ascii="Times New Roman" w:cs="Times New Roman" w:eastAsia="Times New Roman" w:hAnsi="Times New Roman"/>
          <w:sz w:val="19"/>
          <w:szCs w:val="19"/>
          <w:color w:val="auto"/>
        </w:rPr>
        <w:t>,” and together with such Replacement Revolving Loans relating thereto, a “</w:t>
      </w:r>
      <w:r>
        <w:rPr>
          <w:rFonts w:ascii="Times New Roman" w:cs="Times New Roman" w:eastAsia="Times New Roman" w:hAnsi="Times New Roman"/>
          <w:sz w:val="19"/>
          <w:szCs w:val="19"/>
          <w:u w:val="single" w:color="auto"/>
          <w:color w:val="auto"/>
        </w:rPr>
        <w:t>Replacement Revolving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Facility</w:t>
      </w:r>
      <w:r>
        <w:rPr>
          <w:rFonts w:ascii="Times New Roman" w:cs="Times New Roman" w:eastAsia="Times New Roman" w:hAnsi="Times New Roman"/>
          <w:sz w:val="19"/>
          <w:szCs w:val="19"/>
          <w:color w:val="auto"/>
        </w:rPr>
        <w:t xml:space="preserve">”) hereunder which shall be Loans and Commitments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aggregate principal amount of such Replacement Revolving Loans and Replacement Revolving Commitments shall not exceed the aggregate principal amount of such Refinanced Revolving Loans and Refinanced Revolving Commitments in respect of such existing Revolving Facility (plus the amount of accrued interest and premium thereon, any committed but undrawn amounts and underwriting discounts, fees (including upfront fees and original issue discount), commissions and expenses incurred in connection with the replacement thereof), (b) the maturity date of such Replacement Revolving Loans and Replacement Revolving Commitments shall not be earlier than the latest Revolver Termination Date of such Refinanced Revolving Loans and Refinanced Revolving Commitments in respect of such existing Revolving Facility, (c) the interest rates, floors and margins, commitment, upfront and other fees, and borrowers with respect to such Replacement Revolving Loans and Replacement Revolving Commitments shall be as agreed by the borrowers party thereto and the Lenders and New Lenders providing such Replacement Revolving Loans and Replacement Revolving Commitments, including any changes or additional terms to address local law considerations in the case of any new foreign borrowers, (d) such Replacement Revolving Loans and Replacement Revolving Commitments shall rank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in right of payment with the other Loans and Commitments hereunder, (e) no Event of Default under </w:t>
      </w:r>
      <w:r>
        <w:rPr>
          <w:rFonts w:ascii="Times New Roman" w:cs="Times New Roman" w:eastAsia="Times New Roman" w:hAnsi="Times New Roman"/>
          <w:sz w:val="19"/>
          <w:szCs w:val="19"/>
          <w:u w:val="single" w:color="auto"/>
          <w:color w:val="auto"/>
        </w:rPr>
        <w:t>Section 10.1(a)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10.1(i)</w:t>
      </w:r>
      <w:r>
        <w:rPr>
          <w:rFonts w:ascii="Times New Roman" w:cs="Times New Roman" w:eastAsia="Times New Roman" w:hAnsi="Times New Roman"/>
          <w:sz w:val="19"/>
          <w:szCs w:val="19"/>
          <w:color w:val="auto"/>
        </w:rPr>
        <w:t xml:space="preserve"> shall exist immediately prior to or after giving effect to the effectiveness of the relevant Replacement Revolving Facility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 all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68" w:name="page169"/>
    <w:bookmarkEnd w:id="168"/>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other terms applicable to such Replacement Revolving Loans and Replacement Revolving Commitments (excluding interest rates, floors and margins, commitment, upfront and other fees, guarantees, security and maturity, subject to preceding clauses (b) through (f)) shall be no more restrictive than those applicable to such Refinanced Revolving Loans and Refinanced Revolving Commitments in respect of such existing Revolving Facility, except to the extent necessary to provide for covenants and other terms applicable to any period after the latest Revolver Termination Date in effect immediately prior to such refinancing;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terms are more favorable (taken as a whole) to the Lenders or New Lenders providing such Replacement Revolving Loans and Replacement Revolving Commitments, the applicable Borrowers shall have the right to unilaterally provide the existing Revolving Lenders and Lenders under any existing Additional Revolving Credit Commitments with additional rights and benefits and the “no more restrictive than” requirement of this clause (f) and compliance therewith shall be determined after giving effect to such additional right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2.13.2. In addition, if so provided in the relevant amendment, amendment and restatement, supplement or other modification of the Credit Agreement entered into in accordance with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and with the consent of the applicable Facing Agent, participations in Letters of Credit under the applicable Refinanced Revolving Facility expiring on or after the Revolver Termination Date for such Refinanced Revolving Facility under which such Letter of Credit was issued may be reallocated from Lenders holding Revolving Commitments under such Refinanced Revolving Facility to Lenders and New Lenders holding Replacement Revolving Commitments under the applicable Replacement Revolving Facility in accordance with the terms of such amendment, amendment and restatement, supplement or other modification.</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2.13.3.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supersede any other provisions contained in the Loan Documents, including, without limitation,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to the contrary.</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2.13.4. Upon issuance of any Replacement Revolving Commitments or the making of any Replacement Revolving Loans, (1) the borrowing and repayment (except for (A) payments of interest and fees at different rates on any Comparable Revolving Facility or any Additional Revolving Credit Commitments (to the extent that they remain outstanding) and such new Replacement Revolving Facility, (B) repayments required upon the Revolver Termination Date of any Comparable Revolving Facility or any Additional Revolving Credit Commitments (to the extent that they remain outstanding) and such new Replacement Revolving Facility and (C) repayments made in connection with any permanent repayment and termination of commitments (subject to clause (3) below)) of Loans under any new Replacement Revolving Facility after the effective date of Replacement Revolving Commitments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any Comparable Revolving Facility and any other Additional Revolving Credit Commitments (to the extent they remain outstanding) and the new Replacement Revolving Facility, (2) any swing line loans made, or letters of credit issued, as applicable, under any Revolving Facility after the effective date of the Replacement Revolving Commitments shall be made or issued to the extent reasonably practicable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any Comparable Revolving Facility and any other Additional Revolving Credit Commitments (to the extent that they remain outstanding) and the new Replacement Revolving Facility and (3) the permanent repayment of Loans with respect to, and termination of commitments under, such new Replacement Revolving Facility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any Comparable Revolving Facility and any other Additional Revolving Credit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69" w:name="page170"/>
    <w:bookmarkEnd w:id="169"/>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Commitments (to the extent that they remain outstanding) and the new Replacement Revolving Facility, except that the Borrower under such new Replacement Revolving Facility shall be permitted to permanently repay and terminate commitments under such new Replacement Revolving Facility on a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than any Comparable Revolving Facility that has a later Revolver Termination Date than such Replacement Revolving Facility either at the time of incurrence of such Replacement Revolving Facility or on the date that such Revolving Facility is subsequently incurred after the incurrence of such new Replacement Revolving Facility.</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color w:val="auto"/>
        </w:rPr>
        <w:t>Replacement Term Loans.</w:t>
      </w:r>
    </w:p>
    <w:p>
      <w:pPr>
        <w:spacing w:after="0" w:line="22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2.14.1. Notwithstanding anything to the contrary in any Loan Document, this Agreement may be amended, amended and restated, supplemented or otherwise modified on one or more occasions with the written consent of the Administrative Agent, the Borrower under the applicable Term Facility and the Lenders and New Lenders providing the relevant Replacement Term Loans (as defined below), the relevant Replacement Term Commitments (as defined below) to permit the refinancing of all or any portion of the Term Loans outstanding under one or more Term Facilities (“</w:t>
      </w:r>
      <w:r>
        <w:rPr>
          <w:rFonts w:ascii="Times New Roman" w:cs="Times New Roman" w:eastAsia="Times New Roman" w:hAnsi="Times New Roman"/>
          <w:sz w:val="20"/>
          <w:szCs w:val="20"/>
          <w:u w:val="single" w:color="auto"/>
          <w:color w:val="auto"/>
        </w:rPr>
        <w:t>Refinanced Term Loans</w:t>
      </w:r>
      <w:r>
        <w:rPr>
          <w:rFonts w:ascii="Times New Roman" w:cs="Times New Roman" w:eastAsia="Times New Roman" w:hAnsi="Times New Roman"/>
          <w:sz w:val="20"/>
          <w:szCs w:val="20"/>
          <w:color w:val="auto"/>
        </w:rPr>
        <w:t>”) and Term Commitments under one or more Term Facilities (“</w:t>
      </w:r>
      <w:r>
        <w:rPr>
          <w:rFonts w:ascii="Times New Roman" w:cs="Times New Roman" w:eastAsia="Times New Roman" w:hAnsi="Times New Roman"/>
          <w:sz w:val="20"/>
          <w:szCs w:val="20"/>
          <w:u w:val="single" w:color="auto"/>
          <w:color w:val="auto"/>
        </w:rPr>
        <w:t>Refinanced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(which for this purpose will be deemed to include any then outstanding Replacement Term Loans and Replacement Term Commitments) with a replacement term loan tranche hereunder (“</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and replacement term commitments hereunder (“</w:t>
      </w:r>
      <w:r>
        <w:rPr>
          <w:rFonts w:ascii="Times New Roman" w:cs="Times New Roman" w:eastAsia="Times New Roman" w:hAnsi="Times New Roman"/>
          <w:sz w:val="20"/>
          <w:szCs w:val="20"/>
          <w:u w:val="single" w:color="auto"/>
          <w:color w:val="auto"/>
        </w:rPr>
        <w:t>Replacement Term Commitments</w:t>
      </w:r>
      <w:r>
        <w:rPr>
          <w:rFonts w:ascii="Times New Roman" w:cs="Times New Roman" w:eastAsia="Times New Roman" w:hAnsi="Times New Roman"/>
          <w:sz w:val="20"/>
          <w:szCs w:val="20"/>
          <w:color w:val="auto"/>
        </w:rPr>
        <w:t>” and together with such Replacement Term Loans relating thereto, a “</w:t>
      </w:r>
      <w:r>
        <w:rPr>
          <w:rFonts w:ascii="Times New Roman" w:cs="Times New Roman" w:eastAsia="Times New Roman" w:hAnsi="Times New Roman"/>
          <w:sz w:val="20"/>
          <w:szCs w:val="20"/>
          <w:u w:val="single" w:color="auto"/>
          <w:color w:val="auto"/>
        </w:rPr>
        <w:t>Replacement Term Facility</w:t>
      </w:r>
      <w:r>
        <w:rPr>
          <w:rFonts w:ascii="Times New Roman" w:cs="Times New Roman" w:eastAsia="Times New Roman" w:hAnsi="Times New Roman"/>
          <w:sz w:val="20"/>
          <w:szCs w:val="20"/>
          <w:color w:val="auto"/>
        </w:rPr>
        <w:t xml:space="preserve">”) which shall be Loans and Commitments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principal amount of such Replacement Term Loans and Replacement Term Commitments shall not exceed the aggregate principal amount of such Refinanced Term Loans and Refinanced Term Commitments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amount of accrued interest and premium thereon, any underwriting discounts, fees (including upfront fees and original issue discount), commissions and expenses incurred in connection with the replacement thereof), (b) the weighted average life to maturity of such Replacement Term Loans shall not be shorter than the weighted average life to maturity of such Refinanced Term Loans at the time of such refinancing, (c) the original issue discount, interest rates, floors and margins, commitment, upfront and other fees, prepayment premiums, amortization schedules, and borrowers with respect to such Replacement Term Loans and Replacement Term Commitments shall be as agreed by the borrowers party thereto and the Lenders and New Lenders providing such Replacement Term Loans and Replacement Term Commitments, including any changes or additional terms to address local law considerations in the case of any new foreign borrowers, (d) such Replacement Term Loans and Replacement Term Commitments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the other Loans and Commitments hereunder, (e) no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shall exist immediately prior to or after giving effect to the effectiveness of the relevant Replacement Term Loans and Replacement Term Commitments and (f) all other terms applicable to such Replacement Term Loans and Replacement Term Commitments (excluding interest rates, floors and margins, commitment, upfront and other fees, guarantees, security and maturity, subject to preceding clauses (b) through (f)) shall be substantially identical to, or less favorable to the Lenders and New Lenders providing such Replacement Term Loans and Replacement Term Commitments than those applicable to such Refinanced Term Loans and Refinanced Term Commitments, except to the extent necessary to provide for covenants and other terms applicable to any period after the earlier to occur of the date that all other Term Loans are paid in full (other than Unasserted Contingent Obligations) and the latest final maturity of any Term Loans in effect immediately prior to such refinancing;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terms are more favorable (taken as a whole) to the Lenders or New Lenders providing such Replacement Term Loans and Replacement Term Commitments, the applicable Borrowers shall have the right to unilaterally provide the existing Term Lenders with additional rights and benefits and the “substantially similar to” or not “less favorable”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70" w:name="page171"/>
    <w:bookmarkEnd w:id="170"/>
    <w:p>
      <w:pPr>
        <w:jc w:val="both"/>
        <w:spacing w:after="0" w:line="253" w:lineRule="auto"/>
        <w:rPr>
          <w:sz w:val="20"/>
          <w:szCs w:val="20"/>
          <w:color w:val="auto"/>
        </w:rPr>
      </w:pPr>
      <w:r>
        <w:rPr>
          <w:rFonts w:ascii="Times New Roman" w:cs="Times New Roman" w:eastAsia="Times New Roman" w:hAnsi="Times New Roman"/>
          <w:sz w:val="20"/>
          <w:szCs w:val="20"/>
          <w:color w:val="auto"/>
        </w:rPr>
        <w:t>requirement of this clause (f) and compliance therewith shall be determined after giving effect to such additional rights and benefits (it being understood and agreed that Crown Holdings may, at its option, deliver a certificate to the Administrative Agent certifying that the requirements of this clause (f) have been satisfied at least 5 Business Days prior to the incurrence of such Indebtedness, and such certification shall be conclusive evidence that such requirements have been satisfied unless the Administrative Agent provides notice to Crown Holdings of its objection during such 5 Business Day period (including a reasonable description of the basis upon which it objects)).</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2.14.2.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supersede any other provisions contained in the Loan Documents, including, without limitation,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to the contrary.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color w:val="auto"/>
        </w:rPr>
        <w:t>Extension of Maturity Date.</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2.15.1. Each Borrower may, upon notice (a “</w:t>
      </w:r>
      <w:r>
        <w:rPr>
          <w:rFonts w:ascii="Times New Roman" w:cs="Times New Roman" w:eastAsia="Times New Roman" w:hAnsi="Times New Roman"/>
          <w:sz w:val="19"/>
          <w:szCs w:val="19"/>
          <w:u w:val="single" w:color="auto"/>
          <w:color w:val="auto"/>
        </w:rPr>
        <w:t>Maturity Date Extension Request</w:t>
      </w:r>
      <w:r>
        <w:rPr>
          <w:rFonts w:ascii="Times New Roman" w:cs="Times New Roman" w:eastAsia="Times New Roman" w:hAnsi="Times New Roman"/>
          <w:sz w:val="19"/>
          <w:szCs w:val="19"/>
          <w:color w:val="auto"/>
        </w:rPr>
        <w:t>”) to the Administrative Agent (which shall promptly notify the Lenders or New Lenders under the applicable Facility), request one or more extensions of any Revolver Termination Date, Term Maturity Date or the maturity date for any Additional Facility or Replacement Facility, in each case applicable to any Facility under which it is a Borrower (the Revolver Termination Date, Term Maturity Date or maturity date for such Additional Facility or Replacement Facility applicable to such Facility, the “</w:t>
      </w:r>
      <w:r>
        <w:rPr>
          <w:rFonts w:ascii="Times New Roman" w:cs="Times New Roman" w:eastAsia="Times New Roman" w:hAnsi="Times New Roman"/>
          <w:sz w:val="19"/>
          <w:szCs w:val="19"/>
          <w:u w:val="single" w:color="auto"/>
          <w:color w:val="auto"/>
        </w:rPr>
        <w:t>Existing Maturity Date</w:t>
      </w:r>
      <w:r>
        <w:rPr>
          <w:rFonts w:ascii="Times New Roman" w:cs="Times New Roman" w:eastAsia="Times New Roman" w:hAnsi="Times New Roman"/>
          <w:sz w:val="19"/>
          <w:szCs w:val="19"/>
          <w:color w:val="auto"/>
        </w:rPr>
        <w:t>”). Each Maturity Date Extension Request shall (i) specify the date to which such Existing Maturity Date is sought to be extended (the “</w:t>
      </w:r>
      <w:r>
        <w:rPr>
          <w:rFonts w:ascii="Times New Roman" w:cs="Times New Roman" w:eastAsia="Times New Roman" w:hAnsi="Times New Roman"/>
          <w:sz w:val="19"/>
          <w:szCs w:val="19"/>
          <w:u w:val="single" w:color="auto"/>
          <w:color w:val="auto"/>
        </w:rPr>
        <w:t>New Maturity Date</w:t>
      </w:r>
      <w:r>
        <w:rPr>
          <w:rFonts w:ascii="Times New Roman" w:cs="Times New Roman" w:eastAsia="Times New Roman" w:hAnsi="Times New Roman"/>
          <w:sz w:val="19"/>
          <w:szCs w:val="19"/>
          <w:color w:val="auto"/>
        </w:rPr>
        <w:t xml:space="preserve">”), (ii) specify the changes, if any, to the interest rates, floors and margins, commitment and other fees payable to Consenting Lenders (as defined below) in respect of that portion of their Commitments and Loans extended to such New Maturity Date and the time as of which such changes will become effective, which may be prior to the Existing Maturity Date, and (iii) specify any other amendments or modifications to this Agreement or the other Loan Documents to be effected in connection with such extension;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no such amendments or modifications under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that would otherwise require approvals pursuant to </w:t>
      </w:r>
      <w:r>
        <w:rPr>
          <w:rFonts w:ascii="Times New Roman" w:cs="Times New Roman" w:eastAsia="Times New Roman" w:hAnsi="Times New Roman"/>
          <w:sz w:val="19"/>
          <w:szCs w:val="19"/>
          <w:u w:val="single" w:color="auto"/>
          <w:color w:val="auto"/>
        </w:rPr>
        <w:t>Section 12.1</w:t>
      </w:r>
      <w:r>
        <w:rPr>
          <w:rFonts w:ascii="Times New Roman" w:cs="Times New Roman" w:eastAsia="Times New Roman" w:hAnsi="Times New Roman"/>
          <w:sz w:val="19"/>
          <w:szCs w:val="19"/>
          <w:color w:val="auto"/>
        </w:rPr>
        <w:t xml:space="preserve"> shall become effective prior to the then latest Revolver Termination Date (in the case of an extension of a Revolving Facility) or Term Maturity Date (in the case of an extension of a Term Facility), unless such other approvals have been obtained,</w:t>
      </w:r>
    </w:p>
    <w:p>
      <w:pPr>
        <w:spacing w:after="0" w:line="2" w:lineRule="exact"/>
        <w:rPr>
          <w:sz w:val="20"/>
          <w:szCs w:val="20"/>
          <w:color w:val="auto"/>
        </w:rPr>
      </w:pPr>
    </w:p>
    <w:p>
      <w:pPr>
        <w:ind w:left="320" w:hanging="312"/>
        <w:spacing w:after="0"/>
        <w:tabs>
          <w:tab w:leader="none" w:pos="3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under any such Facility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the other Loans and Commitments hereunder and</w:t>
      </w:r>
    </w:p>
    <w:p>
      <w:pPr>
        <w:spacing w:after="0" w:line="6"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under any such Facility shall not be guaranteed by any Person other than the Credit Parties that guaranteed the applicable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 prior to such maturity extension.</w:t>
      </w:r>
    </w:p>
    <w:p>
      <w:pPr>
        <w:spacing w:after="0" w:line="21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2.15.2. In the event a Maturity Date Extension Request shall have been delivered by a Borrower, each Lender under the applicable Facility shall have the right (but not the obligation) to agree to the extension of the Existing Maturity Date and other matters contemplated by the Maturity Date Extension Request on the terms and subject to the conditions set forth therein (each Lender under the applicable Facility agreeing to the Maturity Date Extension Request being referred to herein as a “</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and each Lender under the applicable Facility not agreeing thereto being referred to herein as a “</w:t>
      </w:r>
      <w:r>
        <w:rPr>
          <w:rFonts w:ascii="Times New Roman" w:cs="Times New Roman" w:eastAsia="Times New Roman" w:hAnsi="Times New Roman"/>
          <w:sz w:val="20"/>
          <w:szCs w:val="20"/>
          <w:u w:val="single" w:color="auto"/>
          <w:color w:val="auto"/>
        </w:rPr>
        <w:t>Declining Lender</w:t>
      </w:r>
      <w:r>
        <w:rPr>
          <w:rFonts w:ascii="Times New Roman" w:cs="Times New Roman" w:eastAsia="Times New Roman" w:hAnsi="Times New Roman"/>
          <w:sz w:val="20"/>
          <w:szCs w:val="20"/>
          <w:color w:val="auto"/>
        </w:rPr>
        <w:t>”), which right may be exercised by written notice thereof, specifying the maximum amount of the Commitment or Loans of such Lender under the applicable Facility with respect to which such Lender agrees to the New Maturity Date, delivered to the applicable Borrower (with a copy to the Administrative Agent) not later than a day to be agreed upon by the applicable Borrower and the Administrative Agent following the date on which the Maturity Date Extension Request shall have been delivered by such Borrower (it being understood that any Lender under such Facility that shall have failed to exercise such right as set forth above by such date shall be deemed to be a Declining Lender). If a Lender under such Facility elects to extend only a portion of its then existing Commitment or Loans under such Facility, it will be deemed for purposes hereof to be a Consenting Lender in respect of such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71" w:name="page172"/>
    <w:bookmarkEnd w:id="171"/>
    <w:p>
      <w:pPr>
        <w:jc w:val="both"/>
        <w:spacing w:after="0" w:line="248" w:lineRule="auto"/>
        <w:rPr>
          <w:sz w:val="20"/>
          <w:szCs w:val="20"/>
          <w:color w:val="auto"/>
        </w:rPr>
      </w:pPr>
      <w:r>
        <w:rPr>
          <w:rFonts w:ascii="Times New Roman" w:cs="Times New Roman" w:eastAsia="Times New Roman" w:hAnsi="Times New Roman"/>
          <w:sz w:val="20"/>
          <w:szCs w:val="20"/>
          <w:color w:val="auto"/>
        </w:rPr>
        <w:t>extended portion and a Declining Lender in respect of the remaining portion of its Commitment and Loans under such Facility. If Consenting Lenders shall have agreed to such Maturity Date Extension Request in respect of Commitments and Loans under such Facility held by them, then on the date specified in the Maturity Date Extension Request as the effective date thereof (the “</w:t>
      </w:r>
      <w:r>
        <w:rPr>
          <w:rFonts w:ascii="Times New Roman" w:cs="Times New Roman" w:eastAsia="Times New Roman" w:hAnsi="Times New Roman"/>
          <w:sz w:val="20"/>
          <w:szCs w:val="20"/>
          <w:u w:val="single" w:color="auto"/>
          <w:color w:val="auto"/>
        </w:rPr>
        <w:t>Extension Effective Date</w:t>
      </w:r>
      <w:r>
        <w:rPr>
          <w:rFonts w:ascii="Times New Roman" w:cs="Times New Roman" w:eastAsia="Times New Roman" w:hAnsi="Times New Roman"/>
          <w:sz w:val="20"/>
          <w:szCs w:val="20"/>
          <w:color w:val="auto"/>
        </w:rPr>
        <w:t xml:space="preserve">”), (w) the Existing Maturity Date of the applicable Commitments and Loans under such Facility shall, as to the Consenting Lenders, be extended to such date as shall be specified therein, (x) the terms and conditions of the Commitments and Loans of the Consenting Lenders under such Facility (with respect to maturity, interest rates, floors and margins, commitment and other fees (including Letter of Credit fees) payable in respect thereof), shall be modified as set forth in the Maturity Date Extension Request, (y) such other modifications and amendments hereto specified in the Maturity Date Extension Request shall become effective, subject to any required approvals under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except that any such other modifications and amendments that do not take effect until the then latest Revolver Termination Date (in the case of an extension of a Revolving Facility) or Term Maturity Date (in the case of an extension of a Term Facility), shall not require the consent of any Lender other than the Consenting Lenders in respect of the Facility being so extended and (z) to the extent that such Facility is a Revolving Facility and any Commitments or Loans under such Facility are not extended (thereby resulting in an Extended Revolving Facility in respect of the Commitments and Loans that are extended), (1) the borrowing and repayment (except for (A) payments of interest and fees at different rates on any Revolving Facility, any Additional Revolving Credit Commitments or any Replacement Revolving Facility (to the extent that they remain outstanding) and such new Extended Revolving Facility, (B) repayments required upon the Revolver Termination Date of the Revolving Facility, any Additional Revolving Credit Commitments or any Replacement Revolving Facility (to the extent that they remain outstanding) and such new Extended Revolving Facility and (C) repayments made in connection with any permanent repayment and termination of commitments (subject to clause (3) below)) of Loans under any Extended Revolving Facility after the Extension Effective Date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any Revolving Facility, any Additional Revolving Credit Commitments and any other Replacement Revolving Facility (to the extent they remain outstanding) and the new Extended Revolving Facility, (2) any swing line loans made, or letters of credit issued, as applicable, under any Revolving Facility after the Extension Effective Date shall be made or issued to the extent reasonably practicable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the Revolving Facility, any Additional Revolving Credit Commitments and any Replacement Revolving Facility (to the extent that they remain outstanding) and the new Extended Revolving Facility (to the extent that such facilities have a swing line or letter of credit subfacility) and (3) the permanent repayment of Loans with respect to, and termination of commitments under, such new Extended Revolving Facility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between any Revolving Facility, any Additional Revolving Credit Commitments and any Replacement Revolving Facility (to the extent that they remain outstanding) and the new Extended Revolving Facility, except that the Borrower under such new Extended Revolving Facility shall be permitted to permanently repay and terminate commitments under such new Extended Revolving Facility, the Revolving Facility, any Additional Revolving Credit Commitments or any Replacement Revolving Facility on a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than any other Revolving Facility that has a later Revolver Termination Date than such Extended Revolving Facility either on the Extension Effective Date or on the date that such Revolving Facility is subsequently incurred after such Extension Effective Date.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2.15.3. Notwithstanding anything herein to the contrary, Borrowers shall have the right, in accordance with the provisions of </w:t>
      </w:r>
      <w:r>
        <w:rPr>
          <w:rFonts w:ascii="Times New Roman" w:cs="Times New Roman" w:eastAsia="Times New Roman" w:hAnsi="Times New Roman"/>
          <w:sz w:val="20"/>
          <w:szCs w:val="20"/>
          <w:u w:val="single" w:color="auto"/>
          <w:color w:val="auto"/>
        </w:rPr>
        <w:t>Sections 3.7</w:t>
      </w:r>
      <w:r>
        <w:rPr>
          <w:rFonts w:ascii="Times New Roman" w:cs="Times New Roman" w:eastAsia="Times New Roman" w:hAnsi="Times New Roman"/>
          <w:sz w:val="20"/>
          <w:szCs w:val="20"/>
          <w:color w:val="auto"/>
        </w:rPr>
        <w:t>, at any time prior to the Existing Maturity Date, to replace a Declining Lender as if it were a Replaced Lender (only in respect of that portion of such Lender’s Commitments and Loans subject to a Maturity Date Extension Request that such Lender has not agreed to extend) with a Lender or any Eligible Assignee that will agree to such Maturity Date Extension Request,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72" w:name="page173"/>
    <w:bookmarkEnd w:id="172"/>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and any such replacement Lender shall for all purposes constitute a Consenting Lender in respect of the Commitment and Loan assigned to and assumed by it on and after the effective time of such replacement.</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2.15.4. If a Maturity Date Extension Request has become effective hereunder with respect to any Facility, on the Existing Maturity Date, the Commitment and Loans of each Declining Lender under such Facility shall, to the extent not assumed, assigned or transferred as provided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terminate, and the Borrowers under such Facility shall repay all the Loans of each Declining Lender under such Facility, to the extent such Loans shall not have been so purchased, assigned and transferred, in each case together with accrued and unpaid interest and all fees and other amounts owing to such Declining Lender hereunder.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2.15.5.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supersede any provision to the contrary in this Agreement, including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120" w:firstLine="648"/>
        <w:spacing w:after="0" w:line="265" w:lineRule="auto"/>
        <w:rPr>
          <w:sz w:val="20"/>
          <w:szCs w:val="20"/>
          <w:color w:val="auto"/>
        </w:rPr>
      </w:pPr>
      <w:r>
        <w:rPr>
          <w:rFonts w:ascii="Times New Roman" w:cs="Times New Roman" w:eastAsia="Times New Roman" w:hAnsi="Times New Roman"/>
          <w:sz w:val="19"/>
          <w:szCs w:val="19"/>
          <w:color w:val="auto"/>
        </w:rPr>
        <w:t>2.16. U.S. Borrower Representative. Each U.S. Borrower hereby appoints Crown Americas LLC as the borrowing agent for such U.S. Borrower, which appointment shall remain in full force and effect unless and until the Administrative Agent shall have received prior written notice signed by each U.S. Borrower that such appointment has been revoked or that another U.S. Borrower or Affiliate of a U.S. Borrower has been appointed in such capacity. Each U.S. Borrower hereby appoints and authorizes Crown Americas LLC (or its successor)</w:t>
      </w:r>
    </w:p>
    <w:p>
      <w:pPr>
        <w:spacing w:after="0" w:line="2" w:lineRule="exact"/>
        <w:rPr>
          <w:sz w:val="20"/>
          <w:szCs w:val="20"/>
          <w:color w:val="auto"/>
        </w:rPr>
      </w:pPr>
    </w:p>
    <w:p>
      <w:pPr>
        <w:ind w:left="240" w:hanging="232"/>
        <w:spacing w:after="0"/>
        <w:tabs>
          <w:tab w:leader="none" w:pos="2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to the Agents and the Lenders and receive from the Agents and the Lenders all notices with respect to Loans obtained for the</w:t>
      </w:r>
    </w:p>
    <w:p>
      <w:pPr>
        <w:spacing w:after="0" w:line="6" w:lineRule="exact"/>
        <w:rPr>
          <w:rFonts w:ascii="Times New Roman" w:cs="Times New Roman" w:eastAsia="Times New Roman" w:hAnsi="Times New Roman"/>
          <w:sz w:val="20"/>
          <w:szCs w:val="20"/>
          <w:color w:val="auto"/>
        </w:rPr>
      </w:pPr>
    </w:p>
    <w:p>
      <w:pPr>
        <w:ind w:right="2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benefit of any U.S. Borrower and all other notices and instructions under this Agreement and (ii) to take such action as Crown Americas LLC deems appropriate on behalf of each U.S. Borrower and to exercise such other powers as are reasonably incidental thereto to carry out the purposes of this Agreement. Any reference to any action or notice required or permitted to be taken or given hereunder and under the Loan Documents by “the U.S. Borrower” or “each U.S. Borrower” shall be effective if such action is taken, or such notice is delivered, by Crown Americas LLC (or its successor) or, as applicable, a Responsible Officer thereof.</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color w:val="auto"/>
        </w:rPr>
        <w:t>ESG Amendment; Sustainability Coordinators.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2.17.1. After the Fifth Amendment Effective Date, Crown Holdings, in consultation with the Sustainability Coordinators, shall be entitled, but not required, to either (a) establish specified Key Performance Indicators (“</w:t>
      </w:r>
      <w:r>
        <w:rPr>
          <w:rFonts w:ascii="Times New Roman" w:cs="Times New Roman" w:eastAsia="Times New Roman" w:hAnsi="Times New Roman"/>
          <w:sz w:val="20"/>
          <w:szCs w:val="20"/>
          <w:u w:val="single" w:color="auto"/>
          <w:color w:val="auto"/>
        </w:rPr>
        <w:t>KPIs</w:t>
      </w:r>
      <w:r>
        <w:rPr>
          <w:rFonts w:ascii="Times New Roman" w:cs="Times New Roman" w:eastAsia="Times New Roman" w:hAnsi="Times New Roman"/>
          <w:sz w:val="20"/>
          <w:szCs w:val="20"/>
          <w:color w:val="auto"/>
        </w:rPr>
        <w:t>”) with respect to certain Environmental, Social and Governance (“</w:t>
      </w:r>
      <w:r>
        <w:rPr>
          <w:rFonts w:ascii="Times New Roman" w:cs="Times New Roman" w:eastAsia="Times New Roman" w:hAnsi="Times New Roman"/>
          <w:sz w:val="20"/>
          <w:szCs w:val="20"/>
          <w:u w:val="single" w:color="auto"/>
          <w:color w:val="auto"/>
        </w:rPr>
        <w:t>ESG</w:t>
      </w:r>
      <w:r>
        <w:rPr>
          <w:rFonts w:ascii="Times New Roman" w:cs="Times New Roman" w:eastAsia="Times New Roman" w:hAnsi="Times New Roman"/>
          <w:sz w:val="20"/>
          <w:szCs w:val="20"/>
          <w:color w:val="auto"/>
        </w:rPr>
        <w:t>”) targets of the Crown Holdings and its Subsidiaries and evaluated by the Sustainability Assurance Provider or (b) establish external ESG ratings (“</w:t>
      </w:r>
      <w:r>
        <w:rPr>
          <w:rFonts w:ascii="Times New Roman" w:cs="Times New Roman" w:eastAsia="Times New Roman" w:hAnsi="Times New Roman"/>
          <w:sz w:val="20"/>
          <w:szCs w:val="20"/>
          <w:u w:val="single" w:color="auto"/>
          <w:color w:val="auto"/>
        </w:rPr>
        <w:t>ESG Ratings</w:t>
      </w:r>
      <w:r>
        <w:rPr>
          <w:rFonts w:ascii="Times New Roman" w:cs="Times New Roman" w:eastAsia="Times New Roman" w:hAnsi="Times New Roman"/>
          <w:sz w:val="20"/>
          <w:szCs w:val="20"/>
          <w:color w:val="auto"/>
        </w:rPr>
        <w:t>”) targets to be mutually agreed between the Crown Holdings and the Sustainability Coordinators and reviewed by the Sustainability Assurance Provider. Notwithstanding anything herein or in any other Loan Document to the contrary, the Sustainability Coordinators, the Administrative Agent, Crown Holdings and the Required Lenders may amend this Agreement (such amendment, the “</w:t>
      </w:r>
      <w:r>
        <w:rPr>
          <w:rFonts w:ascii="Times New Roman" w:cs="Times New Roman" w:eastAsia="Times New Roman" w:hAnsi="Times New Roman"/>
          <w:sz w:val="20"/>
          <w:szCs w:val="20"/>
          <w:u w:val="single" w:color="auto"/>
          <w:color w:val="auto"/>
        </w:rPr>
        <w:t>ESG Amendment</w:t>
      </w:r>
      <w:r>
        <w:rPr>
          <w:rFonts w:ascii="Times New Roman" w:cs="Times New Roman" w:eastAsia="Times New Roman" w:hAnsi="Times New Roman"/>
          <w:sz w:val="20"/>
          <w:szCs w:val="20"/>
          <w:color w:val="auto"/>
        </w:rPr>
        <w:t>”) solely for the purpose of incorporating either the KPIs or ESG Ratings and other related provisions (the “</w:t>
      </w:r>
      <w:r>
        <w:rPr>
          <w:rFonts w:ascii="Times New Roman" w:cs="Times New Roman" w:eastAsia="Times New Roman" w:hAnsi="Times New Roman"/>
          <w:sz w:val="20"/>
          <w:szCs w:val="20"/>
          <w:u w:val="single" w:color="auto"/>
          <w:color w:val="auto"/>
        </w:rPr>
        <w:t>ESG Pricing Provisions</w:t>
      </w:r>
      <w:r>
        <w:rPr>
          <w:rFonts w:ascii="Times New Roman" w:cs="Times New Roman" w:eastAsia="Times New Roman" w:hAnsi="Times New Roman"/>
          <w:sz w:val="20"/>
          <w:szCs w:val="20"/>
          <w:color w:val="auto"/>
        </w:rPr>
        <w:t>”) into this Agreement and any such ESG Amendment shall become effective upon (i) receipt by the Lenders of a lender presentation in regard to the ESG Ratings and/or KPIs from Crown Holdings no later than five (5) Business Days before the posting of such proposed ESG Amendment to the Lenders and the Borrower, (ii) the posting of such proposed ESG Amendment to all Lenders and Crown Holdings and (iii) the receipt by the Administrative Agent of executed signature pages and consents to such ESG Amendment from Crown Holdings, the Sustainability Coordinators, the Administrative Agent and Lenders comprising the Required Lenders. Upon effectiveness of any such ESG Amendment, based on either the performance of Crown Holdings against the KPIs or its obtainment of the target ESG Ratings, certain adjustments to the Applicable Commitment Fee Percentage, Dollar LC Commission, Multicurrency LC Commission,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73" w:name="page174"/>
    <w:bookmarkEnd w:id="173"/>
    <w:p>
      <w:pPr>
        <w:jc w:val="both"/>
        <w:spacing w:after="0" w:line="250" w:lineRule="auto"/>
        <w:rPr>
          <w:sz w:val="20"/>
          <w:szCs w:val="20"/>
          <w:color w:val="auto"/>
        </w:rPr>
      </w:pPr>
      <w:r>
        <w:rPr>
          <w:rFonts w:ascii="Times New Roman" w:cs="Times New Roman" w:eastAsia="Times New Roman" w:hAnsi="Times New Roman"/>
          <w:sz w:val="20"/>
          <w:szCs w:val="20"/>
          <w:color w:val="auto"/>
        </w:rPr>
        <w:t>Canadian LC Commission, Applicable Adjusted Term SOFR Margin, Applicable Base Rate Margin, Applicable Eurocurrency Margin, Applicable RFR Margin, Applicable B/A Margin or Applicable Canadian Prime Rate Margin may be made; provided that the amount of any such adjustments made pursuant to an ESG Amendment shall not result in a decrease or increase of more than (a) 1.00 basis points in the Applicable Commitment Fee Percentage and/or (b) 5.00 basis points in the Multicurrency LC Commission, the Dollar LC Commission, the Canadian LC Commission, Applicable Adjusted Term SOFR Margin, Applicable Base Rate Margin, Applicable Eurocurrency Margin, Applicable B/A Margin, Applicable Canadian Prime Rate Margin or Applicable RFR Margin. If KPIs are utilized, the pricing adjustments will require, among other things, reporting and validation of the measurement of the KPIs in a manner that is aligned with the Sustainability Linked Loan Principles (as published in May 2021 by the Loan Market Association, Asia Pacific Loan Market Association and Loan Syndications &amp; Trading Association) and is to be mutually agreed between Crown Holdings and the Sustainability Coordinators (each acting reasonably) and reviewed by the Sustainability Assurance Provider. Following the effectiveness of the ESG Amendment, any modification to the ESG Pricing Provisions which does not have the effect of reducing or increasing the Applicable Commitment Fee Percentage, Dollar LC Commission, Multicurrency LC Commission, Canadian LC Commission, Applicable Adjusted Term SOFR Margin, Applicable Base Rate Margin, Applicable Eurocurrency Margin, Applicable B/A Margin, Applicable Canadian Prime Rate Margin or Applicable RFR Margin to a level not otherwise permitted by this paragraph shall be subject only to the consent of the Required Lenders.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2.17.2. Each Sustainability Coordinator will (i) assist the Crown Holdings in determining the ESG Pricing Provisions in connection with the ESG Amendment and (ii) assist the Crown Holdings in preparing informational materials focused on ESG to be used in connection with the ESG Amendment.</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2.17.3.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supersede any other clause or provision in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to the contrary, including any provision of </w:t>
      </w:r>
      <w:r>
        <w:rPr>
          <w:rFonts w:ascii="Times New Roman" w:cs="Times New Roman" w:eastAsia="Times New Roman" w:hAnsi="Times New Roman"/>
          <w:sz w:val="20"/>
          <w:szCs w:val="20"/>
          <w:u w:val="single" w:color="auto"/>
          <w:color w:val="auto"/>
        </w:rPr>
        <w:t>Section 12.1(a)(i)</w:t>
      </w:r>
      <w:r>
        <w:rPr>
          <w:rFonts w:ascii="Times New Roman" w:cs="Times New Roman" w:eastAsia="Times New Roman" w:hAnsi="Times New Roman"/>
          <w:sz w:val="20"/>
          <w:szCs w:val="20"/>
          <w:color w:val="auto"/>
        </w:rPr>
        <w:t xml:space="preserve"> requiring the consent of “each Lender directly and adversely affected thereby” for reductions in interest rates.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 AND TERMS OF CANADIAN REVOLVER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-20320</wp:posOffset>
            </wp:positionV>
            <wp:extent cx="30048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004820" cy="8255"/>
                    </a:xfrm>
                    <a:prstGeom prst="rect">
                      <a:avLst/>
                    </a:prstGeom>
                    <a:noFill/>
                  </pic:spPr>
                </pic:pic>
              </a:graphicData>
            </a:graphic>
          </wp:anchor>
        </w:drawing>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2A.1 </w:t>
      </w:r>
      <w:r>
        <w:rPr>
          <w:rFonts w:ascii="Times New Roman" w:cs="Times New Roman" w:eastAsia="Times New Roman" w:hAnsi="Times New Roman"/>
          <w:sz w:val="20"/>
          <w:szCs w:val="20"/>
          <w:u w:val="single" w:color="auto"/>
          <w:color w:val="auto"/>
        </w:rPr>
        <w:t>The Canadian Revolving Commitments</w:t>
      </w:r>
      <w:r>
        <w:rPr>
          <w:rFonts w:ascii="Times New Roman" w:cs="Times New Roman" w:eastAsia="Times New Roman" w:hAnsi="Times New Roman"/>
          <w:sz w:val="20"/>
          <w:szCs w:val="20"/>
          <w:color w:val="auto"/>
        </w:rPr>
        <w:t>. Each Canadian Revolving Lender, severally and for itself alone, hereby agrees, on the terms and subject to the conditions hereinafter set forth and in reliance upon the representations and warranties set forth herein and in the other Loan Documents, to make loans to Canadian Borrower in Canadian Dollars on a revolving basis, including by means of B/As or B/A Equivalent Loans, from time to time during the Canadian Commitment Period in an amount not to exceed its Canadian Revolver Pro Rata Share of the Total Available Canadian Revolving Commitment (each such loan by any Lender, a “</w:t>
      </w:r>
      <w:r>
        <w:rPr>
          <w:rFonts w:ascii="Times New Roman" w:cs="Times New Roman" w:eastAsia="Times New Roman" w:hAnsi="Times New Roman"/>
          <w:sz w:val="20"/>
          <w:szCs w:val="20"/>
          <w:u w:val="single" w:color="auto"/>
          <w:color w:val="auto"/>
        </w:rPr>
        <w:t>Canadian Revolving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Canadian Revolving Loans</w:t>
      </w:r>
      <w:r>
        <w:rPr>
          <w:rFonts w:ascii="Times New Roman" w:cs="Times New Roman" w:eastAsia="Times New Roman" w:hAnsi="Times New Roman"/>
          <w:sz w:val="20"/>
          <w:szCs w:val="20"/>
          <w:color w:val="auto"/>
        </w:rPr>
        <w:t>”). The Canadian Revolving Loans (i) shall be denominated in Canadian Dollars and (ii) if made on the Effective Date, shall be made as Canadian Prime Rate Loans. Except as hereinafter provided, Canadian Revolving Loans may, at the option of Canadian Borrower, be maintained as and/or converted into Canadian Prime Rate Loans or B/A Loans. All Canadian Revolving Loans comprising the same Borrowing hereunder shall be made by the Canadian Revolving Lenders simultaneously and in proportion to their respective Canadian Revolving Commitments. Prior to the Canadian Revolver Termination Date, Canadian Revolving Loans may be repaid and reborrowed by Canadian Borrower in accordance with the provisions hereof and, except as otherwise specifically provided herein, all Canadian Revolving Loans comprising the same Borrowing shall at all times be of the same Type. As the context may require, references to the outstanding principal amount of any Canadian Revolving Loan shall include the face amount of B/A Loans.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74" w:name="page175"/>
    <w:bookmarkEnd w:id="174"/>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2A.2</w:t>
      </w:r>
      <w:r>
        <w:rPr>
          <w:sz w:val="20"/>
          <w:szCs w:val="20"/>
          <w:color w:val="auto"/>
        </w:rPr>
        <w:tab/>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56"/>
        <w:spacing w:after="0" w:line="253" w:lineRule="auto"/>
        <w:tabs>
          <w:tab w:leader="none" w:pos="118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Indebtedness</w:t>
      </w:r>
      <w:r>
        <w:rPr>
          <w:rFonts w:ascii="Times New Roman" w:cs="Times New Roman" w:eastAsia="Times New Roman" w:hAnsi="Times New Roman"/>
          <w:sz w:val="20"/>
          <w:szCs w:val="20"/>
          <w:color w:val="auto"/>
        </w:rPr>
        <w:t xml:space="preserve">. At the request of any Canadian Revolving Lender, Canadian Borrower’s obligation to pay the principal of and interest on all Canadian Revolving Loans (other than B/As) made to it by such Lender shall be evidenced by a promissory note duly executed and delivered by Canadian Borrower substantially in the form of </w:t>
      </w:r>
      <w:r>
        <w:rPr>
          <w:rFonts w:ascii="Times New Roman" w:cs="Times New Roman" w:eastAsia="Times New Roman" w:hAnsi="Times New Roman"/>
          <w:sz w:val="20"/>
          <w:szCs w:val="20"/>
          <w:u w:val="single" w:color="auto"/>
          <w:color w:val="auto"/>
        </w:rPr>
        <w:t>Exhibit 2A.2(a</w:t>
      </w:r>
      <w:r>
        <w:rPr>
          <w:rFonts w:ascii="Times New Roman" w:cs="Times New Roman" w:eastAsia="Times New Roman" w:hAnsi="Times New Roman"/>
          <w:sz w:val="20"/>
          <w:szCs w:val="20"/>
          <w:color w:val="auto"/>
        </w:rPr>
        <w:t>) (or such other form as mutually agreed by Crown Holdings and the Canadian Administrative Agent) (each a “</w:t>
      </w:r>
      <w:r>
        <w:rPr>
          <w:rFonts w:ascii="Times New Roman" w:cs="Times New Roman" w:eastAsia="Times New Roman" w:hAnsi="Times New Roman"/>
          <w:sz w:val="20"/>
          <w:szCs w:val="20"/>
          <w:u w:val="single" w:color="auto"/>
          <w:color w:val="auto"/>
        </w:rPr>
        <w:t>Canadian Revolving Note</w:t>
      </w:r>
      <w:r>
        <w:rPr>
          <w:rFonts w:ascii="Times New Roman" w:cs="Times New Roman" w:eastAsia="Times New Roman" w:hAnsi="Times New Roman"/>
          <w:sz w:val="20"/>
          <w:szCs w:val="20"/>
          <w:color w:val="auto"/>
        </w:rPr>
        <w:t>”) hereto, with blanks appropriately completed in conformity herewith.</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2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Notation of Payments</w:t>
      </w:r>
      <w:r>
        <w:rPr>
          <w:rFonts w:ascii="Times New Roman" w:cs="Times New Roman" w:eastAsia="Times New Roman" w:hAnsi="Times New Roman"/>
          <w:sz w:val="20"/>
          <w:szCs w:val="20"/>
          <w:color w:val="auto"/>
        </w:rPr>
        <w:t>. Each Canadian Revolving Lender will note on its internal records the amount of each Canadian Revolving Loan made by it and each payment in respect thereof and will, prior to any transfer of any Canadian Revolving Note in accordance with the terms of this Agreement, endorse on the reverse side thereof the outstanding principal amount of Canadian Revolving Loans evidenced thereby. Failure to make any such notation shall not affect Canadian Borrower’s or any guarantor’s obligations hereunder or under the other applicable Loan Documents in respect of such Canadian Revolving Loans.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2A.3 </w:t>
      </w:r>
      <w:r>
        <w:rPr>
          <w:rFonts w:ascii="Times New Roman" w:cs="Times New Roman" w:eastAsia="Times New Roman" w:hAnsi="Times New Roman"/>
          <w:sz w:val="20"/>
          <w:szCs w:val="20"/>
          <w:u w:val="single" w:color="auto"/>
          <w:color w:val="auto"/>
        </w:rPr>
        <w:t>Minimum Amount of Each Borrowing; Maximum Number of Borrowings</w:t>
      </w:r>
      <w:r>
        <w:rPr>
          <w:rFonts w:ascii="Times New Roman" w:cs="Times New Roman" w:eastAsia="Times New Roman" w:hAnsi="Times New Roman"/>
          <w:sz w:val="20"/>
          <w:szCs w:val="20"/>
          <w:color w:val="auto"/>
        </w:rPr>
        <w:t>. The aggregate principal amount of each Borrowing by Canadian Borrower hereunder shall be not less than the Minimum Borrowing Amount and, if greater, shall be in integral multiples of Cdn.$1,000,000 above such minimum (or, if less, the then Total Available Canadian Revolving Commitment). More than one Borrowing may be incurred on any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2A.4 </w:t>
      </w:r>
      <w:r>
        <w:rPr>
          <w:rFonts w:ascii="Times New Roman" w:cs="Times New Roman" w:eastAsia="Times New Roman" w:hAnsi="Times New Roman"/>
          <w:sz w:val="20"/>
          <w:szCs w:val="20"/>
          <w:u w:val="single" w:color="auto"/>
          <w:color w:val="auto"/>
        </w:rPr>
        <w:t>Borrowing Options</w:t>
      </w:r>
      <w:r>
        <w:rPr>
          <w:rFonts w:ascii="Times New Roman" w:cs="Times New Roman" w:eastAsia="Times New Roman" w:hAnsi="Times New Roman"/>
          <w:sz w:val="20"/>
          <w:szCs w:val="20"/>
          <w:color w:val="auto"/>
        </w:rPr>
        <w:t xml:space="preserve">. The Canadian Revolving Loans shall, at the option of Canadian Borrower except as otherwise provided in this Agreement, be (i) Canadian Prime Rate Loans, (ii) B/A Loans, or (iii) part Canadian Prime Rate Loans and part B/A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Canadian Revolving Loans made by the Canadian Revolving Lenders pursuant to the same Borrowing shall, unless otherwise specifically provided herein, consist entirely of Canadian Revolving Loans of the same Type.</w:t>
      </w:r>
    </w:p>
    <w:p>
      <w:pPr>
        <w:spacing w:after="0" w:line="17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 xml:space="preserve">2A.5 </w:t>
      </w:r>
      <w:r>
        <w:rPr>
          <w:rFonts w:ascii="Times New Roman" w:cs="Times New Roman" w:eastAsia="Times New Roman" w:hAnsi="Times New Roman"/>
          <w:sz w:val="19"/>
          <w:szCs w:val="19"/>
          <w:u w:val="single" w:color="auto"/>
          <w:color w:val="auto"/>
        </w:rPr>
        <w:t>Notice of Canadian Borrowing</w:t>
      </w:r>
      <w:r>
        <w:rPr>
          <w:rFonts w:ascii="Times New Roman" w:cs="Times New Roman" w:eastAsia="Times New Roman" w:hAnsi="Times New Roman"/>
          <w:sz w:val="19"/>
          <w:szCs w:val="19"/>
          <w:color w:val="auto"/>
        </w:rPr>
        <w:t xml:space="preserve">. Whenever Canadian Borrower desires to make a Borrowing of any Canadian Revolving Loan hereunder, Canadian Borrower shall give Canadian Administrative Agent at its Notice Address at least one Business Day’s (two Business Days’ in the case of B/A Loans) prior written notice (or telephonic notice promptly confirmed in writing), given not later than 12:00 p.m. (Toronto time) of each B/A Loan or Canadian Prime Rate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 Notice of Canadian Borrowing with respect to Borrowings to be made on the Incremental Amendment No. 3 and Fifth Amendment Effective Date may, at the discretion of Canadian Administrative Agent, be delivered later than the time specified above. Each such notice (each a “</w:t>
      </w:r>
      <w:r>
        <w:rPr>
          <w:rFonts w:ascii="Times New Roman" w:cs="Times New Roman" w:eastAsia="Times New Roman" w:hAnsi="Times New Roman"/>
          <w:sz w:val="19"/>
          <w:szCs w:val="19"/>
          <w:u w:val="single" w:color="auto"/>
          <w:color w:val="auto"/>
        </w:rPr>
        <w:t>Notice of Canadian Borrowing</w:t>
      </w:r>
      <w:r>
        <w:rPr>
          <w:rFonts w:ascii="Times New Roman" w:cs="Times New Roman" w:eastAsia="Times New Roman" w:hAnsi="Times New Roman"/>
          <w:sz w:val="19"/>
          <w:szCs w:val="19"/>
          <w:color w:val="auto"/>
        </w:rPr>
        <w:t xml:space="preserve">”), which shall be in the form of </w:t>
      </w:r>
      <w:r>
        <w:rPr>
          <w:rFonts w:ascii="Times New Roman" w:cs="Times New Roman" w:eastAsia="Times New Roman" w:hAnsi="Times New Roman"/>
          <w:sz w:val="19"/>
          <w:szCs w:val="19"/>
          <w:u w:val="single" w:color="auto"/>
          <w:color w:val="auto"/>
        </w:rPr>
        <w:t>Exhibit 2A.5</w:t>
      </w:r>
      <w:r>
        <w:rPr>
          <w:rFonts w:ascii="Times New Roman" w:cs="Times New Roman" w:eastAsia="Times New Roman" w:hAnsi="Times New Roman"/>
          <w:sz w:val="19"/>
          <w:szCs w:val="19"/>
          <w:color w:val="auto"/>
        </w:rPr>
        <w:t xml:space="preserve"> hereto (or such other form as mutually agreed by Crown Holdings and the Canadian Administrative Agent), shall be irrevocable, shall be deemed a representation by Canadian Borrower that all conditions precedent to such Borrowing have been satisfied and shall specify (i) the aggregate principal amount of the Loans (or the face amount of the B/A Loans, as the case may be) to be made pursuant to such Borrowing, (ii) the date of Borrowing (which shall be a Business Day), and (iii) whether the Loans being made pursuant to such Borrowing are to be Canadian Prime Rate Loans or B/A Loans and with respect to B/A Loans the Contract Period and maturity date to be applicable thereto. Canadian Administrative Agent shall as promptly as practicable give each Canadian Revolving Lender written or telephonic notice (promptly confirmed in writing) of each proposed Borrowing, of such Canadian Revolving Lender’s Canadian Revolver Pro Rata Share thereof and of the other matters covered by the Notice of Canadian Borrowing. Without in any way limiting Canadian Borrower’s obligation to confirm in writing any telephonic notice, Canadian Administrative Agent may act without liability upon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75" w:name="page176"/>
    <w:bookmarkEnd w:id="175"/>
    <w:p>
      <w:pPr>
        <w:jc w:val="both"/>
        <w:spacing w:after="0" w:line="258" w:lineRule="auto"/>
        <w:rPr>
          <w:sz w:val="20"/>
          <w:szCs w:val="20"/>
          <w:color w:val="auto"/>
        </w:rPr>
      </w:pPr>
      <w:r>
        <w:rPr>
          <w:rFonts w:ascii="Times New Roman" w:cs="Times New Roman" w:eastAsia="Times New Roman" w:hAnsi="Times New Roman"/>
          <w:sz w:val="20"/>
          <w:szCs w:val="20"/>
          <w:color w:val="auto"/>
        </w:rPr>
        <w:t>the basis of telephonic notice believed by Canadian Administrative Agent in good faith to be from a Responsible Officer of Canadian Borrower prior to receipt of written confirmation. Canadian Administrative Agent’s records shall, absent manifest error, be final, conclusive and binding on Canadian Borrower with respect to evidence of the terms of such telephonic Notice of Canadian Borrowing. Canadian Borrower hereby agrees not to dispute Canadian Administrative Agent’s record of the time of telephonic notice.</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2A.6 </w:t>
      </w:r>
      <w:r>
        <w:rPr>
          <w:rFonts w:ascii="Times New Roman" w:cs="Times New Roman" w:eastAsia="Times New Roman" w:hAnsi="Times New Roman"/>
          <w:sz w:val="20"/>
          <w:szCs w:val="20"/>
          <w:u w:val="single" w:color="auto"/>
          <w:color w:val="auto"/>
        </w:rPr>
        <w:t>Conversion or Continuation</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2A.4</w:t>
      </w:r>
      <w:r>
        <w:rPr>
          <w:rFonts w:ascii="Times New Roman" w:cs="Times New Roman" w:eastAsia="Times New Roman" w:hAnsi="Times New Roman"/>
          <w:sz w:val="20"/>
          <w:szCs w:val="20"/>
          <w:color w:val="auto"/>
        </w:rPr>
        <w:t xml:space="preserve">, Canadian Borrower may elect (i) on any Business Day to convert Canadian Prime Rate Loans or any portion thereof to B/A Loans and (ii) at the end of any Contract Period with respect thereto, to convert B/A Loans or any portion thereof into Canadian Prime Rate Loans or continue such B/A Loans or any portion thereof for an additional Contract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aggregate face amount of the B/A Loans for each Contract Period therefor must be in an aggregate principal amount of Cdn.$5,000,000 or an integral multiple of Cdn.$1,000,000 in excess thereto. Each such election shall be in substantially the form of </w:t>
      </w:r>
      <w:r>
        <w:rPr>
          <w:rFonts w:ascii="Times New Roman" w:cs="Times New Roman" w:eastAsia="Times New Roman" w:hAnsi="Times New Roman"/>
          <w:sz w:val="20"/>
          <w:szCs w:val="20"/>
          <w:u w:val="single" w:color="auto"/>
          <w:color w:val="auto"/>
        </w:rPr>
        <w:t>Exhibit 2A.6</w:t>
      </w:r>
      <w:r>
        <w:rPr>
          <w:rFonts w:ascii="Times New Roman" w:cs="Times New Roman" w:eastAsia="Times New Roman" w:hAnsi="Times New Roman"/>
          <w:sz w:val="20"/>
          <w:szCs w:val="20"/>
          <w:color w:val="auto"/>
        </w:rPr>
        <w:t xml:space="preserve"> hereto (or such other form as mutually agreed by Crown Holdings and the Canadian Administrative Agent) (a “</w:t>
      </w:r>
      <w:r>
        <w:rPr>
          <w:rFonts w:ascii="Times New Roman" w:cs="Times New Roman" w:eastAsia="Times New Roman" w:hAnsi="Times New Roman"/>
          <w:sz w:val="20"/>
          <w:szCs w:val="20"/>
          <w:u w:val="single" w:color="auto"/>
          <w:color w:val="auto"/>
        </w:rPr>
        <w:t>Notice of Canadian Conversion or Continuation</w:t>
      </w:r>
      <w:r>
        <w:rPr>
          <w:rFonts w:ascii="Times New Roman" w:cs="Times New Roman" w:eastAsia="Times New Roman" w:hAnsi="Times New Roman"/>
          <w:sz w:val="20"/>
          <w:szCs w:val="20"/>
          <w:color w:val="auto"/>
        </w:rPr>
        <w:t xml:space="preserve">”) and shall be made by giving Canadian Administrative Agent at least two Business Days’ prior written notice thereof to the Canadian Administrative Agent at its Notice Address given not later than 12:00 p.m. (Toronto time), specifying (i) the amount and type of conversion or continuation, (ii) in the case of a conversion to or a continuation of B/A Loans, the Contract Period therefor, (iii) in the case of a conversion, the date of conversion (which date shall be a Business Day). Notwithstanding the foregoing, no conversion in whole or in part of Canadian Prime Rate Loans to B/A Loans, and no continuation in whole or in part of B/A Loans, upon the expiration of the Contract Period, therefor, shall be permitted at any time at which an Unmatured Event of Default or an Event of Default shall have occurred and be continuing. If, within the time period required under the terms of this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 Canadian Administrative Agent does not receive a Notice of Canadian Conversion or Continuation from Canadian Borrower containing a permitted election to continue any B/A Loans, for an additional Contract Period to convert any such Loans, then, upon the expiration of the Contract Period therefor, such Loans will be automatically converted to Canadian Prime Rate Loans. Each Notice of Canadian Conversion or Continuation shall be irrevocable.</w:t>
      </w:r>
    </w:p>
    <w:p>
      <w:pPr>
        <w:spacing w:after="0" w:line="18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 xml:space="preserve">2A.7 </w:t>
      </w:r>
      <w:r>
        <w:rPr>
          <w:rFonts w:ascii="Times New Roman" w:cs="Times New Roman" w:eastAsia="Times New Roman" w:hAnsi="Times New Roman"/>
          <w:sz w:val="20"/>
          <w:szCs w:val="20"/>
          <w:u w:val="single" w:color="auto"/>
          <w:color w:val="auto"/>
        </w:rPr>
        <w:t>Disbursement of Funds and Presumptions by Canadian Administrative Agent</w:t>
      </w:r>
      <w:r>
        <w:rPr>
          <w:rFonts w:ascii="Times New Roman" w:cs="Times New Roman" w:eastAsia="Times New Roman" w:hAnsi="Times New Roman"/>
          <w:sz w:val="20"/>
          <w:szCs w:val="20"/>
          <w:color w:val="auto"/>
        </w:rPr>
        <w:t>. No later than 12:00 p.m. (local time at the place of funding) on the date specified in each Notice of Canadian Borrowing, each Canadian Revolving Lender will make available its Canadian Revolver Pro Rata Share of Canadian Revolving Loans of the Borrowing requested to be made on such date in Canadian Dollars and in immediately available funds, at the Payment Office and Canadian Administrative Agent will make available to Canadian Borrower at its Payment Office the aggregate of the amounts so made available by the Lenders not later than 2:00 p.m. (local time in the place of payment). Unless Canadian Administrative Agent shall have been notified by any such Lender at least one Business Day prior to the date of Borrowing that such Lender does not intend to make available to Canadian Administrative Agent such Lender’s portion of the Borrowing to be made on such date, Canadian Administrative Agent may assume that such Lender has made such amount available to Canadian Administrative Agent on such date of Borrowing and Canadian Administrative Agent may, but shall not be required to, in reliance upon such assumption, make available to Canadian Borrower a corresponding amount. If such corresponding amount is not in fact made available to Canadian Administrative Agent by such Lender on the date of Borrowing, Canadian Administrative Agent shall be entitled to recover such corresponding amount on demand from such Lender. If such Lender does not pay such corresponding amount forthwith upon Canadian Administrative Agent’s demand therefor, Canadian Administrative Agent shall promptly notify Canadian Borrower and, if so notified, Canadian Borrower shall immediately pay such corresponding amount to Canadian Administrative Agent. Canadian Administrative Agent shall also be entitled to</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76" w:name="page177"/>
    <w:bookmarkEnd w:id="176"/>
    <w:p>
      <w:pPr>
        <w:ind w:right="20"/>
        <w:spacing w:after="0" w:line="248" w:lineRule="auto"/>
        <w:rPr>
          <w:sz w:val="20"/>
          <w:szCs w:val="20"/>
          <w:color w:val="auto"/>
        </w:rPr>
      </w:pPr>
      <w:r>
        <w:rPr>
          <w:rFonts w:ascii="Times New Roman" w:cs="Times New Roman" w:eastAsia="Times New Roman" w:hAnsi="Times New Roman"/>
          <w:sz w:val="20"/>
          <w:szCs w:val="20"/>
          <w:color w:val="auto"/>
        </w:rPr>
        <w:t xml:space="preserve">recover from Canadian Borrower interest on such corresponding amount in respect of each day from the date such corresponding amount was made available by Canadian Administrative Agent to Canadian Borrower to the date such corresponding amount is recovered by Canadian Administrative Agent,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rate for Canadian Prime Rate Loans or B/A Loans, as the case may be, applicable during the period in question;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interest paid to Canadian Administrative Agent in respect of such corresponding amount shall be credited against interest payable by Canadian Borrower to such Lender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in respect of such corresponding amount. Any amount due hereunder to Canadian Administrative Agent from any Lender which is not paid when due shall bear interest payable by such Lender, from the date due until the date paid, at the average of the rates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for Canadian Dollar bankers’ acceptances having a term of 30 days that appears on the display </w:t>
      </w:r>
      <w:r>
        <w:rPr>
          <w:rFonts w:ascii="Times New Roman" w:cs="Times New Roman" w:eastAsia="Times New Roman" w:hAnsi="Times New Roman"/>
          <w:sz w:val="20"/>
          <w:szCs w:val="20"/>
          <w:color w:val="FF0000"/>
        </w:rPr>
        <w:t>referred to as the “CDOR Page” (or any display substituted therefor) of Reuter Monitor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rPr>
        <w:t xml:space="preserve">Money Rates Service as of 10:00 </w:t>
      </w:r>
      <w:r>
        <w:rPr>
          <w:rFonts w:ascii="Times New Roman" w:cs="Times New Roman" w:eastAsia="Times New Roman" w:hAnsi="Times New Roman"/>
          <w:sz w:val="20"/>
          <w:szCs w:val="20"/>
          <w:color w:val="000000"/>
        </w:rPr>
        <w:t>a.m. (Toronto time) on the date of determination, as reported by Canadian Administrative Agent (and if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such screen is not available, any successor or similar service as may be selected by Canadian Administrative Agent) for the first three days after the date such amount is due and thereafter at the average of the rates </w:t>
      </w:r>
      <w:r>
        <w:rPr>
          <w:rFonts w:ascii="Times New Roman" w:cs="Times New Roman" w:eastAsia="Times New Roman" w:hAnsi="Times New Roman"/>
          <w:sz w:val="20"/>
          <w:szCs w:val="20"/>
          <w:u w:val="single" w:color="auto"/>
          <w:color w:val="000000"/>
        </w:rPr>
        <w:t>per annum</w:t>
      </w:r>
      <w:r>
        <w:rPr>
          <w:rFonts w:ascii="Times New Roman" w:cs="Times New Roman" w:eastAsia="Times New Roman" w:hAnsi="Times New Roman"/>
          <w:sz w:val="20"/>
          <w:szCs w:val="20"/>
          <w:color w:val="000000"/>
        </w:rPr>
        <w:t xml:space="preserve"> for Canadian Dollar bankers’ acceptances having a term of 30 days that appears on the display </w:t>
      </w:r>
      <w:r>
        <w:rPr>
          <w:rFonts w:ascii="Times New Roman" w:cs="Times New Roman" w:eastAsia="Times New Roman" w:hAnsi="Times New Roman"/>
          <w:sz w:val="20"/>
          <w:szCs w:val="20"/>
          <w:color w:val="FF0000"/>
        </w:rPr>
        <w:t>referred to as the “CDOR Page” (or any display substituted therefor) of Reuter Monitor Money Rates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rPr>
        <w:t xml:space="preserve">Service as of 10:00 </w:t>
      </w:r>
      <w:r>
        <w:rPr>
          <w:rFonts w:ascii="Times New Roman" w:cs="Times New Roman" w:eastAsia="Times New Roman" w:hAnsi="Times New Roman"/>
          <w:sz w:val="20"/>
          <w:szCs w:val="20"/>
          <w:color w:val="000000"/>
        </w:rPr>
        <w:t>a.m. (Toronto time) on the date of determination, as reported by Canadian Administrative Agent (and if such screen is not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available, any successor or similar service as may be selected by Canadian Administrative Agent) plus 1% </w:t>
      </w:r>
      <w:r>
        <w:rPr>
          <w:rFonts w:ascii="Times New Roman" w:cs="Times New Roman" w:eastAsia="Times New Roman" w:hAnsi="Times New Roman"/>
          <w:sz w:val="20"/>
          <w:szCs w:val="20"/>
          <w:u w:val="single" w:color="auto"/>
          <w:color w:val="000000"/>
        </w:rPr>
        <w:t>per annum</w:t>
      </w:r>
      <w:r>
        <w:rPr>
          <w:rFonts w:ascii="Times New Roman" w:cs="Times New Roman" w:eastAsia="Times New Roman" w:hAnsi="Times New Roman"/>
          <w:sz w:val="20"/>
          <w:szCs w:val="20"/>
          <w:color w:val="000000"/>
        </w:rPr>
        <w:t xml:space="preserve">, together with Canadian Administrative Agent’s standard interbank processing fee. Further, such Lender shall be deemed to have assigned any and all payments made of principal and interest on its Loans, and any other amounts due to it hereunder first to Canadian Administrative Agent to fund any outstanding Loans made available on behalf of such Lender by Canadian Administrative Agent pursuant to this </w:t>
      </w:r>
      <w:r>
        <w:rPr>
          <w:rFonts w:ascii="Times New Roman" w:cs="Times New Roman" w:eastAsia="Times New Roman" w:hAnsi="Times New Roman"/>
          <w:sz w:val="20"/>
          <w:szCs w:val="20"/>
          <w:u w:val="single" w:color="auto"/>
          <w:color w:val="000000"/>
        </w:rPr>
        <w:t>Section 2A.7</w:t>
      </w:r>
      <w:r>
        <w:rPr>
          <w:rFonts w:ascii="Times New Roman" w:cs="Times New Roman" w:eastAsia="Times New Roman" w:hAnsi="Times New Roman"/>
          <w:sz w:val="20"/>
          <w:szCs w:val="20"/>
          <w:color w:val="000000"/>
        </w:rPr>
        <w:t xml:space="preserve"> until such Loans have been funded (as a result of such assignment or otherwise) and then to fund Loans of all Lenders other than such Lender until each Lender has outstanding Loans equal to its Canadian Revolver Pro Rata Share of all Canadian Revolving Loans (as a result of such assignment or otherwise). Such Lender shall not have recourse against Canadian Borrower with respect to any amounts paid to Canadian Administrative Agent or any Lender with respect to the preceding sentence,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such Lender shall have full recourse against Canadian Borrower to the extent of the amount of such Loans it has so been deemed to have made. Nothing herein shall be deemed to relieve any Lender from its obligation to fulfill its Canadian Revolving Commitment hereunder or to prejudice any rights which Canadian Borrower may have against the Lender as a result of any default by such Lender hereunder.</w:t>
      </w:r>
    </w:p>
    <w:p>
      <w:pPr>
        <w:spacing w:after="0" w:line="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2A.8 </w:t>
      </w:r>
      <w:r>
        <w:rPr>
          <w:rFonts w:ascii="Times New Roman" w:cs="Times New Roman" w:eastAsia="Times New Roman" w:hAnsi="Times New Roman"/>
          <w:sz w:val="20"/>
          <w:szCs w:val="20"/>
          <w:u w:val="single" w:color="auto"/>
          <w:color w:val="auto"/>
        </w:rPr>
        <w:t>Pro Rata Borrowings.</w:t>
      </w:r>
      <w:r>
        <w:rPr>
          <w:rFonts w:ascii="Times New Roman" w:cs="Times New Roman" w:eastAsia="Times New Roman" w:hAnsi="Times New Roman"/>
          <w:sz w:val="20"/>
          <w:szCs w:val="20"/>
          <w:color w:val="auto"/>
        </w:rPr>
        <w:t xml:space="preserve"> Except as expressly provided in </w:t>
      </w:r>
      <w:r>
        <w:rPr>
          <w:rFonts w:ascii="Times New Roman" w:cs="Times New Roman" w:eastAsia="Times New Roman" w:hAnsi="Times New Roman"/>
          <w:sz w:val="20"/>
          <w:szCs w:val="20"/>
          <w:u w:val="single" w:color="auto"/>
          <w:color w:val="auto"/>
        </w:rPr>
        <w:t>Section 2A.9(e)</w:t>
      </w:r>
      <w:r>
        <w:rPr>
          <w:rFonts w:ascii="Times New Roman" w:cs="Times New Roman" w:eastAsia="Times New Roman" w:hAnsi="Times New Roman"/>
          <w:sz w:val="20"/>
          <w:szCs w:val="20"/>
          <w:color w:val="auto"/>
        </w:rPr>
        <w:t>, all Borrowings of Canadian Revolving Loans under this Agreement shall be loaned by the applicable Lenders pro rata on the basis of their Canadian Revolving Commitments. No Lender shall be responsible for any default by any other Lender in its obligation to make Loans hereunder and each Lender shall be obligated to make the Loans provided to be made by it hereunder, regardless of the failure of any other Lender to fulfill its Canadian Revolving Commitment hereunder.</w:t>
      </w:r>
    </w:p>
    <w:p>
      <w:pPr>
        <w:spacing w:after="0" w:line="17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2A.9</w:t>
      </w:r>
      <w:r>
        <w:rPr>
          <w:sz w:val="20"/>
          <w:szCs w:val="20"/>
          <w:color w:val="auto"/>
        </w:rPr>
        <w:tab/>
      </w:r>
      <w:r>
        <w:rPr>
          <w:rFonts w:ascii="Times New Roman" w:cs="Times New Roman" w:eastAsia="Times New Roman" w:hAnsi="Times New Roman"/>
          <w:sz w:val="19"/>
          <w:szCs w:val="19"/>
          <w:u w:val="single" w:color="auto"/>
          <w:color w:val="auto"/>
        </w:rPr>
        <w:t>Bankers’ Acceptances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56"/>
        <w:spacing w:after="0" w:line="261" w:lineRule="auto"/>
        <w:tabs>
          <w:tab w:leader="none" w:pos="12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Canadian Borrower may request a Canadian Revolving Loan denominated in Canadian Dollars by presenting drafts for acceptance and, if applicable, purchase as B/As by the Canadian Revolving Lenders.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5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Canadian Revolving Lender shall not be obliged to either accept any draft presented for acceptance or advance any B/A Equivalent Loan: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77" w:name="page178"/>
    <w:bookmarkEnd w:id="177"/>
    <w:p>
      <w:pPr>
        <w:ind w:left="1240" w:hanging="386"/>
        <w:spacing w:after="0"/>
        <w:tabs>
          <w:tab w:leader="none" w:pos="12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drawn on, or where the Contract Period applicable thereto expires, on a day which is not a Business Day;</w:t>
      </w:r>
    </w:p>
    <w:p>
      <w:pPr>
        <w:spacing w:after="0" w:line="229" w:lineRule="exact"/>
        <w:rPr>
          <w:rFonts w:ascii="Times New Roman" w:cs="Times New Roman" w:eastAsia="Times New Roman" w:hAnsi="Times New Roman"/>
          <w:sz w:val="20"/>
          <w:szCs w:val="20"/>
          <w:color w:val="auto"/>
        </w:rPr>
      </w:pPr>
    </w:p>
    <w:p>
      <w:pPr>
        <w:ind w:left="1300" w:hanging="446"/>
        <w:spacing w:after="0"/>
        <w:tabs>
          <w:tab w:leader="none" w:pos="13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Contract Period applicable thereto matures on a day subsequent to the Canadian Revolver Termination Date;</w:t>
      </w:r>
    </w:p>
    <w:p>
      <w:pPr>
        <w:spacing w:after="0" w:line="215" w:lineRule="exact"/>
        <w:rPr>
          <w:rFonts w:ascii="Times New Roman" w:cs="Times New Roman" w:eastAsia="Times New Roman" w:hAnsi="Times New Roman"/>
          <w:sz w:val="20"/>
          <w:szCs w:val="20"/>
          <w:color w:val="auto"/>
        </w:rPr>
      </w:pPr>
    </w:p>
    <w:p>
      <w:pPr>
        <w:ind w:left="1340" w:hanging="486"/>
        <w:spacing w:after="0"/>
        <w:tabs>
          <w:tab w:leader="none" w:pos="13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Contract Period applicable thereto has a term other than approximately 30, 60, 90 or 180 days;</w:t>
      </w:r>
    </w:p>
    <w:p>
      <w:pPr>
        <w:spacing w:after="0" w:line="229" w:lineRule="exact"/>
        <w:rPr>
          <w:rFonts w:ascii="Times New Roman" w:cs="Times New Roman" w:eastAsia="Times New Roman" w:hAnsi="Times New Roman"/>
          <w:sz w:val="20"/>
          <w:szCs w:val="20"/>
          <w:color w:val="auto"/>
        </w:rPr>
      </w:pPr>
    </w:p>
    <w:p>
      <w:pPr>
        <w:ind w:left="1340" w:hanging="486"/>
        <w:spacing w:after="0"/>
        <w:tabs>
          <w:tab w:leader="none" w:pos="13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denominated in any currency other than Canadian Dollars;</w:t>
      </w:r>
    </w:p>
    <w:p>
      <w:pPr>
        <w:spacing w:after="0" w:line="215" w:lineRule="exact"/>
        <w:rPr>
          <w:rFonts w:ascii="Times New Roman" w:cs="Times New Roman" w:eastAsia="Times New Roman" w:hAnsi="Times New Roman"/>
          <w:sz w:val="20"/>
          <w:szCs w:val="20"/>
          <w:color w:val="auto"/>
        </w:rPr>
      </w:pPr>
    </w:p>
    <w:p>
      <w:pPr>
        <w:ind w:left="1280" w:hanging="426"/>
        <w:spacing w:after="0"/>
        <w:tabs>
          <w:tab w:leader="none" w:pos="128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not in a form satisfactory to such Canadian Revolving Lender or Canadian Administrative Agent;</w:t>
      </w:r>
    </w:p>
    <w:p>
      <w:pPr>
        <w:spacing w:after="0" w:line="229" w:lineRule="exact"/>
        <w:rPr>
          <w:rFonts w:ascii="Times New Roman" w:cs="Times New Roman" w:eastAsia="Times New Roman" w:hAnsi="Times New Roman"/>
          <w:sz w:val="20"/>
          <w:szCs w:val="20"/>
          <w:color w:val="auto"/>
        </w:rPr>
      </w:pPr>
    </w:p>
    <w:p>
      <w:pPr>
        <w:ind w:left="1340" w:hanging="486"/>
        <w:spacing w:after="0"/>
        <w:tabs>
          <w:tab w:leader="none" w:pos="134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continuation, in respect of which the Canadian Borrower has not then paid the applicable Acceptance Fee; or</w:t>
      </w:r>
    </w:p>
    <w:p>
      <w:pPr>
        <w:spacing w:after="0" w:line="229" w:lineRule="exact"/>
        <w:rPr>
          <w:rFonts w:ascii="Times New Roman" w:cs="Times New Roman" w:eastAsia="Times New Roman" w:hAnsi="Times New Roman"/>
          <w:sz w:val="20"/>
          <w:szCs w:val="20"/>
          <w:color w:val="auto"/>
        </w:rPr>
      </w:pPr>
    </w:p>
    <w:p>
      <w:pPr>
        <w:ind w:left="1400" w:hanging="546"/>
        <w:spacing w:after="0"/>
        <w:tabs>
          <w:tab w:leader="none" w:pos="140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Unmatured Event of Default or an Event of Default has occurred and is continuing.</w:t>
      </w:r>
    </w:p>
    <w:p>
      <w:pPr>
        <w:spacing w:after="0" w:line="215" w:lineRule="exact"/>
        <w:rPr>
          <w:rFonts w:ascii="Times New Roman" w:cs="Times New Roman" w:eastAsia="Times New Roman" w:hAnsi="Times New Roman"/>
          <w:sz w:val="20"/>
          <w:szCs w:val="20"/>
          <w:color w:val="auto"/>
        </w:rPr>
      </w:pPr>
    </w:p>
    <w:p>
      <w:pPr>
        <w:jc w:val="both"/>
        <w:ind w:firstLine="656"/>
        <w:spacing w:after="0" w:line="249" w:lineRule="auto"/>
        <w:tabs>
          <w:tab w:leader="none" w:pos="111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facilitate availment of B/A Loans, Canadian Borrower hereby appoints each Canadian Revolving Lender as its attorney to sign and endorse on its behalf (in accordance with a Notice of Canadian Borrowing or Notice of Canadian Conversion or Continuation relating to a B/A Loan pursuant to </w:t>
      </w:r>
      <w:r>
        <w:rPr>
          <w:rFonts w:ascii="Times New Roman" w:cs="Times New Roman" w:eastAsia="Times New Roman" w:hAnsi="Times New Roman"/>
          <w:sz w:val="20"/>
          <w:szCs w:val="20"/>
          <w:u w:val="single" w:color="auto"/>
          <w:color w:val="auto"/>
        </w:rPr>
        <w:t>Section 2A.5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 xml:space="preserve">), in handwriting or by facsimile or mechanical signature as and when deemed necessary by such Canadian Revolving Lender, blank drafts in the form requested by such Canadian Revolving Lender. In this respect, it is each Canadian Revolving Lender’s responsibility to maintain an adequate supply of blank drafts for acceptance under this Agreement. Canadian Borrower recognizes and agrees that all drafts signed and/or endorsed by a Canadian Revolving Lender on behalf of Canadian Borrower shall bind Canadian Borrower as fully and effectually as if signed in the handwriting of and duly issued by the proper signing officers of Canadian Borrower. Each Canadian Revolving Lender is hereby authorized (in accordance with a Notice of Canadian Borrowing or Notice of Canadian Conversion or Continuation relating to a B/A Loan) to issue such B/As endorsed in blank in such face amounts as may be determined by such Canadian Revolving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thereof is equal to the aggregate amount of drafts required to be accepted and purchased by such Canadian Revolving Lender. No Canadian Revolving Lender shall be liable for any damage, loss or other claim arising by reason of any loss or improper use of any such instrument except for the gross negligence or willful misconduct of the Canadian Revolving Lender or its officers, employees, agents or representatives. Each Canadian Revolving Lender shall maintain a record, which shall be made available to Canadian Borrower upon its request, with respect to drafts (i) received by it in blank hereunder, (ii) voided by it for any reason, (iii) accepted and purchased by it hereunder, and (iv) cancelled at their respective maturities. On request by or on behalf of Canadian Borrower, a Canadian Revolving Lender shall cancel all forms of B/As which have been pre-signed or pre-endorsed on behalf of Canadian Borrower and that are held by such Canadian Revolving Lender and are not required to be issued in accordance with Canadian Borrower’s irrevocable notice. Alternatively, Canadian Borrower agrees that, at the request of Canadian Administrative Agent, Canadian Borrower shall deliver to Canadian Administrative Agent a “depository note” which complies with the requirements of the Depository Bills and Notes Act (Canada), and consents to the deposit of any such depository note in the book-based debt clearance system maintained by the Canadian Depository for Securities.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78" w:name="page179"/>
    <w:bookmarkEnd w:id="178"/>
    <w:p>
      <w:pPr>
        <w:jc w:val="both"/>
        <w:ind w:firstLine="656"/>
        <w:spacing w:after="0" w:line="276" w:lineRule="auto"/>
        <w:tabs>
          <w:tab w:leader="none" w:pos="1307"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Drafts of Canadian Borrower to be accepted as B/As hereunder shall be signed as set forth in this </w:t>
      </w:r>
      <w:r>
        <w:rPr>
          <w:rFonts w:ascii="Times New Roman" w:cs="Times New Roman" w:eastAsia="Times New Roman" w:hAnsi="Times New Roman"/>
          <w:sz w:val="19"/>
          <w:szCs w:val="19"/>
          <w:u w:val="single" w:color="auto"/>
          <w:color w:val="auto"/>
        </w:rPr>
        <w:t>Section 2A.9</w:t>
      </w:r>
      <w:r>
        <w:rPr>
          <w:rFonts w:ascii="Times New Roman" w:cs="Times New Roman" w:eastAsia="Times New Roman" w:hAnsi="Times New Roman"/>
          <w:sz w:val="19"/>
          <w:szCs w:val="19"/>
          <w:color w:val="auto"/>
        </w:rPr>
        <w:t>. Notwithstanding that any Person whose signature appears on any B/A may no longer be an authorized signatory for any Canadian Revolving Lender or Canadian Borrower at the date of issuance of a B/A, such signature shall nevertheless be valid and sufficient for all purposes as if such authority had remained in force at the time of such issuance and any such B/A so signed shall be binding on Canadian Borrower.</w:t>
      </w:r>
    </w:p>
    <w:p>
      <w:pPr>
        <w:spacing w:after="0" w:line="156" w:lineRule="exact"/>
        <w:rPr>
          <w:rFonts w:ascii="Times New Roman" w:cs="Times New Roman" w:eastAsia="Times New Roman" w:hAnsi="Times New Roman"/>
          <w:sz w:val="19"/>
          <w:szCs w:val="19"/>
          <w:color w:val="auto"/>
        </w:rPr>
      </w:pPr>
    </w:p>
    <w:p>
      <w:pPr>
        <w:jc w:val="both"/>
        <w:ind w:firstLine="656"/>
        <w:spacing w:after="0" w:line="253" w:lineRule="auto"/>
        <w:tabs>
          <w:tab w:leader="none" w:pos="123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following the receipt of a Notice of Canadian Borrowing or Notice of Canadian Conversion or Continuation specifying a Canadian Revolving Loan by way of B/As, Canadian Administrative Agent shall so advise the Canadian Revolving Lenders and shall advise each Canadian Revolving Lender of the aggregate face amount of the B/As to be accepted by it and the applicable Contract Period (which shall be identical for all Canadian Revolving Lenders). In the case of Canadian Revolving Loans comprised of B/A Loans, the aggregate face amount of the B/As to be accepted by a Canadian Revolving Lender shall be in a minimum aggregate amount of Cdn.$500,000 and shall be a whole multiple of Cdn.$100,000, and such face amount shall be in the Canadian Revolving Lenders’ pro rata portions of such Canadian Revolving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Canadian Administrative Agent may in its sole discretion increase or reduce any Canadian Revolving Lender’s portion of such B/A Loan to the nearest Cdn.$100,000.</w:t>
      </w:r>
    </w:p>
    <w:p>
      <w:pPr>
        <w:spacing w:after="0" w:line="180" w:lineRule="exact"/>
        <w:rPr>
          <w:rFonts w:ascii="Times New Roman" w:cs="Times New Roman" w:eastAsia="Times New Roman" w:hAnsi="Times New Roman"/>
          <w:sz w:val="20"/>
          <w:szCs w:val="20"/>
          <w:color w:val="auto"/>
        </w:rPr>
      </w:pPr>
    </w:p>
    <w:p>
      <w:pPr>
        <w:jc w:val="both"/>
        <w:ind w:firstLine="656"/>
        <w:spacing w:after="0" w:line="251" w:lineRule="auto"/>
        <w:tabs>
          <w:tab w:leader="none" w:pos="119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Canadian Borrower may specify in a Notice of Canadian Borrowing pursuant to </w:t>
      </w:r>
      <w:r>
        <w:rPr>
          <w:rFonts w:ascii="Times New Roman" w:cs="Times New Roman" w:eastAsia="Times New Roman" w:hAnsi="Times New Roman"/>
          <w:sz w:val="20"/>
          <w:szCs w:val="20"/>
          <w:u w:val="single" w:color="auto"/>
          <w:color w:val="auto"/>
        </w:rPr>
        <w:t>Section 2A.5</w:t>
      </w:r>
      <w:r>
        <w:rPr>
          <w:rFonts w:ascii="Times New Roman" w:cs="Times New Roman" w:eastAsia="Times New Roman" w:hAnsi="Times New Roman"/>
          <w:sz w:val="20"/>
          <w:szCs w:val="20"/>
          <w:color w:val="auto"/>
        </w:rPr>
        <w:t xml:space="preserve"> or a Notice of Canadian Conversion or Continuation pursuant to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 xml:space="preserve"> that it desires that any B/A’s requested by such notice be purchased by the Canadian Revolving Lenders, in which case the Canadian Revolving Lenders shall, upon acceptance of a B/A by a Canadian Revolving Lender, purchase, or arrange for the purchase of, each B/A from Canadian Borrower at the Discount Rate for such Canadian Revolving Lender applicable to such B/A accepted by it and provide to Canadian Administrative Agent the Discount Proceeds for the account of Canadian Borrower. The Acceptance Fee payable by Canadian Borrower to a Canadian Revolving Lender under </w:t>
      </w:r>
      <w:r>
        <w:rPr>
          <w:rFonts w:ascii="Times New Roman" w:cs="Times New Roman" w:eastAsia="Times New Roman" w:hAnsi="Times New Roman"/>
          <w:sz w:val="20"/>
          <w:szCs w:val="20"/>
          <w:u w:val="single" w:color="auto"/>
          <w:color w:val="auto"/>
        </w:rPr>
        <w:t>Section 3.1(d)</w:t>
      </w:r>
      <w:r>
        <w:rPr>
          <w:rFonts w:ascii="Times New Roman" w:cs="Times New Roman" w:eastAsia="Times New Roman" w:hAnsi="Times New Roman"/>
          <w:sz w:val="20"/>
          <w:szCs w:val="20"/>
          <w:color w:val="auto"/>
        </w:rPr>
        <w:t xml:space="preserve"> in respect of each B/A accepted by such Canadian Revolving Lender shall be set off against the Discount Proceeds payable by such Canadian Revolving Lender under this </w:t>
      </w:r>
      <w:r>
        <w:rPr>
          <w:rFonts w:ascii="Times New Roman" w:cs="Times New Roman" w:eastAsia="Times New Roman" w:hAnsi="Times New Roman"/>
          <w:sz w:val="20"/>
          <w:szCs w:val="20"/>
          <w:u w:val="single" w:color="auto"/>
          <w:color w:val="auto"/>
        </w:rPr>
        <w:t>Section 2A.9</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ind w:firstLine="656"/>
        <w:spacing w:after="0" w:line="269" w:lineRule="auto"/>
        <w:tabs>
          <w:tab w:leader="none" w:pos="107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Canadian Revolving Lender may at any time and from time to time hold, sell, rediscount or otherwise dispose of any or all B/As accepted and purchased by it.</w:t>
      </w:r>
    </w:p>
    <w:p>
      <w:pPr>
        <w:spacing w:after="0" w:line="17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7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Canadian Revolving Lender is not a chartered bank under the Bank Act (Canada) or if a Canadian Revolving Lender notifies Canadian Administrative Agent in writing that it is otherwise unable to accept Bankers’ Acceptances, such Canadian Revolving Lender will, instead of accepting and, if applicable, purchasing Bankers’ Acceptances, make an advance (a “</w:t>
      </w:r>
      <w:r>
        <w:rPr>
          <w:rFonts w:ascii="Times New Roman" w:cs="Times New Roman" w:eastAsia="Times New Roman" w:hAnsi="Times New Roman"/>
          <w:sz w:val="20"/>
          <w:szCs w:val="20"/>
          <w:u w:val="single" w:color="auto"/>
          <w:color w:val="auto"/>
        </w:rPr>
        <w:t>B/A Equivalent Loan</w:t>
      </w:r>
      <w:r>
        <w:rPr>
          <w:rFonts w:ascii="Times New Roman" w:cs="Times New Roman" w:eastAsia="Times New Roman" w:hAnsi="Times New Roman"/>
          <w:sz w:val="20"/>
          <w:szCs w:val="20"/>
          <w:color w:val="auto"/>
        </w:rPr>
        <w:t>”) to Canadian Borrower in the amount and for the same term as the draft that such Canadian Revolving Lender would otherwise have been required to accept and purchase hereunder. Each such Canadian Revolving Lender will provide to Canadian Administrative Agent the Discount Proceeds of such B/A Equivalent Loan for the account of Canadian Borrower. Each such B/A Equivalent Loan will bear interest at the same rate that would result if such Lender had accepted (and been paid an Acceptance Fee) and purchased (on a discounted basis at the Discount Rate) a Bankers’ Acceptance for the relevant Contract Period (it being the intention of the parties that each such B/A Equivalent Loan shall have the same economic consequences for the applicable Lenders and Canadian Borrower as the Bankers’ Acceptance which such B/A Equivalent Loan replaces). All such interest shall be paid in advance on the date such B/A Equivalent Loan is made, and will be deducted from the principal amount of such B/A Equivalent Loan in the same manner in which the discount to the purchase price of a Bankers’ Acceptance would be deducted from the face amount of the Bankers’ Acceptance.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79" w:name="page180"/>
    <w:bookmarkEnd w:id="179"/>
    <w:p>
      <w:pPr>
        <w:jc w:val="both"/>
        <w:ind w:firstLine="656"/>
        <w:spacing w:after="0" w:line="250" w:lineRule="auto"/>
        <w:tabs>
          <w:tab w:leader="none" w:pos="113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Canadian Borrower waives presentment for payment and any other defense to payment of any amounts due to a Canadian Revolving Lender in respect of a B/A accepted and purchased by it pursuant to this Agreement which might exist solely by reason of such B/A being held, at the maturity thereof, by such Canadian Revolving Lender in its own right, and Canadian Borrower agrees not to claim any days of grace if such Canadian Revolving Lender, as holder, sues Canadian Borrower on the B/A for payment of the amount payable by Canadian Borrower thereunder. Unless Canadian Borrower has requested and Canadian Revolving Lenders have granted a continuation of such B/A Loan in accordance with the provisions of this Agreement, on the last day of the Contract Period of a B/A, or such earlier date as may be required or permitted pursuant to the provisions of this Agreement, Canadian Borrower shall pay the Canadian Revolving Lender that has accepted and purchased such B/A the full face amount of such B/A and, after such payment, Canadian Borrower shall have no further liability in respect of such B/A and such Canadian Revolving Lender shall be entitled to all benefits of, and be responsible for all payments due to third parties under, such B/A.</w:t>
      </w:r>
    </w:p>
    <w:p>
      <w:pPr>
        <w:spacing w:after="0" w:line="196"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required by any Canadian Revolving Lender upon the occurrence of an Event of Default, no B/A Loan may be repaid by Canadian Borrower prior to the expiry date of the Contract Period applicable to such B/A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B/A Loan may be defeased as provided in the proviso to </w:t>
      </w:r>
      <w:r>
        <w:rPr>
          <w:rFonts w:ascii="Times New Roman" w:cs="Times New Roman" w:eastAsia="Times New Roman" w:hAnsi="Times New Roman"/>
          <w:sz w:val="20"/>
          <w:szCs w:val="20"/>
          <w:u w:val="single" w:color="auto"/>
          <w:color w:val="auto"/>
        </w:rPr>
        <w:t>Section 4.3(d)</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2A.10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xml:space="preserve">. Notwithstanding anything herein to the contrary, the Canadian Borrower shall in no capacity and in no event be obliged to make any payment of interest or any other amount payable to any Canadian Revolving Lender hereunder in excess of any amount or rate which would be prohibited by law or would result in the receipt by such Canadian Revolving Lender of, or an agreement by such Canadian Revolving Lender to receive, “interest” at a “criminal rate” (as each such term is defined in and construed under Section 347 of the </w:t>
      </w:r>
      <w:r>
        <w:rPr>
          <w:rFonts w:ascii="Times New Roman" w:cs="Times New Roman" w:eastAsia="Times New Roman" w:hAnsi="Times New Roman"/>
          <w:sz w:val="20"/>
          <w:szCs w:val="20"/>
          <w:i w:val="1"/>
          <w:iCs w:val="1"/>
          <w:color w:val="auto"/>
        </w:rPr>
        <w:t>Criminal Code</w:t>
      </w:r>
      <w:r>
        <w:rPr>
          <w:rFonts w:ascii="Times New Roman" w:cs="Times New Roman" w:eastAsia="Times New Roman" w:hAnsi="Times New Roman"/>
          <w:sz w:val="20"/>
          <w:szCs w:val="20"/>
          <w:color w:val="auto"/>
        </w:rPr>
        <w:t xml:space="preserve"> (Canada)).</w:t>
      </w:r>
    </w:p>
    <w:p>
      <w:pPr>
        <w:spacing w:after="0" w:line="18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3.</w:t>
      </w:r>
    </w:p>
    <w:p>
      <w:pPr>
        <w:spacing w:after="0" w:line="2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INTEREST AND FEES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Interest.</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Base Rate Loans</w:t>
      </w:r>
      <w:r>
        <w:rPr>
          <w:rFonts w:ascii="Times New Roman" w:cs="Times New Roman" w:eastAsia="Times New Roman" w:hAnsi="Times New Roman"/>
          <w:sz w:val="20"/>
          <w:szCs w:val="20"/>
          <w:color w:val="auto"/>
        </w:rPr>
        <w:t xml:space="preserve">. Each applicable Borrower agrees to pay interest in respect of the unpaid principal amount of each Base Rate Loan from the date the proceeds thereof are made available to such Borrower (or, if such Base Rate Loan was converted from a SOFR Loan, the date of such conversion) until the earlier of (i) the maturity (whether by acceleration or otherwise) of such Base Rate Loan or (ii) the conversion of such Base Rate Loan to a SOFR Loan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relevant Base Rate plus the Applicable Base Rate Margin.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SOFR Loans</w:t>
      </w:r>
      <w:r>
        <w:rPr>
          <w:rFonts w:ascii="Times New Roman" w:cs="Times New Roman" w:eastAsia="Times New Roman" w:hAnsi="Times New Roman"/>
          <w:sz w:val="20"/>
          <w:szCs w:val="20"/>
          <w:color w:val="auto"/>
        </w:rPr>
        <w:t xml:space="preserve">. Each applicable Borrower agrees to pay interest in respect of the unpaid principal amount of such Borrower’s SOFR Loans from the date the proceeds thereof are made available to such Borrower (or, if such SOFR Loan was converted from a Base Rate Loan, the date of such conversion) until the earlier of (i) the maturity (whether by acceleration or otherwise) of such SOFR Loan or (ii) the conversion of such SOFR Loan to a Base Rate Loan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Adjusted Term SOFR plus the Applicable Adjusted Term SOFR Margin.</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Eurocurrency Loans</w:t>
      </w:r>
      <w:r>
        <w:rPr>
          <w:rFonts w:ascii="Times New Roman" w:cs="Times New Roman" w:eastAsia="Times New Roman" w:hAnsi="Times New Roman"/>
          <w:sz w:val="20"/>
          <w:szCs w:val="20"/>
          <w:color w:val="auto"/>
        </w:rPr>
        <w:t>. Each applicable Borrower agrees to pay interest in respect of the unpaid principal amount of such Borrower’s Eurocurrency Loans from the date the proceeds thereof are made available to such Borrower until the maturity (whether by acceleration or otherwise) of such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0"/>
          <w:szCs w:val="20"/>
          <w:color w:val="auto"/>
        </w:rPr>
        <w:t xml:space="preserve">Eurocurrency Loan at a rate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equal to the Eurocurrency Rate plus the Applicable Eurocurrency Margin.</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 xml:space="preserve">3.1.4. </w:t>
      </w:r>
      <w:r>
        <w:rPr>
          <w:rFonts w:ascii="Times New Roman" w:cs="Times New Roman" w:eastAsia="Times New Roman" w:hAnsi="Times New Roman"/>
          <w:sz w:val="19"/>
          <w:szCs w:val="19"/>
          <w:u w:val="single" w:color="auto"/>
          <w:color w:val="auto"/>
        </w:rPr>
        <w:t>RFR Loans</w:t>
      </w:r>
      <w:r>
        <w:rPr>
          <w:rFonts w:ascii="Times New Roman" w:cs="Times New Roman" w:eastAsia="Times New Roman" w:hAnsi="Times New Roman"/>
          <w:sz w:val="19"/>
          <w:szCs w:val="19"/>
          <w:color w:val="auto"/>
        </w:rPr>
        <w:t xml:space="preserve">. Each applicable Borrower agrees to pay interest in respect of the unpaid principal amount of such Borrower’s Daily Simple RFR Loans from the date the proceeds thereof are made available to such Borrower until the maturity (whether by acceleration or otherwise) of such Daily Simple RFR Loan at a rate </w:t>
      </w:r>
      <w:r>
        <w:rPr>
          <w:rFonts w:ascii="Times New Roman" w:cs="Times New Roman" w:eastAsia="Times New Roman" w:hAnsi="Times New Roman"/>
          <w:sz w:val="19"/>
          <w:szCs w:val="19"/>
          <w:u w:val="single" w:color="auto"/>
          <w:color w:val="auto"/>
        </w:rPr>
        <w:t>per annum</w:t>
      </w:r>
      <w:r>
        <w:rPr>
          <w:rFonts w:ascii="Times New Roman" w:cs="Times New Roman" w:eastAsia="Times New Roman" w:hAnsi="Times New Roman"/>
          <w:sz w:val="19"/>
          <w:szCs w:val="19"/>
          <w:color w:val="auto"/>
        </w:rPr>
        <w:t xml:space="preserve"> equal to Daily Simple RFR plus the Applicable RFR Margin.</w:t>
      </w:r>
    </w:p>
    <w:p>
      <w:pPr>
        <w:spacing w:after="0" w:line="15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3.1.5. </w:t>
      </w:r>
      <w:r>
        <w:rPr>
          <w:rFonts w:ascii="Times New Roman" w:cs="Times New Roman" w:eastAsia="Times New Roman" w:hAnsi="Times New Roman"/>
          <w:sz w:val="20"/>
          <w:szCs w:val="20"/>
          <w:u w:val="single" w:color="auto"/>
          <w:color w:val="auto"/>
        </w:rPr>
        <w:t>Canadian Prime Rate Loans</w:t>
      </w:r>
      <w:r>
        <w:rPr>
          <w:rFonts w:ascii="Times New Roman" w:cs="Times New Roman" w:eastAsia="Times New Roman" w:hAnsi="Times New Roman"/>
          <w:sz w:val="20"/>
          <w:szCs w:val="20"/>
          <w:color w:val="auto"/>
        </w:rPr>
        <w:t xml:space="preserve">. Canadian Borrower agrees to pay interest in respect of the unpaid principal amount of each Canadian Prime Rate Loan from the date the proceeds thereof are made available to Canadian Borrower (or in the case of a conversion of a B/A Loan to a Canadian Prime Rate Loan, the date of such conversion) until the earlier of (i) the maturity (whether by acceleration or otherwise) of such Canadian Prime Rate Loan or (ii) the conversion of such Canadian Prime Rate Loan to a B/A Loan pursuant to </w:t>
      </w:r>
      <w:r>
        <w:rPr>
          <w:rFonts w:ascii="Times New Roman" w:cs="Times New Roman" w:eastAsia="Times New Roman" w:hAnsi="Times New Roman"/>
          <w:sz w:val="20"/>
          <w:szCs w:val="20"/>
          <w:u w:val="single" w:color="auto"/>
          <w:color w:val="auto"/>
        </w:rPr>
        <w:t>Section 2A.6</w:t>
      </w:r>
      <w:r>
        <w:rPr>
          <w:rFonts w:ascii="Times New Roman" w:cs="Times New Roman" w:eastAsia="Times New Roman" w:hAnsi="Times New Roman"/>
          <w:sz w:val="20"/>
          <w:szCs w:val="20"/>
          <w:color w:val="auto"/>
        </w:rPr>
        <w:t xml:space="preserve"> at a rate per annum equal to the Canadian Prime Rate plus the Applicable Canadian Prime Rate Margin.</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3.1.6. </w:t>
      </w:r>
      <w:r>
        <w:rPr>
          <w:rFonts w:ascii="Times New Roman" w:cs="Times New Roman" w:eastAsia="Times New Roman" w:hAnsi="Times New Roman"/>
          <w:sz w:val="20"/>
          <w:szCs w:val="20"/>
          <w:u w:val="single" w:color="auto"/>
          <w:color w:val="auto"/>
        </w:rPr>
        <w:t>B/A Loans</w:t>
      </w:r>
      <w:r>
        <w:rPr>
          <w:rFonts w:ascii="Times New Roman" w:cs="Times New Roman" w:eastAsia="Times New Roman" w:hAnsi="Times New Roman"/>
          <w:sz w:val="20"/>
          <w:szCs w:val="20"/>
          <w:color w:val="auto"/>
        </w:rPr>
        <w:t xml:space="preserve">. Canadian Borrower agrees to pay the Acceptance Fee on the date of acceptance of a draft or making of a B/A Equivalent Loan as calculated in the definition of “Acceptance Fee” and in accordance with </w:t>
      </w:r>
      <w:r>
        <w:rPr>
          <w:rFonts w:ascii="Times New Roman" w:cs="Times New Roman" w:eastAsia="Times New Roman" w:hAnsi="Times New Roman"/>
          <w:sz w:val="20"/>
          <w:szCs w:val="20"/>
          <w:u w:val="single" w:color="auto"/>
          <w:color w:val="auto"/>
        </w:rPr>
        <w:t>Section 2A.9(f)</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Overnight Rate Loans</w:t>
      </w:r>
      <w:r>
        <w:rPr>
          <w:rFonts w:ascii="Times New Roman" w:cs="Times New Roman" w:eastAsia="Times New Roman" w:hAnsi="Times New Roman"/>
          <w:sz w:val="20"/>
          <w:szCs w:val="20"/>
          <w:color w:val="auto"/>
        </w:rPr>
        <w:t>. Each applicable Borrower agrees to pay interest in respect of the unpaid principal amount of each Overnight Rate Loan from the date the proceeds thereof are made available to such Borrower until the maturity of such Overnight Rate Loan at a rate per annum equal to the Overnight Euro Rate or Overnight Sterling Rate, as applicable.</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Payment of Interest</w:t>
      </w:r>
      <w:r>
        <w:rPr>
          <w:rFonts w:ascii="Times New Roman" w:cs="Times New Roman" w:eastAsia="Times New Roman" w:hAnsi="Times New Roman"/>
          <w:sz w:val="20"/>
          <w:szCs w:val="20"/>
          <w:color w:val="auto"/>
        </w:rPr>
        <w:t xml:space="preserve">. Interest on each Loan (other than a B/A Loan) shall be payable in arrears on each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interest accruing pursuant to </w:t>
      </w:r>
      <w:r>
        <w:rPr>
          <w:rFonts w:ascii="Times New Roman" w:cs="Times New Roman" w:eastAsia="Times New Roman" w:hAnsi="Times New Roman"/>
          <w:sz w:val="20"/>
          <w:szCs w:val="20"/>
          <w:u w:val="single" w:color="auto"/>
          <w:color w:val="auto"/>
        </w:rPr>
        <w:t>Section 3.1(h)</w:t>
      </w:r>
      <w:r>
        <w:rPr>
          <w:rFonts w:ascii="Times New Roman" w:cs="Times New Roman" w:eastAsia="Times New Roman" w:hAnsi="Times New Roman"/>
          <w:sz w:val="20"/>
          <w:szCs w:val="20"/>
          <w:color w:val="auto"/>
        </w:rPr>
        <w:t xml:space="preserve"> shall be payable from time to time on demand. Interest shall also be payable on all then outstanding Revolving Loans and Canadian Revolving Loans on the applicable Revolver Termination Date and on all Loans on the date of repayment (including prepayment) thereof (except that voluntary prepayments of Revolving Loans that are Base Rate Loans made pursuant to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on any day other than a Quarterly Payment Date or the applicable Revolver Termination Date need not be made with accrued interest from the most recent Quarterly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accrued interest is paid on the next Quarterly Payment Date) and on the date of maturity (by acceleration or otherwise) of such Loans. During the existence of any Event of Default, interest on any Loan shall be payable on demand.</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Notification of Rate</w:t>
      </w:r>
      <w:r>
        <w:rPr>
          <w:rFonts w:ascii="Times New Roman" w:cs="Times New Roman" w:eastAsia="Times New Roman" w:hAnsi="Times New Roman"/>
          <w:sz w:val="20"/>
          <w:szCs w:val="20"/>
          <w:color w:val="auto"/>
        </w:rPr>
        <w:t xml:space="preserve">. Administrative Agent, upon determining the interest rate for any Borrowing of Eurocurrency Loans or SOFR Loans for any Interest Period or Interest Payment Date, as applicable, shall promptly notify Borrowers and the Lenders thereof. Such determination shall, absent manifest error and subject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be final, conclusive and binding upon all parties hereto.</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3.1.10. </w:t>
      </w:r>
      <w:r>
        <w:rPr>
          <w:rFonts w:ascii="Times New Roman" w:cs="Times New Roman" w:eastAsia="Times New Roman" w:hAnsi="Times New Roman"/>
          <w:sz w:val="20"/>
          <w:szCs w:val="20"/>
          <w:u w:val="single" w:color="auto"/>
          <w:color w:val="auto"/>
        </w:rPr>
        <w:t>Default Interest</w:t>
      </w:r>
      <w:r>
        <w:rPr>
          <w:rFonts w:ascii="Times New Roman" w:cs="Times New Roman" w:eastAsia="Times New Roman" w:hAnsi="Times New Roman"/>
          <w:sz w:val="20"/>
          <w:szCs w:val="20"/>
          <w:color w:val="auto"/>
        </w:rPr>
        <w:t xml:space="preserve">. Notwithstanding the rates of interest specified herein, effective immediately upon the occurrence and during the continuation of an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(solely with respect to principal, interest and recurring fee payments due under any of the Loan Documents), or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overdue principal and other overdue amounts (in each case, other than B/A Loans) shall bear interest payable on demand, after as well as before judgment, at a rate per annum equal to the Default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amount shall accrue or be payable pursuant to this </w:t>
      </w:r>
      <w:r>
        <w:rPr>
          <w:rFonts w:ascii="Times New Roman" w:cs="Times New Roman" w:eastAsia="Times New Roman" w:hAnsi="Times New Roman"/>
          <w:sz w:val="20"/>
          <w:szCs w:val="20"/>
          <w:u w:val="single" w:color="auto"/>
          <w:color w:val="auto"/>
        </w:rPr>
        <w:t>Section 3.1(h)</w:t>
      </w:r>
      <w:r>
        <w:rPr>
          <w:rFonts w:ascii="Times New Roman" w:cs="Times New Roman" w:eastAsia="Times New Roman" w:hAnsi="Times New Roman"/>
          <w:sz w:val="20"/>
          <w:szCs w:val="20"/>
          <w:color w:val="auto"/>
        </w:rPr>
        <w:t xml:space="preserve"> to a Defaulting Lender so long as such Lender is a Defaulting Lender.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81" w:name="page182"/>
    <w:bookmarkEnd w:id="181"/>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 xml:space="preserve">3.1.11. </w:t>
      </w:r>
      <w:r>
        <w:rPr>
          <w:rFonts w:ascii="Times New Roman" w:cs="Times New Roman" w:eastAsia="Times New Roman" w:hAnsi="Times New Roman"/>
          <w:sz w:val="19"/>
          <w:szCs w:val="19"/>
          <w:u w:val="single" w:color="auto"/>
          <w:color w:val="auto"/>
        </w:rPr>
        <w:t>Maximum Interest</w:t>
      </w:r>
      <w:r>
        <w:rPr>
          <w:rFonts w:ascii="Times New Roman" w:cs="Times New Roman" w:eastAsia="Times New Roman" w:hAnsi="Times New Roman"/>
          <w:sz w:val="19"/>
          <w:szCs w:val="19"/>
          <w:color w:val="auto"/>
        </w:rPr>
        <w:t>. If any interest payment or other charge or fee payable hereunder exceeds the maximum amount then permitted by applicable law, the applicable Borrower shall be obligated to pay the maximum amount then permitted by applicable law and the applicable Borrower shall continue to pay the maximum amount from time to time permitted by applicable law until all such interest payments and other charges and fees otherwise due hereunder (in the absence of such restraint imposed by applicable law) have been paid in full. To the extent necessary to comply with applicable usury law, provisions of any Security Documents related to maximum rates of interest are incorporated herein by reference and shall control and supersede any provision hereof or of any other Loan Document to the contrary. In no event shall the aggregate “interest” (as defined in Section 347 (the “</w:t>
      </w:r>
      <w:r>
        <w:rPr>
          <w:rFonts w:ascii="Times New Roman" w:cs="Times New Roman" w:eastAsia="Times New Roman" w:hAnsi="Times New Roman"/>
          <w:sz w:val="19"/>
          <w:szCs w:val="19"/>
          <w:u w:val="single" w:color="auto"/>
          <w:color w:val="auto"/>
        </w:rPr>
        <w:t>Criminal Code Section</w:t>
      </w:r>
      <w:r>
        <w:rPr>
          <w:rFonts w:ascii="Times New Roman" w:cs="Times New Roman" w:eastAsia="Times New Roman" w:hAnsi="Times New Roman"/>
          <w:sz w:val="19"/>
          <w:szCs w:val="19"/>
          <w:color w:val="auto"/>
        </w:rPr>
        <w:t xml:space="preserve">”) of the </w:t>
      </w:r>
      <w:r>
        <w:rPr>
          <w:rFonts w:ascii="Times New Roman" w:cs="Times New Roman" w:eastAsia="Times New Roman" w:hAnsi="Times New Roman"/>
          <w:sz w:val="19"/>
          <w:szCs w:val="19"/>
          <w:i w:val="1"/>
          <w:iCs w:val="1"/>
          <w:color w:val="auto"/>
        </w:rPr>
        <w:t>Criminal Code</w:t>
      </w:r>
      <w:r>
        <w:rPr>
          <w:rFonts w:ascii="Times New Roman" w:cs="Times New Roman" w:eastAsia="Times New Roman" w:hAnsi="Times New Roman"/>
          <w:sz w:val="19"/>
          <w:szCs w:val="19"/>
          <w:color w:val="auto"/>
        </w:rPr>
        <w:t xml:space="preserve"> (Canada)), payable to any Lender under this Agreement or any other Loan Document exceed the effective annual rate of interest lawfully permitted under the Criminal Code Section. Further, if any payment, collection or demand pursuant to this Agreement or any other Loan Document in respect of such “interest” is determined to be contrary to the provisions of the Criminal Code Section, such payment, collection, or demand shall be deemed to have been made by mutual mistake of the applicable Lender and the applicable Borrower and such “interest” shall be deemed to have been adjusted with retroactive effect to the maximum amount or rate of interest, as the case may be, as would not be so prohibited by law or so result in the receipt by the applicable Lender of interest at a rate not in contravention of the Criminal Code Section.</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3.1.12. </w:t>
      </w:r>
      <w:r>
        <w:rPr>
          <w:rFonts w:ascii="Times New Roman" w:cs="Times New Roman" w:eastAsia="Times New Roman" w:hAnsi="Times New Roman"/>
          <w:sz w:val="20"/>
          <w:szCs w:val="20"/>
          <w:u w:val="single" w:color="auto"/>
          <w:color w:val="auto"/>
        </w:rPr>
        <w:t>Global Effective Rate (Taux Effectif Global)</w:t>
      </w:r>
      <w:r>
        <w:rPr>
          <w:rFonts w:ascii="Times New Roman" w:cs="Times New Roman" w:eastAsia="Times New Roman" w:hAnsi="Times New Roman"/>
          <w:sz w:val="20"/>
          <w:szCs w:val="20"/>
          <w:color w:val="auto"/>
        </w:rPr>
        <w:t xml:space="preserve">. For the purposes of Articles L. 313-4 of the French Monetary and Financial Code and L. 314-1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R. 314-1 and R. 314-14 of the French Consumer Code, the parties acknowledge that by virtue of certain characteristics of the Facilities (and in particular the variable interest rate applicable to Loans and the Borrowers’ right to select the currency and the duration of the Interest Period of each Loan), the </w:t>
      </w:r>
      <w:r>
        <w:rPr>
          <w:rFonts w:ascii="Times New Roman" w:cs="Times New Roman" w:eastAsia="Times New Roman" w:hAnsi="Times New Roman"/>
          <w:sz w:val="20"/>
          <w:szCs w:val="20"/>
          <w:i w:val="1"/>
          <w:iCs w:val="1"/>
          <w:color w:val="auto"/>
        </w:rPr>
        <w:t>taux effectif global</w:t>
      </w:r>
      <w:r>
        <w:rPr>
          <w:rFonts w:ascii="Times New Roman" w:cs="Times New Roman" w:eastAsia="Times New Roman" w:hAnsi="Times New Roman"/>
          <w:sz w:val="20"/>
          <w:szCs w:val="20"/>
          <w:color w:val="auto"/>
        </w:rPr>
        <w:t xml:space="preserve"> cannot be calculated at the date of this Agreement. However, each of the European Borrower and the Subsidiary Borrowers which is incorporated in France acknowledge that it has received from the Agent on the date of execution of this Agreement an example of the calculation of the </w:t>
      </w:r>
      <w:r>
        <w:rPr>
          <w:rFonts w:ascii="Times New Roman" w:cs="Times New Roman" w:eastAsia="Times New Roman" w:hAnsi="Times New Roman"/>
          <w:sz w:val="20"/>
          <w:szCs w:val="20"/>
          <w:i w:val="1"/>
          <w:iCs w:val="1"/>
          <w:color w:val="auto"/>
        </w:rPr>
        <w:t>taux effectif global</w:t>
      </w:r>
      <w:r>
        <w:rPr>
          <w:rFonts w:ascii="Times New Roman" w:cs="Times New Roman" w:eastAsia="Times New Roman" w:hAnsi="Times New Roman"/>
          <w:sz w:val="20"/>
          <w:szCs w:val="20"/>
          <w:color w:val="auto"/>
        </w:rPr>
        <w:t xml:space="preserve"> in a form TEG Letter, with execution of such letter to follow promptly after the Effective Date. The parties acknowledge that the TEG Letters form part of this Agreement.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3.1.13. </w:t>
      </w:r>
      <w:r>
        <w:rPr>
          <w:rFonts w:ascii="Times New Roman" w:cs="Times New Roman" w:eastAsia="Times New Roman" w:hAnsi="Times New Roman"/>
          <w:sz w:val="20"/>
          <w:szCs w:val="20"/>
          <w:u w:val="single" w:color="auto"/>
          <w:color w:val="auto"/>
        </w:rPr>
        <w:t>Interest Act (Canada) Disclosure</w:t>
      </w:r>
      <w:r>
        <w:rPr>
          <w:rFonts w:ascii="Times New Roman" w:cs="Times New Roman" w:eastAsia="Times New Roman" w:hAnsi="Times New Roman"/>
          <w:sz w:val="20"/>
          <w:szCs w:val="20"/>
          <w:color w:val="auto"/>
        </w:rPr>
        <w:t>. For the purposes of the Interest Act (Canada) and disclosure thereunder, whenever any interest or fee to be paid hereunder or in connection herewith is to be calculated on the basis of any period of time that is less than a calendar year, the yearly rate of interest to which the rate used in such calculation is equivalent is the rate so used multiplied by the actual number of days in the calendar year in which the same is to be ascertained and divided by 360, 365 or 366, as applicable. The rates of interest under this Agreement are nominal rates, and not effective rates or yields. The principle of deemed reinvestment of interest does not apply to any interest calculation under this Agreement.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Fees.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3.2.1.</w:t>
      </w:r>
      <w:r>
        <w:rPr>
          <w:sz w:val="20"/>
          <w:szCs w:val="20"/>
          <w:color w:val="auto"/>
        </w:rPr>
        <w:tab/>
      </w:r>
      <w:r>
        <w:rPr>
          <w:rFonts w:ascii="Times New Roman" w:cs="Times New Roman" w:eastAsia="Times New Roman" w:hAnsi="Times New Roman"/>
          <w:sz w:val="19"/>
          <w:szCs w:val="19"/>
          <w:u w:val="single" w:color="auto"/>
          <w:color w:val="auto"/>
        </w:rPr>
        <w:t>Commitment Fees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907"/>
        <w:spacing w:after="0" w:line="257" w:lineRule="auto"/>
        <w:rPr>
          <w:sz w:val="20"/>
          <w:szCs w:val="20"/>
          <w:color w:val="auto"/>
        </w:rPr>
      </w:pPr>
      <w:r>
        <w:rPr>
          <w:rFonts w:ascii="Times New Roman" w:cs="Times New Roman" w:eastAsia="Times New Roman" w:hAnsi="Times New Roman"/>
          <w:sz w:val="20"/>
          <w:szCs w:val="20"/>
          <w:color w:val="auto"/>
        </w:rPr>
        <w:t>3.2.1.1. U.S. Borrower agrees to pay to Administrative Agent for pro rata distribution to each Non-Defaulting Lender having a Dollar Revolving Commitment (based on its Dollar Revolver Pro Rata Share) a commitment fee in Dollars (the “</w:t>
      </w:r>
      <w:r>
        <w:rPr>
          <w:rFonts w:ascii="Times New Roman" w:cs="Times New Roman" w:eastAsia="Times New Roman" w:hAnsi="Times New Roman"/>
          <w:sz w:val="20"/>
          <w:szCs w:val="20"/>
          <w:u w:val="single" w:color="auto"/>
          <w:color w:val="auto"/>
        </w:rPr>
        <w:t>Dollar Commitment Fee</w:t>
      </w:r>
      <w:r>
        <w:rPr>
          <w:rFonts w:ascii="Times New Roman" w:cs="Times New Roman" w:eastAsia="Times New Roman" w:hAnsi="Times New Roman"/>
          <w:sz w:val="20"/>
          <w:szCs w:val="20"/>
          <w:color w:val="auto"/>
        </w:rPr>
        <w:t>”) for the period commencing on the Incremental Amendment No. 3 and Fifth Amendment Effective Date to and including the Revolver Termination Date for the Dollar Revolving Facility or the earlier termination of the Dollar Revolving Commitments (and, in either case, repayment in full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82" w:name="page183"/>
    <w:bookmarkEnd w:id="182"/>
    <w:p>
      <w:pPr>
        <w:jc w:val="both"/>
        <w:ind w:left="4"/>
        <w:spacing w:after="0" w:line="251" w:lineRule="auto"/>
        <w:rPr>
          <w:sz w:val="20"/>
          <w:szCs w:val="20"/>
          <w:color w:val="auto"/>
        </w:rPr>
      </w:pPr>
      <w:r>
        <w:rPr>
          <w:rFonts w:ascii="Times New Roman" w:cs="Times New Roman" w:eastAsia="Times New Roman" w:hAnsi="Times New Roman"/>
          <w:sz w:val="20"/>
          <w:szCs w:val="20"/>
          <w:color w:val="auto"/>
        </w:rPr>
        <w:t>of the Dollar Revolving Loans and payment in full, or collateralization (by the deposit of cash into the Collateral Account or otherwise) in amounts and pursuant to arrangements satisfactory to Administrative Agent and the applicable Facing Agent, of the Dollar LC Obligations), computed at a rate equal to the Applicable Commitment Fee Percentage per annum on the average daily Total Available Dollar Revolving Commitment. Unless otherwise specified, accrued Dollar Commitment Fees shall be due and payable in arrears (i) on each Quarterly Payment Date, (ii) on the Revolver Termination Date for the Dollar Revolving Facility and</w:t>
      </w:r>
    </w:p>
    <w:p>
      <w:pPr>
        <w:spacing w:after="0" w:line="1" w:lineRule="exact"/>
        <w:rPr>
          <w:sz w:val="20"/>
          <w:szCs w:val="20"/>
          <w:color w:val="auto"/>
        </w:rPr>
      </w:pPr>
    </w:p>
    <w:p>
      <w:pPr>
        <w:ind w:left="4" w:hanging="4"/>
        <w:spacing w:after="0" w:line="267" w:lineRule="auto"/>
        <w:tabs>
          <w:tab w:leader="none" w:pos="35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reduction or termination in whole or in part of the Dollar Revolving Commitments (but only, in the case of a reduction, on the portion of the Dollar Revolving Commitments then being reduced);</w:t>
      </w:r>
    </w:p>
    <w:p>
      <w:pPr>
        <w:spacing w:after="0" w:line="161" w:lineRule="exact"/>
        <w:rPr>
          <w:sz w:val="20"/>
          <w:szCs w:val="20"/>
          <w:color w:val="auto"/>
        </w:rPr>
      </w:pPr>
    </w:p>
    <w:p>
      <w:pPr>
        <w:jc w:val="both"/>
        <w:ind w:left="4" w:firstLine="907"/>
        <w:spacing w:after="0" w:line="263" w:lineRule="auto"/>
        <w:rPr>
          <w:sz w:val="20"/>
          <w:szCs w:val="20"/>
          <w:color w:val="auto"/>
        </w:rPr>
      </w:pPr>
      <w:r>
        <w:rPr>
          <w:rFonts w:ascii="Times New Roman" w:cs="Times New Roman" w:eastAsia="Times New Roman" w:hAnsi="Times New Roman"/>
          <w:sz w:val="19"/>
          <w:szCs w:val="19"/>
          <w:color w:val="auto"/>
        </w:rPr>
        <w:t>3.2.1.2. Each of the European Borrower and the U.S. Borrower agrees to pay to Administrative Agent for pro rata distribution to each Non-Defaulting Lender having a Multicurrency Revolving Commitment (based on its Multicurrency Revolver Pro Rata Share) a commitment fee in Dollars (the “</w:t>
      </w:r>
      <w:r>
        <w:rPr>
          <w:rFonts w:ascii="Times New Roman" w:cs="Times New Roman" w:eastAsia="Times New Roman" w:hAnsi="Times New Roman"/>
          <w:sz w:val="19"/>
          <w:szCs w:val="19"/>
          <w:u w:val="single" w:color="auto"/>
          <w:color w:val="auto"/>
        </w:rPr>
        <w:t>Multicurrency Commitment Fee</w:t>
      </w:r>
      <w:r>
        <w:rPr>
          <w:rFonts w:ascii="Times New Roman" w:cs="Times New Roman" w:eastAsia="Times New Roman" w:hAnsi="Times New Roman"/>
          <w:sz w:val="19"/>
          <w:szCs w:val="19"/>
          <w:color w:val="auto"/>
        </w:rPr>
        <w:t>”) for the period commending on the Incremental Amendment No. 3 and Fifth Amendment Effective Date to and including the Revolver Termination Date for the Multicurrency Revolving Facility or the earlier termination of the Multicurrency Revolving Commitments (and, in either case, repayment in full of the Multicurrency Revolving Loans and payment in full, or collateralization (by the deposit of cash into the Collateral Account or otherwise) in amounts and pursuant to arrangements satisfactory to Administrative Agent and the applicable Facing Agent, of the Multicurrency LC Obligations), computed at a rate equal to the Applicable Commitment Fee Percentage per annum on the average daily Total Available Multicurrency Revolving Commitment (with the Available Multicurrency Revolving Commitment of each Lender determined without reduction for such Lender’s Multicurrency Revolver Pro Rata Share of Swing Line Loans outstanding). Unless otherwise specified, accrued Multicurrency Commitment Fees shall be due and payable (i) on each Quarterly Payment Date,</w:t>
      </w:r>
    </w:p>
    <w:p>
      <w:pPr>
        <w:spacing w:after="0" w:line="1" w:lineRule="exact"/>
        <w:rPr>
          <w:sz w:val="20"/>
          <w:szCs w:val="20"/>
          <w:color w:val="auto"/>
        </w:rPr>
      </w:pPr>
    </w:p>
    <w:p>
      <w:pPr>
        <w:jc w:val="both"/>
        <w:ind w:left="4" w:hanging="4"/>
        <w:spacing w:after="0" w:line="253" w:lineRule="auto"/>
        <w:tabs>
          <w:tab w:leader="none" w:pos="30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Revolver Termination Date for the Multicurrency Revolving Facility and (iii) upon any reduction or termination in whole or in part of the Multicurrency Revolving Commitments (but only, in the case of a reduction, on the portion of the Multicurrency Revolving Commitments then being reduced);</w:t>
      </w:r>
    </w:p>
    <w:p>
      <w:pPr>
        <w:spacing w:after="0" w:line="175" w:lineRule="exact"/>
        <w:rPr>
          <w:sz w:val="20"/>
          <w:szCs w:val="20"/>
          <w:color w:val="auto"/>
        </w:rPr>
      </w:pPr>
    </w:p>
    <w:p>
      <w:pPr>
        <w:jc w:val="both"/>
        <w:ind w:left="4" w:firstLine="907"/>
        <w:spacing w:after="0" w:line="251" w:lineRule="auto"/>
        <w:rPr>
          <w:sz w:val="20"/>
          <w:szCs w:val="20"/>
          <w:color w:val="auto"/>
        </w:rPr>
      </w:pPr>
      <w:r>
        <w:rPr>
          <w:rFonts w:ascii="Times New Roman" w:cs="Times New Roman" w:eastAsia="Times New Roman" w:hAnsi="Times New Roman"/>
          <w:sz w:val="20"/>
          <w:szCs w:val="20"/>
          <w:color w:val="auto"/>
        </w:rPr>
        <w:t xml:space="preserve">3.2.1.3. Canadian Borrower agrees to pay to Canadian Administrative Agent for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distribution to each Non-Defaulting Lender having a Canadian Revolving Commitment (based on its Canadian Revolver Pro Rata Share) a commitment fee in Canadian Dollars (the “</w:t>
      </w:r>
      <w:r>
        <w:rPr>
          <w:rFonts w:ascii="Times New Roman" w:cs="Times New Roman" w:eastAsia="Times New Roman" w:hAnsi="Times New Roman"/>
          <w:sz w:val="20"/>
          <w:szCs w:val="20"/>
          <w:u w:val="single" w:color="auto"/>
          <w:color w:val="auto"/>
        </w:rPr>
        <w:t>Canadian Commitment Fee</w:t>
      </w:r>
      <w:r>
        <w:rPr>
          <w:rFonts w:ascii="Times New Roman" w:cs="Times New Roman" w:eastAsia="Times New Roman" w:hAnsi="Times New Roman"/>
          <w:sz w:val="20"/>
          <w:szCs w:val="20"/>
          <w:color w:val="auto"/>
        </w:rPr>
        <w:t xml:space="preserve">”) for the period commencing on the Incremental Amendment No. 3 and Fifth Amendment Effective Date to and including the Canadian Revolver Termination Date or the earlier termination of the Canadian Revolving Commitments (and, in either case, repayment in full of the Canadian Revolving Loans and payment in full, or collateralization (by deposit of cash into the Collateral Account or otherwise)) in amounts and pursuant to arrangements satisfactory to the Administrative Agent and the applicable Facing Agent of the Canadian LC Obligations, computed at a rate equal to the Applicable Commitment Fee Percentage </w:t>
      </w:r>
      <w:r>
        <w:rPr>
          <w:rFonts w:ascii="Times New Roman" w:cs="Times New Roman" w:eastAsia="Times New Roman" w:hAnsi="Times New Roman"/>
          <w:sz w:val="20"/>
          <w:szCs w:val="20"/>
          <w:u w:val="single" w:color="auto"/>
          <w:color w:val="auto"/>
        </w:rPr>
        <w:t>per annum</w:t>
      </w:r>
      <w:r>
        <w:rPr>
          <w:rFonts w:ascii="Times New Roman" w:cs="Times New Roman" w:eastAsia="Times New Roman" w:hAnsi="Times New Roman"/>
          <w:sz w:val="20"/>
          <w:szCs w:val="20"/>
          <w:color w:val="auto"/>
        </w:rPr>
        <w:t xml:space="preserve"> on the average daily Total Available Canadian Revolving Commitment. Unless otherwise specified, accrued Canadian Commitment Fees shall be due and payable in arrears (i) on each Quarterly Payment Date, (ii) on the Canadian Revolver Termination Date and (iii) upon any reduction or termination in whole or in part of the Canadian Revolving Commitments (but only, in the case of a reduction, on the portion of the Canadian Revolving Commitments then being reduced).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129</w:t>
      </w:r>
    </w:p>
    <w:p>
      <w:pPr>
        <w:spacing w:after="0" w:line="81" w:lineRule="exact"/>
        <w:rPr>
          <w:sz w:val="20"/>
          <w:szCs w:val="20"/>
          <w:color w:val="auto"/>
        </w:rPr>
      </w:pPr>
    </w:p>
    <w:p>
      <w:pPr>
        <w:ind w:left="2044"/>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4"/>
          </w:cols>
          <w:pgMar w:left="976" w:top="1413" w:right="339" w:bottom="1440" w:gutter="0" w:footer="0" w:header="0"/>
        </w:sectPr>
      </w:pPr>
    </w:p>
    <w:bookmarkStart w:id="183" w:name="page184"/>
    <w:bookmarkEnd w:id="183"/>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3.2.2. </w:t>
      </w:r>
      <w:r>
        <w:rPr>
          <w:rFonts w:ascii="Times New Roman" w:cs="Times New Roman" w:eastAsia="Times New Roman" w:hAnsi="Times New Roman"/>
          <w:sz w:val="20"/>
          <w:szCs w:val="20"/>
          <w:u w:val="single" w:color="auto"/>
          <w:color w:val="auto"/>
        </w:rPr>
        <w:t>Agency Fees</w:t>
      </w:r>
      <w:r>
        <w:rPr>
          <w:rFonts w:ascii="Times New Roman" w:cs="Times New Roman" w:eastAsia="Times New Roman" w:hAnsi="Times New Roman"/>
          <w:sz w:val="20"/>
          <w:szCs w:val="20"/>
          <w:color w:val="auto"/>
        </w:rPr>
        <w:t>. The Borrowers shall pay to Administrative Agent for its own account, agency and other Loan fees in the amount and at the times set forth in the administrative agent letter (or other letter agreement) between Crown Holdings, the Borrowers and Administrative Agent.</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3.3. Computation of Interest and Fees. Interest on all Loans (other than B/A Loans) and fees payable hereunder shall be computed on the basis of the actual number of days elapsed over a year of 360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on all Base Rate Loans and Canadian Prime Rate Loans shall be computed on the basis of the actual number of days elapsed over a year of 365 or 366 days, as applicable. Interest on all Loans denominated in Sterling shall be computed on the basis of the actual number of days elapsed over a year of 365 or 366 days, as the case may be. Each determination of an interest rate by Administrative Agent or Canadian Administrative Agent pursuant to any provision of this Agreement shall be conclusive and binding on each Borrower and the Lenders in the absence of manifest error. Administrative Agent shall, at any time and from time to time upon request of Crown Holdings, deliver to Crown Holdings a statement showing the quotations used by Administrative Agent in determining any interest rate applicable to Loans pursuant to this Agreement. Each change in the Applicable Base Rate Margin or Applicable Eurocurrency Margin or the Applicable Commitment Fee Percentage as a result of a change in Crown Holdings’ Most Recent Total Leverage Ratio shall become effective on the date upon which such change in such ratio occurs.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3.4. Interest Periods. At the time it gives any Notice of Borrowing or a Notice of Conversion or Continuation with respect to Eurocurrency Loans or SOFR Loans, the applicable Borrower shall elect, by giving Administrative Agent written notice, the interest period (each an “</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which Interest Period shall, at the option of the applicable Borrower, be (i) with respect to Eurocurrency Loans, one, two or three weeks or one, three or six months or, to the extent agreed by the Administrative Agent, any other period less than one month, and (ii) with respect to SOFR Loans, one three or six months or, to the extent agreed by the Administrative Agent, any other period less than one month;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3.4.1.</w:t>
        <w:tab/>
        <w:t>all SOFR Loans and Eurocurrency Loans, as applicable, comprising a Borrowing shall at all times have the same Interest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Period;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3.4.2. the initial Interest Period for any Eurocurrency Loan or SOFR Loan shall commence on the date of such Borrowing of such Eurocurrency Loan or SOFR Loan (including the date of any conversion thereto from a Loan of a different Type) and each Interest Period occurring thereafter in respect of such Eurocurrency Loan or SOFR Loan shall commence on the last day of the immediately preceding Interest Period;</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3.4.3. if any Interest Period relating to a Eurocurrency Loan or SOFR Loan begins on a day for which there is no numerically corresponding day in the calendar month at the end of such Interest Period, such Interest Period shall end on the last Business Day of such calendar month;</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3.4.4. if any Interest Period would otherwise expire on a day which is not a Business Day, such Interest Period shall expire on the next succeeding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 Eurocurrency Loan or SOFR Loan would otherwise expire on a day which is not a Business Day but is a day of the month after which no further Business Day occurs in such month, such Interest Period shall expire on the next preceding Business Day;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3.4.5. no Interest Period may be selected at any time when an Unmatured Event of Default or Event of Default is then in existence;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Alternative Currency Loans shall continue with Interest Periods of one month if any Unmatured Event of Default or Event of Default is then in existence;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84" w:name="page185"/>
    <w:bookmarkEnd w:id="184"/>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3.4.6. no Interest Period shall extend beyond the applicable Term Maturity Date for any Term Loan or the applicable Revolver Termination Date for any Revolving Loan or the Canadian Revolver Termination Date for any Canadian Revolving Loan;</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3.4.7. no Interest Period in respect of any Borrowing of Term Loans of any Facility shall be selected which extends beyond any date upon which a mandatory repayment of such Term Loan Facility will be required to be made under </w:t>
      </w:r>
      <w:r>
        <w:rPr>
          <w:rFonts w:ascii="Times New Roman" w:cs="Times New Roman" w:eastAsia="Times New Roman" w:hAnsi="Times New Roman"/>
          <w:sz w:val="20"/>
          <w:szCs w:val="20"/>
          <w:u w:val="single" w:color="auto"/>
          <w:color w:val="auto"/>
        </w:rPr>
        <w:t>Section 4.4(b)</w:t>
      </w:r>
      <w:r>
        <w:rPr>
          <w:rFonts w:ascii="Times New Roman" w:cs="Times New Roman" w:eastAsia="Times New Roman" w:hAnsi="Times New Roman"/>
          <w:sz w:val="20"/>
          <w:szCs w:val="20"/>
          <w:color w:val="auto"/>
        </w:rPr>
        <w:t xml:space="preserve"> if the aggregate principal amount of Term Loans of such Facility, which have Interest Periods which will expire after such date will be in excess of the aggregate principal amount of Term Loans of such Facility then outstanding less the aggregate amount of such required prepayment; and</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3.4.8. no tenor that has been removed from the definition of “Interest Period” pursuant to </w:t>
      </w:r>
      <w:r>
        <w:rPr>
          <w:rFonts w:ascii="Times New Roman" w:cs="Times New Roman" w:eastAsia="Times New Roman" w:hAnsi="Times New Roman"/>
          <w:sz w:val="20"/>
          <w:szCs w:val="20"/>
          <w:u w:val="single" w:color="auto"/>
          <w:color w:val="auto"/>
        </w:rPr>
        <w:t>Section 3.8(d)</w:t>
      </w:r>
      <w:r>
        <w:rPr>
          <w:rFonts w:ascii="Times New Roman" w:cs="Times New Roman" w:eastAsia="Times New Roman" w:hAnsi="Times New Roman"/>
          <w:sz w:val="20"/>
          <w:szCs w:val="20"/>
          <w:color w:val="auto"/>
        </w:rPr>
        <w:t xml:space="preserve"> shall be available for specification in such borrowing request or interest election request.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3.5. Compensation for Funding Losses. Each Borrower shall compensate each Lender, upon its written request (which request shall set forth the basis for requesting such amounts), for all losses, expenses and liabilities (including, without limitation, any interest paid by such Lender to lenders of funds borrowed by it to make or carry its SOFR Loans, Eurocurrency Loans, Daily Simple RFR Loans or B/A Equivalent Loans to the extent not recovered by the Lender in connection with the liquidation or re-employment of such funds and including the compensation payable by such Lender to a Participant) and any loss sustained by such Lender in connection with the liquidation or re-employment of such funds (including, without limitation, a return on such liquidation or re-employment that would result in such Lender receiving less than it would have received had such SOFR Loan, Eurocurrency Loan, Daily Simple RFR Loan or B/A Equivalent Loan remained outstanding until (x) the last day of the Interest Period applicable to such SOFR Loan or Eurocurrency Loans or (y) the next Interest Payment Date applicable to such Daily Simple RFR Loans or B/A Equivalent Loan, but excluding Excluded Taxes) which such Lender may sustain as a result of:</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3.5.1. for any reason (other than a default by such Lender or Administrative Agent) a continuation or Borrowing of, or conversion from or into, SOFR Loans, Eurocurrency Loans, Daily Simple RFR Loans or B/A Equivalent Loans does not occur on a date specified therefor in a Notice of Borrowing or Notice of Conversion or Continuation or Notice of Canadian Borrowing or Notice of Canadian Conversion or Continuation (whether or not withdrawn);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3.5.2. any payment, prepayment or conversion or continuation of any of its SOFR Loans, Eurocurrency Loans, Daily Simple RFR Loans or B/A Equivalent Loans occurring for any reason whatsoever on a date which is not (x) in the case of SOFR Loans or Eurocurrency Loans, the last day of an Interest Period applicable thereto or (y) in the case of Daily Simple RFR Loans or B/A Equivalent Loans, an Interest Payment Date with respect thereto;</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3.5.3. any repayment of any of its SOFR Loans, Eurocurrency Loans, Daily Simple RFR Loans or B/A Loans not being made on the date specified in a notice of payment given by such Borrower; or</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3.5.4. (i) any other failure by such Borrower to repay such Borrower’s SOFR Loans, Eurocurrency Loans, Daily Simple RFR Loans or B/A Equivalent Loan when required by the terms of this Agreement or (ii) an election made by Borrower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A written notice setting forth in reasonable detail the basis of the incurrence of additional amounts owed such Lender under this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delivered to such Borrower and Administrative Agent by such Lender shall, absent manifest error, be final, conclusive and binding for all purposes. Calculation of all amounts payable to a</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85" w:name="page186"/>
    <w:bookmarkEnd w:id="18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Lender under this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shall be made as though that Lender had actually funded its relevant SOFR Loan, Eurocurrency Loan, Daily Simple RFR Loans or B/A Equivalent Loan through the purchase of a Dollar, Canadian Dollar or Eurocurrency deposit bearing interest at Adjusted Term SOFR, the Eurocurrency Rate, Daily Simple RFR Loans or a B/A in an amount equal to the amount of that Loan, having a maturity comparable to the relevant Interest Period and through the transfer of such Dollar, Canadian Dollar or Eurocurrency deposit from an offshore office of that Lender to a domestic office of that Lender in the United States of America;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 may fund each of its SOFR Loans, Eurocurrency Loans, Daily Simple RFR Loans and B/A Loans in any manner it sees fit and the foregoing assumption shall be utilized only for the calculation of amounts payable under this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3.5.5. For the avoidance of doubt, this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shall not apply to Taxes, except any Taxes that represent losses, expenses and liabilities arising from any non-Tax claim.</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color w:val="auto"/>
        </w:rPr>
        <w:t>Increased Costs, Alternate Rate of Interest Illegality, Etc.</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3.6.1.</w:t>
      </w:r>
      <w:r>
        <w:rPr>
          <w:sz w:val="20"/>
          <w:szCs w:val="20"/>
          <w:color w:val="auto"/>
        </w:rPr>
        <w:tab/>
      </w:r>
      <w:r>
        <w:rPr>
          <w:rFonts w:ascii="Times New Roman" w:cs="Times New Roman" w:eastAsia="Times New Roman" w:hAnsi="Times New Roman"/>
          <w:sz w:val="19"/>
          <w:szCs w:val="19"/>
          <w:u w:val="single" w:color="auto"/>
          <w:color w:val="auto"/>
        </w:rPr>
        <w:t>Generally</w:t>
      </w:r>
      <w:r>
        <w:rPr>
          <w:rFonts w:ascii="Times New Roman" w:cs="Times New Roman" w:eastAsia="Times New Roman" w:hAnsi="Times New Roman"/>
          <w:sz w:val="19"/>
          <w:szCs w:val="19"/>
          <w:color w:val="auto"/>
        </w:rPr>
        <w:t>. If any Change in Law:</w:t>
      </w:r>
    </w:p>
    <w:p>
      <w:pPr>
        <w:spacing w:after="0" w:line="229" w:lineRule="exact"/>
        <w:rPr>
          <w:sz w:val="20"/>
          <w:szCs w:val="20"/>
          <w:color w:val="auto"/>
        </w:rPr>
      </w:pPr>
    </w:p>
    <w:p>
      <w:pPr>
        <w:jc w:val="both"/>
        <w:ind w:left="660" w:firstLine="907"/>
        <w:spacing w:after="0" w:line="250" w:lineRule="auto"/>
        <w:rPr>
          <w:sz w:val="20"/>
          <w:szCs w:val="20"/>
          <w:color w:val="auto"/>
        </w:rPr>
      </w:pPr>
      <w:r>
        <w:rPr>
          <w:rFonts w:ascii="Times New Roman" w:cs="Times New Roman" w:eastAsia="Times New Roman" w:hAnsi="Times New Roman"/>
          <w:sz w:val="20"/>
          <w:szCs w:val="20"/>
          <w:color w:val="auto"/>
        </w:rPr>
        <w:t>3.6.1.1. having general applicability to all comparably situated Lenders and Facing Agents within the jurisdiction in which such Lender or Facing Agent operates shall impose, modify or deem applicable any reserve ((x) except, in the case of any Eurocurrency Rate Loan, any reserve requirement reflected in the Eurocurrency Rate and (y) including, pursuant to regulations issued from time to time (including any emergency, special, supplemental or other marginal reserve requirement) by (a) the Board,</w:t>
      </w:r>
    </w:p>
    <w:p>
      <w:pPr>
        <w:spacing w:after="0" w:line="2" w:lineRule="exact"/>
        <w:rPr>
          <w:sz w:val="20"/>
          <w:szCs w:val="20"/>
          <w:color w:val="auto"/>
        </w:rPr>
      </w:pPr>
    </w:p>
    <w:p>
      <w:pPr>
        <w:jc w:val="both"/>
        <w:ind w:left="660" w:hanging="4"/>
        <w:spacing w:after="0" w:line="261" w:lineRule="auto"/>
        <w:tabs>
          <w:tab w:leader="none" w:pos="945"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Governmental Authority of the jurisdiction of the relevant currency or (c) any Governmental Authority of any jurisdiction in which advances in such currency are made to which banks in any jurisdiction are subject for any category of deposits or liabilities customarily used to fund loans in such currency or by reference to which interest rates applicable to loans in such currency are determined), special deposit, compulsory loan, insurance charge or similar requirement against assets of, deposits with or for the account of, or credit extended or participated in by, any Lender or any Facing Agent or subject any Recipient to any Taxes (other than</w:t>
      </w: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Indemnified Taxes and (B) Taxes described in the definition of “Excluded Taxes”); or</w:t>
      </w:r>
    </w:p>
    <w:p>
      <w:pPr>
        <w:spacing w:after="0" w:line="200" w:lineRule="exact"/>
        <w:rPr>
          <w:sz w:val="20"/>
          <w:szCs w:val="20"/>
          <w:color w:val="auto"/>
        </w:rPr>
      </w:pPr>
    </w:p>
    <w:p>
      <w:pPr>
        <w:ind w:left="660" w:firstLine="907"/>
        <w:spacing w:after="0" w:line="283" w:lineRule="auto"/>
        <w:rPr>
          <w:sz w:val="20"/>
          <w:szCs w:val="20"/>
          <w:color w:val="auto"/>
        </w:rPr>
      </w:pPr>
      <w:r>
        <w:rPr>
          <w:rFonts w:ascii="Times New Roman" w:cs="Times New Roman" w:eastAsia="Times New Roman" w:hAnsi="Times New Roman"/>
          <w:sz w:val="20"/>
          <w:szCs w:val="20"/>
          <w:color w:val="auto"/>
        </w:rPr>
        <w:t>3.6.1.2. imposes on any Lender or any Facing Agent any other condition, cost or expense (other than Taxes) affecting this Agreement or Loans made by such Lender or any Letter of Credit or participation therein;</w:t>
      </w:r>
    </w:p>
    <w:p>
      <w:pPr>
        <w:spacing w:after="0" w:line="1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or such other Recipient of making, converting to, continuing or maintaining any Loan or of maintaining its obligation to make any such Loan, or to increase the cost to such Lender, such Facing Agent or such other Recipient of participating in, issuing or maintaining any Letter of Credit (or of maintaining its obligation to participate in or to issue any Letter of Credit), or to reduce the amount of any sum received or receivable by such Lender, Facing Agent or other Recipient hereunder (whether of principal, interest or any other amount) then, upon written request of such Lender, Facing Agent or other Recipient, the applicable Borrower will pay to such Lender, Facing Agent or other Recipient, as the case may be, such additional amount or amounts as will compensate such Lender, Facing Agent or other Recipient, as the case may be, for such additional costs incurred or reduction suffered; provided that such amounts shall be proportionate to the amounts that such Lender or Facing Agent charges other borrowers or account parties for such additional costs incurred or reductions suffered on loans similarly situated to Borrowers in connection with</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86" w:name="page187"/>
    <w:bookmarkEnd w:id="186"/>
    <w:p>
      <w:pPr>
        <w:jc w:val="both"/>
        <w:spacing w:after="0" w:line="253" w:lineRule="auto"/>
        <w:rPr>
          <w:sz w:val="20"/>
          <w:szCs w:val="20"/>
          <w:color w:val="auto"/>
        </w:rPr>
      </w:pPr>
      <w:r>
        <w:rPr>
          <w:rFonts w:ascii="Times New Roman" w:cs="Times New Roman" w:eastAsia="Times New Roman" w:hAnsi="Times New Roman"/>
          <w:sz w:val="20"/>
          <w:szCs w:val="20"/>
          <w:color w:val="auto"/>
        </w:rPr>
        <w:t>substantially similar facilities as reasonably determined by such Lender or such Facing Agent acting in good faith; provided, further, that if such increased costs described under clause (i) are determined by a court of competent jurisdiction in a final non-appealable judgment to have been imposed as a result of a Lender’s or Facing Agent’s gross negligence or willful misconduct, such Lender or Facing Agent will promptly repay to the applicable Borrower the amount of any increased costs paid to such Lender or such Facing Agent by such Borrower under this Section 3.6.</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3.6.2.</w:t>
      </w:r>
      <w:r>
        <w:rPr>
          <w:sz w:val="20"/>
          <w:szCs w:val="20"/>
          <w:color w:val="auto"/>
        </w:rPr>
        <w:tab/>
      </w:r>
      <w:r>
        <w:rPr>
          <w:rFonts w:ascii="Times New Roman" w:cs="Times New Roman" w:eastAsia="Times New Roman" w:hAnsi="Times New Roman"/>
          <w:sz w:val="19"/>
          <w:szCs w:val="19"/>
          <w:u w:val="single" w:color="auto"/>
          <w:color w:val="auto"/>
        </w:rPr>
        <w:t>Alternate Rate of Interest</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firstLine="907"/>
        <w:spacing w:after="0" w:line="269" w:lineRule="auto"/>
        <w:rPr>
          <w:sz w:val="20"/>
          <w:szCs w:val="20"/>
          <w:color w:val="auto"/>
        </w:rPr>
      </w:pPr>
      <w:r>
        <w:rPr>
          <w:rFonts w:ascii="Times New Roman" w:cs="Times New Roman" w:eastAsia="Times New Roman" w:hAnsi="Times New Roman"/>
          <w:sz w:val="20"/>
          <w:szCs w:val="20"/>
          <w:color w:val="auto"/>
        </w:rPr>
        <w:t>3.6.2.1. If prior to the commencement of any Interest Period for a Borrowing of Eurocurrency Loans or SOFR Loans (or at any time, in the case of a Borrowing of Daily Simple RFR Loans):</w:t>
      </w:r>
    </w:p>
    <w:p>
      <w:pPr>
        <w:spacing w:after="0" w:line="173"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20"/>
          <w:szCs w:val="20"/>
          <w:color w:val="auto"/>
        </w:rPr>
        <w:t>3.6.2.1.1. (1) the Administrative Agent reasonably determines (which determination shall be conclusive absent manifest error) that adequate and reasonable means do not exist for ascertaining (x) the Eurocurrency Rate for such Eurocurrency Loan for such Interest Period, (y) Adjusted Term SOFR for such SOFR Loan for such Interest Period or (z) Daily Simple SONIA for such RFR Loan; or</w:t>
      </w:r>
    </w:p>
    <w:p>
      <w:pPr>
        <w:spacing w:after="0" w:line="172"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20"/>
          <w:szCs w:val="20"/>
          <w:color w:val="auto"/>
        </w:rPr>
        <w:t>3.6.2.1.2. (2) the Administrative Agent is advised by the Majority Lenders in respect of each of the Facilities with affected Eurocurrency Loans, SOFR Loans or Daily Simple RFR Loans (as applicable) that (x) the Eurocurrency Rate for such Eurocurrency Loan for such Interest Period will not adequately and fairly reflect the cost to Lenders of making or maintaining their Loans included in such Borrowing for such Interest Period, (y) Adjusted Term SOFR for such SOFR Loan for such Interest Period will not adequately or fairly reflect the cost to Lenders of making or maintaining their Loans included in such Borrowing for such Interest Period or (z) Daily Simple RFR will not adequately and fairly reflect the cost to Lenders of making or maintaining their RFR Loans included in such Borrowing;</w:t>
      </w:r>
    </w:p>
    <w:p>
      <w:pPr>
        <w:spacing w:after="0" w:line="179" w:lineRule="exact"/>
        <w:rPr>
          <w:sz w:val="20"/>
          <w:szCs w:val="20"/>
          <w:color w:val="auto"/>
        </w:rPr>
      </w:pPr>
    </w:p>
    <w:p>
      <w:pPr>
        <w:jc w:val="both"/>
        <w:ind w:left="660" w:firstLine="274"/>
        <w:spacing w:after="0" w:line="264" w:lineRule="auto"/>
        <w:rPr>
          <w:sz w:val="20"/>
          <w:szCs w:val="20"/>
          <w:color w:val="auto"/>
        </w:rPr>
      </w:pPr>
      <w:r>
        <w:rPr>
          <w:rFonts w:ascii="Times New Roman" w:cs="Times New Roman" w:eastAsia="Times New Roman" w:hAnsi="Times New Roman"/>
          <w:sz w:val="19"/>
          <w:szCs w:val="19"/>
          <w:color w:val="auto"/>
        </w:rPr>
        <w:t>then the Administrative Agent shall give written notice thereof to Crown Holdings and the Lenders as promptly as practicable thereafter and, until the Administrative Agent notifies Crown Holdings and the Lenders that the circumstances giving rise to such notice no longer exist, (x) any Notice of Conversion or Continuation that requests the conversion of any Loan to, or continuation of any Loan as, a Eurocurrency Loan or SOFR Loan in the Eurocurrency Rate or Adjusted Term SOFR (as applicable) that is unavailable because the conditions described in clauses (i) and (ii) above have been satisfied (such unavailable rate, the “</w:t>
      </w:r>
      <w:r>
        <w:rPr>
          <w:rFonts w:ascii="Times New Roman" w:cs="Times New Roman" w:eastAsia="Times New Roman" w:hAnsi="Times New Roman"/>
          <w:sz w:val="19"/>
          <w:szCs w:val="19"/>
          <w:u w:val="single" w:color="auto"/>
          <w:color w:val="auto"/>
        </w:rPr>
        <w:t>Unavailable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Rate</w:t>
      </w:r>
      <w:r>
        <w:rPr>
          <w:rFonts w:ascii="Times New Roman" w:cs="Times New Roman" w:eastAsia="Times New Roman" w:hAnsi="Times New Roman"/>
          <w:sz w:val="19"/>
          <w:szCs w:val="19"/>
          <w:color w:val="auto"/>
        </w:rPr>
        <w:t>”), shall be ineffective, and (y) if any Notice of Borrowing requests a Eurocurrency Loan, SOFR Loan or an Daily Simple RFR Loan with an Unavailable Rate, (1) if such Notice of Borrowing is for a Loan in Dollars or if an alternative rate of interest is not in effect pursuant to clause (2) below, then notwithstanding anything to the contrary in this Agreement, the applicable Borrower may cancel such Loan or such Loan shall be made as a Base Rate Loan in Dollars or (2) if such Notice of Borrowing is for an Alternative Currency Loan, then notwithstanding anything to the contrary in this Agreement, the applicable Borrower may cancel such Loan or the Administrative Agent may, in consultation with Crown Holdings , propose to Crown Holdings in writing an alternative interest rate for the affected Loan that, if accepted by Crown Holdings in a writing delivered to the Administrative Agent within 1 Business Day of Crown Holdings’ receipt of such written proposal, shall apply with respect to the affected Loan until (A) the Administrative Agent notifies Crown Holdings and the Lenders that the circumstances giving rise to the notice described above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87" w:name="page188"/>
    <w:bookmarkEnd w:id="187"/>
    <w:p>
      <w:pPr>
        <w:ind w:left="660"/>
        <w:spacing w:after="0" w:line="271" w:lineRule="auto"/>
        <w:rPr>
          <w:sz w:val="20"/>
          <w:szCs w:val="20"/>
          <w:color w:val="auto"/>
        </w:rPr>
      </w:pPr>
      <w:r>
        <w:rPr>
          <w:rFonts w:ascii="Times New Roman" w:cs="Times New Roman" w:eastAsia="Times New Roman" w:hAnsi="Times New Roman"/>
          <w:sz w:val="19"/>
          <w:szCs w:val="19"/>
          <w:color w:val="auto"/>
        </w:rPr>
        <w:t>no longer exist, (B) the Administrative Agent is advised by the applicable Majority Lenders that such alternative interest rate does not adequately and fairly reflect the cost to such Lenders of making or maintaining their Loans included in the affected Borrowing or</w:t>
      </w:r>
    </w:p>
    <w:p>
      <w:pPr>
        <w:spacing w:after="0" w:line="1" w:lineRule="exact"/>
        <w:rPr>
          <w:sz w:val="20"/>
          <w:szCs w:val="20"/>
          <w:color w:val="auto"/>
        </w:rPr>
      </w:pPr>
    </w:p>
    <w:p>
      <w:pPr>
        <w:jc w:val="both"/>
        <w:ind w:left="660" w:hanging="4"/>
        <w:spacing w:after="0" w:line="249" w:lineRule="auto"/>
        <w:tabs>
          <w:tab w:leader="none" w:pos="100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with respect to such Borrowing such Lender determines that any law or regulation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Crown Holdings written notice thereof; provided that, notwithstanding the foregoing, all Eurocurrency Rates, Adjusted Term SOFR and Daily Simple RFR (other than any then applicable Unavailable Rates) shall remain available for Borrowings until such rate shall be an Unavailable Rate.</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3.6.3. </w:t>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if any Lender shall provide written notice to the Administrative Agent and Crown Holdings that any Change in Law since the date of this Agreement makes it unlawful, or any central bank or other Governmental Authority asserts that it is unlawful, for such Lender or its applicable lending office to make SOFR Loans, Eurocurrency Loans or Daily Simple RFR Loans or to fund or maintain SOFR Loans, Eurocurrency Loans or RFR Loans hereunder (i) with respect to Loans denominated in Dollars (A) upon receipt of such notification, the Borrowers may revoke any pending request for a Borrowing of, conversion to or continuation of SOFR Loans, (B) each SOFR Loan of such Lender will automatically be converted to Base Rate Loans on the last day of the then current Interest Period therefor or, if earlier, on the date specified by such Lender in such notification (which date shall be no earlier than the last day of any applicable grace period permitted by applicable law) and (C) the obligation of such Lender to make or continue affected SOFR Loans or to convert Loans into SOFR Loans shall be suspended until the Administrative Agent or such Lender shall notify Crown Holdings that the circumstances causing such suspension no longer exist and (ii) with respect to Loans denominated in an Alternative Currency, (A) upon receipt of such notification, the Borrowers may revoke any pending request for a Borrowing of, conversion to or continuation of Eurocurrency Loans, B/A Equivalent Loans and Daily Simple RFR Loans, (B) each Eurocurrency Loan of such Lender, B/A Equivalent Loan or RFR Loan (as applicable) will automatically be converted to a Daily Rate Loan on the last day of the then current Interest Period therefor or, if earlier, on the date specified by such Lender in such notification (which date shall be no earlier than the last day of any applicable grace period permitted by applicable law) and (C) the obligation of such Lender to make or continue affected Eurocurrency Loans or RFR Loans (as applicable) or to convert Loans into Eurocurrency Loans shall be suspended until the Administrative Agent or such Lender shall notify Crown Holdings that the circumstances causing such suspension no longer exist.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3.6.4. </w:t>
      </w: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xml:space="preserve">. Without duplication of </w:t>
      </w:r>
      <w:r>
        <w:rPr>
          <w:rFonts w:ascii="Times New Roman" w:cs="Times New Roman" w:eastAsia="Times New Roman" w:hAnsi="Times New Roman"/>
          <w:sz w:val="20"/>
          <w:szCs w:val="20"/>
          <w:u w:val="single" w:color="auto"/>
          <w:color w:val="auto"/>
        </w:rPr>
        <w:t>Section 3.6(a)</w:t>
      </w:r>
      <w:r>
        <w:rPr>
          <w:rFonts w:ascii="Times New Roman" w:cs="Times New Roman" w:eastAsia="Times New Roman" w:hAnsi="Times New Roman"/>
          <w:sz w:val="20"/>
          <w:szCs w:val="20"/>
          <w:color w:val="auto"/>
        </w:rPr>
        <w:t xml:space="preserve">, if any Lender determines that any Change in Law concerning capital adequacy or liquidity requirements by any Governmental Authority will have the effect of increasing the amount of capital or liquidity required or expected to be maintained by such Lender or any corporation controlling such Lender based on the existence of such Lender’s Commitments hereunder or its obligations hereunder, then the applicable Borrower shall pay to such Lender, within fifteen days of its written demand therefor, such additional amounts as shall be required to compensate such Lender or such other corporation for the increased cost to such Lender or such other corporation or the reduction in the rate of return to such Lender or such other corporation as a result of such increase of capital or liquidity;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amounts shall be proportionate to the amounts that such Lender charges other borrowers or account parties for such additional costs incurred or reductions suffered on loans similarly situated to Borrowers in connection with substantially similar facilities as reasonably determined by such Lender acting in good faith.</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88" w:name="page189"/>
    <w:bookmarkEnd w:id="188"/>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3.6.5. </w:t>
      </w: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Each Lender, upon determining that any additional amounts will be payable pursuant to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3.6(a)(i)</w:t>
      </w:r>
      <w:r>
        <w:rPr>
          <w:rFonts w:ascii="Times New Roman" w:cs="Times New Roman" w:eastAsia="Times New Roman" w:hAnsi="Times New Roman"/>
          <w:sz w:val="20"/>
          <w:szCs w:val="20"/>
          <w:color w:val="auto"/>
        </w:rPr>
        <w:t xml:space="preserve">), will give prompt written notice thereof to Crown Holdings and Administrative Agent (which notice Administrative Agent will promptly transmit to each of the other Lenders), which notice shall show the basis for calculation of such additional amounts, although the failure to give any such notice (unless the respective Lender has intentionally withheld or delayed such notice, in which case the respective Lender shall not be entitled to receive additional amounts pursuant to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for periods occurring prior to the 135th day before the giving of such notice) shall not release or diminish any of any Borrower’s obligations to pay additional amounts pursuant to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In determining such additional amounts, each Lender will act reasonably and in good faith and will use averaging and attribution methods which are reasonable and which will, to the extent the increased costs or reduction in the rate of return relates to such Lender’s commitments, loans or obligations in general and are not specifically attributable to the Commitments, Loans and obligations hereunder, cover all commitments, loans and obligations similar to the Commitments, Loans and obligations of such Lender hereunder whether or not the loan documentation for such other commitments, loans or obligations permits the Lender to make the determination specified in this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Such determination shall, absent manifest error, be final and conclusive and binding on all parties hereto. It is understood and agreed that this paragraph (d) shall not require any Lender to disclose any confidential or price sensitive information or any information, the disclosure of which, would be prohibited by law or regulation.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color w:val="auto"/>
        </w:rPr>
        <w:t>Mitigation Obligations; Replacement of Affected Lenders.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3.7.1. </w:t>
      </w:r>
      <w:r>
        <w:rPr>
          <w:rFonts w:ascii="Times New Roman" w:cs="Times New Roman" w:eastAsia="Times New Roman" w:hAnsi="Times New Roman"/>
          <w:sz w:val="20"/>
          <w:szCs w:val="20"/>
          <w:u w:val="single" w:color="auto"/>
          <w:color w:val="auto"/>
        </w:rPr>
        <w:t>Change of Lending Office</w:t>
      </w:r>
      <w:r>
        <w:rPr>
          <w:rFonts w:ascii="Times New Roman" w:cs="Times New Roman" w:eastAsia="Times New Roman" w:hAnsi="Times New Roman"/>
          <w:sz w:val="20"/>
          <w:szCs w:val="20"/>
          <w:color w:val="auto"/>
        </w:rPr>
        <w:t xml:space="preserve">. If any Lender or Facing Agent is or will be owed compensation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ceases to make, fund or maintain Eurocurrency Loans, SOFR Loans or Daily Simple RFR Loans, or to convert Loans into Eurocurrency Loans or SOFR Loans, as a result of any condition described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if any Borrower is required to pay any additional amount to any Lender, Facing Agent or any Governmental Authority for the account of any Lender or Facing Agent pursuant to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then such Lender or Facing Agent will use reasonable efforts (subject to overall policy considerations of such Lender or Facing Agent) to cause a different branch or Affiliate to make or continue a Loan or Letter of Credit or to assign its rights and obligations hereunder to another of its branches or Affiliates if in the judgment of such Lender or Facing Agent such designation or assignment (i) will avoid the need for, or reduce the amount of, such compensation or payment to such Lender, Facing Agent or Governmental Authority, (ii) would permit such Lender to continue to make, fund, and maintain Eurocurrency Loans, SOFR Loans or Daily Simple RFR Loans and to convert Loans into Eurocurrency Loans or SOFR Loans, and (iii) will not, in the judgment of such Lender or Facing Agent, be otherwise disadvantageous in any significant respect to such Lender or Facing Agent. The applicable Borrower hereby agrees to pay all reasonable and documented expenses incurred by any Lender or Facing Agent in utilizing a different branch or Affiliate pursuant to this </w:t>
      </w:r>
      <w:r>
        <w:rPr>
          <w:rFonts w:ascii="Times New Roman" w:cs="Times New Roman" w:eastAsia="Times New Roman" w:hAnsi="Times New Roman"/>
          <w:sz w:val="20"/>
          <w:szCs w:val="20"/>
          <w:u w:val="single" w:color="auto"/>
          <w:color w:val="auto"/>
        </w:rPr>
        <w:t>Section 3.7(a)</w:t>
      </w:r>
      <w:r>
        <w:rPr>
          <w:rFonts w:ascii="Times New Roman" w:cs="Times New Roman" w:eastAsia="Times New Roman" w:hAnsi="Times New Roman"/>
          <w:sz w:val="20"/>
          <w:szCs w:val="20"/>
          <w:color w:val="auto"/>
        </w:rPr>
        <w:t xml:space="preserve">. Nothing in this </w:t>
      </w:r>
      <w:r>
        <w:rPr>
          <w:rFonts w:ascii="Times New Roman" w:cs="Times New Roman" w:eastAsia="Times New Roman" w:hAnsi="Times New Roman"/>
          <w:sz w:val="20"/>
          <w:szCs w:val="20"/>
          <w:u w:val="single" w:color="auto"/>
          <w:color w:val="auto"/>
        </w:rPr>
        <w:t>Section 3.7(a)</w:t>
      </w:r>
      <w:r>
        <w:rPr>
          <w:rFonts w:ascii="Times New Roman" w:cs="Times New Roman" w:eastAsia="Times New Roman" w:hAnsi="Times New Roman"/>
          <w:sz w:val="20"/>
          <w:szCs w:val="20"/>
          <w:color w:val="auto"/>
        </w:rPr>
        <w:t xml:space="preserve"> shall affect or postpone any of the obligations of Borrowers or the right of any Lender or Facing Agent provided for herein..</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3.7.2. </w:t>
      </w: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If (w) any Lender is a Lender where, any amount payable to such Lender by the European Borrower or any other French Credit Party under a Loan Document is not, or will not be (when the relevant corporate income tax is calculated) treated as a deductible charge or expense for French tax purposes for that Credit Party by reason of that amount being (i) paid or accrued to such Lender, and such Lender is incorporated, domiciled, established or acting through a lending office situated in a Non-Cooperative Jurisdiction, or (ii) paid to an account opened in the name of or for the benefit of such Lender in a financial institution situated in a Non-Cooperative Jurisdiction, (x) any Revolving Lender or Canadian Revolving Lender becomes a Defaulting Lender or otherwise defaults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89" w:name="page190"/>
    <w:bookmarkEnd w:id="189"/>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its obligations to make Loans or fund Unpaid Drawings, (y) any Lender is owed increased costs under </w:t>
      </w:r>
      <w:r>
        <w:rPr>
          <w:rFonts w:ascii="Times New Roman" w:cs="Times New Roman" w:eastAsia="Times New Roman" w:hAnsi="Times New Roman"/>
          <w:sz w:val="20"/>
          <w:szCs w:val="20"/>
          <w:u w:val="single" w:color="auto"/>
          <w:color w:val="auto"/>
        </w:rPr>
        <w:t>Section 3.6(a)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3.6(c)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(z) as provided in the last sentence of </w:t>
      </w:r>
      <w:r>
        <w:rPr>
          <w:rFonts w:ascii="Times New Roman" w:cs="Times New Roman" w:eastAsia="Times New Roman" w:hAnsi="Times New Roman"/>
          <w:sz w:val="20"/>
          <w:szCs w:val="20"/>
          <w:u w:val="single" w:color="auto"/>
          <w:color w:val="auto"/>
        </w:rPr>
        <w:t>Section 12.1(a)</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12.1(b)</w:t>
      </w:r>
      <w:r>
        <w:rPr>
          <w:rFonts w:ascii="Times New Roman" w:cs="Times New Roman" w:eastAsia="Times New Roman" w:hAnsi="Times New Roman"/>
          <w:sz w:val="20"/>
          <w:szCs w:val="20"/>
          <w:color w:val="auto"/>
        </w:rPr>
        <w:t xml:space="preserve"> any Lender refuses to consent to certain proposed amendments, changes, supplements, waivers, discharges or terminations with respect to this Agreement, Crown Holdings shall have the right to replace such Lender (the “</w:t>
      </w:r>
      <w:r>
        <w:rPr>
          <w:rFonts w:ascii="Times New Roman" w:cs="Times New Roman" w:eastAsia="Times New Roman" w:hAnsi="Times New Roman"/>
          <w:sz w:val="20"/>
          <w:szCs w:val="20"/>
          <w:u w:val="single" w:color="auto"/>
          <w:color w:val="auto"/>
        </w:rPr>
        <w:t>Replaced Lender</w:t>
      </w:r>
      <w:r>
        <w:rPr>
          <w:rFonts w:ascii="Times New Roman" w:cs="Times New Roman" w:eastAsia="Times New Roman" w:hAnsi="Times New Roman"/>
          <w:sz w:val="20"/>
          <w:szCs w:val="20"/>
          <w:color w:val="auto"/>
        </w:rPr>
        <w:t>”) with one or more other Eligible Assignee or Eligible Assignees, none of whom shall constitute a Defaulting Lender at the time of such replacement (collectively, the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reasonably acceptable to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 the case of any replacement made pursuant to clause (y), such replacement will reduce the amount of any compensation payable by the Credit Parties under </w:t>
      </w:r>
      <w:r>
        <w:rPr>
          <w:rFonts w:ascii="Times New Roman" w:cs="Times New Roman" w:eastAsia="Times New Roman" w:hAnsi="Times New Roman"/>
          <w:sz w:val="20"/>
          <w:szCs w:val="20"/>
          <w:u w:val="single" w:color="auto"/>
          <w:color w:val="auto"/>
        </w:rPr>
        <w:t>Section 3.6(a)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3.6(c)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(ii) at the time of any replacement pursuant to this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the Replacement Lender shall enter into one or more assignment agreements, in form and substance reasonably satisfactory to Administrative Agent, pursuant to which the Replacement Lender shall acquire all of the Commitments and outstanding Loans of, and participation in Letters of Credit by, the Replaced Lender (or, at the option of Crown Holdings if the respective Lender’s consent is required with respect to less than all Loans, to replace only the respective Loans of the respective non-consenting Lender which gave rise to the need to obtain such Lender’s individual consent), (iii) Crown Holdings shall have paid, or shall have caused the applicable Borrower to pay, to Administrative Agent the assignment fee specified in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(iv) all obligations of all Credit Parties owing to the Replaced Lender (including, without limitation, such increased costs and excluding those specifically described in clause (ii) above in respect of which the assignment purchase price has been, or is concurrently being, paid) shall be paid in full to such Replaced Lender concurrently with such replacement and (v) that the lender replacement right set forth above in clause (y) shall not apply in any instance where five or more Multicurrency Revolving Lenders all make the same notification to Administrative Agent with respect to a particular Agreed Alternative Currency. Upon the execution of the respective assignment documentation, the payment of amounts referred to in clauses (ii), (iii) and (iv) above and, if so requested by the Replacement Lender, delivery to the Replacement Lender of the appropriate Note or Notes executed by each applicable Borrower, the Replacement Lender shall become a Lender hereunder and, unless the Replaced Lender continues to have outstanding Term Loans hereunder, the Replaced Lender shall cease to constitute a Lender hereunder, except with respect to indemnification provisions under this Agreement (including under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which shall survive as to such Replaced Lender. Notwithstanding anything to the contrary contained above, no Lender that acts as a Facing Agent may be replaced hereunder at any time when it has Letters of Credit outstanding hereunder unless arrangements reasonably satisfactory to such Facing Agent (including the furnishing of a standby letter of credit in form and substance, and issued by an issuer satisfactory to such Facing Agent or the depositing of cash collateral into the Collateral Account in amounts and pursuant to arrangements reasonably satisfactory to such Facing Agent) have been made with respect to such outstanding Letters of Credit.</w:t>
      </w:r>
    </w:p>
    <w:p>
      <w:pPr>
        <w:spacing w:after="0" w:line="2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color w:val="auto"/>
        </w:rPr>
        <w:t>Benchmark Replacement Setting.</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3.8.1. </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90" w:name="page191"/>
    <w:bookmarkEnd w:id="190"/>
    <w:p>
      <w:pPr>
        <w:jc w:val="both"/>
        <w:spacing w:after="0" w:line="253" w:lineRule="auto"/>
        <w:rPr>
          <w:sz w:val="20"/>
          <w:szCs w:val="20"/>
          <w:color w:val="auto"/>
        </w:rPr>
      </w:pPr>
      <w:r>
        <w:rPr>
          <w:rFonts w:ascii="Times New Roman" w:cs="Times New Roman" w:eastAsia="Times New Roman" w:hAnsi="Times New Roman"/>
          <w:sz w:val="20"/>
          <w:szCs w:val="20"/>
          <w:color w:val="auto"/>
        </w:rPr>
        <w:t>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3.8.2. </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in consultation with Crown Holdings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3.8.3. </w:t>
      </w: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Crown Holdings and the Lenders of (i) the implementation of any Benchmark Replacement and (ii) the effectiveness of any Conforming Changes in connection with the use, administration, adoption or implementation of a Benchmark Replacement. The Administrative Agent will notify Crown Holdings of (x) the removal or reinstatement of any tenor of a Benchmark pursuant to </w:t>
      </w:r>
      <w:r>
        <w:rPr>
          <w:rFonts w:ascii="Times New Roman" w:cs="Times New Roman" w:eastAsia="Times New Roman" w:hAnsi="Times New Roman"/>
          <w:sz w:val="20"/>
          <w:szCs w:val="20"/>
          <w:u w:val="single" w:color="auto"/>
          <w:color w:val="auto"/>
        </w:rPr>
        <w:t>Section 3.8(d)</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3.8.4. </w:t>
      </w: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(including the Term SOFR Reference Rate or the Eurocurrency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3.8.5. </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Crown Holdings’ receipt of notice of the commencement of a Benchmark Unavailability Period, the relevant Borrower may revoke any pending request for a Borrowing of, conversion to or continuation of Loans based on the applicable Benchmark to</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91" w:name="page192"/>
    <w:bookmarkEnd w:id="191"/>
    <w:p>
      <w:pPr>
        <w:jc w:val="both"/>
        <w:spacing w:after="0" w:line="269" w:lineRule="auto"/>
        <w:rPr>
          <w:sz w:val="20"/>
          <w:szCs w:val="20"/>
          <w:color w:val="auto"/>
        </w:rPr>
      </w:pPr>
      <w:r>
        <w:rPr>
          <w:rFonts w:ascii="Times New Roman" w:cs="Times New Roman" w:eastAsia="Times New Roman" w:hAnsi="Times New Roman"/>
          <w:sz w:val="19"/>
          <w:szCs w:val="19"/>
          <w:color w:val="auto"/>
        </w:rPr>
        <w:t>be made, converted or continued during any Benchmark Unavailability Period and, failing that, (x) in the case of Loans denominated in Dollars, the applicable Borrower will be deemed to have converted any such request into a request for a Borrowing of or conversion to Base Rate Loans and (y) in the case of Loans denominated in Euros, the applicable Borrower will be deemed to have converted any such request into a request for a Borrowing of or conversion to Overnight Euro Rate Loans. During a Benchmark Unavailability Period or at any time that a tenor for the then-current Benchmark is not an Available Tenor, in the case of Loans denominated in Dollars, the component of Base Rate based upon the then-current Benchmark or such tenor for such Benchmark, as applicable, will not be used in any determination of Base Rate.</w:t>
      </w:r>
    </w:p>
    <w:p>
      <w:pPr>
        <w:spacing w:after="0" w:line="1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4.</w:t>
      </w:r>
    </w:p>
    <w:p>
      <w:pPr>
        <w:spacing w:after="0" w:line="2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REDUCTION OF COMMITMENTS; PAYMENTS AND PREPAYMENTS</w:t>
      </w:r>
    </w:p>
    <w:p>
      <w:pPr>
        <w:spacing w:after="0" w:line="20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4.1. Voluntary Reduction of Commitments. Upon at least two (2) Business Days’ prior written notice (or telephonic notice confirmed in writing) to Administrative Agent at the Notice Address (which notice Administrative Agent shall promptly transmit to each Lender), (i) U.S. Borrower shall have the right, without premium or penalty, to terminate the unutilized portion of the Dollar Revolving Commitments or Swing Line Commitment in whole or in part, (ii) European Borrower shall have the right, without premium or penalty, to terminate the unutilized portion of the Multicurrency Revolving Commitment or Swing Line Commitment in part or in whole, and (iii) Canadian Borrower shall have the right, without premium or penalty, to terminate the unutilized portion of the Canadian Revolving Commitments in part or in whole; in each case,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such voluntary termination of the Dollar Revolving Commitment, Multicurrency Revolving Commitment or Canadian Revolving Commitment shall apply to proportionately and permanently reduce the Dollar Revolving Commitment, Multicurrency Revolving Commitment or Canadian Revolving Commitment of each Dollar Revolving Lender, Multicurrency Revolving Lender or Canadian Revolving Lender, as the case may be, (y) any partial voluntary reduction pursuant to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shall be in the amount of at least $10,000,000 and integral multiples of $5,000,000 in excess of that amount and (z) any such voluntary termination of the Dollar Revolving Commitment, Multicurrency Revolving Commitment or Canadian Revolving Commitment shall occur simultaneously with a voluntary prepayment, pursuant to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such that the total of the Dollar Revolving Commitment, Multicurrency Revolving Commitment or Canadian Revolving Commitment shall not be reduced below (1) the aggregate principal amount of outstanding Dollar Revolving Loans plus the aggregate Effective Amount of Dollar LC Obligations, in the case of the Dollar Revolving Commitment; (2) Multicurrency Revolving Loans plus the aggregate Effective Amount of Multicurrency LC Obligations and Swing Line Loans, in the case of Multicurrency Revolving Commitments and (3) Canadian Revolving Loans plus the Effective Amount of Canadian LC Obligations, in the case of Canadian Revolving Commitments and the Swing Line Commitment shall not be reduced below the aggregate principal amount of Swing Line Loans.</w:t>
      </w:r>
    </w:p>
    <w:p>
      <w:pPr>
        <w:spacing w:after="0" w:line="21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4.2. Mandatory Reductions of Term Commitments. The Term Commitments terminate on the Incremental Amendment No. 3 and Fifth Amendment Effective Date after giving effect to the Borrowing of the Term A Loans and Term Euro Loans.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92" w:name="page193"/>
    <w:bookmarkEnd w:id="192"/>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4.3. Voluntary Prepayments. Each Borrower shall have the right to prepay the Loans without premium or penalty in whole or in part from time to time on the following terms and conditions:</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4.3.1. the applicable Borrower shall give Administrative Agent irrevocable written notice (which notice may be conditioned upon the happening of an event) at its Notice Address (or telephonic notice promptly confirmed in writing) of its intent to prepay the Loans, whether such Loans are Term Loans, Dollar Revolving Loans, Multicurrency Revolving Loans, Canadian Revolving Loans or Swing Line Loans, the amount of such prepayment and the specific Borrowings to which such prepayment is to be applied, which notice shall be given by the applicable Borrower to Administrative Agent or Canadian Administrative Agent, as applicable, by 12:00 noon (New York City time) at least three (3) Business Days prior in the case of SOFR Loans, Eurocurrency Loans, Daily Simple RFR Loans or Canadian Revolving Loans and at least one (1) Business Day prior in the case of Base Rate Loans to the date of such prepayment and which notice shall (except in the case of Swing Line Loans) promptly be transmitted by Administrative Agent to each of the applicable Lenders;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4.3.2. each partial prepayment of any Borrowing (other than a Borrowing of Swing Line Loans) shall be in an aggregate principal amount of at least $1,000,000, Cdn.$1,000,000, €1,000,000 or £1,000,000, as applicable, and each partial prepayment of a Swing Line Loan shall be in an aggregate principal amount of at least $500,000, €500,000 or £500,000,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partial prepayment of SOFR Loans or Eurocurrency Loans made pursuant to a single Borrowing shall reduce the aggregate principal amount of the outstanding Loans made pursuant to such Borrowing to an amount less than the Minimum Borrowing Amount applicable thereto;</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4.3.3. SOFR Loans and Eurocurrency Loans may only be prepaid pursuant to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on the last day of an Interest Period applicable thereto or on any other day subject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4.3.4. each prepayment in respect of any Borrowing shall be applied pro rata among the Loans comprising such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Canadian Borrower may defease any B/A by depositing with Canadian Administrative Agent an amount equal to the face amount of such maturing B/A,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prepayment shall not be applied to any Loans of a Defaulting Lender at any time when the aggregate amount of Loans of any Non-Defaulting Lender exceeds such Non-Defaulting Lender’s Pro Rata Share of all Loans then outstanding; and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4.3.5. unless otherwise specified by the applicable Borrower, each voluntary prepayment of Term Loans shall be applied to the Scheduled Term Repayments of all outstanding Term Loans in proportional amounts equal to the applicable Term Percentage of Term Loans with respect to such prepayment and, within each Term Loan, to reduce the remaining Scheduled Term Repayments, in direct order of maturity. Unless otherwise specified by the applicable Borrower, such prepayment shall be applied first to the payment of Base Rate Loans and second to the payment of such SOFR Loans and Eurocurrency Loans.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notice provisions, the provisions with respect to the minimum amount of any prepayment and the provisions requiring prepayments in integral multiples above such minimum amount of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are for the benefit of Administrative Agent and may be waived unilaterally by Administrative Agent.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93" w:name="page194"/>
    <w:bookmarkEnd w:id="193"/>
    <w:p>
      <w:pPr>
        <w:spacing w:after="0"/>
        <w:tabs>
          <w:tab w:leader="none" w:pos="62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Mandatory Prepayments.</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4.4.1.</w:t>
      </w:r>
      <w:r>
        <w:rPr>
          <w:sz w:val="20"/>
          <w:szCs w:val="20"/>
          <w:color w:val="auto"/>
        </w:rPr>
        <w:tab/>
      </w:r>
      <w:r>
        <w:rPr>
          <w:rFonts w:ascii="Times New Roman" w:cs="Times New Roman" w:eastAsia="Times New Roman" w:hAnsi="Times New Roman"/>
          <w:sz w:val="19"/>
          <w:szCs w:val="19"/>
          <w:u w:val="single" w:color="auto"/>
          <w:color w:val="auto"/>
        </w:rPr>
        <w:t>Prepayment Upon Overadvance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907"/>
        <w:spacing w:after="0" w:line="250" w:lineRule="auto"/>
        <w:rPr>
          <w:sz w:val="20"/>
          <w:szCs w:val="20"/>
          <w:color w:val="auto"/>
        </w:rPr>
      </w:pPr>
      <w:r>
        <w:rPr>
          <w:rFonts w:ascii="Times New Roman" w:cs="Times New Roman" w:eastAsia="Times New Roman" w:hAnsi="Times New Roman"/>
          <w:sz w:val="20"/>
          <w:szCs w:val="20"/>
          <w:color w:val="auto"/>
        </w:rPr>
        <w:t>4.4.1.1. U.S. Borrower shall prepay the outstanding principal amount of the Loans under the Dollar Revolving Facility on any date on which the aggregate Effective Amount of such Loans, together with the aggregate Effective Amount of Dollar LC Obligations, exceeds the aggregate Dollar Revolving Commitments, in the amount of such excess. If, after giving effect to the prepayment of all outstanding Dollar Revolving Loans, the outstanding principal amount of Dollar Revolving Loans, together with the aggregate Effective Amount of the Dollar LC Obligations, exceeds the aggregate Dollar Revolving Commitments then in effect, the U.S. Borrower shall cash collateralize the Dollar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Dollar Revolving Loans plus the aggregate Effective Amount of the Dollar LC Obligations and the Dollar Revolving Commitments then in effect. Administrative Agent shall establish in its name for the benefit of the Dollar Revolving Lenders a cash collateral account (the “</w:t>
      </w:r>
      <w:r>
        <w:rPr>
          <w:rFonts w:ascii="Times New Roman" w:cs="Times New Roman" w:eastAsia="Times New Roman" w:hAnsi="Times New Roman"/>
          <w:sz w:val="20"/>
          <w:szCs w:val="20"/>
          <w:u w:val="single" w:color="auto"/>
          <w:color w:val="auto"/>
        </w:rPr>
        <w:t>Dollar Collateral Account</w:t>
      </w:r>
      <w:r>
        <w:rPr>
          <w:rFonts w:ascii="Times New Roman" w:cs="Times New Roman" w:eastAsia="Times New Roman" w:hAnsi="Times New Roman"/>
          <w:sz w:val="20"/>
          <w:szCs w:val="20"/>
          <w:color w:val="auto"/>
        </w:rPr>
        <w:t>”) into which it shall deposit such cash to hold as collateral security for the outstanding Dollar LC Obligations.</w:t>
      </w:r>
    </w:p>
    <w:p>
      <w:pPr>
        <w:spacing w:after="0" w:line="200" w:lineRule="exact"/>
        <w:rPr>
          <w:sz w:val="20"/>
          <w:szCs w:val="20"/>
          <w:color w:val="auto"/>
        </w:rPr>
      </w:pPr>
    </w:p>
    <w:p>
      <w:pPr>
        <w:jc w:val="both"/>
        <w:ind w:firstLine="907"/>
        <w:spacing w:after="0" w:line="249" w:lineRule="auto"/>
        <w:rPr>
          <w:sz w:val="20"/>
          <w:szCs w:val="20"/>
          <w:color w:val="auto"/>
        </w:rPr>
      </w:pPr>
      <w:r>
        <w:rPr>
          <w:rFonts w:ascii="Times New Roman" w:cs="Times New Roman" w:eastAsia="Times New Roman" w:hAnsi="Times New Roman"/>
          <w:sz w:val="20"/>
          <w:szCs w:val="20"/>
          <w:color w:val="auto"/>
        </w:rPr>
        <w:t>4.4.1.2. European Borrower or U.S. Borrower, as applicable, shall prepay the outstanding principal amount of the Loans under the Multicurrency Revolving Facility on any date on which the aggregate Effective Amount of such Loans, together with the aggregate Effective Amount of Multicurrency LC Obligations and Effective Amount of Swing Line Loans, exceeds the aggregate Multicurrency Revolving Commitments, in the amount of such excess. If, after giving effect to the prepayment of all outstanding, Multicurrency Revolving Loans, the outstanding principal amount of Multicurrency Revolving Loans together with the aggregate Effective Amount of Multicurrency LC Obligations plus the aggregate Effective Amount of Swing Line Loans, exceeds the aggregate Multicurrency Revolving Commitments then in effect, European Borrower or U.S. Borrower, as applicable, shall prepay all outstanding Swing Line Loans then, cash collateralize Multicurrency LC Obligations by depositing, pursuant to a cash collateral agreement to be entered into in form and substance reasonably satisfactory to Administrative Agent, cash with Administrative Agent in an amount equal to the positive difference, if any, between the outstanding principal amount of Multicurrency Revolving Loans plus the aggregate Effective Amount of such Multicurrency LC Obligations and the aggregate Multicurrency Revolving Commitments then in effect. Administrative Agent shall establish in its name for the benefit of the Multicurrency Revolving Lenders a cash collateral account (the “</w:t>
      </w:r>
      <w:r>
        <w:rPr>
          <w:rFonts w:ascii="Times New Roman" w:cs="Times New Roman" w:eastAsia="Times New Roman" w:hAnsi="Times New Roman"/>
          <w:sz w:val="20"/>
          <w:szCs w:val="20"/>
          <w:u w:val="single" w:color="auto"/>
          <w:color w:val="auto"/>
        </w:rPr>
        <w:t>Multicurrency Collateral Account</w:t>
      </w:r>
      <w:r>
        <w:rPr>
          <w:rFonts w:ascii="Times New Roman" w:cs="Times New Roman" w:eastAsia="Times New Roman" w:hAnsi="Times New Roman"/>
          <w:sz w:val="20"/>
          <w:szCs w:val="20"/>
          <w:color w:val="auto"/>
        </w:rPr>
        <w:t>” and, together with the Dollar Collateral Account, each a “</w:t>
      </w:r>
      <w:r>
        <w:rPr>
          <w:rFonts w:ascii="Times New Roman" w:cs="Times New Roman" w:eastAsia="Times New Roman" w:hAnsi="Times New Roman"/>
          <w:sz w:val="20"/>
          <w:szCs w:val="20"/>
          <w:u w:val="single" w:color="auto"/>
          <w:color w:val="auto"/>
        </w:rPr>
        <w:t>Collateral Account</w:t>
      </w:r>
      <w:r>
        <w:rPr>
          <w:rFonts w:ascii="Times New Roman" w:cs="Times New Roman" w:eastAsia="Times New Roman" w:hAnsi="Times New Roman"/>
          <w:sz w:val="20"/>
          <w:szCs w:val="20"/>
          <w:color w:val="auto"/>
        </w:rPr>
        <w:t>”) into which it shall deposit such cash to hold as collateral security for the outstanding Multicurrency LC Obligations.</w:t>
      </w:r>
    </w:p>
    <w:p>
      <w:pPr>
        <w:spacing w:after="0" w:line="201" w:lineRule="exact"/>
        <w:rPr>
          <w:sz w:val="20"/>
          <w:szCs w:val="20"/>
          <w:color w:val="auto"/>
        </w:rPr>
      </w:pPr>
    </w:p>
    <w:p>
      <w:pPr>
        <w:jc w:val="both"/>
        <w:ind w:firstLine="907"/>
        <w:spacing w:after="0" w:line="254" w:lineRule="auto"/>
        <w:rPr>
          <w:sz w:val="20"/>
          <w:szCs w:val="20"/>
          <w:color w:val="auto"/>
        </w:rPr>
      </w:pPr>
      <w:r>
        <w:rPr>
          <w:rFonts w:ascii="Times New Roman" w:cs="Times New Roman" w:eastAsia="Times New Roman" w:hAnsi="Times New Roman"/>
          <w:sz w:val="20"/>
          <w:szCs w:val="20"/>
          <w:color w:val="auto"/>
        </w:rPr>
        <w:t>4.4.1.3. Canadian Borrower shall prepay the outstanding principal amount of the Loans under the Canadian Revolving Facility on any date on which the aggregate Effective Amount of such Loans, together with the aggregate Effective Amount of the Canadian LC Obligations, exceeds the aggregate Canadian Revolving Commitments, in the amount of such excess. If, after giving effect to the prepayment of all outstanding Canadian Prime Rate Loans, the outstanding principal amount of Canadian Revolving Loans together with the aggregate Effective Amount of the Canadian LC Obligations exceeds the aggregate Canadian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140</w:t>
      </w:r>
    </w:p>
    <w:p>
      <w:pPr>
        <w:spacing w:after="0" w:line="6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194" w:name="page195"/>
    <w:bookmarkEnd w:id="194"/>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Commitments then in effect, the Canadian Borrower shall cash collateralize the Canadian LC Obligations and cash collateralize outstanding B/A Loans by depositing pursuant to a cash collateral agreement to be entered into in form and substance reasonably satisfactory to Canadian Administrative Agent, cash with Canadian Administrative Agent in an amount equal to the positive difference, if any, between the outstanding principal amount of Canadian Revolving Loans plus the aggregate Effective Amount of the Canadian LC Obligations and the Canadian Revolving Commitments then in effect. Canadian Administrative Agent shall establish in its name for the benefit of the Canadian Revolving Lenders a cash collateral account into which it shall deposit said cash to hold as collateral security for the outstanding Canadian LC Obligations and/or B/A Loans.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4.4.2. </w:t>
      </w:r>
      <w:r>
        <w:rPr>
          <w:rFonts w:ascii="Times New Roman" w:cs="Times New Roman" w:eastAsia="Times New Roman" w:hAnsi="Times New Roman"/>
          <w:sz w:val="20"/>
          <w:szCs w:val="20"/>
          <w:u w:val="single" w:color="auto"/>
          <w:color w:val="auto"/>
        </w:rPr>
        <w:t>Scheduled Term Repayments</w:t>
      </w:r>
      <w:r>
        <w:rPr>
          <w:rFonts w:ascii="Times New Roman" w:cs="Times New Roman" w:eastAsia="Times New Roman" w:hAnsi="Times New Roman"/>
          <w:sz w:val="20"/>
          <w:szCs w:val="20"/>
          <w:color w:val="auto"/>
        </w:rPr>
        <w:t>. The applicable Borrower shall cause to be paid Scheduled Term Repayments for each Term Facility on the Term Loans until the Term Loans are paid in full in the amounts and currencies and at the times specified in each of the Scheduled Term Repayment definitions to the extent that prepayments have not previously been applied to such Scheduled Term Repayments (and such Scheduled Term Repayments have not otherwise been reduced) pursuant to the terms hereof.</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4.4.3. </w:t>
      </w:r>
      <w:r>
        <w:rPr>
          <w:rFonts w:ascii="Times New Roman" w:cs="Times New Roman" w:eastAsia="Times New Roman" w:hAnsi="Times New Roman"/>
          <w:sz w:val="19"/>
          <w:szCs w:val="19"/>
          <w:u w:val="single" w:color="auto"/>
          <w:color w:val="auto"/>
        </w:rPr>
        <w:t>Mandatory Prepayment Upon Asset Disposition</w:t>
      </w:r>
      <w:r>
        <w:rPr>
          <w:rFonts w:ascii="Times New Roman" w:cs="Times New Roman" w:eastAsia="Times New Roman" w:hAnsi="Times New Roman"/>
          <w:sz w:val="19"/>
          <w:szCs w:val="19"/>
          <w:color w:val="auto"/>
        </w:rPr>
        <w:t xml:space="preserve">. From and after the Incremental Amendment No. 3 and Fifth Amendment Effective Date, on the tenth Business Day after the date of receipt thereof by Crown Holdings and/or any of its Subsidiaries of Net Proceeds from any Asset Disposition (other than an Asset Disposition permitted by </w:t>
      </w:r>
      <w:r>
        <w:rPr>
          <w:rFonts w:ascii="Times New Roman" w:cs="Times New Roman" w:eastAsia="Times New Roman" w:hAnsi="Times New Roman"/>
          <w:sz w:val="19"/>
          <w:szCs w:val="19"/>
          <w:u w:val="single" w:color="auto"/>
          <w:color w:val="auto"/>
        </w:rPr>
        <w:t>Section 8.3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Sections 8.5(a)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8.5(g)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8.5(j)</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8.5(l)</w:t>
      </w:r>
      <w:r>
        <w:rPr>
          <w:rFonts w:ascii="Times New Roman" w:cs="Times New Roman" w:eastAsia="Times New Roman" w:hAnsi="Times New Roman"/>
          <w:sz w:val="19"/>
          <w:szCs w:val="19"/>
          <w:color w:val="auto"/>
        </w:rPr>
        <w:t xml:space="preserve">, 8.5(m)(1), </w:t>
      </w:r>
      <w:r>
        <w:rPr>
          <w:rFonts w:ascii="Times New Roman" w:cs="Times New Roman" w:eastAsia="Times New Roman" w:hAnsi="Times New Roman"/>
          <w:sz w:val="19"/>
          <w:szCs w:val="19"/>
          <w:u w:val="single" w:color="auto"/>
          <w:color w:val="auto"/>
        </w:rPr>
        <w:t>8.5(n)</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subclause (vi)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8.5(o)</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8.5(u)</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8.5(w)</w:t>
      </w:r>
      <w:r>
        <w:rPr>
          <w:rFonts w:ascii="Times New Roman" w:cs="Times New Roman" w:eastAsia="Times New Roman" w:hAnsi="Times New Roman"/>
          <w:sz w:val="19"/>
          <w:szCs w:val="19"/>
          <w:color w:val="auto"/>
        </w:rPr>
        <w:t xml:space="preserve">), Borrowers shall apply an amount equal to 100% of the Net Proceeds from such Asset Disposition as a mandatory repayment of principal of the Term Loans, pursuant to the terms of </w:t>
      </w:r>
      <w:r>
        <w:rPr>
          <w:rFonts w:ascii="Times New Roman" w:cs="Times New Roman" w:eastAsia="Times New Roman" w:hAnsi="Times New Roman"/>
          <w:sz w:val="19"/>
          <w:szCs w:val="19"/>
          <w:u w:val="single" w:color="auto"/>
          <w:color w:val="auto"/>
        </w:rPr>
        <w:t>Section 4.5(a)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Net Proceeds therefrom shall not be required to be so applied on such date to the extent that (i) no Credit Party would be obligated to make an offer to purchase any Indebtedness if such Net Proceeds were not used to repay Term Loans and (ii) no Event of Default then exists and Crown Holdings delivers a certificate to Administrative Agent on or prior to such date stating that such Net Proceeds shall be used to purchase assets used or to be used in the businesses referred to in </w:t>
      </w:r>
      <w:r>
        <w:rPr>
          <w:rFonts w:ascii="Times New Roman" w:cs="Times New Roman" w:eastAsia="Times New Roman" w:hAnsi="Times New Roman"/>
          <w:sz w:val="19"/>
          <w:szCs w:val="19"/>
          <w:u w:val="single" w:color="auto"/>
          <w:color w:val="auto"/>
        </w:rPr>
        <w:t>Section 8.3(c)</w:t>
      </w:r>
      <w:r>
        <w:rPr>
          <w:rFonts w:ascii="Times New Roman" w:cs="Times New Roman" w:eastAsia="Times New Roman" w:hAnsi="Times New Roman"/>
          <w:sz w:val="19"/>
          <w:szCs w:val="19"/>
          <w:color w:val="auto"/>
        </w:rPr>
        <w:t xml:space="preserve"> within 365 days following the date of such Asset Disposition (which certificate shall set forth the estimates of the proceeds to be so expended),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 if all or any portion of such Net Proceeds not so applied to the repayment of Term Loans are not so used (or contractually committed to be used) within such 365 day period, such remaining portion shall be applied on the last day of the respective period as a mandatory repayment of principal of outstanding Term Loans as provided above in this </w:t>
      </w:r>
      <w:r>
        <w:rPr>
          <w:rFonts w:ascii="Times New Roman" w:cs="Times New Roman" w:eastAsia="Times New Roman" w:hAnsi="Times New Roman"/>
          <w:sz w:val="19"/>
          <w:szCs w:val="19"/>
          <w:u w:val="single" w:color="auto"/>
          <w:color w:val="auto"/>
        </w:rPr>
        <w:t>Section 4.4(c)</w:t>
      </w:r>
      <w:r>
        <w:rPr>
          <w:rFonts w:ascii="Times New Roman" w:cs="Times New Roman" w:eastAsia="Times New Roman" w:hAnsi="Times New Roman"/>
          <w:sz w:val="19"/>
          <w:szCs w:val="19"/>
          <w:color w:val="auto"/>
        </w:rPr>
        <w:t xml:space="preserve"> and (ii) 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within ten days the date of such termination or expiration as a mandatory repayment of principal of outstanding Term Loans as provided in this </w:t>
      </w:r>
      <w:r>
        <w:rPr>
          <w:rFonts w:ascii="Times New Roman" w:cs="Times New Roman" w:eastAsia="Times New Roman" w:hAnsi="Times New Roman"/>
          <w:sz w:val="19"/>
          <w:szCs w:val="19"/>
          <w:u w:val="single" w:color="auto"/>
          <w:color w:val="auto"/>
        </w:rPr>
        <w:t>Section 4.4(c)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assets subject to such Asset Disposition constituted Collateral under the Security Documents, then any capital assets purchased with the Net Proceeds thereof pursuant to this subsection shall be mortgaged or pledged, as the case may be, the applicable Collateral Agent, for its benefit and for the benefit of the other applicable Lenders in accordance with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4.4.4.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4.4.5.</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95" w:name="page196"/>
    <w:bookmarkEnd w:id="195"/>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4.4.6. </w:t>
      </w:r>
      <w:r>
        <w:rPr>
          <w:rFonts w:ascii="Times New Roman" w:cs="Times New Roman" w:eastAsia="Times New Roman" w:hAnsi="Times New Roman"/>
          <w:sz w:val="20"/>
          <w:szCs w:val="20"/>
          <w:u w:val="single" w:color="auto"/>
          <w:color w:val="auto"/>
        </w:rPr>
        <w:t>Mandatory Prepayment Upon Recovery Event</w:t>
      </w:r>
      <w:r>
        <w:rPr>
          <w:rFonts w:ascii="Times New Roman" w:cs="Times New Roman" w:eastAsia="Times New Roman" w:hAnsi="Times New Roman"/>
          <w:sz w:val="20"/>
          <w:szCs w:val="20"/>
          <w:color w:val="auto"/>
        </w:rPr>
        <w:t xml:space="preserve">. From and after the Incremental Amendment No. 3 and Fifth Amendment Effective Date, within ten (10) days following each date on which Crown Holdings or any of its Subsidiaries receives any Net Proceeds, Borrowers shall apply an amount equal to 100% of the Net Proceeds of such Recovery Event as a mandatory repayment of principal of the Term Loans pursuant to the terms of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Event of Default then exists, such proceeds shall not be required to be so applied on such date to the extent that Crown Holdings has delivered a certificate to Administrative Agent on or prior to such date stating that such proceeds shall be used to replace or restore any properties or assets in respect of which such proceeds were paid within 365 days following the date of the receipt of such proceeds (which certificate shall set forth the estimates of the proceeds to be so expended), that</w:t>
      </w:r>
    </w:p>
    <w:p>
      <w:pPr>
        <w:spacing w:after="0" w:line="195" w:lineRule="exact"/>
        <w:rPr>
          <w:sz w:val="20"/>
          <w:szCs w:val="20"/>
          <w:color w:val="auto"/>
        </w:rPr>
      </w:pPr>
    </w:p>
    <w:p>
      <w:pPr>
        <w:jc w:val="both"/>
        <w:ind w:left="660" w:firstLine="907"/>
        <w:spacing w:after="0" w:line="258" w:lineRule="auto"/>
        <w:rPr>
          <w:sz w:val="20"/>
          <w:szCs w:val="20"/>
          <w:color w:val="auto"/>
        </w:rPr>
      </w:pPr>
      <w:r>
        <w:rPr>
          <w:rFonts w:ascii="Times New Roman" w:cs="Times New Roman" w:eastAsia="Times New Roman" w:hAnsi="Times New Roman"/>
          <w:sz w:val="20"/>
          <w:szCs w:val="20"/>
          <w:color w:val="auto"/>
        </w:rPr>
        <w:t xml:space="preserve">4.4.6.1. if all or any portion of such Net Proceeds not required to be applied to the repayment of Term Loans pursuant to the first proviso of this </w:t>
      </w:r>
      <w:r>
        <w:rPr>
          <w:rFonts w:ascii="Times New Roman" w:cs="Times New Roman" w:eastAsia="Times New Roman" w:hAnsi="Times New Roman"/>
          <w:sz w:val="20"/>
          <w:szCs w:val="20"/>
          <w:u w:val="single" w:color="auto"/>
          <w:color w:val="auto"/>
        </w:rPr>
        <w:t>Section 4.4(f)</w:t>
      </w:r>
      <w:r>
        <w:rPr>
          <w:rFonts w:ascii="Times New Roman" w:cs="Times New Roman" w:eastAsia="Times New Roman" w:hAnsi="Times New Roman"/>
          <w:sz w:val="20"/>
          <w:szCs w:val="20"/>
          <w:color w:val="auto"/>
        </w:rPr>
        <w:t xml:space="preserve"> are not so used (or contractually committed to be used) within 365 days after the day of the receipt of such proceeds, such remaining portion shall be applied on the last day of such period as a mandatory repayment of principal of the Term Loan as provided in this </w:t>
      </w:r>
      <w:r>
        <w:rPr>
          <w:rFonts w:ascii="Times New Roman" w:cs="Times New Roman" w:eastAsia="Times New Roman" w:hAnsi="Times New Roman"/>
          <w:sz w:val="20"/>
          <w:szCs w:val="20"/>
          <w:u w:val="single" w:color="auto"/>
          <w:color w:val="auto"/>
        </w:rPr>
        <w:t>Section 4.4(f)</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left="660" w:firstLine="907"/>
        <w:spacing w:after="0" w:line="258" w:lineRule="auto"/>
        <w:rPr>
          <w:sz w:val="20"/>
          <w:szCs w:val="20"/>
          <w:color w:val="auto"/>
        </w:rPr>
      </w:pPr>
      <w:r>
        <w:rPr>
          <w:rFonts w:ascii="Times New Roman" w:cs="Times New Roman" w:eastAsia="Times New Roman" w:hAnsi="Times New Roman"/>
          <w:sz w:val="20"/>
          <w:szCs w:val="20"/>
          <w:color w:val="auto"/>
        </w:rPr>
        <w:t xml:space="preserve">4.4.6.2. if all or any portion of such Net Proceeds are not required to be applied on the 365th day referred to in clause (i) above because such amount is contractually committed to be used and subsequent to such date such contract is terminated or expires without such portion being so used, then such remaining portion shall be applied on the date of such termination or expiration as a mandatory repayment of principal of outstanding Term Loans as provided in this </w:t>
      </w:r>
      <w:r>
        <w:rPr>
          <w:rFonts w:ascii="Times New Roman" w:cs="Times New Roman" w:eastAsia="Times New Roman" w:hAnsi="Times New Roman"/>
          <w:sz w:val="20"/>
          <w:szCs w:val="20"/>
          <w:u w:val="single" w:color="auto"/>
          <w:color w:val="auto"/>
        </w:rPr>
        <w:t>Section 4.4(f)</w:t>
      </w:r>
      <w:r>
        <w:rPr>
          <w:rFonts w:ascii="Times New Roman" w:cs="Times New Roman" w:eastAsia="Times New Roman" w:hAnsi="Times New Roman"/>
          <w:sz w:val="20"/>
          <w:szCs w:val="20"/>
          <w:color w:val="auto"/>
        </w:rPr>
        <w:t>; and</w:t>
      </w:r>
    </w:p>
    <w:p>
      <w:pPr>
        <w:spacing w:after="0" w:line="186" w:lineRule="exact"/>
        <w:rPr>
          <w:sz w:val="20"/>
          <w:szCs w:val="20"/>
          <w:color w:val="auto"/>
        </w:rPr>
      </w:pPr>
    </w:p>
    <w:p>
      <w:pPr>
        <w:jc w:val="both"/>
        <w:ind w:left="660" w:firstLine="907"/>
        <w:spacing w:after="0" w:line="254" w:lineRule="auto"/>
        <w:rPr>
          <w:sz w:val="20"/>
          <w:szCs w:val="20"/>
          <w:color w:val="auto"/>
        </w:rPr>
      </w:pPr>
      <w:r>
        <w:rPr>
          <w:rFonts w:ascii="Times New Roman" w:cs="Times New Roman" w:eastAsia="Times New Roman" w:hAnsi="Times New Roman"/>
          <w:sz w:val="20"/>
          <w:szCs w:val="20"/>
          <w:color w:val="auto"/>
        </w:rPr>
        <w:t xml:space="preserve">4.4.6.3. if the asset subject to such Recovery Event constituted Collateral under the Security Documents, then any replacement or substitute assets purchased with the proceeds thereof pursuant to this subsection shall be mortgaged or pledged, as the case may be, to the applicable Collateral Agent, for its benefit and for the benefit of the other applicable Lenders in accordance with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4.4.7. </w:t>
      </w:r>
      <w:r>
        <w:rPr>
          <w:rFonts w:ascii="Times New Roman" w:cs="Times New Roman" w:eastAsia="Times New Roman" w:hAnsi="Times New Roman"/>
          <w:sz w:val="20"/>
          <w:szCs w:val="20"/>
          <w:u w:val="single" w:color="auto"/>
          <w:color w:val="auto"/>
        </w:rPr>
        <w:t>Repatriation of Proceeds</w:t>
      </w:r>
      <w:r>
        <w:rPr>
          <w:rFonts w:ascii="Times New Roman" w:cs="Times New Roman" w:eastAsia="Times New Roman" w:hAnsi="Times New Roman"/>
          <w:sz w:val="20"/>
          <w:szCs w:val="20"/>
          <w:color w:val="auto"/>
        </w:rPr>
        <w:t xml:space="preserve">. Notwithstanding any other provisions of </w:t>
      </w:r>
      <w:r>
        <w:rPr>
          <w:rFonts w:ascii="Times New Roman" w:cs="Times New Roman" w:eastAsia="Times New Roman" w:hAnsi="Times New Roman"/>
          <w:sz w:val="20"/>
          <w:szCs w:val="20"/>
          <w:u w:val="single" w:color="auto"/>
          <w:color w:val="auto"/>
        </w:rPr>
        <w:t>Sections 4.4(c)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4.4(f)</w:t>
      </w:r>
      <w:r>
        <w:rPr>
          <w:rFonts w:ascii="Times New Roman" w:cs="Times New Roman" w:eastAsia="Times New Roman" w:hAnsi="Times New Roman"/>
          <w:sz w:val="20"/>
          <w:szCs w:val="20"/>
          <w:color w:val="auto"/>
        </w:rPr>
        <w:t>, to the extent that any of or all the Net Proceeds of any Asset Disposition or any Recovery Event are received by a Non-U.S. Subsidiary (in each case, “</w:t>
      </w:r>
      <w:r>
        <w:rPr>
          <w:rFonts w:ascii="Times New Roman" w:cs="Times New Roman" w:eastAsia="Times New Roman" w:hAnsi="Times New Roman"/>
          <w:sz w:val="20"/>
          <w:szCs w:val="20"/>
          <w:u w:val="single" w:color="auto"/>
          <w:color w:val="auto"/>
        </w:rPr>
        <w:t>Foreign Proceeds</w:t>
      </w:r>
      <w:r>
        <w:rPr>
          <w:rFonts w:ascii="Times New Roman" w:cs="Times New Roman" w:eastAsia="Times New Roman" w:hAnsi="Times New Roman"/>
          <w:sz w:val="20"/>
          <w:szCs w:val="20"/>
          <w:color w:val="auto"/>
        </w:rPr>
        <w:t>”) and the repatriation of such Foreign Proceeds would (x) result in material adverse Tax consequences to Crown Holdings or any other Subsidiary or (y) would be prohibited or restricted by applicable law, rule or regulation or contract (each, a “</w:t>
      </w:r>
      <w:r>
        <w:rPr>
          <w:rFonts w:ascii="Times New Roman" w:cs="Times New Roman" w:eastAsia="Times New Roman" w:hAnsi="Times New Roman"/>
          <w:sz w:val="20"/>
          <w:szCs w:val="20"/>
          <w:u w:val="single" w:color="auto"/>
          <w:color w:val="auto"/>
        </w:rPr>
        <w:t>Repatriation Limitation</w:t>
      </w:r>
      <w:r>
        <w:rPr>
          <w:rFonts w:ascii="Times New Roman" w:cs="Times New Roman" w:eastAsia="Times New Roman" w:hAnsi="Times New Roman"/>
          <w:sz w:val="20"/>
          <w:szCs w:val="20"/>
          <w:color w:val="auto"/>
        </w:rPr>
        <w:t>”), the portion of such Foreign Proceeds so affected will not be required to be applied to repay Loans or reduce any Commitments hereunder but may be retained by the applicable Foreign Subsidiary so long as such Repatriation Limitation exists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Crown Holdings hereby agrees to use commercially reasonable efforts to cause the applicable Non-U.S. Subsidiary to promptly take commercially reasonable actions required by the applicable law, rule or regulation to overcome or mitigate the effect of the Repatriation Limitation so as to permit such repatriation) and once such Repatriation Limitation no longer exists the applicable Borrower shall promptly (and in any event not later than 10 Business Days after any such repatriation) apply such amount to the repayment of the Loans to the extent it would have otherwise been required pursuant to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4.4(f)</w:t>
      </w:r>
      <w:r>
        <w:rPr>
          <w:rFonts w:ascii="Times New Roman" w:cs="Times New Roman" w:eastAsia="Times New Roman" w:hAnsi="Times New Roman"/>
          <w:sz w:val="20"/>
          <w:szCs w:val="20"/>
          <w:color w:val="auto"/>
        </w:rPr>
        <w:t xml:space="preserve">. For the avoidance of doubt, nothing in this </w:t>
      </w:r>
      <w:r>
        <w:rPr>
          <w:rFonts w:ascii="Times New Roman" w:cs="Times New Roman" w:eastAsia="Times New Roman" w:hAnsi="Times New Roman"/>
          <w:sz w:val="20"/>
          <w:szCs w:val="20"/>
          <w:u w:val="single" w:color="auto"/>
          <w:color w:val="auto"/>
        </w:rPr>
        <w:t>Section 4.4(g)</w:t>
      </w:r>
      <w:r>
        <w:rPr>
          <w:rFonts w:ascii="Times New Roman" w:cs="Times New Roman" w:eastAsia="Times New Roman" w:hAnsi="Times New Roman"/>
          <w:sz w:val="20"/>
          <w:szCs w:val="20"/>
          <w:color w:val="auto"/>
        </w:rPr>
        <w:t xml:space="preserve"> shall require Borrowers to increase the amount of any prepayment in order to offset the application of any limitation or restriction described above and any resulting reduction in the amount of such mandatory prepayment. The non-application of any such mandatory prepayment amounts as a result of the foregoing provisions will not constitute an Unmatured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96" w:name="page197"/>
    <w:bookmarkEnd w:id="196"/>
    <w:p>
      <w:pPr>
        <w:jc w:val="both"/>
        <w:spacing w:after="0" w:line="283" w:lineRule="auto"/>
        <w:rPr>
          <w:sz w:val="20"/>
          <w:szCs w:val="20"/>
          <w:color w:val="auto"/>
        </w:rPr>
      </w:pPr>
      <w:r>
        <w:rPr>
          <w:rFonts w:ascii="Times New Roman" w:cs="Times New Roman" w:eastAsia="Times New Roman" w:hAnsi="Times New Roman"/>
          <w:sz w:val="20"/>
          <w:szCs w:val="20"/>
          <w:color w:val="auto"/>
        </w:rPr>
        <w:t>Event of Default or an Event of Default and such amounts shall be available by Crown Holdings and its Subsidiaries for purposes not prohibited by this Agreement.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color w:val="auto"/>
        </w:rPr>
        <w:t>Application of Prepayments; Waiver of Certain Prepayments.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4.5.1. </w:t>
      </w:r>
      <w:r>
        <w:rPr>
          <w:rFonts w:ascii="Times New Roman" w:cs="Times New Roman" w:eastAsia="Times New Roman" w:hAnsi="Times New Roman"/>
          <w:sz w:val="20"/>
          <w:szCs w:val="20"/>
          <w:u w:val="single" w:color="auto"/>
          <w:color w:val="auto"/>
        </w:rPr>
        <w:t>Prepayments</w:t>
      </w:r>
      <w:r>
        <w:rPr>
          <w:rFonts w:ascii="Times New Roman" w:cs="Times New Roman" w:eastAsia="Times New Roman" w:hAnsi="Times New Roman"/>
          <w:sz w:val="20"/>
          <w:szCs w:val="20"/>
          <w:color w:val="auto"/>
        </w:rPr>
        <w:t xml:space="preserve">. Except as expressly provided in this Agreement, all prepayments of principal made by Borrowers (1) pursuant to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shall be applied (i) as directed by the applicable Borrower under any Term Facility to any or all of the remaining Scheduled Term Repayments of such Term Facility (in the amounts and in the order of maturity designated by such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such order is designated, such prepayments shall be applied to the remaining Scheduled Term Prepayments in direct order of maturity); (ii) within each Term Facility, first to the payment of Base Rate Loans and second to the payment of SOFR Loans and Eurocurrency Loans; and (iii) with respect to SOFR Loans and Eurocurrency Loans, in such order as Borrowers shall request (and in the absence of such request, as Administrative Agent shall determine) and (2) pursuant to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shall be applied (i) within each Revolving Facility, first to the payment of Base Rate Loans and second to the payment of SOFR Loans and Eurocurrency Loans; and (ii) with respect to SOFR Loans and Eurocurrency Loans, in such order as Borrowers shall request (and in the absence of such request, as Administrative Agent shall determine); and (iii) within Canadian Revolving Loans, first to the payment of Canadian Prime Rate Loans and second to the cash collateralization of outstanding B/A Loans in accordance with the cash collateralization provisions set forth in </w:t>
      </w:r>
      <w:r>
        <w:rPr>
          <w:rFonts w:ascii="Times New Roman" w:cs="Times New Roman" w:eastAsia="Times New Roman" w:hAnsi="Times New Roman"/>
          <w:sz w:val="20"/>
          <w:szCs w:val="20"/>
          <w:u w:val="single" w:color="auto"/>
          <w:color w:val="auto"/>
        </w:rPr>
        <w:t>Section 4.4(a)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Term Lender may elect, by notice to the Administrative Agent by telephone (confirmed by facsimile) no later than three Business Days after the date of such Lender’s receipt of notice from the Administrative Agent regarding such prepayment, to decline all (but not part) of any prepayment of its Term Loans pursuant to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in which case, the aggregate amount of the prepayment that would have been applied to prepay Term Loans but was so declined may be retained by the Borrower (“</w:t>
      </w:r>
      <w:r>
        <w:rPr>
          <w:rFonts w:ascii="Times New Roman" w:cs="Times New Roman" w:eastAsia="Times New Roman" w:hAnsi="Times New Roman"/>
          <w:sz w:val="20"/>
          <w:szCs w:val="20"/>
          <w:u w:val="single" w:color="auto"/>
          <w:color w:val="auto"/>
        </w:rPr>
        <w:t>Retained Declined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Proceeds</w:t>
      </w:r>
      <w:r>
        <w:rPr>
          <w:rFonts w:ascii="Times New Roman" w:cs="Times New Roman" w:eastAsia="Times New Roman" w:hAnsi="Times New Roman"/>
          <w:sz w:val="20"/>
          <w:szCs w:val="20"/>
          <w:color w:val="auto"/>
        </w:rPr>
        <w:t xml:space="preserve">”). All prepayments shall include payment of accrued interest on the principal amount so prepaid, shall be applied to the payment of interest before application to principal and shall include amounts payable, if any,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4.5.2.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All regular installment payments of principal on the Term Loans shall be applied (i) first to the payment of Base Rate Loans and second to the payment of SOFR Loans and Eurocurrency Loans and (ii) with respect to SOFR Loans and Eurocurrency Loans, in such order as Borrowers shall request (and in the absence of such request, as Administrative Agent shall determine). All payments shall include payment of accrued and unpaid interest on the principal amount so paid, shall be applied to the payment of interest before application to principal and shall include amounts payable, if any,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color w:val="auto"/>
        </w:rPr>
        <w:t>Method and Place of Payment.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4.6.1. (i) Except as otherwise specifically provided herein, all payments under this Agreement shall be made to Administrative Agent, for the ratable account of the Lenders entitled thereto, not later than 12:00 Noon (local time in the city in which the Payment Office for the payment is located) on the date when due and shall be made in immediately available funds in the Applicable Currency and in each case to the account specified therefor for Administrative Agent or if no account has been so specified at the Payment Office, it being understood that with respect to payments in Dollars, written telex or telecopy notice by U.S. Borrower to Administrative Agent to make a payment from the funds in U.S. Borrower’s account at the Payment Office shall constitute the making of such payment to the extent of such funds held in such account. Administrative Agent will thereafter cause to be distributed on the same day (if payment was actually received by Administrative Agent prior to 12:00 Noon or local time in the city in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97" w:name="page198"/>
    <w:bookmarkEnd w:id="197"/>
    <w:p>
      <w:pPr>
        <w:jc w:val="both"/>
        <w:spacing w:after="0" w:line="251" w:lineRule="auto"/>
        <w:rPr>
          <w:sz w:val="20"/>
          <w:szCs w:val="20"/>
          <w:color w:val="auto"/>
        </w:rPr>
      </w:pPr>
      <w:r>
        <w:rPr>
          <w:rFonts w:ascii="Times New Roman" w:cs="Times New Roman" w:eastAsia="Times New Roman" w:hAnsi="Times New Roman"/>
          <w:sz w:val="20"/>
          <w:szCs w:val="20"/>
          <w:color w:val="auto"/>
        </w:rPr>
        <w:t>which the Payment Office for the payment is located on such day) like funds relating to the payment of principal or interest or fees ratably to the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or local time in the city in which the Payment Office for the payment is located on such day), Administrative Agent shall pay to each Lender its ratable amount thereof and each such Lender shall be entitled to receive from Administrative Agent, upon demand, interest on such amount at the overnight Federal Funds Rate (or the applicable cost of funds with respect to amounts denominated in an Alternative Currency) for each day from the date such amount is paid to Administrative Agent until the date Administrative Agent pays such amount to such Lender.</w:t>
      </w:r>
    </w:p>
    <w:p>
      <w:pPr>
        <w:spacing w:after="0" w:line="195" w:lineRule="exact"/>
        <w:rPr>
          <w:sz w:val="20"/>
          <w:szCs w:val="20"/>
          <w:color w:val="auto"/>
        </w:rPr>
      </w:pPr>
    </w:p>
    <w:p>
      <w:pPr>
        <w:jc w:val="both"/>
        <w:ind w:firstLine="214"/>
        <w:spacing w:after="0" w:line="249" w:lineRule="auto"/>
        <w:tabs>
          <w:tab w:leader="none" w:pos="65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specifically provided herein, all payments under this Agreement with respect to the Canadian Revolving Facility shall be made to Canadian Administrative Agent, for the ratable account of the Canadian Revolving Lenders entitled thereto, not later than 12:00 Noon (local time in the city in which the Payment Office for the payment is located) on the date when due and shall be made in Canadian Dollars and in each case to the account specified therefor for Canadian Administrative Agent or if no account has been so specified at the Payment Office, it being understood that with respect to payments in Canadian Dollars, written telex or telecopy notice by Canadian Borrower to Canadian Administrative Agent to make a payment from the funds in Canadian Borrower’s account at the Payment Office shall constitute the making of such payment to the extent of such funds held in such account. Canadian Administrative Agent will thereafter cause to be distributed on the same day (if payment was actually received by Canadian Administrative Agent prior to 12:00 Noon (local time in the city in which the Payment Office for the payment is located on such day)) like funds relating to the payment of principal or interest or fees ratably to the Canadian Revolving Lenders entitled to receive any such payment in accordance with the terms of this Agreement. If and to the extent that any such distribution shall not be so made by Administrative Agent in full on the same day (if payment was actually received by Administrative Agent prior to 12:00 Noon (local time in the city in which the Payment Office for the payment is located on such day)), Canadian Administrative Agent shall pay to each Canadian Revolving Lender its ratable amount thereof and each such Canadian Revolving Lender shall be entitled to receive from Canadian Administrative Agent, upon demand, interest on such amount at the applicable cost of funds with respect to Canadian Dollars for each day from the date such amount is paid to Canadian Administrative Agent until the date Canadian Administrative Agent pays such amount to such Canadian Revolving Lender.</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4.6.2. Any payments under this Agreement which are made by any Borrower later than 12:00 Noon (local time in the city in which the Payment Office for the payment is located) shall, for the purpose of calculation of interest, be deemed to have been made on the next succeeding Business Day. Whenever any payment to be made hereunder shall be stated to be due on a day which is not a Business Day, the due date thereof shall be extended to the next succeeding Business Day and, with respect to payments of principal, interest shall be payable during such extension at the applicable rate in effect immediately prior to such extension, except that with respect to SOFR Loans, Eurocurrency Loans and Daily Simple RFR Loans, if such next succeeding Business Day is not in the same month as the date on which such payment would otherwise be due hereunder or under any Note, the due date with respect thereto shall be the next preceding applicable Business Day.</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4.6.3. Unless Administrative Agent shall have received notice from the applicable Borrower prior to the date on which any payment is due to Administrative Agent for the account of the Lenders or the Facing Agent hereunder that the applicable Borrower will not make such payment, Administrative Agent may assume that the applicable Borrower has made such payment on such date in accordance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98" w:name="page199"/>
    <w:bookmarkEnd w:id="198"/>
    <w:p>
      <w:pPr>
        <w:jc w:val="both"/>
        <w:spacing w:after="0" w:line="269" w:lineRule="auto"/>
        <w:rPr>
          <w:sz w:val="20"/>
          <w:szCs w:val="20"/>
          <w:color w:val="auto"/>
        </w:rPr>
      </w:pPr>
      <w:r>
        <w:rPr>
          <w:rFonts w:ascii="Times New Roman" w:cs="Times New Roman" w:eastAsia="Times New Roman" w:hAnsi="Times New Roman"/>
          <w:sz w:val="19"/>
          <w:szCs w:val="19"/>
          <w:color w:val="auto"/>
        </w:rPr>
        <w:t>herewith and may, in reliance upon such assumption, distribute to the Lenders or the Facing Agent, as the case may be, the amount due. In such event, if the applicable Borrower has not in fact made such payment, then each of the Lenders or the Facing Agent, as the case may be, severally agrees to repay to Administrative Agent forthwith on demand the amount so distributed to such Lender or the Facing Agent, with interest thereon, for each day from and including the date such amount is distributed to it but excluding the date of payment to Administrative Agent, at the Federal Funds Rate for amounts in Dollars (and, at Administrative Agent’s cost or funds for amounts in Canadian Dollars or any Alternative Currency) for the first three days and thereafter at the Federal Funds Rate (or such cost of funds rate) plus 1%.</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color w:val="auto"/>
        </w:rPr>
        <w:t>Net Payments.</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4.7.1. Subject to </w:t>
      </w:r>
      <w:r>
        <w:rPr>
          <w:rFonts w:ascii="Times New Roman" w:cs="Times New Roman" w:eastAsia="Times New Roman" w:hAnsi="Times New Roman"/>
          <w:sz w:val="20"/>
          <w:szCs w:val="20"/>
          <w:u w:val="single" w:color="auto"/>
          <w:color w:val="auto"/>
        </w:rPr>
        <w:t>Section 4.7(f)</w:t>
      </w:r>
      <w:r>
        <w:rPr>
          <w:rFonts w:ascii="Times New Roman" w:cs="Times New Roman" w:eastAsia="Times New Roman" w:hAnsi="Times New Roman"/>
          <w:sz w:val="20"/>
          <w:szCs w:val="20"/>
          <w:color w:val="auto"/>
        </w:rPr>
        <w:t xml:space="preserve">, all payments made by or on account of any obligation of any Credit Party under any Loan Document will be made without recoupment, setoff, counterclaim, or other defense. To the extent permitted by applicable law, all payments under any Loan Document (including, without limitation, payments on account of principal and interest, and fees) shall be made by or on account of any obligation of any Credit Party free and clear of and without deduction or withholding for, or on account of, any Taxes. If any applicable law (as determined in the good faith discretion of an applicable withholding agent) requires an applicable withholding agent to deduct or withhold any Tax from any payment by or on account of any obligation of any Credit Party under any Loan Document, then the applicable withholding agent shall make such deduction or withholding and shall timely pay the full amount deducted or withheld to the relevant Governmental Authority in accordance with applicable law and, to the extent such Tax is an Indemnified Tax, then the sum payable by the applicable Credit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4.7(a)</w:t>
      </w:r>
      <w:r>
        <w:rPr>
          <w:rFonts w:ascii="Times New Roman" w:cs="Times New Roman" w:eastAsia="Times New Roman" w:hAnsi="Times New Roman"/>
          <w:sz w:val="20"/>
          <w:szCs w:val="20"/>
          <w:color w:val="auto"/>
        </w:rPr>
        <w:t>), the applicable Lender (or, in the case of any amount received by an Agent for its own account, the Agent) receives an amount equal to the sum it would have received had no such deduction or withholding been made. Each Credit Party shall deliver to the Administrative Agent within 30 days after it has made any such payment to the applicable Governmental Authority an original or certified receipt issued by such Governmental Authority (or other evidence reasonably satisfactory to Administrative Agent) evidencing the payment to such Governmental Authority of all amounts so required to be deducted or withheld from such payment.</w:t>
      </w:r>
    </w:p>
    <w:p>
      <w:pPr>
        <w:spacing w:after="0" w:line="20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4.7.2. The Credit Parties shall timely pay to the relevant Governmental Authority in accordance with applicable law, or at the option of Administrative Agent timely reimburse it for the payment of, any Other Taxes.</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4.7.3. Subject to </w:t>
      </w:r>
      <w:r>
        <w:rPr>
          <w:rFonts w:ascii="Times New Roman" w:cs="Times New Roman" w:eastAsia="Times New Roman" w:hAnsi="Times New Roman"/>
          <w:sz w:val="19"/>
          <w:szCs w:val="19"/>
          <w:u w:val="single" w:color="auto"/>
          <w:color w:val="auto"/>
        </w:rPr>
        <w:t>Section 4.7(f)</w:t>
      </w:r>
      <w:r>
        <w:rPr>
          <w:rFonts w:ascii="Times New Roman" w:cs="Times New Roman" w:eastAsia="Times New Roman" w:hAnsi="Times New Roman"/>
          <w:sz w:val="19"/>
          <w:szCs w:val="19"/>
          <w:color w:val="auto"/>
        </w:rPr>
        <w:t xml:space="preserve">, the Credit Parties shall jointly and severally indemnify and hold harmless each Recipient,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9"/>
          <w:szCs w:val="19"/>
          <w:u w:val="single" w:color="auto"/>
          <w:color w:val="auto"/>
        </w:rPr>
        <w:t>Section 4.7</w:t>
      </w:r>
      <w:r>
        <w:rPr>
          <w:rFonts w:ascii="Times New Roman" w:cs="Times New Roman" w:eastAsia="Times New Roman" w:hAnsi="Times New Roman"/>
          <w:sz w:val="19"/>
          <w:szCs w:val="19"/>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a Recipient does not notify the applicable Credit Party of any indemnification claim under this </w:t>
      </w:r>
      <w:r>
        <w:rPr>
          <w:rFonts w:ascii="Times New Roman" w:cs="Times New Roman" w:eastAsia="Times New Roman" w:hAnsi="Times New Roman"/>
          <w:sz w:val="19"/>
          <w:szCs w:val="19"/>
          <w:u w:val="single" w:color="auto"/>
          <w:color w:val="auto"/>
        </w:rPr>
        <w:t>Section 4.7(c)</w:t>
      </w:r>
      <w:r>
        <w:rPr>
          <w:rFonts w:ascii="Times New Roman" w:cs="Times New Roman" w:eastAsia="Times New Roman" w:hAnsi="Times New Roman"/>
          <w:sz w:val="19"/>
          <w:szCs w:val="19"/>
          <w:color w:val="auto"/>
        </w:rPr>
        <w:t xml:space="preserve"> within 120 days after such Recipient has received written notice of the specific tax assessment by a Governmental Authority giving rise to such indemnification claim, the Credit Parties shall not be required to indemnify such Recipient for any incremental interest or penalties resulting from such Recipient’s failure to notify the applicable Credit Party within such 120-day period. A certificate delivered to the applicable Credit Party (showing in reasonable detail the basis for such</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199" w:name="page200"/>
    <w:bookmarkEnd w:id="199"/>
    <w:p>
      <w:pPr>
        <w:spacing w:after="0" w:line="283" w:lineRule="auto"/>
        <w:rPr>
          <w:sz w:val="20"/>
          <w:szCs w:val="20"/>
          <w:color w:val="auto"/>
        </w:rPr>
      </w:pPr>
      <w:r>
        <w:rPr>
          <w:rFonts w:ascii="Times New Roman" w:cs="Times New Roman" w:eastAsia="Times New Roman" w:hAnsi="Times New Roman"/>
          <w:sz w:val="20"/>
          <w:szCs w:val="20"/>
          <w:color w:val="auto"/>
        </w:rPr>
        <w:t>calculation) as to the amount of such payment by a Recipient (with a copy to Administrative Agent if such Recipient is not Administrative Agent), absent manifest error, shall be final, conclusive, and binding upon on all parties.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4.7.4.</w:t>
      </w:r>
      <w:r>
        <w:rPr>
          <w:sz w:val="20"/>
          <w:szCs w:val="20"/>
          <w:color w:val="auto"/>
        </w:rPr>
        <w:tab/>
      </w:r>
      <w:r>
        <w:rPr>
          <w:rFonts w:ascii="Times New Roman" w:cs="Times New Roman" w:eastAsia="Times New Roman" w:hAnsi="Times New Roman"/>
          <w:sz w:val="19"/>
          <w:szCs w:val="19"/>
          <w:color w:val="auto"/>
        </w:rPr>
        <w:t>Status of Lenders.</w:t>
      </w:r>
    </w:p>
    <w:p>
      <w:pPr>
        <w:spacing w:after="0" w:line="229" w:lineRule="exact"/>
        <w:rPr>
          <w:sz w:val="20"/>
          <w:szCs w:val="20"/>
          <w:color w:val="auto"/>
        </w:rPr>
      </w:pPr>
    </w:p>
    <w:p>
      <w:pPr>
        <w:jc w:val="both"/>
        <w:ind w:left="660" w:firstLine="907"/>
        <w:spacing w:after="0" w:line="250" w:lineRule="auto"/>
        <w:rPr>
          <w:sz w:val="20"/>
          <w:szCs w:val="20"/>
          <w:color w:val="auto"/>
        </w:rPr>
      </w:pPr>
      <w:r>
        <w:rPr>
          <w:rFonts w:ascii="Times New Roman" w:cs="Times New Roman" w:eastAsia="Times New Roman" w:hAnsi="Times New Roman"/>
          <w:sz w:val="20"/>
          <w:szCs w:val="20"/>
          <w:color w:val="auto"/>
        </w:rPr>
        <w:t xml:space="preserve">4.7.4.1. Subject to </w:t>
      </w:r>
      <w:r>
        <w:rPr>
          <w:rFonts w:ascii="Times New Roman" w:cs="Times New Roman" w:eastAsia="Times New Roman" w:hAnsi="Times New Roman"/>
          <w:sz w:val="20"/>
          <w:szCs w:val="20"/>
          <w:u w:val="single" w:color="auto"/>
          <w:color w:val="auto"/>
        </w:rPr>
        <w:t>Section 4.7(f)</w:t>
      </w:r>
      <w:r>
        <w:rPr>
          <w:rFonts w:ascii="Times New Roman" w:cs="Times New Roman" w:eastAsia="Times New Roman" w:hAnsi="Times New Roman"/>
          <w:sz w:val="20"/>
          <w:szCs w:val="20"/>
          <w:color w:val="auto"/>
        </w:rPr>
        <w:t xml:space="preserve">, each Lender shall deliver to the applicable Borrower and Administrative Agent, at such times as are reasonably requested by such Borrower or Administrative Agent, any documentation prescribed by law or information required under any administrative policy or any relevant Governmental Authority, or reasonably requested by such Borrower or Administrative Agent, certifying as to any entitlement of such Lender to an exemption from, or reduction in, any withholding Tax with respect to any payments to be made to such Lender under any Loan Document or otherwise required or reasonably necessary to establish such Lender’s status for withholding tax or information reporting purposes in an applicable jurisdiction. Each Lender shall, whenever a lapse in time or change in circumstances renders such documentation (including any specific documents required below in this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or information expired, obsolete or inaccurate in any material respect, deliver promptly to the applicable Borrower and Administrative Agent updated or other appropriate documentation (including any new documentation reasonably requested by the applicable withholding agent) or promptly notify such Borrower and Administrative Agent of its inability to do so.</w:t>
      </w:r>
    </w:p>
    <w:p>
      <w:pPr>
        <w:spacing w:after="0" w:line="186" w:lineRule="exact"/>
        <w:rPr>
          <w:sz w:val="20"/>
          <w:szCs w:val="20"/>
          <w:color w:val="auto"/>
        </w:rPr>
      </w:pPr>
    </w:p>
    <w:p>
      <w:pPr>
        <w:jc w:val="both"/>
        <w:ind w:left="660" w:right="20" w:firstLine="907"/>
        <w:spacing w:after="0" w:line="283" w:lineRule="auto"/>
        <w:rPr>
          <w:sz w:val="20"/>
          <w:szCs w:val="20"/>
          <w:color w:val="auto"/>
        </w:rPr>
      </w:pPr>
      <w:r>
        <w:rPr>
          <w:rFonts w:ascii="Times New Roman" w:cs="Times New Roman" w:eastAsia="Times New Roman" w:hAnsi="Times New Roman"/>
          <w:sz w:val="20"/>
          <w:szCs w:val="20"/>
          <w:color w:val="auto"/>
        </w:rPr>
        <w:t>4.7.4.2. Without limiting the generality of the foregoing, with respect to each Lender receiving payments in respect of any Loans, Letters of Credit, or Commitments provided to U.S. Borrower:</w:t>
      </w:r>
    </w:p>
    <w:p>
      <w:pPr>
        <w:spacing w:after="0" w:line="16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20"/>
          <w:szCs w:val="20"/>
          <w:color w:val="auto"/>
        </w:rPr>
        <w:t>4.7.4.2.1. each such Lender, other than a Non-U.S. Lender, shall deliver to U.S. Borrower and Administrative Agent on or before the date on which it becomes a party to this Agreement, two duly executed, properly completed originals of IRS Form W-9 certifying that such Lender is exempt from U.S. federal backup withholding Tax,</w:t>
      </w:r>
    </w:p>
    <w:p>
      <w:pPr>
        <w:spacing w:after="0" w:line="168" w:lineRule="exact"/>
        <w:rPr>
          <w:sz w:val="20"/>
          <w:szCs w:val="20"/>
          <w:color w:val="auto"/>
        </w:rPr>
      </w:pPr>
    </w:p>
    <w:p>
      <w:pPr>
        <w:jc w:val="both"/>
        <w:ind w:left="1300" w:firstLine="648"/>
        <w:spacing w:after="0" w:line="257" w:lineRule="auto"/>
        <w:rPr>
          <w:sz w:val="20"/>
          <w:szCs w:val="20"/>
          <w:color w:val="auto"/>
        </w:rPr>
      </w:pPr>
      <w:r>
        <w:rPr>
          <w:rFonts w:ascii="Times New Roman" w:cs="Times New Roman" w:eastAsia="Times New Roman" w:hAnsi="Times New Roman"/>
          <w:sz w:val="20"/>
          <w:szCs w:val="20"/>
          <w:color w:val="auto"/>
        </w:rPr>
        <w:t>4.7.4.2.2. each such Lender that is a Non-U.S. Lender entitled under the Code or any applicable treaty to an exemption from or reduction of U.S. federal withholding Tax with respect to any payments hereunder or under any other Loan Document shall deliver to U.S. Borrower and Administrative Agent (in such number of copies as shall be requested by the recipient) on or prior to the date on which such Non-U.S. Lender becomes a Lender under this Agreement, whichever of the following is applicable:</w:t>
      </w:r>
    </w:p>
    <w:p>
      <w:pPr>
        <w:spacing w:after="0" w:line="173" w:lineRule="exact"/>
        <w:rPr>
          <w:sz w:val="20"/>
          <w:szCs w:val="20"/>
          <w:color w:val="auto"/>
        </w:rPr>
      </w:pPr>
    </w:p>
    <w:p>
      <w:pPr>
        <w:ind w:left="1300" w:firstLine="310"/>
        <w:spacing w:after="0" w:line="283" w:lineRule="auto"/>
        <w:tabs>
          <w:tab w:leader="none" w:pos="2109"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properly completed originals of IRS Form W-8BEN or Form W-8BEN-E, as applicable, or any successor thereto, claiming eligibility for benefits of an income tax treaty to which the United States is a party;</w:t>
      </w:r>
    </w:p>
    <w:p>
      <w:pPr>
        <w:spacing w:after="0" w:line="146" w:lineRule="exact"/>
        <w:rPr>
          <w:rFonts w:ascii="Times New Roman" w:cs="Times New Roman" w:eastAsia="Times New Roman" w:hAnsi="Times New Roman"/>
          <w:sz w:val="20"/>
          <w:szCs w:val="20"/>
          <w:color w:val="auto"/>
        </w:rPr>
      </w:pPr>
    </w:p>
    <w:p>
      <w:pPr>
        <w:ind w:left="1960" w:hanging="458"/>
        <w:spacing w:after="0"/>
        <w:tabs>
          <w:tab w:leader="none" w:pos="19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properly completed originals of IRS Form W-8ECI or any successor thereto;</w:t>
      </w:r>
    </w:p>
    <w:p>
      <w:pPr>
        <w:spacing w:after="0" w:line="229" w:lineRule="exact"/>
        <w:rPr>
          <w:sz w:val="20"/>
          <w:szCs w:val="20"/>
          <w:color w:val="auto"/>
        </w:rPr>
      </w:pPr>
    </w:p>
    <w:p>
      <w:pPr>
        <w:jc w:val="both"/>
        <w:ind w:left="1300" w:firstLine="223"/>
        <w:spacing w:after="0" w:line="261" w:lineRule="auto"/>
        <w:tabs>
          <w:tab w:leader="none" w:pos="206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Non-U.S. Lender claiming the benefits of the exemption for portfolio interest under Section 881(c) of the Code, (x) a certificate, in substantially the form of </w:t>
      </w:r>
      <w:r>
        <w:rPr>
          <w:rFonts w:ascii="Times New Roman" w:cs="Times New Roman" w:eastAsia="Times New Roman" w:hAnsi="Times New Roman"/>
          <w:sz w:val="20"/>
          <w:szCs w:val="20"/>
          <w:u w:val="single" w:color="auto"/>
          <w:color w:val="auto"/>
        </w:rPr>
        <w:t>Exhibit 4.7(d)</w:t>
      </w:r>
      <w:r>
        <w:rPr>
          <w:rFonts w:ascii="Times New Roman" w:cs="Times New Roman" w:eastAsia="Times New Roman" w:hAnsi="Times New Roman"/>
          <w:sz w:val="20"/>
          <w:szCs w:val="20"/>
          <w:color w:val="auto"/>
        </w:rPr>
        <w:t>, to the effect that (i) such Non-U.S. Lender is not (A) a “bank” within the meaning of Section 881(c)(3)(A) of the Code, (B) a “10 percent shareholder”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00" w:name="page201"/>
    <w:bookmarkEnd w:id="200"/>
    <w:p>
      <w:pPr>
        <w:jc w:val="both"/>
        <w:ind w:left="640"/>
        <w:spacing w:after="0" w:line="258" w:lineRule="auto"/>
        <w:rPr>
          <w:sz w:val="20"/>
          <w:szCs w:val="20"/>
          <w:color w:val="auto"/>
        </w:rPr>
      </w:pPr>
      <w:r>
        <w:rPr>
          <w:rFonts w:ascii="Times New Roman" w:cs="Times New Roman" w:eastAsia="Times New Roman" w:hAnsi="Times New Roman"/>
          <w:sz w:val="20"/>
          <w:szCs w:val="20"/>
          <w:color w:val="auto"/>
        </w:rPr>
        <w:t>of U.S. Borrower within the meaning of Section 881(c)(3)(B) of the Code, or (C) a “controlled foreign corporation” described in Section 881(c)(3)(C) of the Code, and (ii) interest payments on the Loans are not effectively connected with the Non-U.S. Lender’s conduct of a U.S. trade or business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duly executed, properly completed copies of IRS Form W-8BEN or Form W-8BEN-E, as applicable;</w:t>
      </w:r>
    </w:p>
    <w:p>
      <w:pPr>
        <w:spacing w:after="0" w:line="172" w:lineRule="exact"/>
        <w:rPr>
          <w:sz w:val="20"/>
          <w:szCs w:val="20"/>
          <w:color w:val="auto"/>
        </w:rPr>
      </w:pPr>
    </w:p>
    <w:p>
      <w:pPr>
        <w:jc w:val="both"/>
        <w:ind w:left="640" w:firstLine="327"/>
        <w:spacing w:after="0" w:line="251" w:lineRule="auto"/>
        <w:rPr>
          <w:sz w:val="20"/>
          <w:szCs w:val="20"/>
          <w:color w:val="auto"/>
        </w:rPr>
      </w:pPr>
      <w:r>
        <w:rPr>
          <w:rFonts w:ascii="Times New Roman" w:cs="Times New Roman" w:eastAsia="Times New Roman" w:hAnsi="Times New Roman"/>
          <w:sz w:val="20"/>
          <w:szCs w:val="20"/>
          <w:color w:val="auto"/>
        </w:rPr>
        <w:t xml:space="preserve">(IV) to the extent a Non-U.S. Lender is not the beneficial owner (for example, where the Non-U.S. Lender is a partnership or a participating Lender), duly executed, properly completed originals of IRS Form W-8IMY, or any successor thereto, of the Non-U.S. Lender, accompanied by IRS Form W-9, Form W-8ECI, Form W-8BEN, Form W-8BEN-E, a U.S. Tax Compliance Certificate, Form W-8IMY, or any other required information, or any successor forms, from each beneficial owner that would be required under this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xml:space="preserve"> if such beneficial owner were a Lender,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Non-U.S. Lender is a partnership for U.S. federal income tax purposes (and not a participating Lender), and one or more beneficial owners are claiming the portfolio interest exemption, the U.S. Tax Compliance Certificate may be provided by such Non-U.S. Lender on behalf of such beneficial owners, provided such certificates are duly executed and properly completed originals), or any other form prescribed by applicable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 or</w:t>
      </w:r>
    </w:p>
    <w:p>
      <w:pPr>
        <w:spacing w:after="0" w:line="192" w:lineRule="exact"/>
        <w:rPr>
          <w:sz w:val="20"/>
          <w:szCs w:val="20"/>
          <w:color w:val="auto"/>
        </w:rPr>
      </w:pPr>
    </w:p>
    <w:p>
      <w:pPr>
        <w:jc w:val="both"/>
        <w:ind w:left="640" w:firstLine="318"/>
        <w:spacing w:after="0" w:line="254" w:lineRule="auto"/>
        <w:tabs>
          <w:tab w:leader="none" w:pos="154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law to permit U.S. Borrower and Administrative Agent to determine the withholding or deduction required to be made,</w:t>
      </w:r>
    </w:p>
    <w:p>
      <w:pPr>
        <w:spacing w:after="0" w:line="187" w:lineRule="exact"/>
        <w:rPr>
          <w:sz w:val="20"/>
          <w:szCs w:val="20"/>
          <w:color w:val="auto"/>
        </w:rPr>
      </w:pPr>
    </w:p>
    <w:p>
      <w:pPr>
        <w:jc w:val="both"/>
        <w:ind w:left="640" w:firstLine="648"/>
        <w:spacing w:after="0" w:line="250" w:lineRule="auto"/>
        <w:rPr>
          <w:sz w:val="20"/>
          <w:szCs w:val="20"/>
          <w:color w:val="auto"/>
        </w:rPr>
      </w:pPr>
      <w:r>
        <w:rPr>
          <w:rFonts w:ascii="Times New Roman" w:cs="Times New Roman" w:eastAsia="Times New Roman" w:hAnsi="Times New Roman"/>
          <w:sz w:val="20"/>
          <w:szCs w:val="20"/>
          <w:color w:val="auto"/>
        </w:rPr>
        <w:t>4.7.4.2.3. If a payment made to a Lender under any Loan Document would be subject to U.S. federal withholding Tax imposed by FATCA if such Lender were to fail to comply with the applicable reporting requirements of FATCA (including those contained in Sections 1471(b) or 1472(b) of the Code, as applicable), such Lender shall deliver to U.S. Borrower and Administrative Agent, at the time or times prescribed by law and at such time or times reasonably requested by U.S. Borrower or Administrative Agent, such documentation prescribed by applicable law (including as prescribed by Section 1471(b)(3)(C)(i) of the Code) and such additional documentation reasonably requested by U.S. Borrower or Administrative Agent as may be necessary for U.S. Borrower or Administrative Agent to comply with their obligations under FATCA, to determine whether such Lender has complied with such Lender’s obligations under FATCA or to determine or, if necessary, to determine the amount to deduct and withhold from such payment. Solely for purposes of this clause (C), “FATCA” shall include any amendments made to FATCA after the date of this Agreement.</w:t>
      </w:r>
    </w:p>
    <w:p>
      <w:pPr>
        <w:spacing w:after="0" w:line="196" w:lineRule="exact"/>
        <w:rPr>
          <w:sz w:val="20"/>
          <w:szCs w:val="20"/>
          <w:color w:val="auto"/>
        </w:rPr>
      </w:pPr>
    </w:p>
    <w:p>
      <w:pPr>
        <w:ind w:firstLine="907"/>
        <w:spacing w:after="0" w:line="269" w:lineRule="auto"/>
        <w:rPr>
          <w:sz w:val="20"/>
          <w:szCs w:val="20"/>
          <w:color w:val="auto"/>
        </w:rPr>
      </w:pPr>
      <w:r>
        <w:rPr>
          <w:rFonts w:ascii="Times New Roman" w:cs="Times New Roman" w:eastAsia="Times New Roman" w:hAnsi="Times New Roman"/>
          <w:sz w:val="20"/>
          <w:szCs w:val="20"/>
          <w:color w:val="auto"/>
        </w:rPr>
        <w:t xml:space="preserve">4.7.4.3. Notwithstanding any other provision of this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a Lender shall not be required to deliver any form that such Lender is not legally eligible to deliver.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147</w:t>
      </w:r>
    </w:p>
    <w:p>
      <w:pPr>
        <w:spacing w:after="0" w:line="6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201" w:name="page202"/>
    <w:bookmarkEnd w:id="201"/>
    <w:p>
      <w:pPr>
        <w:ind w:left="660" w:firstLine="907"/>
        <w:spacing w:after="0" w:line="283" w:lineRule="auto"/>
        <w:rPr>
          <w:sz w:val="20"/>
          <w:szCs w:val="20"/>
          <w:color w:val="auto"/>
        </w:rPr>
      </w:pPr>
      <w:r>
        <w:rPr>
          <w:rFonts w:ascii="Times New Roman" w:cs="Times New Roman" w:eastAsia="Times New Roman" w:hAnsi="Times New Roman"/>
          <w:sz w:val="20"/>
          <w:szCs w:val="20"/>
          <w:color w:val="auto"/>
        </w:rPr>
        <w:t xml:space="preserve">4.7.4.4. Each Lender hereby authorizes each Agent to deliver to the Credit Parties and to any other Agent or successor Agent any documentation provided by such Lender to the Agent pursuant to this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4.7.5.</w:t>
      </w:r>
      <w:r>
        <w:rPr>
          <w:sz w:val="20"/>
          <w:szCs w:val="20"/>
          <w:color w:val="auto"/>
        </w:rPr>
        <w:tab/>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210"/>
        <w:spacing w:after="0" w:line="253" w:lineRule="auto"/>
        <w:tabs>
          <w:tab w:leader="none" w:pos="57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expressed to be payable under a Loan Document to any Recipient which (in whole or in part) constitute the consideration for any supply for VAT purposes are deemed to be exclusive of any VAT which is chargeable on that supply, and accordingly, subject to paragraph (B) below, if VAT is or becomes chargeable on any supply made by any Recipient to any Credit Party under a Loan Document and such Recipient is required to account to the relevant tax authority for the VAT, such Credit Party must pay to such Recipient (in addition to and at the same time as paying any other consideration for such supply) an amount equal to the amount of the VAT (and such Lender must promptly provide an appropriate VAT invoice to such Credit Party).</w:t>
      </w:r>
    </w:p>
    <w:p>
      <w:pPr>
        <w:spacing w:after="0" w:line="178" w:lineRule="exact"/>
        <w:rPr>
          <w:rFonts w:ascii="Times New Roman" w:cs="Times New Roman" w:eastAsia="Times New Roman" w:hAnsi="Times New Roman"/>
          <w:sz w:val="20"/>
          <w:szCs w:val="20"/>
          <w:color w:val="auto"/>
        </w:rPr>
      </w:pPr>
    </w:p>
    <w:p>
      <w:pPr>
        <w:jc w:val="both"/>
        <w:ind w:firstLine="225"/>
        <w:spacing w:after="0" w:line="257" w:lineRule="auto"/>
        <w:tabs>
          <w:tab w:leader="none" w:pos="67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VAT is or becomes chargeable on any supply made by any Recipient (solely for purposes of this </w:t>
      </w:r>
      <w:r>
        <w:rPr>
          <w:rFonts w:ascii="Times New Roman" w:cs="Times New Roman" w:eastAsia="Times New Roman" w:hAnsi="Times New Roman"/>
          <w:sz w:val="20"/>
          <w:szCs w:val="20"/>
          <w:u w:val="single" w:color="auto"/>
          <w:color w:val="auto"/>
        </w:rPr>
        <w:t>Section 4.7(e)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Supplier</w:t>
      </w:r>
      <w:r>
        <w:rPr>
          <w:rFonts w:ascii="Times New Roman" w:cs="Times New Roman" w:eastAsia="Times New Roman" w:hAnsi="Times New Roman"/>
          <w:sz w:val="20"/>
          <w:szCs w:val="20"/>
          <w:color w:val="auto"/>
        </w:rPr>
        <w:t xml:space="preserve">”) to any other Recipient (solely for purposes of this </w:t>
      </w:r>
      <w:r>
        <w:rPr>
          <w:rFonts w:ascii="Times New Roman" w:cs="Times New Roman" w:eastAsia="Times New Roman" w:hAnsi="Times New Roman"/>
          <w:sz w:val="20"/>
          <w:szCs w:val="20"/>
          <w:u w:val="single" w:color="auto"/>
          <w:color w:val="auto"/>
        </w:rPr>
        <w:t>Section 4.7(e)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Customer</w:t>
      </w:r>
      <w:r>
        <w:rPr>
          <w:rFonts w:ascii="Times New Roman" w:cs="Times New Roman" w:eastAsia="Times New Roman" w:hAnsi="Times New Roman"/>
          <w:sz w:val="20"/>
          <w:szCs w:val="20"/>
          <w:color w:val="auto"/>
        </w:rPr>
        <w:t xml:space="preserve">”) under a Loan Document, and any party other than the Customer (solely for purposes of this </w:t>
      </w:r>
      <w:r>
        <w:rPr>
          <w:rFonts w:ascii="Times New Roman" w:cs="Times New Roman" w:eastAsia="Times New Roman" w:hAnsi="Times New Roman"/>
          <w:sz w:val="20"/>
          <w:szCs w:val="20"/>
          <w:u w:val="single" w:color="auto"/>
          <w:color w:val="auto"/>
        </w:rPr>
        <w:t>Section 4.7(e)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Relevant Party</w:t>
      </w:r>
      <w:r>
        <w:rPr>
          <w:rFonts w:ascii="Times New Roman" w:cs="Times New Roman" w:eastAsia="Times New Roman" w:hAnsi="Times New Roman"/>
          <w:sz w:val="20"/>
          <w:szCs w:val="20"/>
          <w:color w:val="auto"/>
        </w:rPr>
        <w:t>”) is required by the terms of any Loan Document to pay an amount equal to the consideration for that supply to the Supplier (rather than being required to reimburse or indemnify the Customer in respect of that consideration):</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87" w:val="left"/>
        </w:tabs>
        <w:numPr>
          <w:ilvl w:val="3"/>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Supplier is the person required to account to the relevant tax authority for the VAT) the Relevant Party must also pay to the Supplier (at the same time as paying that amount) an additional amount equal to the amount of the VAT. The Customer must (where this paragraph (A) applies) promptly pay to the Relevant Party an amount equal to any credit or repayment the Customer receives from the relevant tax authority which the Customer reasonably determines relates to the VAT chargeable on that supply; and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38" w:val="left"/>
        </w:tabs>
        <w:numPr>
          <w:ilvl w:val="3"/>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Customer is the person required to account to the relevant tax authority for the VAT) the Relevant Party must promptly, following demand from the Customer, pay to the Customer an amount equal to the VAT chargeable on that supply but only to the extent that the Customer reasonably determines that it is not entitled to credit or repayment from the relevant tax authority in respect of that VAT.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801" w:val="left"/>
        </w:tabs>
        <w:numPr>
          <w:ilvl w:val="3"/>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Loan Document requires any party to reimburse or indemnify a Recipient for any cost or expense, that party shall reimburse or indemnify (as the case may be) such Recipient for the full amount of such cost or expense, including such part thereof as represents VAT, save to the extent that such Recipient reasonably determines that it is entitled to credit or repayment in respect of such VAT from the relevant tax authority.</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76" w:val="left"/>
        </w:tabs>
        <w:numPr>
          <w:ilvl w:val="3"/>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 in this </w:t>
      </w:r>
      <w:r>
        <w:rPr>
          <w:rFonts w:ascii="Times New Roman" w:cs="Times New Roman" w:eastAsia="Times New Roman" w:hAnsi="Times New Roman"/>
          <w:sz w:val="20"/>
          <w:szCs w:val="20"/>
          <w:u w:val="single" w:color="auto"/>
          <w:color w:val="auto"/>
        </w:rPr>
        <w:t>Section 4.7(e)</w:t>
      </w:r>
      <w:r>
        <w:rPr>
          <w:rFonts w:ascii="Times New Roman" w:cs="Times New Roman" w:eastAsia="Times New Roman" w:hAnsi="Times New Roman"/>
          <w:sz w:val="20"/>
          <w:szCs w:val="20"/>
          <w:color w:val="auto"/>
        </w:rPr>
        <w:t xml:space="preserve"> to any party to a Loan shall, at any time when such party is treated as a member of a group for VAT purposes, include (where appropriate and unless the context otherwise requires) a reference to the representative member of such group at such time (the term “</w:t>
      </w:r>
      <w:r>
        <w:rPr>
          <w:rFonts w:ascii="Times New Roman" w:cs="Times New Roman" w:eastAsia="Times New Roman" w:hAnsi="Times New Roman"/>
          <w:sz w:val="20"/>
          <w:szCs w:val="20"/>
          <w:u w:val="single" w:color="auto"/>
          <w:color w:val="auto"/>
        </w:rPr>
        <w:t>representative member</w:t>
      </w:r>
      <w:r>
        <w:rPr>
          <w:rFonts w:ascii="Times New Roman" w:cs="Times New Roman" w:eastAsia="Times New Roman" w:hAnsi="Times New Roman"/>
          <w:sz w:val="20"/>
          <w:szCs w:val="20"/>
          <w:color w:val="auto"/>
        </w:rPr>
        <w:t>” to have the same meaning as in the Value Added Tax Act 1994).</w:t>
      </w:r>
    </w:p>
    <w:p>
      <w:pPr>
        <w:spacing w:after="0" w:line="172" w:lineRule="exact"/>
        <w:rPr>
          <w:rFonts w:ascii="Times New Roman" w:cs="Times New Roman" w:eastAsia="Times New Roman" w:hAnsi="Times New Roman"/>
          <w:sz w:val="20"/>
          <w:szCs w:val="20"/>
          <w:color w:val="auto"/>
        </w:rPr>
      </w:pPr>
    </w:p>
    <w:p>
      <w:pPr>
        <w:ind w:left="660" w:firstLine="224"/>
        <w:spacing w:after="0" w:line="283" w:lineRule="auto"/>
        <w:tabs>
          <w:tab w:leader="none" w:pos="1368" w:val="left"/>
        </w:tabs>
        <w:numPr>
          <w:ilvl w:val="2"/>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supply made by a Recipient to any Credit Party under a Loan Document, if reasonably requested by such Recipient, such Credit Party must promptly provide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02" w:name="page203"/>
    <w:bookmarkEnd w:id="202"/>
    <w:p>
      <w:pPr>
        <w:ind w:left="660"/>
        <w:spacing w:after="0" w:line="283" w:lineRule="auto"/>
        <w:rPr>
          <w:sz w:val="20"/>
          <w:szCs w:val="20"/>
          <w:color w:val="auto"/>
        </w:rPr>
      </w:pPr>
      <w:r>
        <w:rPr>
          <w:rFonts w:ascii="Times New Roman" w:cs="Times New Roman" w:eastAsia="Times New Roman" w:hAnsi="Times New Roman"/>
          <w:sz w:val="20"/>
          <w:szCs w:val="20"/>
          <w:color w:val="auto"/>
        </w:rPr>
        <w:t>such Recipient with details of such Credit Party’s VAT registration and such other information as is reasonably requested in connection with such Lender’s VAT reporting requirements in relation to such supply.</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4.7.6. </w:t>
      </w:r>
      <w:r>
        <w:rPr>
          <w:rFonts w:ascii="Times New Roman" w:cs="Times New Roman" w:eastAsia="Times New Roman" w:hAnsi="Times New Roman"/>
          <w:sz w:val="20"/>
          <w:szCs w:val="20"/>
          <w:u w:val="single" w:color="auto"/>
          <w:color w:val="auto"/>
        </w:rPr>
        <w:t>United Kingdom Tax Matters</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Sections 4.7(a)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shall not apply, and instead the provisions of this </w:t>
      </w:r>
      <w:r>
        <w:rPr>
          <w:rFonts w:ascii="Times New Roman" w:cs="Times New Roman" w:eastAsia="Times New Roman" w:hAnsi="Times New Roman"/>
          <w:sz w:val="20"/>
          <w:szCs w:val="20"/>
          <w:u w:val="single" w:color="auto"/>
          <w:color w:val="auto"/>
        </w:rPr>
        <w:t>Section 4.7(f)</w:t>
      </w:r>
      <w:r>
        <w:rPr>
          <w:rFonts w:ascii="Times New Roman" w:cs="Times New Roman" w:eastAsia="Times New Roman" w:hAnsi="Times New Roman"/>
          <w:sz w:val="20"/>
          <w:szCs w:val="20"/>
          <w:color w:val="auto"/>
        </w:rPr>
        <w:t xml:space="preserve"> shall apply, on the payment of any amount of interest with respect to any advance under any Loan Document, with respect to any Loan made to any U.K. Borrower or in respect of any Letter of Credit issued with respect to any U.K. Borrower.</w:t>
      </w:r>
    </w:p>
    <w:p>
      <w:pPr>
        <w:spacing w:after="0" w:line="181" w:lineRule="exact"/>
        <w:rPr>
          <w:sz w:val="20"/>
          <w:szCs w:val="20"/>
          <w:color w:val="auto"/>
        </w:rPr>
      </w:pPr>
    </w:p>
    <w:p>
      <w:pPr>
        <w:ind w:left="1560"/>
        <w:spacing w:after="0"/>
        <w:tabs>
          <w:tab w:leader="none" w:pos="2560" w:val="left"/>
        </w:tabs>
        <w:rPr>
          <w:sz w:val="20"/>
          <w:szCs w:val="20"/>
          <w:color w:val="auto"/>
        </w:rPr>
      </w:pPr>
      <w:r>
        <w:rPr>
          <w:rFonts w:ascii="Times New Roman" w:cs="Times New Roman" w:eastAsia="Times New Roman" w:hAnsi="Times New Roman"/>
          <w:sz w:val="20"/>
          <w:szCs w:val="20"/>
          <w:color w:val="auto"/>
        </w:rPr>
        <w:t>4.7.6.1.</w:t>
      </w:r>
      <w:r>
        <w:rPr>
          <w:sz w:val="20"/>
          <w:szCs w:val="20"/>
          <w:color w:val="auto"/>
        </w:rPr>
        <w:tab/>
      </w:r>
      <w:r>
        <w:rPr>
          <w:rFonts w:ascii="Times New Roman" w:cs="Times New Roman" w:eastAsia="Times New Roman" w:hAnsi="Times New Roman"/>
          <w:sz w:val="19"/>
          <w:szCs w:val="19"/>
          <w:color w:val="auto"/>
        </w:rPr>
        <w:t xml:space="preserve">Solely for the purposes of this </w:t>
      </w:r>
      <w:r>
        <w:rPr>
          <w:rFonts w:ascii="Times New Roman" w:cs="Times New Roman" w:eastAsia="Times New Roman" w:hAnsi="Times New Roman"/>
          <w:sz w:val="19"/>
          <w:szCs w:val="19"/>
          <w:u w:val="single" w:color="auto"/>
          <w:color w:val="auto"/>
        </w:rPr>
        <w:t>Section 4.7(f)</w:t>
      </w:r>
      <w:r>
        <w:rPr>
          <w:rFonts w:ascii="Times New Roman" w:cs="Times New Roman" w:eastAsia="Times New Roman" w:hAnsi="Times New Roman"/>
          <w:sz w:val="19"/>
          <w:szCs w:val="19"/>
          <w:color w:val="auto"/>
        </w:rPr>
        <w:t>, the following terms shall have the following meanings:</w:t>
      </w:r>
    </w:p>
    <w:p>
      <w:pPr>
        <w:spacing w:after="0" w:line="22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DTTP Filing</w:t>
      </w:r>
      <w:r>
        <w:rPr>
          <w:rFonts w:ascii="Times New Roman" w:cs="Times New Roman" w:eastAsia="Times New Roman" w:hAnsi="Times New Roman"/>
          <w:sz w:val="20"/>
          <w:szCs w:val="20"/>
          <w:color w:val="auto"/>
        </w:rPr>
        <w:t>” means an HM Revenue &amp; Customs’ Form DTTP2 duly completed and filed by a U.K.</w:t>
      </w:r>
    </w:p>
    <w:p>
      <w:pPr>
        <w:spacing w:after="0" w:line="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Borrower, which:</w:t>
      </w:r>
    </w:p>
    <w:p>
      <w:pPr>
        <w:spacing w:after="0" w:line="207" w:lineRule="exact"/>
        <w:rPr>
          <w:sz w:val="20"/>
          <w:szCs w:val="20"/>
          <w:color w:val="auto"/>
        </w:rPr>
      </w:pPr>
    </w:p>
    <w:p>
      <w:pPr>
        <w:jc w:val="both"/>
        <w:ind w:left="1380" w:firstLine="653"/>
        <w:spacing w:after="0" w:line="261" w:lineRule="auto"/>
        <w:tabs>
          <w:tab w:leader="none" w:pos="2597" w:val="left"/>
        </w:tabs>
        <w:numPr>
          <w:ilvl w:val="4"/>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becomes a Lender on the date of this Agreement is entered into, contains the scheme reference number and jurisdiction of tax residence notified by the Lender to the Administrative Agent, and</w:t>
      </w:r>
    </w:p>
    <w:p>
      <w:pPr>
        <w:spacing w:after="0" w:line="181" w:lineRule="exact"/>
        <w:rPr>
          <w:rFonts w:ascii="Times New Roman" w:cs="Times New Roman" w:eastAsia="Times New Roman" w:hAnsi="Times New Roman"/>
          <w:sz w:val="20"/>
          <w:szCs w:val="20"/>
          <w:color w:val="auto"/>
        </w:rPr>
      </w:pPr>
    </w:p>
    <w:p>
      <w:pPr>
        <w:ind w:left="2000" w:hanging="411"/>
        <w:spacing w:after="0"/>
        <w:tabs>
          <w:tab w:leader="none" w:pos="200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the U.K. Borrower becomes a Borrower on the date this Agreement is entered into, is filed with HM Revenue</w:t>
      </w:r>
    </w:p>
    <w:p>
      <w:pPr>
        <w:spacing w:after="0" w:line="33" w:lineRule="exact"/>
        <w:rPr>
          <w:rFonts w:ascii="Times New Roman" w:cs="Times New Roman" w:eastAsia="Times New Roman" w:hAnsi="Times New Roman"/>
          <w:sz w:val="19"/>
          <w:szCs w:val="19"/>
          <w:color w:val="auto"/>
        </w:rPr>
      </w:pPr>
    </w:p>
    <w:p>
      <w:pPr>
        <w:ind w:left="1580" w:hanging="195"/>
        <w:spacing w:after="0"/>
        <w:tabs>
          <w:tab w:leader="none" w:pos="158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Customs within 30 days of the date of this Agreement; or</w:t>
      </w:r>
    </w:p>
    <w:p>
      <w:pPr>
        <w:spacing w:after="0" w:line="207" w:lineRule="exact"/>
        <w:rPr>
          <w:rFonts w:ascii="Times New Roman" w:cs="Times New Roman" w:eastAsia="Times New Roman" w:hAnsi="Times New Roman"/>
          <w:sz w:val="20"/>
          <w:szCs w:val="20"/>
          <w:color w:val="auto"/>
        </w:rPr>
      </w:pPr>
    </w:p>
    <w:p>
      <w:pPr>
        <w:ind w:left="1380" w:right="20" w:firstLine="288"/>
        <w:spacing w:after="0" w:line="269" w:lineRule="auto"/>
        <w:tabs>
          <w:tab w:leader="none" w:pos="2210" w:val="left"/>
        </w:tabs>
        <w:numPr>
          <w:ilvl w:val="3"/>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U.K. Borrower becomes a Borrower after the date this Agreement is entered into, is filed with HM Revenue &amp; Customs within 30 days of the date on which that U.K. Borrower becomes a Borrower; or</w:t>
      </w:r>
    </w:p>
    <w:p>
      <w:pPr>
        <w:spacing w:after="0" w:line="172" w:lineRule="exact"/>
        <w:rPr>
          <w:rFonts w:ascii="Times New Roman" w:cs="Times New Roman" w:eastAsia="Times New Roman" w:hAnsi="Times New Roman"/>
          <w:sz w:val="20"/>
          <w:szCs w:val="20"/>
          <w:color w:val="auto"/>
        </w:rPr>
      </w:pPr>
    </w:p>
    <w:p>
      <w:pPr>
        <w:jc w:val="both"/>
        <w:ind w:left="1380" w:firstLine="653"/>
        <w:spacing w:after="0" w:line="261" w:lineRule="auto"/>
        <w:tabs>
          <w:tab w:leader="none" w:pos="2603" w:val="left"/>
        </w:tabs>
        <w:numPr>
          <w:ilvl w:val="4"/>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it relates to a Treaty Lender that becomes a Lender after the date this Agreement is entered into, contains the scheme reference number and jurisdiction of tax residence stated in respect of that Lender in the relevant Assignment and Assumption Agreement, and</w:t>
      </w:r>
    </w:p>
    <w:p>
      <w:pPr>
        <w:spacing w:after="0" w:line="181" w:lineRule="exact"/>
        <w:rPr>
          <w:rFonts w:ascii="Times New Roman" w:cs="Times New Roman" w:eastAsia="Times New Roman" w:hAnsi="Times New Roman"/>
          <w:sz w:val="20"/>
          <w:szCs w:val="20"/>
          <w:color w:val="auto"/>
        </w:rPr>
      </w:pPr>
    </w:p>
    <w:p>
      <w:pPr>
        <w:ind w:left="1380" w:firstLine="240"/>
        <w:spacing w:after="0" w:line="269" w:lineRule="auto"/>
        <w:tabs>
          <w:tab w:leader="none" w:pos="2048" w:val="left"/>
        </w:tabs>
        <w:numPr>
          <w:ilvl w:val="2"/>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U.K. Borrower is a Borrower as at the date on which the Treaty Lender becomes a Lender, is filed with HM Revenue &amp; Customs within 30 days of that date; or</w:t>
      </w:r>
    </w:p>
    <w:p>
      <w:pPr>
        <w:spacing w:after="0" w:line="173" w:lineRule="exact"/>
        <w:rPr>
          <w:sz w:val="20"/>
          <w:szCs w:val="20"/>
          <w:color w:val="auto"/>
        </w:rPr>
      </w:pPr>
    </w:p>
    <w:p>
      <w:pPr>
        <w:ind w:left="1380" w:right="20" w:firstLine="244"/>
        <w:spacing w:after="0" w:line="269" w:lineRule="auto"/>
        <w:tabs>
          <w:tab w:leader="none" w:pos="212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U.K. Borrower is not a Borrower as at the date on which the Treaty Lender becomes a Lender, is filed with HM Revenue &amp; Customs within 30 days of the date on which that U.K. Borrower becomes a Borrower.</w:t>
      </w:r>
    </w:p>
    <w:p>
      <w:pPr>
        <w:spacing w:after="0" w:line="17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Lender</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ind w:left="1380" w:firstLine="653"/>
        <w:spacing w:after="0" w:line="269" w:lineRule="auto"/>
        <w:tabs>
          <w:tab w:leader="none" w:pos="2579"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 beneficially entitled to interest payable to that Lender in respect of an advance under a Loan Document to a U.K. Borrower and is:</w:t>
      </w:r>
    </w:p>
    <w:p>
      <w:pPr>
        <w:spacing w:after="0" w:line="172" w:lineRule="exact"/>
        <w:rPr>
          <w:rFonts w:ascii="Times New Roman" w:cs="Times New Roman" w:eastAsia="Times New Roman" w:hAnsi="Times New Roman"/>
          <w:sz w:val="20"/>
          <w:szCs w:val="20"/>
          <w:color w:val="auto"/>
        </w:rPr>
      </w:pPr>
    </w:p>
    <w:p>
      <w:pPr>
        <w:ind w:left="1980" w:hanging="397"/>
        <w:spacing w:after="0"/>
        <w:tabs>
          <w:tab w:leader="none" w:pos="19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w:t>
      </w:r>
    </w:p>
    <w:p>
      <w:pPr>
        <w:spacing w:after="0" w:line="216" w:lineRule="exact"/>
        <w:rPr>
          <w:sz w:val="20"/>
          <w:szCs w:val="20"/>
          <w:color w:val="auto"/>
        </w:rPr>
      </w:pPr>
    </w:p>
    <w:p>
      <w:pPr>
        <w:jc w:val="both"/>
        <w:ind w:left="1380" w:firstLine="653"/>
        <w:spacing w:after="0" w:line="268" w:lineRule="auto"/>
        <w:tabs>
          <w:tab w:leader="none" w:pos="254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a bank (as defined for the purpose of Section 879 of the ITA-UK) making an advance to a U.K. Borrower under a Loan Document and is within the charge to United Kingdom corporation tax as respects any payments of interest made in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9"/>
          <w:szCs w:val="19"/>
          <w:color w:val="auto"/>
        </w:rPr>
        <w:t>respect of that advance or would be within such charge as respects such payments apart from Section 18A of the CTA; or</w:t>
      </w:r>
    </w:p>
    <w:p>
      <w:pPr>
        <w:spacing w:after="0" w:line="241" w:lineRule="exact"/>
        <w:rPr>
          <w:sz w:val="20"/>
          <w:szCs w:val="20"/>
          <w:color w:val="auto"/>
        </w:rPr>
      </w:pPr>
    </w:p>
    <w:p>
      <w:pPr>
        <w:jc w:val="both"/>
        <w:ind w:left="260" w:right="20" w:firstLine="653"/>
        <w:spacing w:after="0" w:line="261" w:lineRule="auto"/>
        <w:tabs>
          <w:tab w:leader="none" w:pos="1386"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 advance made under a Loan Document to a U.K. Borrower by a person that was a bank (as defined for the purpose of Section 879 of the ITA-UK) at the time that that advance was made and within the charge to United Kingdom corporation tax as respects any payments of interest made in respect of that advance; or</w:t>
      </w:r>
    </w:p>
    <w:p>
      <w:pPr>
        <w:spacing w:after="0" w:line="167" w:lineRule="exact"/>
        <w:rPr>
          <w:rFonts w:ascii="Times New Roman" w:cs="Times New Roman" w:eastAsia="Times New Roman" w:hAnsi="Times New Roman"/>
          <w:sz w:val="20"/>
          <w:szCs w:val="20"/>
          <w:color w:val="auto"/>
        </w:rPr>
      </w:pPr>
    </w:p>
    <w:p>
      <w:pPr>
        <w:ind w:left="920" w:hanging="457"/>
        <w:spacing w:after="0"/>
        <w:tabs>
          <w:tab w:leader="none" w:pos="9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w:t>
      </w:r>
    </w:p>
    <w:p>
      <w:pPr>
        <w:spacing w:after="0" w:line="229" w:lineRule="exact"/>
        <w:rPr>
          <w:rFonts w:ascii="Times New Roman" w:cs="Times New Roman" w:eastAsia="Times New Roman" w:hAnsi="Times New Roman"/>
          <w:sz w:val="20"/>
          <w:szCs w:val="20"/>
          <w:color w:val="auto"/>
        </w:rPr>
      </w:pPr>
    </w:p>
    <w:p>
      <w:pPr>
        <w:ind w:left="1340" w:hanging="427"/>
        <w:spacing w:after="0"/>
        <w:tabs>
          <w:tab w:leader="none" w:pos="134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w:t>
      </w:r>
    </w:p>
    <w:p>
      <w:pPr>
        <w:spacing w:after="0" w:line="229" w:lineRule="exact"/>
        <w:rPr>
          <w:rFonts w:ascii="Times New Roman" w:cs="Times New Roman" w:eastAsia="Times New Roman" w:hAnsi="Times New Roman"/>
          <w:sz w:val="20"/>
          <w:szCs w:val="20"/>
          <w:color w:val="auto"/>
        </w:rPr>
      </w:pPr>
    </w:p>
    <w:p>
      <w:pPr>
        <w:ind w:left="1340" w:hanging="427"/>
        <w:spacing w:after="0"/>
        <w:tabs>
          <w:tab w:leader="none" w:pos="134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216" w:lineRule="exact"/>
        <w:rPr>
          <w:sz w:val="20"/>
          <w:szCs w:val="20"/>
          <w:color w:val="auto"/>
        </w:rPr>
      </w:pPr>
    </w:p>
    <w:p>
      <w:pPr>
        <w:ind w:left="1340" w:hanging="427"/>
        <w:spacing w:after="0"/>
        <w:tabs>
          <w:tab w:leader="none" w:pos="13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229" w:lineRule="exact"/>
        <w:rPr>
          <w:rFonts w:ascii="Times New Roman" w:cs="Times New Roman" w:eastAsia="Times New Roman" w:hAnsi="Times New Roman"/>
          <w:sz w:val="20"/>
          <w:szCs w:val="20"/>
          <w:color w:val="auto"/>
        </w:rPr>
      </w:pPr>
    </w:p>
    <w:p>
      <w:pPr>
        <w:jc w:val="both"/>
        <w:ind w:left="260" w:firstLine="653"/>
        <w:spacing w:after="0" w:line="258" w:lineRule="auto"/>
        <w:tabs>
          <w:tab w:leader="none" w:pos="137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72" w:lineRule="exact"/>
        <w:rPr>
          <w:sz w:val="20"/>
          <w:szCs w:val="20"/>
          <w:color w:val="auto"/>
        </w:rPr>
      </w:pPr>
    </w:p>
    <w:p>
      <w:pPr>
        <w:jc w:val="both"/>
        <w:ind w:left="260" w:firstLine="653"/>
        <w:spacing w:after="0" w:line="261" w:lineRule="auto"/>
        <w:tabs>
          <w:tab w:leader="none" w:pos="137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81" w:lineRule="exact"/>
        <w:rPr>
          <w:rFonts w:ascii="Times New Roman" w:cs="Times New Roman" w:eastAsia="Times New Roman" w:hAnsi="Times New Roman"/>
          <w:sz w:val="20"/>
          <w:szCs w:val="20"/>
          <w:color w:val="auto"/>
        </w:rPr>
      </w:pPr>
    </w:p>
    <w:p>
      <w:pPr>
        <w:ind w:left="1000" w:hanging="537"/>
        <w:spacing w:after="0"/>
        <w:tabs>
          <w:tab w:leader="none" w:pos="100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or</w:t>
      </w:r>
    </w:p>
    <w:p>
      <w:pPr>
        <w:spacing w:after="0" w:line="229" w:lineRule="exact"/>
        <w:rPr>
          <w:sz w:val="20"/>
          <w:szCs w:val="20"/>
          <w:color w:val="auto"/>
        </w:rPr>
      </w:pPr>
    </w:p>
    <w:p>
      <w:pPr>
        <w:ind w:left="260" w:firstLine="653"/>
        <w:spacing w:after="0" w:line="269" w:lineRule="auto"/>
        <w:tabs>
          <w:tab w:leader="none" w:pos="142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 a building society (as defined for the purpose of Section 880 of the ITA-UK) making an advance under a Loan Document.</w:t>
      </w:r>
    </w:p>
    <w:p>
      <w:pPr>
        <w:spacing w:after="0" w:line="173" w:lineRule="exact"/>
        <w:rPr>
          <w:sz w:val="20"/>
          <w:szCs w:val="20"/>
          <w:color w:val="auto"/>
        </w:rPr>
      </w:pPr>
    </w:p>
    <w:p>
      <w:pPr>
        <w:ind w:left="2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Confirmation</w:t>
      </w:r>
      <w:r>
        <w:rPr>
          <w:rFonts w:ascii="Times New Roman" w:cs="Times New Roman" w:eastAsia="Times New Roman" w:hAnsi="Times New Roman"/>
          <w:sz w:val="20"/>
          <w:szCs w:val="20"/>
          <w:color w:val="auto"/>
        </w:rPr>
        <w:t>” means a confirmation by a Lender that the person beneficially entitled to interest payable to that Lender in respect of an advance under a Loan Document to a U.K. Borrower is either:</w:t>
      </w:r>
    </w:p>
    <w:p>
      <w:pPr>
        <w:spacing w:after="0" w:line="173" w:lineRule="exact"/>
        <w:rPr>
          <w:sz w:val="20"/>
          <w:szCs w:val="20"/>
          <w:color w:val="auto"/>
        </w:rPr>
      </w:pPr>
    </w:p>
    <w:p>
      <w:pPr>
        <w:ind w:left="1380" w:hanging="467"/>
        <w:spacing w:after="0"/>
        <w:tabs>
          <w:tab w:leader="none" w:pos="1380"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resident in the United Kingdom for United Kingdom tax purposes;</w:t>
      </w:r>
    </w:p>
    <w:p>
      <w:pPr>
        <w:spacing w:after="0" w:line="215" w:lineRule="exact"/>
        <w:rPr>
          <w:rFonts w:ascii="Times New Roman" w:cs="Times New Roman" w:eastAsia="Times New Roman" w:hAnsi="Times New Roman"/>
          <w:sz w:val="20"/>
          <w:szCs w:val="20"/>
          <w:color w:val="auto"/>
        </w:rPr>
      </w:pPr>
    </w:p>
    <w:p>
      <w:pPr>
        <w:ind w:left="1380" w:hanging="467"/>
        <w:spacing w:after="0"/>
        <w:tabs>
          <w:tab w:leader="none" w:pos="1380"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partnership each member of which is:</w:t>
      </w:r>
    </w:p>
    <w:p>
      <w:pPr>
        <w:spacing w:after="0" w:line="229" w:lineRule="exact"/>
        <w:rPr>
          <w:rFonts w:ascii="Times New Roman" w:cs="Times New Roman" w:eastAsia="Times New Roman" w:hAnsi="Times New Roman"/>
          <w:sz w:val="20"/>
          <w:szCs w:val="20"/>
          <w:color w:val="auto"/>
        </w:rPr>
      </w:pPr>
    </w:p>
    <w:p>
      <w:pPr>
        <w:ind w:left="860" w:hanging="397"/>
        <w:spacing w:after="0"/>
        <w:tabs>
          <w:tab w:leader="none" w:pos="8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so resident in the United Kingdom; or</w:t>
      </w:r>
    </w:p>
    <w:p>
      <w:pPr>
        <w:spacing w:after="0" w:line="229" w:lineRule="exact"/>
        <w:rPr>
          <w:rFonts w:ascii="Times New Roman" w:cs="Times New Roman" w:eastAsia="Times New Roman" w:hAnsi="Times New Roman"/>
          <w:sz w:val="20"/>
          <w:szCs w:val="20"/>
          <w:color w:val="auto"/>
        </w:rPr>
      </w:pPr>
    </w:p>
    <w:p>
      <w:pPr>
        <w:jc w:val="both"/>
        <w:ind w:left="260" w:firstLine="295"/>
        <w:spacing w:after="0" w:line="254" w:lineRule="auto"/>
        <w:tabs>
          <w:tab w:leader="none" w:pos="1103"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150</w:t>
      </w:r>
    </w:p>
    <w:p>
      <w:pPr>
        <w:spacing w:after="0" w:line="6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120"/>
          </w:cols>
          <w:pgMar w:left="1440" w:top="1413" w:right="339" w:bottom="1440" w:gutter="0" w:footer="0" w:header="0"/>
        </w:sectPr>
      </w:pPr>
    </w:p>
    <w:bookmarkStart w:id="204" w:name="page205"/>
    <w:bookmarkEnd w:id="204"/>
    <w:p>
      <w:pPr>
        <w:jc w:val="both"/>
        <w:ind w:left="260" w:firstLine="653"/>
        <w:spacing w:after="0" w:line="261" w:lineRule="auto"/>
        <w:tabs>
          <w:tab w:leader="none" w:pos="14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81" w:lineRule="exact"/>
        <w:rPr>
          <w:sz w:val="20"/>
          <w:szCs w:val="20"/>
          <w:color w:val="auto"/>
        </w:rPr>
      </w:pPr>
    </w:p>
    <w:p>
      <w:pPr>
        <w:ind w:left="26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Deduction</w:t>
      </w:r>
      <w:r>
        <w:rPr>
          <w:rFonts w:ascii="Times New Roman" w:cs="Times New Roman" w:eastAsia="Times New Roman" w:hAnsi="Times New Roman"/>
          <w:sz w:val="20"/>
          <w:szCs w:val="20"/>
          <w:color w:val="auto"/>
        </w:rPr>
        <w:t>” means a deduction or withholding for or on account of Taxes from a payment under a Loan Document, other than a deduction under FATCA.</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Lender</w:t>
      </w:r>
      <w:r>
        <w:rPr>
          <w:rFonts w:ascii="Times New Roman" w:cs="Times New Roman" w:eastAsia="Times New Roman" w:hAnsi="Times New Roman"/>
          <w:sz w:val="20"/>
          <w:szCs w:val="20"/>
          <w:color w:val="auto"/>
        </w:rPr>
        <w:t>” means a Lender which:</w:t>
      </w:r>
    </w:p>
    <w:p>
      <w:pPr>
        <w:spacing w:after="0" w:line="229" w:lineRule="exact"/>
        <w:rPr>
          <w:sz w:val="20"/>
          <w:szCs w:val="20"/>
          <w:color w:val="auto"/>
        </w:rPr>
      </w:pPr>
    </w:p>
    <w:p>
      <w:pPr>
        <w:ind w:left="1380" w:hanging="467"/>
        <w:spacing w:after="0"/>
        <w:tabs>
          <w:tab w:leader="none" w:pos="138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treated as a resident of a Treaty State for the purposes of the relevant Treaty;</w:t>
      </w:r>
    </w:p>
    <w:p>
      <w:pPr>
        <w:spacing w:after="0" w:line="215" w:lineRule="exact"/>
        <w:rPr>
          <w:rFonts w:ascii="Times New Roman" w:cs="Times New Roman" w:eastAsia="Times New Roman" w:hAnsi="Times New Roman"/>
          <w:sz w:val="20"/>
          <w:szCs w:val="20"/>
          <w:color w:val="auto"/>
        </w:rPr>
      </w:pPr>
    </w:p>
    <w:p>
      <w:pPr>
        <w:ind w:left="260" w:firstLine="653"/>
        <w:spacing w:after="0" w:line="283" w:lineRule="auto"/>
        <w:tabs>
          <w:tab w:leader="none" w:pos="147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does not carry on a business in the United Kingdom through a permanent establishment with which that Lender’s participation in a Loan to a U.K. Borrower is effectively connected; and</w:t>
      </w:r>
    </w:p>
    <w:p>
      <w:pPr>
        <w:spacing w:after="0" w:line="146" w:lineRule="exact"/>
        <w:rPr>
          <w:rFonts w:ascii="Times New Roman" w:cs="Times New Roman" w:eastAsia="Times New Roman" w:hAnsi="Times New Roman"/>
          <w:sz w:val="20"/>
          <w:szCs w:val="20"/>
          <w:color w:val="auto"/>
        </w:rPr>
      </w:pPr>
    </w:p>
    <w:p>
      <w:pPr>
        <w:jc w:val="both"/>
        <w:ind w:left="260" w:firstLine="653"/>
        <w:spacing w:after="0" w:line="253" w:lineRule="auto"/>
        <w:tabs>
          <w:tab w:leader="none" w:pos="150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meets all other conditions of the relevant Treaty for full exemption from taxation on interest and other amounts which relate to the Lender (including, without limitation, its tax or other status, the manner in which or the period for which it holds any rights under this Agreement, the reasons or purposes for its acquisition of such rights and the nature of any arrangements by which it disposes of or otherwise turns to account such rights) under the Loan Documents. In this subclause (C), “conditions” shall mean conditions relating to an entity’s eligibility for full exemption under the relevant Treaty and shall not be treated as including any procedural formalities that need to be satisfied in relation to that Treaty.</w:t>
      </w:r>
    </w:p>
    <w:p>
      <w:pPr>
        <w:spacing w:after="0" w:line="192" w:lineRule="exact"/>
        <w:rPr>
          <w:sz w:val="20"/>
          <w:szCs w:val="20"/>
          <w:color w:val="auto"/>
        </w:rPr>
      </w:pPr>
    </w:p>
    <w:p>
      <w:pPr>
        <w:ind w:left="26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Treaty State</w:t>
      </w:r>
      <w:r>
        <w:rPr>
          <w:rFonts w:ascii="Times New Roman" w:cs="Times New Roman" w:eastAsia="Times New Roman" w:hAnsi="Times New Roman"/>
          <w:sz w:val="20"/>
          <w:szCs w:val="20"/>
          <w:color w:val="auto"/>
        </w:rPr>
        <w:t>” means a jurisdiction having a double taxation agreement with the United Kingdom (a “</w:t>
      </w:r>
      <w:r>
        <w:rPr>
          <w:rFonts w:ascii="Times New Roman" w:cs="Times New Roman" w:eastAsia="Times New Roman" w:hAnsi="Times New Roman"/>
          <w:sz w:val="20"/>
          <w:szCs w:val="20"/>
          <w:u w:val="single" w:color="auto"/>
          <w:color w:val="auto"/>
        </w:rPr>
        <w:t>Treaty</w:t>
      </w:r>
      <w:r>
        <w:rPr>
          <w:rFonts w:ascii="Times New Roman" w:cs="Times New Roman" w:eastAsia="Times New Roman" w:hAnsi="Times New Roman"/>
          <w:sz w:val="20"/>
          <w:szCs w:val="20"/>
          <w:color w:val="auto"/>
        </w:rPr>
        <w:t>”) which makes provision for full exemption from tax imposed by the United Kingdom on interest.</w:t>
      </w:r>
    </w:p>
    <w:p>
      <w:pPr>
        <w:spacing w:after="0" w:line="1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Non-Bank Lender</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left="260" w:firstLine="653"/>
        <w:spacing w:after="0" w:line="261" w:lineRule="auto"/>
        <w:tabs>
          <w:tab w:leader="none" w:pos="142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falls within paragraph (A)(II) of the definition of “Qualifying Lender”) which is a party to this Agreement on the day on which this Agreement is entered into and which has provided a Tax Confirmation to the Administrative Agent; and</w:t>
      </w:r>
    </w:p>
    <w:p>
      <w:pPr>
        <w:spacing w:after="0" w:line="167" w:lineRule="exact"/>
        <w:rPr>
          <w:rFonts w:ascii="Times New Roman" w:cs="Times New Roman" w:eastAsia="Times New Roman" w:hAnsi="Times New Roman"/>
          <w:sz w:val="20"/>
          <w:szCs w:val="20"/>
          <w:color w:val="auto"/>
        </w:rPr>
      </w:pPr>
    </w:p>
    <w:p>
      <w:pPr>
        <w:ind w:left="260" w:right="20" w:firstLine="653"/>
        <w:spacing w:after="0" w:line="283" w:lineRule="auto"/>
        <w:tabs>
          <w:tab w:leader="none" w:pos="144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Lender becomes a Lender after the day on which this Agreement is entered into, a Lender which gives a Tax Confirmation in the Assignment and Assumption Agreement which it executes on becoming a Lender.</w:t>
      </w:r>
    </w:p>
    <w:p>
      <w:pPr>
        <w:spacing w:after="0" w:line="160" w:lineRule="exact"/>
        <w:rPr>
          <w:sz w:val="20"/>
          <w:szCs w:val="20"/>
          <w:color w:val="auto"/>
        </w:rPr>
      </w:pPr>
    </w:p>
    <w:p>
      <w:pPr>
        <w:ind w:left="440"/>
        <w:spacing w:after="0"/>
        <w:tabs>
          <w:tab w:leader="none" w:pos="1440" w:val="left"/>
        </w:tabs>
        <w:rPr>
          <w:sz w:val="20"/>
          <w:szCs w:val="20"/>
          <w:color w:val="auto"/>
        </w:rPr>
      </w:pPr>
      <w:r>
        <w:rPr>
          <w:rFonts w:ascii="Times New Roman" w:cs="Times New Roman" w:eastAsia="Times New Roman" w:hAnsi="Times New Roman"/>
          <w:sz w:val="20"/>
          <w:szCs w:val="20"/>
          <w:color w:val="auto"/>
        </w:rPr>
        <w:t>4.7.6.2.</w:t>
      </w:r>
      <w:r>
        <w:rPr>
          <w:sz w:val="20"/>
          <w:szCs w:val="20"/>
          <w:color w:val="auto"/>
        </w:rPr>
        <w:tab/>
      </w:r>
      <w:r>
        <w:rPr>
          <w:rFonts w:ascii="Times New Roman" w:cs="Times New Roman" w:eastAsia="Times New Roman" w:hAnsi="Times New Roman"/>
          <w:sz w:val="19"/>
          <w:szCs w:val="19"/>
          <w:u w:val="single" w:color="auto"/>
          <w:color w:val="auto"/>
        </w:rPr>
        <w:t>Tax gross-up with respect to any advance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20"/>
          <w:szCs w:val="20"/>
          <w:color w:val="auto"/>
        </w:rPr>
        <w:t>4.7.6.2.1. All payments under any Loan Document, with respect to any Loan to a U.K. Borrower or in respect of any Letter of Credit issued with respect to any U.K. Borrower, shall be made without any Tax Deduction, unless a Tax Deduction is required by law.</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151</w:t>
      </w:r>
    </w:p>
    <w:p>
      <w:pPr>
        <w:spacing w:after="0" w:line="6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120"/>
          </w:cols>
          <w:pgMar w:left="1440" w:top="1413" w:right="339" w:bottom="1440" w:gutter="0" w:footer="0" w:header="0"/>
        </w:sectPr>
      </w:pPr>
    </w:p>
    <w:bookmarkStart w:id="205" w:name="page206"/>
    <w:bookmarkEnd w:id="205"/>
    <w:p>
      <w:pPr>
        <w:jc w:val="both"/>
        <w:ind w:left="180" w:right="20" w:firstLine="648"/>
        <w:spacing w:after="0" w:line="283" w:lineRule="auto"/>
        <w:rPr>
          <w:sz w:val="20"/>
          <w:szCs w:val="20"/>
          <w:color w:val="auto"/>
        </w:rPr>
      </w:pPr>
      <w:r>
        <w:rPr>
          <w:rFonts w:ascii="Times New Roman" w:cs="Times New Roman" w:eastAsia="Times New Roman" w:hAnsi="Times New Roman"/>
          <w:sz w:val="20"/>
          <w:szCs w:val="20"/>
          <w:color w:val="auto"/>
        </w:rPr>
        <w:t>4.7.6.2.2. A U.K. Borrower shall promptly upon becoming aware that it must make a Tax Deduction (or that there is any change in the rate or the basis of a Tax Deduction) notify the Administrative Agent accordingly.</w:t>
      </w:r>
    </w:p>
    <w:p>
      <w:pPr>
        <w:spacing w:after="0" w:line="146"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20"/>
          <w:szCs w:val="20"/>
          <w:color w:val="auto"/>
        </w:rPr>
        <w:t>4.7.6.2.3. If a Tax Deduction is required by law to be made by a U.K. Borrower or Administrative Agent, the amount of the payment due from that U.K. Borrower shall be increased to an amount which (after making any Tax Deduction) leaves an amount equal to the payment which would have been due if no Tax Deduction had been required.</w:t>
      </w:r>
    </w:p>
    <w:p>
      <w:pPr>
        <w:spacing w:after="0" w:line="181" w:lineRule="exact"/>
        <w:rPr>
          <w:sz w:val="20"/>
          <w:szCs w:val="20"/>
          <w:color w:val="auto"/>
        </w:rPr>
      </w:pPr>
    </w:p>
    <w:p>
      <w:pPr>
        <w:jc w:val="both"/>
        <w:ind w:left="180" w:firstLine="648"/>
        <w:spacing w:after="0" w:line="258" w:lineRule="auto"/>
        <w:rPr>
          <w:sz w:val="20"/>
          <w:szCs w:val="20"/>
          <w:color w:val="auto"/>
        </w:rPr>
      </w:pPr>
      <w:r>
        <w:rPr>
          <w:rFonts w:ascii="Times New Roman" w:cs="Times New Roman" w:eastAsia="Times New Roman" w:hAnsi="Times New Roman"/>
          <w:sz w:val="20"/>
          <w:szCs w:val="20"/>
          <w:color w:val="auto"/>
        </w:rPr>
        <w:t>4.7.6.2.4. A payment shall not be increased under paragraph (C) above by reason of a Tax Deduction on account of Taxes imposed by the United Kingdom on the payment of any amount of interest with respect to any advance under any Loan Document to any U.K. Borrower or in respect of any Letter of Credit issued in respect of any U.K. Borrower, if on the date on which the payment falls due:</w:t>
      </w:r>
    </w:p>
    <w:p>
      <w:pPr>
        <w:spacing w:after="0" w:line="172" w:lineRule="exact"/>
        <w:rPr>
          <w:sz w:val="20"/>
          <w:szCs w:val="20"/>
          <w:color w:val="auto"/>
        </w:rPr>
      </w:pPr>
    </w:p>
    <w:p>
      <w:pPr>
        <w:jc w:val="both"/>
        <w:ind w:left="840" w:firstLine="210"/>
        <w:spacing w:after="0" w:line="257" w:lineRule="auto"/>
        <w:tabs>
          <w:tab w:leader="none" w:pos="147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172" w:lineRule="exact"/>
        <w:rPr>
          <w:rFonts w:ascii="Times New Roman" w:cs="Times New Roman" w:eastAsia="Times New Roman" w:hAnsi="Times New Roman"/>
          <w:sz w:val="20"/>
          <w:szCs w:val="20"/>
          <w:color w:val="auto"/>
        </w:rPr>
      </w:pPr>
    </w:p>
    <w:p>
      <w:pPr>
        <w:ind w:left="840" w:right="20" w:firstLine="320"/>
        <w:spacing w:after="0" w:line="283" w:lineRule="auto"/>
        <w:tabs>
          <w:tab w:leader="none" w:pos="176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Qualifying Lender solely by virtue of paragraph (A)(II) of the definition of “Qualifying Lender” and:</w:t>
      </w:r>
    </w:p>
    <w:p>
      <w:pPr>
        <w:spacing w:after="0" w:line="159" w:lineRule="exact"/>
        <w:rPr>
          <w:rFonts w:ascii="Times New Roman" w:cs="Times New Roman" w:eastAsia="Times New Roman" w:hAnsi="Times New Roman"/>
          <w:sz w:val="20"/>
          <w:szCs w:val="20"/>
          <w:color w:val="auto"/>
        </w:rPr>
      </w:pPr>
    </w:p>
    <w:p>
      <w:pPr>
        <w:jc w:val="both"/>
        <w:ind w:left="1480" w:firstLine="648"/>
        <w:spacing w:after="0" w:line="254" w:lineRule="auto"/>
        <w:tabs>
          <w:tab w:leader="none" w:pos="2645"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officer of H.M. Revenue &amp; Customs has given (and not revoked) a direction (solely for purposes of this </w:t>
      </w:r>
      <w:r>
        <w:rPr>
          <w:rFonts w:ascii="Times New Roman" w:cs="Times New Roman" w:eastAsia="Times New Roman" w:hAnsi="Times New Roman"/>
          <w:sz w:val="20"/>
          <w:szCs w:val="20"/>
          <w:u w:val="single" w:color="auto"/>
          <w:color w:val="auto"/>
        </w:rPr>
        <w:t>Section 4.7(f)</w:t>
      </w:r>
      <w:r>
        <w:rPr>
          <w:rFonts w:ascii="Times New Roman" w:cs="Times New Roman" w:eastAsia="Times New Roman" w:hAnsi="Times New Roman"/>
          <w:sz w:val="20"/>
          <w:szCs w:val="20"/>
          <w:color w:val="auto"/>
        </w:rPr>
        <w:t>, a “Direction”) under Section 931 of the ITA-UK which relates to the payment and that Lender has received from the U.K. Borrower making the payment a certified copy of that Direction; and</w:t>
      </w:r>
    </w:p>
    <w:p>
      <w:pPr>
        <w:spacing w:after="0" w:line="187" w:lineRule="exact"/>
        <w:rPr>
          <w:rFonts w:ascii="Times New Roman" w:cs="Times New Roman" w:eastAsia="Times New Roman" w:hAnsi="Times New Roman"/>
          <w:sz w:val="20"/>
          <w:szCs w:val="20"/>
          <w:color w:val="auto"/>
        </w:rPr>
      </w:pPr>
    </w:p>
    <w:p>
      <w:pPr>
        <w:ind w:left="1480" w:firstLine="648"/>
        <w:spacing w:after="0" w:line="269" w:lineRule="auto"/>
        <w:tabs>
          <w:tab w:leader="none" w:pos="2588"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Tax Deduction if that Direction had not been made; or</w:t>
      </w:r>
    </w:p>
    <w:p>
      <w:pPr>
        <w:spacing w:after="0" w:line="173" w:lineRule="exact"/>
        <w:rPr>
          <w:sz w:val="20"/>
          <w:szCs w:val="20"/>
          <w:color w:val="auto"/>
        </w:rPr>
      </w:pPr>
    </w:p>
    <w:p>
      <w:pPr>
        <w:ind w:left="840" w:right="20" w:firstLine="309"/>
        <w:spacing w:after="0" w:line="283" w:lineRule="auto"/>
        <w:tabs>
          <w:tab w:leader="none" w:pos="18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Qualifying Lender solely by virtue of paragraph (A)(II) of the definition of “Qualifying Lender” and:</w:t>
      </w:r>
    </w:p>
    <w:p>
      <w:pPr>
        <w:spacing w:after="0" w:line="146" w:lineRule="exact"/>
        <w:rPr>
          <w:rFonts w:ascii="Times New Roman" w:cs="Times New Roman" w:eastAsia="Times New Roman" w:hAnsi="Times New Roman"/>
          <w:sz w:val="20"/>
          <w:szCs w:val="20"/>
          <w:color w:val="auto"/>
        </w:rPr>
      </w:pPr>
    </w:p>
    <w:p>
      <w:pPr>
        <w:ind w:left="2560" w:hanging="432"/>
        <w:spacing w:after="0"/>
        <w:tabs>
          <w:tab w:leader="none" w:pos="256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has not given a Tax Confirmation to the U.K. Borrower; and</w:t>
      </w:r>
    </w:p>
    <w:p>
      <w:pPr>
        <w:spacing w:after="0" w:line="229" w:lineRule="exact"/>
        <w:rPr>
          <w:rFonts w:ascii="Times New Roman" w:cs="Times New Roman" w:eastAsia="Times New Roman" w:hAnsi="Times New Roman"/>
          <w:sz w:val="20"/>
          <w:szCs w:val="20"/>
          <w:color w:val="auto"/>
        </w:rPr>
      </w:pPr>
    </w:p>
    <w:p>
      <w:pPr>
        <w:jc w:val="both"/>
        <w:ind w:left="1480" w:firstLine="648"/>
        <w:spacing w:after="0" w:line="258" w:lineRule="auto"/>
        <w:tabs>
          <w:tab w:leader="none" w:pos="2567"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Tax Deduction if the Lender had given a Tax Confirmation to the U.K. Borrower, on the basis that the Tax Confirmation would have enabled the U.K. Borrower to have formed a reasonable belief that the payment was an “excepted payment” for the purpose of Section 930 of the ITA-UK; or</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152</w:t>
      </w:r>
    </w:p>
    <w:p>
      <w:pPr>
        <w:spacing w:after="0" w:line="6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120"/>
          </w:cols>
          <w:pgMar w:left="1440" w:top="1413" w:right="339" w:bottom="1440" w:gutter="0" w:footer="0" w:header="0"/>
        </w:sectPr>
      </w:pPr>
    </w:p>
    <w:bookmarkStart w:id="206" w:name="page207"/>
    <w:bookmarkEnd w:id="206"/>
    <w:p>
      <w:pPr>
        <w:jc w:val="both"/>
        <w:ind w:left="1300" w:firstLine="230"/>
        <w:spacing w:after="0" w:line="261" w:lineRule="auto"/>
        <w:rPr>
          <w:sz w:val="20"/>
          <w:szCs w:val="20"/>
          <w:color w:val="auto"/>
        </w:rPr>
      </w:pPr>
      <w:r>
        <w:rPr>
          <w:rFonts w:ascii="Times New Roman" w:cs="Times New Roman" w:eastAsia="Times New Roman" w:hAnsi="Times New Roman"/>
          <w:sz w:val="20"/>
          <w:szCs w:val="20"/>
          <w:color w:val="auto"/>
        </w:rPr>
        <w:t>(IV) the relevant Lender is a Treaty Lender and the U.K. Borrower making the payment is able to demonstrate that the payment could have been made to the Lender without the Tax Deduction had that Lender complied with its obligations under paragraph (G) or (H) (as applicable) below.</w:t>
      </w:r>
    </w:p>
    <w:p>
      <w:pPr>
        <w:spacing w:after="0" w:line="181"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20"/>
          <w:szCs w:val="20"/>
          <w:color w:val="auto"/>
        </w:rPr>
        <w:t>4.7.6.2.5. If a U.K. Borrower is required to make a Tax Deduction, that U.K. Borrower shall make that Tax Deduction and any payment required in connection with that Tax Deduction within the time allowed and in the minimum amount required by law.</w:t>
      </w:r>
    </w:p>
    <w:p>
      <w:pPr>
        <w:spacing w:after="0" w:line="181"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20"/>
          <w:szCs w:val="20"/>
          <w:color w:val="auto"/>
        </w:rPr>
        <w:t>4.7.6.2.6. Within thirty days of making either a Tax Deduction or any payment required in connection with that Tax Deduction, the U.K. Borrower making that Tax Deduction shall deliver to the Administrative Agent for the benefit of the Lender entitled to the payment a statement under Section 975 of the ITA-UK or other evidence reasonably satisfactory to that Lender that the Tax Deduction has been made or (as applicable) any appropriate payment paid to the relevant taxing authority.</w:t>
      </w:r>
    </w:p>
    <w:p>
      <w:pPr>
        <w:spacing w:after="0" w:line="19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20"/>
          <w:szCs w:val="20"/>
          <w:color w:val="auto"/>
        </w:rPr>
        <w:t>4.7.6.2.7. (I) Subject to paragraph (II) below, a Treaty Lender and each U.K. Borrower which makes a payment to which that Treaty Lender is entitled shall co-operate in completing any procedural formalities necessary for that U.K. Borrower to obtain authorisation to make that payment without a Tax Deduction.</w:t>
      </w:r>
    </w:p>
    <w:p>
      <w:pPr>
        <w:spacing w:after="0" w:line="168" w:lineRule="exact"/>
        <w:rPr>
          <w:sz w:val="20"/>
          <w:szCs w:val="20"/>
          <w:color w:val="auto"/>
        </w:rPr>
      </w:pPr>
    </w:p>
    <w:p>
      <w:pPr>
        <w:jc w:val="both"/>
        <w:ind w:left="1300" w:firstLine="204"/>
        <w:spacing w:after="0" w:line="257" w:lineRule="auto"/>
        <w:tabs>
          <w:tab w:leader="none" w:pos="198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A Treaty Lender which becomes a Lender on the day on which this Agreement is entered into that holds a passport under the HMRC DT Treaty Passport scheme, and which wishes that scheme to apply to this Agreement, shall include an indication to that effect by including its scheme reference number and its jurisdiction of tax residence opposite its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under the heading “Amount of Multicurrency Revolving Commitment”; and</w:t>
      </w:r>
    </w:p>
    <w:p>
      <w:pPr>
        <w:spacing w:after="0" w:line="172" w:lineRule="exact"/>
        <w:rPr>
          <w:rFonts w:ascii="Times New Roman" w:cs="Times New Roman" w:eastAsia="Times New Roman" w:hAnsi="Times New Roman"/>
          <w:sz w:val="20"/>
          <w:szCs w:val="20"/>
          <w:color w:val="auto"/>
        </w:rPr>
      </w:pPr>
    </w:p>
    <w:p>
      <w:pPr>
        <w:jc w:val="both"/>
        <w:ind w:left="1940" w:firstLine="219"/>
        <w:spacing w:after="0" w:line="258" w:lineRule="auto"/>
        <w:tabs>
          <w:tab w:leader="none" w:pos="261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Treaty Lender which becomes a Lender after the day on which this Agreement is entered into that holds a passport under the HMRC DT Treaty Passport scheme, and which wishes that scheme to apply to this Agreement, shall confirm its scheme reference number and its jurisdiction of tax residence in the Assignment and Assumption Agreement which it executes,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having done so, that Lender shall be under no obligation pursuant to paragraph (G)(I) above.</w:t>
      </w:r>
    </w:p>
    <w:p>
      <w:pPr>
        <w:spacing w:after="0" w:line="216"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20"/>
          <w:szCs w:val="20"/>
          <w:color w:val="auto"/>
        </w:rPr>
        <w:t>4.7.6.2.8. If a Lender has confirmed its scheme reference number and its jurisdiction of tax residence in accordance with paragraph (G)(II) above and a U.K. Borrower making a payment to that Lender has made a Borrower DTTP Filing in respect of that Lender but:</w:t>
      </w:r>
    </w:p>
    <w:p>
      <w:pPr>
        <w:spacing w:after="0" w:line="181" w:lineRule="exact"/>
        <w:rPr>
          <w:sz w:val="20"/>
          <w:szCs w:val="20"/>
          <w:color w:val="auto"/>
        </w:rPr>
      </w:pPr>
    </w:p>
    <w:p>
      <w:pPr>
        <w:jc w:val="center"/>
        <w:ind w:right="120"/>
        <w:spacing w:after="0"/>
        <w:tabs>
          <w:tab w:leader="none" w:pos="16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that Borrower DTTP Filing has been rejected by HM Revenue &amp; Customs; 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153</w:t>
      </w:r>
    </w:p>
    <w:p>
      <w:pPr>
        <w:spacing w:after="0" w:line="8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207" w:name="page208"/>
    <w:bookmarkEnd w:id="207"/>
    <w:p>
      <w:pPr>
        <w:ind w:left="1300" w:firstLine="640"/>
        <w:spacing w:after="0" w:line="283" w:lineRule="auto"/>
        <w:tabs>
          <w:tab w:leader="none" w:pos="240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HM Revenue &amp; Customs has not given the U.K. Borrower authority to make payments to that Lender without a Tax Deduction within 60 days of the date of the Borrower DTTP Filing,</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and in each case, the U.K. Borrower has notified that Lender in writing, that Lender and the U.K. Borrower shall co-operate in completing any additional procedural formalities necessary for that relevant Borrower to obtain authorisation to make that payment without a Tax Deduction.</w:t>
      </w:r>
    </w:p>
    <w:p>
      <w:pPr>
        <w:spacing w:after="0" w:line="181"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20"/>
          <w:szCs w:val="20"/>
          <w:color w:val="auto"/>
        </w:rPr>
        <w:t>4.7.6.2.9. If a Lender has not confirmed its scheme reference number and jurisdiction of tax residence in accordance with paragraph (G)(II) above, no U.K. Borrower shall make a Borrower DTTP Filing or file any other form relating to the HMRC DT Treaty Passport scheme in respect of that Lender’s Commitment(s) or its participation in any Loan unless the Lender otherwise agrees.</w:t>
      </w:r>
    </w:p>
    <w:p>
      <w:pPr>
        <w:spacing w:after="0" w:line="172" w:lineRule="exact"/>
        <w:rPr>
          <w:sz w:val="20"/>
          <w:szCs w:val="20"/>
          <w:color w:val="auto"/>
        </w:rPr>
      </w:pPr>
    </w:p>
    <w:p>
      <w:pPr>
        <w:jc w:val="both"/>
        <w:ind w:left="640" w:right="20" w:firstLine="648"/>
        <w:spacing w:after="0" w:line="283" w:lineRule="auto"/>
        <w:rPr>
          <w:sz w:val="20"/>
          <w:szCs w:val="20"/>
          <w:color w:val="auto"/>
        </w:rPr>
      </w:pPr>
      <w:r>
        <w:rPr>
          <w:rFonts w:ascii="Times New Roman" w:cs="Times New Roman" w:eastAsia="Times New Roman" w:hAnsi="Times New Roman"/>
          <w:sz w:val="20"/>
          <w:szCs w:val="20"/>
          <w:color w:val="auto"/>
        </w:rPr>
        <w:t>4.7.6.2.10. A U.K. Borrower shall, promptly on making a Borrower DTTP Filing, deliver a copy of that Borrower DTTP Filing to the Agent for delivery to the relevant Lender.</w:t>
      </w:r>
    </w:p>
    <w:p>
      <w:pPr>
        <w:spacing w:after="0" w:line="160" w:lineRule="exact"/>
        <w:rPr>
          <w:sz w:val="20"/>
          <w:szCs w:val="20"/>
          <w:color w:val="auto"/>
        </w:rPr>
      </w:pPr>
    </w:p>
    <w:p>
      <w:pPr>
        <w:jc w:val="both"/>
        <w:ind w:left="640" w:right="20" w:firstLine="648"/>
        <w:spacing w:after="0" w:line="269" w:lineRule="auto"/>
        <w:rPr>
          <w:sz w:val="20"/>
          <w:szCs w:val="20"/>
          <w:color w:val="auto"/>
        </w:rPr>
      </w:pPr>
      <w:r>
        <w:rPr>
          <w:rFonts w:ascii="Times New Roman" w:cs="Times New Roman" w:eastAsia="Times New Roman" w:hAnsi="Times New Roman"/>
          <w:sz w:val="20"/>
          <w:szCs w:val="20"/>
          <w:color w:val="auto"/>
        </w:rPr>
        <w:t>4.7.6.2.11. A UK Non-Bank Lender which becomes a Lender on the day on which this Agreement is entered into gives a Tax Confirmation to the Administrative Agent by entering into this Agreement.</w:t>
      </w:r>
    </w:p>
    <w:p>
      <w:pPr>
        <w:spacing w:after="0" w:line="173" w:lineRule="exact"/>
        <w:rPr>
          <w:sz w:val="20"/>
          <w:szCs w:val="20"/>
          <w:color w:val="auto"/>
        </w:rPr>
      </w:pPr>
    </w:p>
    <w:p>
      <w:pPr>
        <w:jc w:val="both"/>
        <w:ind w:left="640" w:firstLine="648"/>
        <w:spacing w:after="0" w:line="269" w:lineRule="auto"/>
        <w:rPr>
          <w:sz w:val="20"/>
          <w:szCs w:val="20"/>
          <w:color w:val="auto"/>
        </w:rPr>
      </w:pPr>
      <w:r>
        <w:rPr>
          <w:rFonts w:ascii="Times New Roman" w:cs="Times New Roman" w:eastAsia="Times New Roman" w:hAnsi="Times New Roman"/>
          <w:sz w:val="20"/>
          <w:szCs w:val="20"/>
          <w:color w:val="auto"/>
        </w:rPr>
        <w:t>4.7.6.2.12. A UK Non-Bank Lender shall promptly notify the Administrative Agent if there is any change in the position from that set out in the Tax Confirmation.</w:t>
      </w:r>
    </w:p>
    <w:p>
      <w:pPr>
        <w:spacing w:after="0" w:line="173"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20"/>
          <w:szCs w:val="20"/>
          <w:color w:val="auto"/>
        </w:rPr>
        <w:t xml:space="preserve">4.7.6.2.13. Nothing in </w:t>
      </w:r>
      <w:r>
        <w:rPr>
          <w:rFonts w:ascii="Times New Roman" w:cs="Times New Roman" w:eastAsia="Times New Roman" w:hAnsi="Times New Roman"/>
          <w:sz w:val="20"/>
          <w:szCs w:val="20"/>
          <w:u w:val="single" w:color="auto"/>
          <w:color w:val="auto"/>
        </w:rPr>
        <w:t>Section 4.7(f)(ii)(G)</w:t>
      </w:r>
      <w:r>
        <w:rPr>
          <w:rFonts w:ascii="Times New Roman" w:cs="Times New Roman" w:eastAsia="Times New Roman" w:hAnsi="Times New Roman"/>
          <w:sz w:val="20"/>
          <w:szCs w:val="20"/>
          <w:color w:val="auto"/>
        </w:rPr>
        <w:t xml:space="preserve"> above shall require a Lender to (I) register under the HMRC DT Treaty Passport scheme, (II) apply the HMRC DT Treaty Passport scheme to any advance, Loan, Commitment or Letter of Credit if it has so registered, or (III) file treaty forms if it has included an indication to the effect that it wishes the HMRC DT Treaty Passport scheme to apply to this Agreement in accordance with </w:t>
      </w:r>
      <w:r>
        <w:rPr>
          <w:rFonts w:ascii="Times New Roman" w:cs="Times New Roman" w:eastAsia="Times New Roman" w:hAnsi="Times New Roman"/>
          <w:sz w:val="20"/>
          <w:szCs w:val="20"/>
          <w:u w:val="single" w:color="auto"/>
          <w:color w:val="auto"/>
        </w:rPr>
        <w:t>Section 4.7(f)(ii)(G)(II)</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900"/>
        <w:spacing w:after="0"/>
        <w:tabs>
          <w:tab w:leader="none" w:pos="1900" w:val="left"/>
        </w:tabs>
        <w:rPr>
          <w:sz w:val="20"/>
          <w:szCs w:val="20"/>
          <w:color w:val="auto"/>
        </w:rPr>
      </w:pPr>
      <w:r>
        <w:rPr>
          <w:rFonts w:ascii="Times New Roman" w:cs="Times New Roman" w:eastAsia="Times New Roman" w:hAnsi="Times New Roman"/>
          <w:sz w:val="20"/>
          <w:szCs w:val="20"/>
          <w:color w:val="auto"/>
        </w:rPr>
        <w:t>4.7.6.3.</w:t>
      </w:r>
      <w:r>
        <w:rPr>
          <w:sz w:val="20"/>
          <w:szCs w:val="20"/>
          <w:color w:val="auto"/>
        </w:rPr>
        <w:tab/>
      </w:r>
      <w:r>
        <w:rPr>
          <w:rFonts w:ascii="Times New Roman" w:cs="Times New Roman" w:eastAsia="Times New Roman" w:hAnsi="Times New Roman"/>
          <w:sz w:val="19"/>
          <w:szCs w:val="19"/>
          <w:u w:val="single" w:color="auto"/>
          <w:color w:val="auto"/>
        </w:rPr>
        <w:t>Tax indemnity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40" w:firstLine="648"/>
        <w:spacing w:after="0" w:line="251" w:lineRule="auto"/>
        <w:rPr>
          <w:sz w:val="20"/>
          <w:szCs w:val="20"/>
          <w:color w:val="auto"/>
        </w:rPr>
      </w:pPr>
      <w:r>
        <w:rPr>
          <w:rFonts w:ascii="Times New Roman" w:cs="Times New Roman" w:eastAsia="Times New Roman" w:hAnsi="Times New Roman"/>
          <w:sz w:val="20"/>
          <w:szCs w:val="20"/>
          <w:color w:val="auto"/>
        </w:rPr>
        <w:t xml:space="preserve">4.7.6.3.1. The U.K. Borrowers shall (within ten Business Days of demand by the Administrative Agent) pay to a Lender an amount equal to the loss, liability or cost which that Lender determines will be or has been (directly or indirectly) suffered for or on account of Taxes by that Lender in respect of a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 Lender does not notify the U.K. Borrower of any indemnification claim under this </w:t>
      </w:r>
      <w:r>
        <w:rPr>
          <w:rFonts w:ascii="Times New Roman" w:cs="Times New Roman" w:eastAsia="Times New Roman" w:hAnsi="Times New Roman"/>
          <w:sz w:val="20"/>
          <w:szCs w:val="20"/>
          <w:u w:val="single" w:color="auto"/>
          <w:color w:val="auto"/>
        </w:rPr>
        <w:t>Section 4.7(f)(iii)</w:t>
      </w:r>
      <w:r>
        <w:rPr>
          <w:rFonts w:ascii="Times New Roman" w:cs="Times New Roman" w:eastAsia="Times New Roman" w:hAnsi="Times New Roman"/>
          <w:sz w:val="20"/>
          <w:szCs w:val="20"/>
          <w:color w:val="auto"/>
        </w:rPr>
        <w:t xml:space="preserve"> within 120 days after such Lender has received written notice of the claim of a taxing authority giving rise to such indemnification claim, the U.K. Borrowers shall not be required to indemnify such Lender for any incremental interest or penalties resulting from such Lender’s failure to notify the U.K. Borrower within such 120-day period.</w:t>
      </w:r>
    </w:p>
    <w:p>
      <w:pPr>
        <w:spacing w:after="0" w:line="193"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color w:val="auto"/>
        </w:rPr>
        <w:t>4.7.6.3.2.</w:t>
      </w:r>
      <w:r>
        <w:rPr>
          <w:sz w:val="20"/>
          <w:szCs w:val="20"/>
          <w:color w:val="auto"/>
        </w:rPr>
        <w:tab/>
      </w:r>
      <w:r>
        <w:rPr>
          <w:rFonts w:ascii="Times New Roman" w:cs="Times New Roman" w:eastAsia="Times New Roman" w:hAnsi="Times New Roman"/>
          <w:sz w:val="19"/>
          <w:szCs w:val="19"/>
          <w:color w:val="auto"/>
        </w:rPr>
        <w:t>Paragraph (A) above shall not apply:</w:t>
      </w:r>
    </w:p>
    <w:p>
      <w:pPr>
        <w:spacing w:after="0" w:line="229" w:lineRule="exact"/>
        <w:rPr>
          <w:sz w:val="20"/>
          <w:szCs w:val="20"/>
          <w:color w:val="auto"/>
        </w:rPr>
      </w:pPr>
    </w:p>
    <w:p>
      <w:pPr>
        <w:ind w:left="2340" w:hanging="400"/>
        <w:spacing w:after="0"/>
        <w:tabs>
          <w:tab w:leader="none" w:pos="23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Taxes assessed on a Lender: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154</w:t>
      </w:r>
    </w:p>
    <w:p>
      <w:pPr>
        <w:spacing w:after="0" w:line="6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208" w:name="page209"/>
    <w:bookmarkEnd w:id="208"/>
    <w:p>
      <w:pPr>
        <w:ind w:left="2600" w:firstLine="648"/>
        <w:spacing w:after="0" w:line="283" w:lineRule="auto"/>
        <w:tabs>
          <w:tab w:leader="none" w:pos="3804"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law of the jurisdiction in which that Lender is incorporated or, if different, the jurisdiction (or jurisdictions) in which that Lender is treated as resident for tax purposes; or</w:t>
      </w:r>
    </w:p>
    <w:p>
      <w:pPr>
        <w:spacing w:after="0" w:line="146" w:lineRule="exact"/>
        <w:rPr>
          <w:rFonts w:ascii="Times New Roman" w:cs="Times New Roman" w:eastAsia="Times New Roman" w:hAnsi="Times New Roman"/>
          <w:sz w:val="20"/>
          <w:szCs w:val="20"/>
          <w:color w:val="auto"/>
        </w:rPr>
      </w:pPr>
    </w:p>
    <w:p>
      <w:pPr>
        <w:ind w:left="2600" w:firstLine="648"/>
        <w:spacing w:after="0" w:line="283" w:lineRule="auto"/>
        <w:tabs>
          <w:tab w:leader="none" w:pos="370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the law of the jurisdiction in which such Lender’s lending office is located in respect of amounts received or receivable in that jurisdiction,</w:t>
      </w:r>
    </w:p>
    <w:p>
      <w:pPr>
        <w:spacing w:after="0" w:line="146" w:lineRule="exact"/>
        <w:rPr>
          <w:sz w:val="20"/>
          <w:szCs w:val="20"/>
          <w:color w:val="auto"/>
        </w:rPr>
      </w:pPr>
    </w:p>
    <w:p>
      <w:pPr>
        <w:ind w:left="2600"/>
        <w:spacing w:after="0" w:line="283" w:lineRule="auto"/>
        <w:rPr>
          <w:sz w:val="20"/>
          <w:szCs w:val="20"/>
          <w:color w:val="auto"/>
        </w:rPr>
      </w:pPr>
      <w:r>
        <w:rPr>
          <w:rFonts w:ascii="Times New Roman" w:cs="Times New Roman" w:eastAsia="Times New Roman" w:hAnsi="Times New Roman"/>
          <w:sz w:val="20"/>
          <w:szCs w:val="20"/>
          <w:color w:val="auto"/>
        </w:rPr>
        <w:t>if such Taxes are imposed on or calculated by reference to the net income received or receivable (but not any sum deemed to be received or receivable) by that Lender; or</w:t>
      </w:r>
    </w:p>
    <w:p>
      <w:pPr>
        <w:spacing w:after="0" w:line="160" w:lineRule="exact"/>
        <w:rPr>
          <w:sz w:val="20"/>
          <w:szCs w:val="20"/>
          <w:color w:val="auto"/>
        </w:rPr>
      </w:pPr>
    </w:p>
    <w:p>
      <w:pPr>
        <w:ind w:left="3060" w:hanging="460"/>
        <w:spacing w:after="0"/>
        <w:tabs>
          <w:tab w:leader="none" w:pos="306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loss, liability or cost:</w:t>
      </w:r>
    </w:p>
    <w:p>
      <w:pPr>
        <w:spacing w:after="0" w:line="211" w:lineRule="exact"/>
        <w:rPr>
          <w:rFonts w:ascii="Times New Roman" w:cs="Times New Roman" w:eastAsia="Times New Roman" w:hAnsi="Times New Roman"/>
          <w:sz w:val="20"/>
          <w:szCs w:val="20"/>
          <w:color w:val="auto"/>
        </w:rPr>
      </w:pPr>
    </w:p>
    <w:p>
      <w:pPr>
        <w:ind w:left="3680" w:hanging="432"/>
        <w:spacing w:after="0"/>
        <w:tabs>
          <w:tab w:leader="none" w:pos="368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is compensated for by an increased payment under </w:t>
      </w:r>
      <w:r>
        <w:rPr>
          <w:rFonts w:ascii="Times New Roman" w:cs="Times New Roman" w:eastAsia="Times New Roman" w:hAnsi="Times New Roman"/>
          <w:sz w:val="20"/>
          <w:szCs w:val="20"/>
          <w:u w:val="single" w:color="auto"/>
          <w:color w:val="auto"/>
        </w:rPr>
        <w:t>Section 4.7(f)(ii)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2600" w:firstLine="648"/>
        <w:spacing w:after="0" w:line="263" w:lineRule="auto"/>
        <w:tabs>
          <w:tab w:leader="none" w:pos="368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would have been compensated for by an increased payment under </w:t>
      </w:r>
      <w:r>
        <w:rPr>
          <w:rFonts w:ascii="Times New Roman" w:cs="Times New Roman" w:eastAsia="Times New Roman" w:hAnsi="Times New Roman"/>
          <w:sz w:val="20"/>
          <w:szCs w:val="20"/>
          <w:u w:val="single" w:color="auto"/>
          <w:color w:val="auto"/>
        </w:rPr>
        <w:t>Section 4.7(f)(ii)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but was not so compensated solely because one of the exclusions in paragraph 4.7(f)(ii)(D) (</w:t>
      </w:r>
      <w:r>
        <w:rPr>
          <w:rFonts w:ascii="Times New Roman" w:cs="Times New Roman" w:eastAsia="Times New Roman" w:hAnsi="Times New Roman"/>
          <w:sz w:val="20"/>
          <w:szCs w:val="20"/>
          <w:i w:val="1"/>
          <w:iCs w:val="1"/>
          <w:color w:val="auto"/>
        </w:rPr>
        <w:t>Tax gross-up</w:t>
      </w:r>
      <w:r>
        <w:rPr>
          <w:rFonts w:ascii="Times New Roman" w:cs="Times New Roman" w:eastAsia="Times New Roman" w:hAnsi="Times New Roman"/>
          <w:sz w:val="20"/>
          <w:szCs w:val="20"/>
          <w:color w:val="auto"/>
        </w:rPr>
        <w:t>) applied; or</w:t>
      </w:r>
    </w:p>
    <w:p>
      <w:pPr>
        <w:spacing w:after="0" w:line="179" w:lineRule="exact"/>
        <w:rPr>
          <w:rFonts w:ascii="Times New Roman" w:cs="Times New Roman" w:eastAsia="Times New Roman" w:hAnsi="Times New Roman"/>
          <w:sz w:val="20"/>
          <w:szCs w:val="20"/>
          <w:color w:val="auto"/>
        </w:rPr>
      </w:pPr>
    </w:p>
    <w:p>
      <w:pPr>
        <w:ind w:left="3680" w:hanging="432"/>
        <w:spacing w:after="0"/>
        <w:tabs>
          <w:tab w:leader="none" w:pos="3680"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a deduction pursuant to FATCA required to be made by a party.</w:t>
      </w:r>
    </w:p>
    <w:p>
      <w:pPr>
        <w:spacing w:after="0" w:line="21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20"/>
          <w:szCs w:val="20"/>
          <w:color w:val="auto"/>
        </w:rPr>
        <w:t>4.7.6.3.3. A Lender making, or intending to make a claim under paragraph (iii)(A) above shall promptly notify the Administrative Agent of the event which will give, or has given, rise to the claim, following which the Administrative Agent shall notify the U.K. Borrower.</w:t>
      </w:r>
    </w:p>
    <w:p>
      <w:pPr>
        <w:spacing w:after="0" w:line="181" w:lineRule="exact"/>
        <w:rPr>
          <w:sz w:val="20"/>
          <w:szCs w:val="20"/>
          <w:color w:val="auto"/>
        </w:rPr>
      </w:pPr>
    </w:p>
    <w:p>
      <w:pPr>
        <w:jc w:val="both"/>
        <w:ind w:left="1300" w:firstLine="648"/>
        <w:spacing w:after="0" w:line="283" w:lineRule="auto"/>
        <w:rPr>
          <w:sz w:val="20"/>
          <w:szCs w:val="20"/>
          <w:color w:val="auto"/>
        </w:rPr>
      </w:pPr>
      <w:r>
        <w:rPr>
          <w:rFonts w:ascii="Times New Roman" w:cs="Times New Roman" w:eastAsia="Times New Roman" w:hAnsi="Times New Roman"/>
          <w:sz w:val="20"/>
          <w:szCs w:val="20"/>
          <w:color w:val="auto"/>
        </w:rPr>
        <w:t xml:space="preserve">4.7.6.3.4. A Lender shall, on receiving a payment from a U.K. Borrower under this </w:t>
      </w:r>
      <w:r>
        <w:rPr>
          <w:rFonts w:ascii="Times New Roman" w:cs="Times New Roman" w:eastAsia="Times New Roman" w:hAnsi="Times New Roman"/>
          <w:sz w:val="20"/>
          <w:szCs w:val="20"/>
          <w:u w:val="single" w:color="auto"/>
          <w:color w:val="auto"/>
        </w:rPr>
        <w:t>Section 4.7(f)(iii)</w:t>
      </w:r>
      <w:r>
        <w:rPr>
          <w:rFonts w:ascii="Times New Roman" w:cs="Times New Roman" w:eastAsia="Times New Roman" w:hAnsi="Times New Roman"/>
          <w:sz w:val="20"/>
          <w:szCs w:val="20"/>
          <w:color w:val="auto"/>
        </w:rPr>
        <w:t>, notify the Agent.</w:t>
      </w:r>
    </w:p>
    <w:p>
      <w:pPr>
        <w:spacing w:after="0" w:line="146" w:lineRule="exact"/>
        <w:rPr>
          <w:sz w:val="20"/>
          <w:szCs w:val="20"/>
          <w:color w:val="auto"/>
        </w:rPr>
      </w:pPr>
    </w:p>
    <w:p>
      <w:pPr>
        <w:jc w:val="both"/>
        <w:ind w:left="660" w:firstLine="907"/>
        <w:spacing w:after="0" w:line="253" w:lineRule="auto"/>
        <w:rPr>
          <w:sz w:val="20"/>
          <w:szCs w:val="20"/>
          <w:color w:val="auto"/>
        </w:rPr>
      </w:pPr>
      <w:r>
        <w:rPr>
          <w:rFonts w:ascii="Times New Roman" w:cs="Times New Roman" w:eastAsia="Times New Roman" w:hAnsi="Times New Roman"/>
          <w:sz w:val="20"/>
          <w:szCs w:val="20"/>
          <w:color w:val="auto"/>
        </w:rPr>
        <w:t xml:space="preserve">4.7.6.4. </w:t>
      </w:r>
      <w:r>
        <w:rPr>
          <w:rFonts w:ascii="Times New Roman" w:cs="Times New Roman" w:eastAsia="Times New Roman" w:hAnsi="Times New Roman"/>
          <w:sz w:val="20"/>
          <w:szCs w:val="20"/>
          <w:u w:val="single" w:color="auto"/>
          <w:color w:val="auto"/>
        </w:rPr>
        <w:t>Lender Status Confirmation</w:t>
      </w:r>
      <w:r>
        <w:rPr>
          <w:rFonts w:ascii="Times New Roman" w:cs="Times New Roman" w:eastAsia="Times New Roman" w:hAnsi="Times New Roman"/>
          <w:sz w:val="20"/>
          <w:szCs w:val="20"/>
          <w:color w:val="auto"/>
        </w:rPr>
        <w:t>. Each Lender which becomes a Lender under this Agreement, in respect of any Loan, Commitment or advance to any U.K. Borrower or in respect of any Letter of Credit issued with respect to any U.K. Borrower, after the date of this Agreement shall indicate, in the Assignment and Assumption Agreement which it executes on becoming a Lender, and for the benefit of the Administrative Agent and without liability to any Borrower, which of the following categories it falls in:</w:t>
      </w:r>
    </w:p>
    <w:p>
      <w:pPr>
        <w:spacing w:after="0" w:line="192"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20"/>
          <w:szCs w:val="20"/>
          <w:color w:val="auto"/>
        </w:rPr>
        <w:t>4.7.6.4.1.</w:t>
      </w:r>
      <w:r>
        <w:rPr>
          <w:sz w:val="20"/>
          <w:szCs w:val="20"/>
          <w:color w:val="auto"/>
        </w:rPr>
        <w:tab/>
      </w:r>
      <w:r>
        <w:rPr>
          <w:rFonts w:ascii="Times New Roman" w:cs="Times New Roman" w:eastAsia="Times New Roman" w:hAnsi="Times New Roman"/>
          <w:sz w:val="19"/>
          <w:szCs w:val="19"/>
          <w:color w:val="auto"/>
        </w:rPr>
        <w:t>not a Qualifying Lender;</w:t>
      </w:r>
    </w:p>
    <w:p>
      <w:pPr>
        <w:spacing w:after="0" w:line="229"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20"/>
          <w:szCs w:val="20"/>
          <w:color w:val="auto"/>
        </w:rPr>
        <w:t>4.7.6.4.2.</w:t>
      </w:r>
      <w:r>
        <w:rPr>
          <w:sz w:val="20"/>
          <w:szCs w:val="20"/>
          <w:color w:val="auto"/>
        </w:rPr>
        <w:tab/>
      </w:r>
      <w:r>
        <w:rPr>
          <w:rFonts w:ascii="Times New Roman" w:cs="Times New Roman" w:eastAsia="Times New Roman" w:hAnsi="Times New Roman"/>
          <w:sz w:val="19"/>
          <w:szCs w:val="19"/>
          <w:color w:val="auto"/>
        </w:rPr>
        <w:t>a Qualifying Lender (other than a Treaty Lender); or</w:t>
      </w:r>
    </w:p>
    <w:p>
      <w:pPr>
        <w:spacing w:after="0" w:line="216" w:lineRule="exact"/>
        <w:rPr>
          <w:sz w:val="20"/>
          <w:szCs w:val="20"/>
          <w:color w:val="auto"/>
        </w:rPr>
      </w:pPr>
    </w:p>
    <w:p>
      <w:pPr>
        <w:ind w:left="1960"/>
        <w:spacing w:after="0"/>
        <w:tabs>
          <w:tab w:leader="none" w:pos="3220" w:val="left"/>
        </w:tabs>
        <w:rPr>
          <w:sz w:val="20"/>
          <w:szCs w:val="20"/>
          <w:color w:val="auto"/>
        </w:rPr>
      </w:pPr>
      <w:r>
        <w:rPr>
          <w:rFonts w:ascii="Times New Roman" w:cs="Times New Roman" w:eastAsia="Times New Roman" w:hAnsi="Times New Roman"/>
          <w:sz w:val="20"/>
          <w:szCs w:val="20"/>
          <w:color w:val="auto"/>
        </w:rPr>
        <w:t>4.7.6.4.3.</w:t>
      </w:r>
      <w:r>
        <w:rPr>
          <w:sz w:val="20"/>
          <w:szCs w:val="20"/>
          <w:color w:val="auto"/>
        </w:rPr>
        <w:tab/>
      </w:r>
      <w:r>
        <w:rPr>
          <w:rFonts w:ascii="Times New Roman" w:cs="Times New Roman" w:eastAsia="Times New Roman" w:hAnsi="Times New Roman"/>
          <w:sz w:val="19"/>
          <w:szCs w:val="19"/>
          <w:color w:val="auto"/>
        </w:rPr>
        <w:t>a Treaty Lender.</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 xml:space="preserve">If such a Lender fails to indicate its status in accordance with this </w:t>
      </w:r>
      <w:r>
        <w:rPr>
          <w:rFonts w:ascii="Times New Roman" w:cs="Times New Roman" w:eastAsia="Times New Roman" w:hAnsi="Times New Roman"/>
          <w:sz w:val="19"/>
          <w:szCs w:val="19"/>
          <w:u w:val="single" w:color="auto"/>
          <w:color w:val="auto"/>
        </w:rPr>
        <w:t>Section 4.7(f)(iv)</w:t>
      </w:r>
      <w:r>
        <w:rPr>
          <w:rFonts w:ascii="Times New Roman" w:cs="Times New Roman" w:eastAsia="Times New Roman" w:hAnsi="Times New Roman"/>
          <w:sz w:val="19"/>
          <w:szCs w:val="19"/>
          <w:color w:val="auto"/>
        </w:rPr>
        <w:t xml:space="preserve"> then such Lender shall be treated for the purposes of this Agreement (including by each Borrower) as if it is not a Qualifying Lender until such time as it notifies the Administrative Agent which category applies (and the Administrative Agent, upon receipt of such notification, shall inform the Borrowers). For the avoidance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09" w:name="page210"/>
    <w:bookmarkEnd w:id="209"/>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of doubt, an Assignment and Assumption Agreement shall not be invalidated by any failure of a Lender to comply with this </w:t>
      </w:r>
      <w:r>
        <w:rPr>
          <w:rFonts w:ascii="Times New Roman" w:cs="Times New Roman" w:eastAsia="Times New Roman" w:hAnsi="Times New Roman"/>
          <w:sz w:val="20"/>
          <w:szCs w:val="20"/>
          <w:u w:val="single" w:color="auto"/>
          <w:color w:val="auto"/>
        </w:rPr>
        <w:t>Section 4.7(f)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4.7.7.</w:t>
      </w:r>
      <w:r>
        <w:rPr>
          <w:sz w:val="20"/>
          <w:szCs w:val="20"/>
          <w:color w:val="auto"/>
        </w:rPr>
        <w:tab/>
      </w:r>
      <w:r>
        <w:rPr>
          <w:rFonts w:ascii="Times New Roman" w:cs="Times New Roman" w:eastAsia="Times New Roman" w:hAnsi="Times New Roman"/>
          <w:sz w:val="19"/>
          <w:szCs w:val="19"/>
          <w:color w:val="auto"/>
        </w:rPr>
        <w:t xml:space="preserve">For purposes of this </w:t>
      </w:r>
      <w:r>
        <w:rPr>
          <w:rFonts w:ascii="Times New Roman" w:cs="Times New Roman" w:eastAsia="Times New Roman" w:hAnsi="Times New Roman"/>
          <w:sz w:val="19"/>
          <w:szCs w:val="19"/>
          <w:u w:val="single" w:color="auto"/>
          <w:color w:val="auto"/>
        </w:rPr>
        <w:t>Section 4.7</w:t>
      </w:r>
      <w:r>
        <w:rPr>
          <w:rFonts w:ascii="Times New Roman" w:cs="Times New Roman" w:eastAsia="Times New Roman" w:hAnsi="Times New Roman"/>
          <w:sz w:val="19"/>
          <w:szCs w:val="19"/>
          <w:color w:val="auto"/>
        </w:rPr>
        <w:t>, the term “Lender” shall include any Swing Line Lender and any Facing Agent.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4.7.8. Each party’s obligations under this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shall survive the resignation or replacement of any Agent or any assignment of rights by, or the replacement of, a Lender.</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4.7.9. For the avoidance of doubt, for purposes of FATCA, from and after the Incremental Amendment No. 3 and Fifth Amendment Effective Date, the Borrowers and the Administrative Agent agree to treat (and the Lenders hereby authorize the Agent to treat) this Agreement and the Loans as not qualifying as “grandfathered obligations” within the meaning of Treasury Regulations Section 1.1471-2(b)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(2)(i).</w:t>
      </w:r>
    </w:p>
    <w:p>
      <w:pPr>
        <w:spacing w:after="0" w:line="20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4.7.10. For the avoidance of doubt, from and after the Incremental Amendment No. 3 and Fifth Amendment Effective Date, the Term A Loans will constitute a single separate, fungible tranche for U.S. federal income tax purposes and the Term Euro Loans will constitute a single separate, fungible tranche for U.S. federal income tax purposes.</w:t>
      </w:r>
    </w:p>
    <w:p>
      <w:pPr>
        <w:spacing w:after="0" w:line="1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5.</w:t>
      </w:r>
    </w:p>
    <w:p>
      <w:pPr>
        <w:spacing w:after="0" w:line="3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CONDITIONS OF CREDIT</w:t>
      </w:r>
    </w:p>
    <w:p>
      <w:pPr>
        <w:spacing w:after="0" w:line="20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5.1. Conditions Precedent to the Effective Date. The obligation of the Lenders to make the Initial Loans and the obligation of the respective Facing Agent to issue and the Lenders to participate in Letters of Credit under this Agreement shall be subject to the fulfillment of each of the conditions, except as permitted to be completed on a post-closing basis pursuant to </w:t>
      </w: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 xml:space="preserve">, set forth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5.1.1.</w:t>
      </w:r>
      <w:r>
        <w:rPr>
          <w:sz w:val="20"/>
          <w:szCs w:val="20"/>
          <w:color w:val="auto"/>
        </w:rPr>
        <w:tab/>
      </w:r>
      <w:r>
        <w:rPr>
          <w:rFonts w:ascii="Times New Roman" w:cs="Times New Roman" w:eastAsia="Times New Roman" w:hAnsi="Times New Roman"/>
          <w:sz w:val="19"/>
          <w:szCs w:val="19"/>
          <w:u w:val="single" w:color="auto"/>
          <w:color w:val="auto"/>
        </w:rPr>
        <w:t>Principal Loan Documents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60" w:firstLine="907"/>
        <w:spacing w:after="0" w:line="254" w:lineRule="auto"/>
        <w:rPr>
          <w:sz w:val="20"/>
          <w:szCs w:val="20"/>
          <w:color w:val="auto"/>
        </w:rPr>
      </w:pPr>
      <w:r>
        <w:rPr>
          <w:rFonts w:ascii="Times New Roman" w:cs="Times New Roman" w:eastAsia="Times New Roman" w:hAnsi="Times New Roman"/>
          <w:sz w:val="20"/>
          <w:szCs w:val="20"/>
          <w:color w:val="auto"/>
        </w:rPr>
        <w:t xml:space="preserve">5.1.1.1. </w:t>
      </w:r>
      <w:r>
        <w:rPr>
          <w:rFonts w:ascii="Times New Roman" w:cs="Times New Roman" w:eastAsia="Times New Roman" w:hAnsi="Times New Roman"/>
          <w:sz w:val="20"/>
          <w:szCs w:val="20"/>
          <w:u w:val="single" w:color="auto"/>
          <w:color w:val="auto"/>
        </w:rPr>
        <w:t>Credit Agreement and Notes</w:t>
      </w:r>
      <w:r>
        <w:rPr>
          <w:rFonts w:ascii="Times New Roman" w:cs="Times New Roman" w:eastAsia="Times New Roman" w:hAnsi="Times New Roman"/>
          <w:sz w:val="20"/>
          <w:szCs w:val="20"/>
          <w:color w:val="auto"/>
        </w:rPr>
        <w:t>. Crown Holdings and each Borrower shall have duly executed and delivered to Administrative Agent, with a signed counterpart for each Lender, this Agreement (including all schedules, exhibits, certificates, opinions and financial statements required to be delivered on the Effective Date) and, if requested, the Notes payable to the order of each applicable Lender in the amount of their respective Commitments all of which shall be in full force and effect;</w:t>
      </w:r>
    </w:p>
    <w:p>
      <w:pPr>
        <w:spacing w:after="0" w:line="187" w:lineRule="exact"/>
        <w:rPr>
          <w:sz w:val="20"/>
          <w:szCs w:val="20"/>
          <w:color w:val="auto"/>
        </w:rPr>
      </w:pPr>
    </w:p>
    <w:p>
      <w:pPr>
        <w:jc w:val="both"/>
        <w:ind w:left="660" w:firstLine="907"/>
        <w:spacing w:after="0" w:line="283" w:lineRule="auto"/>
        <w:rPr>
          <w:sz w:val="20"/>
          <w:szCs w:val="20"/>
          <w:color w:val="auto"/>
        </w:rPr>
      </w:pPr>
      <w:r>
        <w:rPr>
          <w:rFonts w:ascii="Times New Roman" w:cs="Times New Roman" w:eastAsia="Times New Roman" w:hAnsi="Times New Roman"/>
          <w:sz w:val="20"/>
          <w:szCs w:val="20"/>
          <w:color w:val="auto"/>
        </w:rPr>
        <w:t xml:space="preserve">5.1.1.2. </w:t>
      </w:r>
      <w:r>
        <w:rPr>
          <w:rFonts w:ascii="Times New Roman" w:cs="Times New Roman" w:eastAsia="Times New Roman" w:hAnsi="Times New Roman"/>
          <w:sz w:val="20"/>
          <w:szCs w:val="20"/>
          <w:u w:val="single" w:color="auto"/>
          <w:color w:val="auto"/>
        </w:rPr>
        <w:t>Reaffirmation Agreement</w:t>
      </w:r>
      <w:r>
        <w:rPr>
          <w:rFonts w:ascii="Times New Roman" w:cs="Times New Roman" w:eastAsia="Times New Roman" w:hAnsi="Times New Roman"/>
          <w:sz w:val="20"/>
          <w:szCs w:val="20"/>
          <w:color w:val="auto"/>
        </w:rPr>
        <w:t>. Each applicable Credit Party shall have duly authorized, executed and delivered counterparts to the Reaffirmation Agreement in form and substance reasonably acceptable to the Administrative Agent.</w:t>
      </w:r>
    </w:p>
    <w:p>
      <w:pPr>
        <w:spacing w:after="0" w:line="146"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 xml:space="preserve">5.1.1.3. </w:t>
      </w:r>
      <w:r>
        <w:rPr>
          <w:rFonts w:ascii="Times New Roman" w:cs="Times New Roman" w:eastAsia="Times New Roman" w:hAnsi="Times New Roman"/>
          <w:sz w:val="20"/>
          <w:szCs w:val="20"/>
          <w:u w:val="single" w:color="auto"/>
          <w:color w:val="auto"/>
        </w:rPr>
        <w:t>Euro Security Documents</w:t>
      </w:r>
      <w:r>
        <w:rPr>
          <w:rFonts w:ascii="Times New Roman" w:cs="Times New Roman" w:eastAsia="Times New Roman" w:hAnsi="Times New Roman"/>
          <w:sz w:val="20"/>
          <w:szCs w:val="20"/>
          <w:color w:val="auto"/>
        </w:rPr>
        <w:t>. Each applicable Euro Credit Party shall have duly authorized, executed and delivered counterparts of each Euro Security Document or amendments thereto reasonably requested by the Administrative Agent, together with, to the extent required by such Euro Security Document, the following:</w:t>
      </w:r>
    </w:p>
    <w:p>
      <w:pPr>
        <w:spacing w:after="0" w:line="181"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20"/>
          <w:szCs w:val="20"/>
          <w:color w:val="auto"/>
        </w:rPr>
        <w:t>5.1.1.3.1. to the extent applicable, certificates representing all certificated Pledged Securities, together with executed and undated stock powers and/or assignments in blank or other instruments of transfer customary in the applicable jurisdiction;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10" w:name="page211"/>
    <w:bookmarkEnd w:id="210"/>
    <w:p>
      <w:pPr>
        <w:ind w:left="1300"/>
        <w:spacing w:after="0"/>
        <w:tabs>
          <w:tab w:leader="none" w:pos="2560" w:val="left"/>
        </w:tabs>
        <w:rPr>
          <w:sz w:val="20"/>
          <w:szCs w:val="20"/>
          <w:color w:val="auto"/>
        </w:rPr>
      </w:pPr>
      <w:r>
        <w:rPr>
          <w:rFonts w:ascii="Times New Roman" w:cs="Times New Roman" w:eastAsia="Times New Roman" w:hAnsi="Times New Roman"/>
          <w:sz w:val="20"/>
          <w:szCs w:val="20"/>
          <w:color w:val="auto"/>
        </w:rPr>
        <w:t>5.1.1.3.2.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20"/>
          <w:szCs w:val="20"/>
          <w:color w:val="auto"/>
        </w:rPr>
        <w:t>5.1.1.3.3. appropriate financing statements or comparable documents of, and executed by, the appropriate entities in proper form for filing under the provisions of the applicable or local laws, rules or regulations in each of the offices where such filing is necessary or appropriate to grant to the Euro Collateral Agent a perfected first priority Lien on such Collateral, superior and prior to the rights of all third persons other than the holders of Permitted Liens;</w:t>
      </w:r>
    </w:p>
    <w:p>
      <w:pPr>
        <w:spacing w:after="0" w:line="187"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20"/>
          <w:szCs w:val="20"/>
          <w:color w:val="auto"/>
        </w:rPr>
        <w:t>5.1.1.3.4. judgment and tax lien, bankruptcy and pending lawsuit search reports listing all effective financing statements or comparable documents which name any applicable Credit Party as debtor and which are filed in those jurisdictions in which any of such Collateral is located and the jurisdictions in which any applicable Credit Party’s principal place of business is located, together with copies of such existing financing statements, none of which shall encumber such Collateral covered or intended or purported to be covered by such Euro Security Document other than Permitted Liens; and</w:t>
      </w:r>
    </w:p>
    <w:p>
      <w:pPr>
        <w:spacing w:after="0" w:line="192" w:lineRule="exact"/>
        <w:rPr>
          <w:sz w:val="20"/>
          <w:szCs w:val="20"/>
          <w:color w:val="auto"/>
        </w:rPr>
      </w:pPr>
    </w:p>
    <w:p>
      <w:pPr>
        <w:jc w:val="both"/>
        <w:ind w:left="640" w:firstLine="648"/>
        <w:spacing w:after="0" w:line="283" w:lineRule="auto"/>
        <w:rPr>
          <w:sz w:val="20"/>
          <w:szCs w:val="20"/>
          <w:color w:val="auto"/>
        </w:rPr>
      </w:pPr>
      <w:r>
        <w:rPr>
          <w:rFonts w:ascii="Times New Roman" w:cs="Times New Roman" w:eastAsia="Times New Roman" w:hAnsi="Times New Roman"/>
          <w:sz w:val="20"/>
          <w:szCs w:val="20"/>
          <w:color w:val="auto"/>
        </w:rPr>
        <w:t>5.1.1.3.5. evidence that all other actions reasonably necessary or desirable to perfect the security interest created by the Euro Security Documents have been taken.</w:t>
      </w:r>
    </w:p>
    <w:p>
      <w:pPr>
        <w:spacing w:after="0" w:line="146" w:lineRule="exact"/>
        <w:rPr>
          <w:sz w:val="20"/>
          <w:szCs w:val="20"/>
          <w:color w:val="auto"/>
        </w:rPr>
      </w:pPr>
    </w:p>
    <w:p>
      <w:pPr>
        <w:ind w:left="900"/>
        <w:spacing w:after="0"/>
        <w:tabs>
          <w:tab w:leader="none" w:pos="1900" w:val="left"/>
        </w:tabs>
        <w:rPr>
          <w:sz w:val="20"/>
          <w:szCs w:val="20"/>
          <w:color w:val="auto"/>
        </w:rPr>
      </w:pPr>
      <w:r>
        <w:rPr>
          <w:rFonts w:ascii="Times New Roman" w:cs="Times New Roman" w:eastAsia="Times New Roman" w:hAnsi="Times New Roman"/>
          <w:sz w:val="20"/>
          <w:szCs w:val="20"/>
          <w:color w:val="auto"/>
        </w:rPr>
        <w:t>5.1.1.4.</w:t>
      </w:r>
      <w:r>
        <w:rPr>
          <w:sz w:val="20"/>
          <w:szCs w:val="20"/>
          <w:color w:val="auto"/>
        </w:rPr>
        <w:tab/>
      </w:r>
      <w:r>
        <w:rPr>
          <w:rFonts w:ascii="Times New Roman" w:cs="Times New Roman" w:eastAsia="Times New Roman" w:hAnsi="Times New Roman"/>
          <w:sz w:val="20"/>
          <w:szCs w:val="20"/>
          <w:color w:val="auto"/>
        </w:rPr>
        <w:t>[Reserved];</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19"/>
          <w:szCs w:val="19"/>
          <w:u w:val="single" w:color="auto"/>
          <w:color w:val="auto"/>
        </w:rPr>
        <w:t>Perfection on Personal Property Collateral</w:t>
      </w:r>
      <w:r>
        <w:rPr>
          <w:rFonts w:ascii="Times New Roman" w:cs="Times New Roman" w:eastAsia="Times New Roman" w:hAnsi="Times New Roman"/>
          <w:sz w:val="19"/>
          <w:szCs w:val="19"/>
          <w:color w:val="auto"/>
        </w:rPr>
        <w:t>. Administrative Agent shall have received:</w:t>
      </w:r>
    </w:p>
    <w:p>
      <w:pPr>
        <w:spacing w:after="0" w:line="216" w:lineRule="exact"/>
        <w:rPr>
          <w:sz w:val="20"/>
          <w:szCs w:val="20"/>
          <w:color w:val="auto"/>
        </w:rPr>
      </w:pPr>
    </w:p>
    <w:p>
      <w:pPr>
        <w:jc w:val="both"/>
        <w:ind w:firstLine="907"/>
        <w:spacing w:after="0" w:line="283" w:lineRule="auto"/>
        <w:rPr>
          <w:sz w:val="20"/>
          <w:szCs w:val="20"/>
          <w:color w:val="auto"/>
        </w:rPr>
      </w:pPr>
      <w:r>
        <w:rPr>
          <w:rFonts w:ascii="Times New Roman" w:cs="Times New Roman" w:eastAsia="Times New Roman" w:hAnsi="Times New Roman"/>
          <w:sz w:val="20"/>
          <w:szCs w:val="20"/>
          <w:color w:val="auto"/>
        </w:rPr>
        <w:t>1.1.3.1. from U.S. Borrower, Crown Holdings and all of the U.S. Subsidiaries of Crown Holdings, executed and delivered Perfection Certificates dated the Effective Date;</w:t>
      </w:r>
    </w:p>
    <w:p>
      <w:pPr>
        <w:spacing w:after="0" w:line="160" w:lineRule="exact"/>
        <w:rPr>
          <w:sz w:val="20"/>
          <w:szCs w:val="20"/>
          <w:color w:val="auto"/>
        </w:rPr>
      </w:pPr>
    </w:p>
    <w:p>
      <w:pPr>
        <w:jc w:val="both"/>
        <w:ind w:firstLine="907"/>
        <w:spacing w:after="0" w:line="253" w:lineRule="auto"/>
        <w:rPr>
          <w:sz w:val="20"/>
          <w:szCs w:val="20"/>
          <w:color w:val="auto"/>
        </w:rPr>
      </w:pPr>
      <w:r>
        <w:rPr>
          <w:rFonts w:ascii="Times New Roman" w:cs="Times New Roman" w:eastAsia="Times New Roman" w:hAnsi="Times New Roman"/>
          <w:sz w:val="20"/>
          <w:szCs w:val="20"/>
          <w:color w:val="auto"/>
        </w:rPr>
        <w:t>5.1.2.1. from U.S. Borrower, Crown Holdings and all of the U.S. Subsidiaries of Crown Holdings party to the U.S. Security Agreement, proper financing statements (Form UCC-1 or such other financing statements or similar notices as shall be required by local law, if any) for filing under the UCC or other appropriate filing offices of each foreign and domestic jurisdiction as may be necessary or, in the opinion of U.S. Collateral Agent, desirable to perfect the security interests purported to be created by the U.S. Security Documents;</w:t>
      </w:r>
    </w:p>
    <w:p>
      <w:pPr>
        <w:spacing w:after="0" w:line="178" w:lineRule="exact"/>
        <w:rPr>
          <w:sz w:val="20"/>
          <w:szCs w:val="20"/>
          <w:color w:val="auto"/>
        </w:rPr>
      </w:pPr>
    </w:p>
    <w:p>
      <w:pPr>
        <w:jc w:val="both"/>
        <w:ind w:firstLine="907"/>
        <w:spacing w:after="0" w:line="253" w:lineRule="auto"/>
        <w:rPr>
          <w:sz w:val="20"/>
          <w:szCs w:val="20"/>
          <w:color w:val="auto"/>
        </w:rPr>
      </w:pPr>
      <w:r>
        <w:rPr>
          <w:rFonts w:ascii="Times New Roman" w:cs="Times New Roman" w:eastAsia="Times New Roman" w:hAnsi="Times New Roman"/>
          <w:sz w:val="20"/>
          <w:szCs w:val="20"/>
          <w:color w:val="auto"/>
        </w:rPr>
        <w:t>5.1.2.2. from U.S. Borrower, Crown Holdings and all of the U.S. Subsidiaries of Crown Holdings party to the U.S. Security Agreement, copies of Requests for Information or Copies (Form UCC-1), or equivalent reports, listing all effective financing statements or similar notices that name any such Person (by its actual name or any trade name, fictitious name or similar name), or any division or other operating unit thereof, as debtor (whether filed in the jurisdiction referred to in clause (i) or elsewhere), together with copies of such other financing statements (none of which shall cover the U.S. Collateral except to the extent evidencing Permitted Liens or for which U.S. Collateral Agent shall have received written authorization from the secured party to file termination statements (Form UCC-3 or such other termination statements as shall be required by local law), such termination statements fully executed for filing where necessary);</w:t>
      </w:r>
    </w:p>
    <w:p>
      <w:pPr>
        <w:spacing w:after="0" w:line="180" w:lineRule="exact"/>
        <w:rPr>
          <w:sz w:val="20"/>
          <w:szCs w:val="20"/>
          <w:color w:val="auto"/>
        </w:rPr>
      </w:pPr>
    </w:p>
    <w:p>
      <w:pPr>
        <w:jc w:val="both"/>
        <w:ind w:firstLine="907"/>
        <w:spacing w:after="0" w:line="283" w:lineRule="auto"/>
        <w:rPr>
          <w:sz w:val="20"/>
          <w:szCs w:val="20"/>
          <w:color w:val="auto"/>
        </w:rPr>
      </w:pPr>
      <w:r>
        <w:rPr>
          <w:rFonts w:ascii="Times New Roman" w:cs="Times New Roman" w:eastAsia="Times New Roman" w:hAnsi="Times New Roman"/>
          <w:sz w:val="20"/>
          <w:szCs w:val="20"/>
          <w:color w:val="auto"/>
        </w:rPr>
        <w:t>5.1.2.3. evidence of the completion of, or arrangements satisfactory to U.S. Collateral Agent for, all other recordings and filings of, or with respect to, the Security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157</w:t>
      </w:r>
    </w:p>
    <w:p>
      <w:pPr>
        <w:spacing w:after="0" w:line="8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211" w:name="page212"/>
    <w:bookmarkEnd w:id="211"/>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Documents with all Governmental Authorities and all other actions as may be necessary or, in the reasonable opinion of U.S. Collateral Agent, desirable to perfect the security interests intended to be created by the U.S. Security Documents and to release or modify UCC filings that do not constitute Permitted Liens; and</w:t>
      </w:r>
    </w:p>
    <w:p>
      <w:pPr>
        <w:spacing w:after="0" w:line="181" w:lineRule="exact"/>
        <w:rPr>
          <w:sz w:val="20"/>
          <w:szCs w:val="20"/>
          <w:color w:val="auto"/>
        </w:rPr>
      </w:pPr>
    </w:p>
    <w:p>
      <w:pPr>
        <w:jc w:val="both"/>
        <w:ind w:left="660" w:firstLine="907"/>
        <w:spacing w:after="0" w:line="269" w:lineRule="auto"/>
        <w:rPr>
          <w:sz w:val="20"/>
          <w:szCs w:val="20"/>
          <w:color w:val="auto"/>
        </w:rPr>
      </w:pPr>
      <w:r>
        <w:rPr>
          <w:rFonts w:ascii="Times New Roman" w:cs="Times New Roman" w:eastAsia="Times New Roman" w:hAnsi="Times New Roman"/>
          <w:sz w:val="20"/>
          <w:szCs w:val="20"/>
          <w:color w:val="auto"/>
        </w:rPr>
        <w:t>5.1.2.4. evidence that all other actions necessary, or in the reasonable opinion of U.S. Collateral Agent and the Required Lenders, desirable to perfect the security interests purported to be taken by the U.S. Security Documents have been taken.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All commitments under the Existing Credit Agreement shall have been terminated, and all loans and accrued and unpaid interest, fees and any other amounts outstanding under the Existing Credit Agreement shall have been paid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accrued and unpaid interest, fees and other amounts outstanding under the Existing Credit Agreement (other than principal amount of loans) may be paid within ten (10) Business Days following the receipt by Crown Holdings of an invoice from the Administrative Agent regarding any such accrued and unpaid interest, fees or other amounts outstanding (it being understood that such amounts shall be due and payable on such tenth Business Day if not paid prior to such date).</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Opinions of Counsel</w:t>
      </w:r>
      <w:r>
        <w:rPr>
          <w:rFonts w:ascii="Times New Roman" w:cs="Times New Roman" w:eastAsia="Times New Roman" w:hAnsi="Times New Roman"/>
          <w:sz w:val="20"/>
          <w:szCs w:val="20"/>
          <w:color w:val="auto"/>
        </w:rPr>
        <w:t xml:space="preserve">. Administrative Agent shall have received from (i) Dechert LLP, special counsel to the Credit Parties, a customary opinion addressed to Administrative Agent and each of the Lenders and dated the Effective Date, which shall be in form and substance reasonably satisfactory to Administrative Agent and which shall cover such matters related to the transactions contemplated herein as Administrative Agent may reasonably request, and (ii) opinions of local counsel to the Credit Parties and/or the Administrative Agent, as is customary in the respective jurisdiction and as specified on </w:t>
      </w:r>
      <w:r>
        <w:rPr>
          <w:rFonts w:ascii="Times New Roman" w:cs="Times New Roman" w:eastAsia="Times New Roman" w:hAnsi="Times New Roman"/>
          <w:sz w:val="20"/>
          <w:szCs w:val="20"/>
          <w:u w:val="single" w:color="auto"/>
          <w:color w:val="auto"/>
        </w:rPr>
        <w:t>Schedule 5.1(d)</w:t>
      </w:r>
      <w:r>
        <w:rPr>
          <w:rFonts w:ascii="Times New Roman" w:cs="Times New Roman" w:eastAsia="Times New Roman" w:hAnsi="Times New Roman"/>
          <w:sz w:val="20"/>
          <w:szCs w:val="20"/>
          <w:color w:val="auto"/>
        </w:rPr>
        <w:t>, addressed to Administrative Agent and each of the Lenders dated the Effective Date, each of which shall be in form and substance reasonably satisfactory to Administrative Agent, which opinions shall cover such matters related to the transactions contemplated herein and in the other Loan Documents as Administrative Agent may reasonably request.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5.1.3.</w:t>
      </w:r>
      <w:r>
        <w:rPr>
          <w:sz w:val="20"/>
          <w:szCs w:val="20"/>
          <w:color w:val="auto"/>
        </w:rPr>
        <w:tab/>
      </w:r>
      <w:r>
        <w:rPr>
          <w:rFonts w:ascii="Times New Roman" w:cs="Times New Roman" w:eastAsia="Times New Roman" w:hAnsi="Times New Roman"/>
          <w:sz w:val="19"/>
          <w:szCs w:val="19"/>
          <w:u w:val="single" w:color="auto"/>
          <w:color w:val="auto"/>
        </w:rPr>
        <w:t>Corporate Documents and Financial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60" w:firstLine="907"/>
        <w:spacing w:after="0" w:line="251" w:lineRule="auto"/>
        <w:rPr>
          <w:sz w:val="20"/>
          <w:szCs w:val="20"/>
          <w:color w:val="auto"/>
        </w:rPr>
      </w:pPr>
      <w:r>
        <w:rPr>
          <w:rFonts w:ascii="Times New Roman" w:cs="Times New Roman" w:eastAsia="Times New Roman" w:hAnsi="Times New Roman"/>
          <w:sz w:val="20"/>
          <w:szCs w:val="20"/>
          <w:color w:val="auto"/>
        </w:rPr>
        <w:t xml:space="preserve">5.1.3.1. </w:t>
      </w: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xml:space="preserve">. Administrative Agent shall have received a certificate executed by a Financial Officer (or a Responsible Officer in the case of any non-U.S. Borrower) of each of the Borrowers, dated the Effective Date and in the form of </w:t>
      </w:r>
      <w:r>
        <w:rPr>
          <w:rFonts w:ascii="Times New Roman" w:cs="Times New Roman" w:eastAsia="Times New Roman" w:hAnsi="Times New Roman"/>
          <w:sz w:val="20"/>
          <w:szCs w:val="20"/>
          <w:u w:val="single" w:color="auto"/>
          <w:color w:val="auto"/>
        </w:rPr>
        <w:t>Exhibit 5.1(e)(i)</w:t>
      </w:r>
      <w:r>
        <w:rPr>
          <w:rFonts w:ascii="Times New Roman" w:cs="Times New Roman" w:eastAsia="Times New Roman" w:hAnsi="Times New Roman"/>
          <w:sz w:val="20"/>
          <w:szCs w:val="20"/>
          <w:color w:val="auto"/>
        </w:rPr>
        <w:t xml:space="preserve">, stating that the representations and warranties set forth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hereof are true and correct in all material respects as of the date of the certificate, except to the extent such representations and warranties are expressly made as of a specified date in which event such representations and warranties were true and correct in all material respects as of such specified date, that no Event of Default or Unmatured Event of Default has occurred and is continuing and that the conditions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hereof have been fully satisfied or waived, subject to the proviso at the end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(except that no opinion need be expressed as to Administrative Agent’s or Required Lenders’ satisfaction with any document, instrument or other matter).</w:t>
      </w:r>
    </w:p>
    <w:p>
      <w:pPr>
        <w:spacing w:after="0" w:line="195" w:lineRule="exact"/>
        <w:rPr>
          <w:sz w:val="20"/>
          <w:szCs w:val="20"/>
          <w:color w:val="auto"/>
        </w:rPr>
      </w:pPr>
    </w:p>
    <w:p>
      <w:pPr>
        <w:jc w:val="both"/>
        <w:ind w:left="660" w:firstLine="907"/>
        <w:spacing w:after="0" w:line="253" w:lineRule="auto"/>
        <w:rPr>
          <w:sz w:val="20"/>
          <w:szCs w:val="20"/>
          <w:color w:val="auto"/>
        </w:rPr>
      </w:pPr>
      <w:r>
        <w:rPr>
          <w:rFonts w:ascii="Times New Roman" w:cs="Times New Roman" w:eastAsia="Times New Roman" w:hAnsi="Times New Roman"/>
          <w:sz w:val="20"/>
          <w:szCs w:val="20"/>
          <w:color w:val="auto"/>
        </w:rPr>
        <w:t xml:space="preserve">5.1.3.2. </w:t>
      </w:r>
      <w:r>
        <w:rPr>
          <w:rFonts w:ascii="Times New Roman" w:cs="Times New Roman" w:eastAsia="Times New Roman" w:hAnsi="Times New Roman"/>
          <w:sz w:val="20"/>
          <w:szCs w:val="20"/>
          <w:u w:val="single" w:color="auto"/>
          <w:color w:val="auto"/>
        </w:rPr>
        <w:t>Secretary’s Certificate</w:t>
      </w:r>
      <w:r>
        <w:rPr>
          <w:rFonts w:ascii="Times New Roman" w:cs="Times New Roman" w:eastAsia="Times New Roman" w:hAnsi="Times New Roman"/>
          <w:sz w:val="20"/>
          <w:szCs w:val="20"/>
          <w:color w:val="auto"/>
        </w:rPr>
        <w:t xml:space="preserve">. On the Effective Date, Administrative Agent shall have received from each Credit Party a certificate, dated the Effective Date, signed by the secretary or any assistant secretary (or, if no secretary or assistant secretary exists, a Responsible Officer or if customary in the applicable jurisdiction any director or authorized signatory), of such Credit Party, in the form of </w:t>
      </w:r>
      <w:r>
        <w:rPr>
          <w:rFonts w:ascii="Times New Roman" w:cs="Times New Roman" w:eastAsia="Times New Roman" w:hAnsi="Times New Roman"/>
          <w:sz w:val="20"/>
          <w:szCs w:val="20"/>
          <w:u w:val="single" w:color="auto"/>
          <w:color w:val="auto"/>
        </w:rPr>
        <w:t>Exhibit 5.1(e)(ii)</w:t>
      </w:r>
      <w:r>
        <w:rPr>
          <w:rFonts w:ascii="Times New Roman" w:cs="Times New Roman" w:eastAsia="Times New Roman" w:hAnsi="Times New Roman"/>
          <w:sz w:val="20"/>
          <w:szCs w:val="20"/>
          <w:color w:val="auto"/>
        </w:rPr>
        <w:t xml:space="preserve"> with appropriate insertions, as to the incumbency and signature of the officers/managers of each such Credit Party executing any Loan Document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12" w:name="page213"/>
    <w:bookmarkEnd w:id="212"/>
    <w:p>
      <w:pPr>
        <w:jc w:val="both"/>
        <w:ind w:left="660"/>
        <w:spacing w:after="0" w:line="252" w:lineRule="auto"/>
        <w:rPr>
          <w:sz w:val="20"/>
          <w:szCs w:val="20"/>
          <w:color w:val="auto"/>
        </w:rPr>
      </w:pPr>
      <w:r>
        <w:rPr>
          <w:rFonts w:ascii="Times New Roman" w:cs="Times New Roman" w:eastAsia="Times New Roman" w:hAnsi="Times New Roman"/>
          <w:sz w:val="20"/>
          <w:szCs w:val="20"/>
          <w:color w:val="auto"/>
        </w:rPr>
        <w:t>as of the Effective Date (in customary form and substance) and any certificate or other document or instrument to be delivered pursuant hereto or thereto by or on behalf of such Credit Party, together with evidence of the incumbency of such secretary or assistant secretary (or, if no secretary or assistant secretary exists, such Responsible Officer), and certifying as true and correct, attached copies of the certificate of incorporation, certificate of amalgamation or other equivalent document (certified as of recent date by the Secretary of State or other comparable authority where customary in such jurisdiction) and by-laws (or other Organic Documents of such Credit Party), up-to-date copies of a corporate extract (</w:t>
      </w:r>
      <w:r>
        <w:rPr>
          <w:rFonts w:ascii="Times New Roman" w:cs="Times New Roman" w:eastAsia="Times New Roman" w:hAnsi="Times New Roman"/>
          <w:sz w:val="20"/>
          <w:szCs w:val="20"/>
          <w:i w:val="1"/>
          <w:iCs w:val="1"/>
          <w:color w:val="auto"/>
        </w:rPr>
        <w:t>extrait</w:t>
      </w:r>
      <w:r>
        <w:rPr>
          <w:rFonts w:ascii="Times New Roman" w:cs="Times New Roman" w:eastAsia="Times New Roman" w:hAnsi="Times New Roman"/>
          <w:sz w:val="20"/>
          <w:szCs w:val="20"/>
          <w:color w:val="auto"/>
        </w:rPr>
        <w:t>) and a certificate of non-inscription of a judicial decision (</w:t>
      </w:r>
      <w:r>
        <w:rPr>
          <w:rFonts w:ascii="Times New Roman" w:cs="Times New Roman" w:eastAsia="Times New Roman" w:hAnsi="Times New Roman"/>
          <w:sz w:val="20"/>
          <w:szCs w:val="20"/>
          <w:i w:val="1"/>
          <w:iCs w:val="1"/>
          <w:color w:val="auto"/>
        </w:rPr>
        <w:t>certificat de non-inscription d’une decision judiciaire</w:t>
      </w:r>
      <w:r>
        <w:rPr>
          <w:rFonts w:ascii="Times New Roman" w:cs="Times New Roman" w:eastAsia="Times New Roman" w:hAnsi="Times New Roman"/>
          <w:sz w:val="20"/>
          <w:szCs w:val="20"/>
          <w:color w:val="auto"/>
        </w:rPr>
        <w:t xml:space="preserve">) issued by the </w:t>
      </w:r>
      <w:r>
        <w:rPr>
          <w:rFonts w:ascii="Times New Roman" w:cs="Times New Roman" w:eastAsia="Times New Roman" w:hAnsi="Times New Roman"/>
          <w:sz w:val="20"/>
          <w:szCs w:val="20"/>
          <w:i w:val="1"/>
          <w:iCs w:val="1"/>
          <w:color w:val="auto"/>
        </w:rPr>
        <w:t>Registre de Commerce et Sociétes, Luxembourg</w:t>
      </w:r>
      <w:r>
        <w:rPr>
          <w:rFonts w:ascii="Times New Roman" w:cs="Times New Roman" w:eastAsia="Times New Roman" w:hAnsi="Times New Roman"/>
          <w:sz w:val="20"/>
          <w:szCs w:val="20"/>
          <w:color w:val="auto"/>
        </w:rPr>
        <w:t xml:space="preserve"> for any Credit Party incorporated under the laws of Luxembourg and the resolutions of such Credit Party and, to the extent required, of the equity holders of such Credit Party, referred to in such certificate.</w:t>
      </w:r>
    </w:p>
    <w:p>
      <w:pPr>
        <w:spacing w:after="0" w:line="176" w:lineRule="exact"/>
        <w:rPr>
          <w:sz w:val="20"/>
          <w:szCs w:val="20"/>
          <w:color w:val="auto"/>
        </w:rPr>
      </w:pPr>
    </w:p>
    <w:p>
      <w:pPr>
        <w:jc w:val="both"/>
        <w:ind w:left="660" w:firstLine="907"/>
        <w:spacing w:after="0" w:line="258" w:lineRule="auto"/>
        <w:rPr>
          <w:sz w:val="20"/>
          <w:szCs w:val="20"/>
          <w:color w:val="auto"/>
        </w:rPr>
      </w:pPr>
      <w:r>
        <w:rPr>
          <w:rFonts w:ascii="Times New Roman" w:cs="Times New Roman" w:eastAsia="Times New Roman" w:hAnsi="Times New Roman"/>
          <w:sz w:val="20"/>
          <w:szCs w:val="20"/>
          <w:color w:val="auto"/>
        </w:rPr>
        <w:t xml:space="preserve">5.1.3.3. </w:t>
      </w:r>
      <w:r>
        <w:rPr>
          <w:rFonts w:ascii="Times New Roman" w:cs="Times New Roman" w:eastAsia="Times New Roman" w:hAnsi="Times New Roman"/>
          <w:sz w:val="20"/>
          <w:szCs w:val="20"/>
          <w:u w:val="single" w:color="auto"/>
          <w:color w:val="auto"/>
        </w:rPr>
        <w:t>Good Standing</w:t>
      </w:r>
      <w:r>
        <w:rPr>
          <w:rFonts w:ascii="Times New Roman" w:cs="Times New Roman" w:eastAsia="Times New Roman" w:hAnsi="Times New Roman"/>
          <w:sz w:val="20"/>
          <w:szCs w:val="20"/>
          <w:color w:val="auto"/>
        </w:rPr>
        <w:t>. A customary good standing certificate or certificate of status or comparable certificate of each Credit Party from the Secretary of State (or other governmental authority) of its state, territory or province of organization or such equivalent document issued by any foreign Governmental Authority if applicable in such foreign jurisdiction and, in each case, solely to the extent available on a commercially reasonable basis in such jurisdiction.</w:t>
      </w:r>
    </w:p>
    <w:p>
      <w:pPr>
        <w:spacing w:after="0" w:line="186" w:lineRule="exact"/>
        <w:rPr>
          <w:sz w:val="20"/>
          <w:szCs w:val="20"/>
          <w:color w:val="auto"/>
        </w:rPr>
      </w:pPr>
    </w:p>
    <w:p>
      <w:pPr>
        <w:jc w:val="both"/>
        <w:ind w:left="660" w:firstLine="907"/>
        <w:spacing w:after="0" w:line="254" w:lineRule="auto"/>
        <w:rPr>
          <w:sz w:val="20"/>
          <w:szCs w:val="20"/>
          <w:color w:val="auto"/>
        </w:rPr>
      </w:pPr>
      <w:r>
        <w:rPr>
          <w:rFonts w:ascii="Times New Roman" w:cs="Times New Roman" w:eastAsia="Times New Roman" w:hAnsi="Times New Roman"/>
          <w:sz w:val="20"/>
          <w:szCs w:val="20"/>
          <w:color w:val="auto"/>
        </w:rPr>
        <w:t xml:space="preserve">5.1.3.4.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xml:space="preserve">. On the Effective Date, Administrative Agent shall have received a solvency certificate substantially in the form of </w:t>
      </w:r>
      <w:r>
        <w:rPr>
          <w:rFonts w:ascii="Times New Roman" w:cs="Times New Roman" w:eastAsia="Times New Roman" w:hAnsi="Times New Roman"/>
          <w:sz w:val="20"/>
          <w:szCs w:val="20"/>
          <w:u w:val="single" w:color="auto"/>
          <w:color w:val="auto"/>
        </w:rPr>
        <w:t>Exhibit 5.1(e)(iv)</w:t>
      </w:r>
      <w:r>
        <w:rPr>
          <w:rFonts w:ascii="Times New Roman" w:cs="Times New Roman" w:eastAsia="Times New Roman" w:hAnsi="Times New Roman"/>
          <w:sz w:val="20"/>
          <w:szCs w:val="20"/>
          <w:color w:val="auto"/>
        </w:rPr>
        <w:t>, and signed by the chief financial officer of Crown Holdings confirming the solvency of (i) Crown Holdings and its Subsidiaries, (ii) U.S. Borrower and its Subsidiaries, (iii) European Borrower and its Subsidiaries, and</w:t>
      </w:r>
    </w:p>
    <w:p>
      <w:pPr>
        <w:spacing w:after="0" w:line="1" w:lineRule="exact"/>
        <w:rPr>
          <w:sz w:val="20"/>
          <w:szCs w:val="20"/>
          <w:color w:val="auto"/>
        </w:rPr>
      </w:pPr>
    </w:p>
    <w:p>
      <w:pPr>
        <w:ind w:left="660" w:right="1060" w:hanging="4"/>
        <w:spacing w:after="0" w:line="463" w:lineRule="auto"/>
        <w:tabs>
          <w:tab w:leader="none" w:pos="99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Canadian Borrower and its Subsidiaries, in each case, on a consolidated basis after giving effect to the Transactions. 5.1.4. </w:t>
      </w:r>
      <w:r>
        <w:rPr>
          <w:rFonts w:ascii="Times New Roman" w:cs="Times New Roman" w:eastAsia="Times New Roman" w:hAnsi="Times New Roman"/>
          <w:sz w:val="20"/>
          <w:szCs w:val="20"/>
          <w:u w:val="single" w:color="auto"/>
          <w:color w:val="auto"/>
        </w:rPr>
        <w:t>Other Closing Conditions</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 xml:space="preserve">5.1.4.1. </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payment in full of all fees, and all expenses expressly due and payable on or before the Effective Date under the Fee Letter to the extent invoiced at least two (2) Business Days prior to the Effective Date (which amounts shall be offset against the proceeds of the Initial Borrowings hereunder).</w:t>
      </w:r>
    </w:p>
    <w:p>
      <w:pPr>
        <w:spacing w:after="0" w:line="164" w:lineRule="exact"/>
        <w:rPr>
          <w:sz w:val="20"/>
          <w:szCs w:val="20"/>
          <w:color w:val="auto"/>
        </w:rPr>
      </w:pPr>
    </w:p>
    <w:p>
      <w:pPr>
        <w:jc w:val="both"/>
        <w:ind w:left="660" w:firstLine="907"/>
        <w:spacing w:after="0" w:line="260" w:lineRule="auto"/>
        <w:rPr>
          <w:sz w:val="20"/>
          <w:szCs w:val="20"/>
          <w:color w:val="auto"/>
        </w:rPr>
      </w:pPr>
      <w:r>
        <w:rPr>
          <w:rFonts w:ascii="Times New Roman" w:cs="Times New Roman" w:eastAsia="Times New Roman" w:hAnsi="Times New Roman"/>
          <w:sz w:val="20"/>
          <w:szCs w:val="20"/>
          <w:color w:val="auto"/>
        </w:rPr>
        <w:t xml:space="preserve">5.1.4.2.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Administrative Agent and Arrangers shall have received, at least three (3) Business Days prior to the Effective Date (to the extent reasonably requested in writing on a timely basis at least ten (10) Business Days prior to the Effective Date), all documentation and other information required by the applicable Governmental Authorities under applicable “</w:t>
      </w:r>
      <w:r>
        <w:rPr>
          <w:rFonts w:ascii="Times New Roman" w:cs="Times New Roman" w:eastAsia="Times New Roman" w:hAnsi="Times New Roman"/>
          <w:sz w:val="20"/>
          <w:szCs w:val="20"/>
          <w:i w:val="1"/>
          <w:iCs w:val="1"/>
          <w:color w:val="auto"/>
        </w:rPr>
        <w:t>know your customer</w:t>
      </w:r>
      <w:r>
        <w:rPr>
          <w:rFonts w:ascii="Times New Roman" w:cs="Times New Roman" w:eastAsia="Times New Roman" w:hAnsi="Times New Roman"/>
          <w:sz w:val="20"/>
          <w:szCs w:val="20"/>
          <w:color w:val="auto"/>
        </w:rPr>
        <w:t>” and anti-money laundering rules and regulations, including, without limitation, the Patriot Act.</w:t>
      </w:r>
    </w:p>
    <w:p>
      <w:pPr>
        <w:spacing w:after="0" w:line="182" w:lineRule="exact"/>
        <w:rPr>
          <w:sz w:val="20"/>
          <w:szCs w:val="20"/>
          <w:color w:val="auto"/>
        </w:rPr>
      </w:pPr>
    </w:p>
    <w:p>
      <w:pPr>
        <w:jc w:val="both"/>
        <w:ind w:left="660" w:firstLine="907"/>
        <w:spacing w:after="0" w:line="269" w:lineRule="auto"/>
        <w:rPr>
          <w:sz w:val="20"/>
          <w:szCs w:val="20"/>
          <w:color w:val="auto"/>
        </w:rPr>
      </w:pPr>
      <w:r>
        <w:rPr>
          <w:rFonts w:ascii="Times New Roman" w:cs="Times New Roman" w:eastAsia="Times New Roman" w:hAnsi="Times New Roman"/>
          <w:sz w:val="20"/>
          <w:szCs w:val="20"/>
          <w:color w:val="auto"/>
        </w:rPr>
        <w:t xml:space="preserve">5.1.4.3. </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Prior to the making of each Loan on the Effective Date, Administrative Agent shall have received a Notice of Borrowing meeting the requirements of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5.2. Conditions Precedent to All Credit Events. The obligation of each Lender to make Loans (other than Loans made on the Effective Date) and the obligation of any Facing Agent to issue or any Lender to participate in any Letter of Credit hereunder in each case shall be subject to the fulfillment at or prior to the time of each such Credit Event of each of the following conditions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20"/>
          <w:szCs w:val="20"/>
          <w:color w:val="auto"/>
        </w:rPr>
        <w:t>of any Additional Facility incurred in connection with a Limited Condition Transaction, such conditions shall be limited as set forth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representations and warranties contained in this Agreement and the other Loan Documents shall each be true and correct in all material respects at and as of such time, as though made on and as of such time except to the extent such representations and warranties are expressly made as of a specified date in which event such representation and warranties shall be true and correct in all material respects as of such specified date.</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Event of Default or Unmatured Event of Default shall have occurred and shall then be continuing on such date or will occur after giving effect to such Credit Event.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Notice of Borrowing; Notice of Issuance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660" w:firstLine="907"/>
        <w:spacing w:after="0" w:line="268" w:lineRule="auto"/>
        <w:rPr>
          <w:sz w:val="20"/>
          <w:szCs w:val="20"/>
          <w:color w:val="auto"/>
        </w:rPr>
      </w:pPr>
      <w:r>
        <w:rPr>
          <w:rFonts w:ascii="Times New Roman" w:cs="Times New Roman" w:eastAsia="Times New Roman" w:hAnsi="Times New Roman"/>
          <w:sz w:val="20"/>
          <w:szCs w:val="20"/>
          <w:color w:val="auto"/>
        </w:rPr>
        <w:t xml:space="preserve">5.2.1.1. Prior to the making of each Loan, Administrative Agent shall have received a Notice of Borrowing meeting the requirements of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or Canadian Administrative Agent shall have received a Notice of Canadian Borrowing meeting the requirements of </w:t>
      </w:r>
      <w:r>
        <w:rPr>
          <w:rFonts w:ascii="Times New Roman" w:cs="Times New Roman" w:eastAsia="Times New Roman" w:hAnsi="Times New Roman"/>
          <w:sz w:val="20"/>
          <w:szCs w:val="20"/>
          <w:u w:val="single" w:color="auto"/>
          <w:color w:val="auto"/>
        </w:rPr>
        <w:t>Section 2A.5</w:t>
      </w:r>
      <w:r>
        <w:rPr>
          <w:rFonts w:ascii="Times New Roman" w:cs="Times New Roman" w:eastAsia="Times New Roman" w:hAnsi="Times New Roman"/>
          <w:sz w:val="20"/>
          <w:szCs w:val="20"/>
          <w:color w:val="auto"/>
        </w:rPr>
        <w:t>, as applicable.</w:t>
      </w:r>
    </w:p>
    <w:p>
      <w:pPr>
        <w:spacing w:after="0" w:line="161" w:lineRule="exact"/>
        <w:rPr>
          <w:sz w:val="20"/>
          <w:szCs w:val="20"/>
          <w:color w:val="auto"/>
        </w:rPr>
      </w:pPr>
    </w:p>
    <w:p>
      <w:pPr>
        <w:jc w:val="both"/>
        <w:ind w:left="660" w:right="20" w:firstLine="907"/>
        <w:spacing w:after="0" w:line="283" w:lineRule="auto"/>
        <w:rPr>
          <w:sz w:val="20"/>
          <w:szCs w:val="20"/>
          <w:color w:val="auto"/>
        </w:rPr>
      </w:pPr>
      <w:r>
        <w:rPr>
          <w:rFonts w:ascii="Times New Roman" w:cs="Times New Roman" w:eastAsia="Times New Roman" w:hAnsi="Times New Roman"/>
          <w:sz w:val="20"/>
          <w:szCs w:val="20"/>
          <w:color w:val="auto"/>
        </w:rPr>
        <w:t xml:space="preserve">5.2.1.2. Prior to the issuance of each Letter of Credit, Administrative Agent and the respective Facing Agent shall have received a Notice of Issuance meeting the requirements of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The acceptance of the benefits of each such Credit Event by the applicable Borrower shall be deemed to constitute a representation and warranty by it to the effect of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(except that no opinion need be expressed as to Administrative Agent’s or Required Lenders’ satisfaction with any document, instrument or other matter).</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Each Lender hereby agrees that by its execution and delivery of its signature page hereto and by the funding of its Loan to be made on the Effective Date, such Lender approves of and consents to each of the matters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which must be approved by, or which must be satisfactory to, Administrative Agent or the Required Lenders or Lenders,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agreement or document which must be approved by, or which must be satisfactory to, the Required Lenders, Administrative Agent or Crown Holdings shall have delivered or caused to be delivered a copy of such agreement or document to such Lender on or prior to the Effective Date if requested.</w:t>
      </w:r>
    </w:p>
    <w:p>
      <w:pPr>
        <w:spacing w:after="0" w:line="18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6.</w:t>
      </w:r>
    </w:p>
    <w:p>
      <w:pPr>
        <w:spacing w:after="0" w:line="2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order to induce the Lenders to enter into this Agreement and to make the Loans, and issue (or participate in) the Letters of Credit as provided herein, each Credit Party makes the following representations and warranties as of the Incremental Amendment No. 3 and Fifth Amendment Effective Date (both before and after giving effect to the consummation of the Transactions) and as of the date of each subsequent Credit Event (except to the extent such representations and warranties are expressly made as of a specified date, in which case such representations and warranties shall be made as of such specified date), all of which shall survive the execution and delivery of this Agreement and the Notes and the making of the Loans and issuance of the Letters of Credit: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14" w:name="page215"/>
    <w:bookmarkEnd w:id="214"/>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6.1. Corporate Status. Each Credit Party (a) is a corporation, partnership or other form of legal entity, duly organized and validly existing and, to the extent such concept exists in such jurisdiction, in good standing under the laws of the jurisdiction of its incorporation or organization, as the case may be, (b) has all requisite corporate or other organizational power and authority to carry on its business as now conducted, and (c) is duly qualified to do business and, to the extent such concept exists in such jurisdiction, is in good standing in each other jurisdiction where the conduct of its business requires such qualification, except in the case of clauses (a) (as to good standing), (b) and (c), where such failures in the aggregate would not reasonably be expected to have a Material Adverse Effect.</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6.2. Corporate Power and Authority. Each Credit Party has the corporate or other organizational power and authority to execute and deliver each of the Loan Documents to which it is a party and to perform its obligations thereunder and has taken all necessary action to authorize the execution, delivery and performance by it of each of such Loan Documents. Each Credit Party has duly executed and delivered each of the Loan Documents to which it is a party, and each of such Loan Documents constitutes its legal, valid and binding obligation, enforceable in accordance with its terms, except to the extent that the enforceability thereof may be limited by applicable bankruptcy, insolvency, reorganization, moratorium or similar laws generally affecting creditors’ rights and by equitable principles (regardless of whether enforcement is sought in equity or at law).</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6.3. No Violation. The execution and delivery by any Credit Party of the Loan Documents to which it is a party (including, without limitation, the granting of Liens pursuant to the Security Documents), and the performance of such Credit Party’s obligations thereunder do not contravene any provision of any Requirement of Law applicable to such Credit Party, conflict with or result in any breach of any material Contractual Obligation or other material instrument binding upon such Credit Party, or result in the creation or imposition of (or the obligation to create or impose) any Lien (except pursuant to the Security Documents or Permitted Liens) upon any of the property or assets of any Credit Party pursuant to the terms of any Contractual Obligation to which any Credit Party is a party or by which it or any of its property or assets is bound, or violate any provision of any Organic Document of any Credit Party, except, in each case, for any contravention, conflict, breach, default or violation that would not reasonably be expected to have a Material Adverse Effect.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6.4. Governmental and Other Approvals. Except for filings necessary to create or perfect security interests in the Collateral, except as have been obtained, waived or made prior to the Incremental Amendment No. 3 and Fifth Amendment Effective Date, and except any such failure that would not reasonably be expected to have a Material Adverse Effect, no material order, consent, approval, license, authorization or validation of, or filing, recording or registration with (except as have been obtained or made on or prior to the Incremental Amendment No. 3 and Fifth Amendment Effective Date and except for any reports required to be filed by any Credit Party with the SEC), or exemption by, any Governmental Authority, is required to authorize, or is required in connection with, (i) the execution and delivery of any Loan Document or the performance of the obligations thereunder or (ii) the legality, validity, binding effect or enforceability of any such Loan Document.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color w:val="auto"/>
        </w:rPr>
        <w:t>Financial Statements; Financial Condition; Undisclosed Liabilities Projections; Etc.</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6.5.1.</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450"/>
        <w:spacing w:after="0" w:line="268" w:lineRule="auto"/>
        <w:rPr>
          <w:sz w:val="20"/>
          <w:szCs w:val="20"/>
          <w:color w:val="auto"/>
        </w:rPr>
      </w:pPr>
      <w:r>
        <w:rPr>
          <w:rFonts w:ascii="Times New Roman" w:cs="Times New Roman" w:eastAsia="Times New Roman" w:hAnsi="Times New Roman"/>
          <w:sz w:val="20"/>
          <w:szCs w:val="20"/>
          <w:color w:val="auto"/>
        </w:rPr>
        <w:t>The consolidated balance sheets of Crown Holdings and its consolidated Subsidiaries and the related statements of income, cash flows and shareholders’ equity of Crown Holdings for December 31, 2016, fairly present in all material respects the consolidated financial condition and results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15" w:name="page216"/>
    <w:bookmarkEnd w:id="215"/>
    <w:p>
      <w:pPr>
        <w:jc w:val="both"/>
        <w:spacing w:after="0" w:line="261" w:lineRule="auto"/>
        <w:rPr>
          <w:sz w:val="20"/>
          <w:szCs w:val="20"/>
          <w:color w:val="auto"/>
        </w:rPr>
      </w:pPr>
      <w:r>
        <w:rPr>
          <w:rFonts w:ascii="Times New Roman" w:cs="Times New Roman" w:eastAsia="Times New Roman" w:hAnsi="Times New Roman"/>
          <w:sz w:val="20"/>
          <w:szCs w:val="20"/>
          <w:color w:val="auto"/>
        </w:rPr>
        <w:t>of operation and cash flows of Crown Holdings and its consolidated Subsidiaries as of such date and for such period. Copies of such statements have been furnished to the Lenders prior to the Effective Date and, in the case of the December 31, 2016 statements, have been reported on by Pricewaterhouse Coopers LLP, independent certified public accountants.</w:t>
      </w:r>
    </w:p>
    <w:p>
      <w:pPr>
        <w:spacing w:after="0" w:line="181" w:lineRule="exact"/>
        <w:rPr>
          <w:sz w:val="20"/>
          <w:szCs w:val="20"/>
          <w:color w:val="auto"/>
        </w:rPr>
      </w:pPr>
    </w:p>
    <w:p>
      <w:pPr>
        <w:jc w:val="both"/>
        <w:ind w:firstLine="579"/>
        <w:spacing w:after="0" w:line="262" w:lineRule="auto"/>
        <w:rPr>
          <w:sz w:val="20"/>
          <w:szCs w:val="20"/>
          <w:color w:val="auto"/>
        </w:rPr>
      </w:pPr>
      <w:r>
        <w:rPr>
          <w:rFonts w:ascii="Times New Roman" w:cs="Times New Roman" w:eastAsia="Times New Roman" w:hAnsi="Times New Roman"/>
          <w:sz w:val="19"/>
          <w:szCs w:val="19"/>
          <w:color w:val="auto"/>
        </w:rPr>
        <w:t>On and as of the Effective Date, immediately following the making of each Loan and after giving effect to the application of the proceeds of such Loans, (I) (a) the sum of the assets of Crown Holdings and its Subsidiaries (taken as a whole), at a fair valuation, will exceed its debts; (b) the present fair saleable value of the property of Crown Holdings and its Subsidiaries (taken as a whole) will be greater than the amount that will be required to pay the probable liability of its debts and other liabilities, subordinated, contingent or otherwise, as such debts and other liabilities become absolute and matured and specifically, no German Borrower or Non-U.S. Guarantee Subsidiary organized under the Laws of the Federal Republic of Germany is illiquid, threatened with illiquidity or overindebted within the meaning of section 17, 18 or 19 of the German Insolvency Code, (</w:t>
      </w:r>
      <w:r>
        <w:rPr>
          <w:rFonts w:ascii="Times New Roman" w:cs="Times New Roman" w:eastAsia="Times New Roman" w:hAnsi="Times New Roman"/>
          <w:sz w:val="19"/>
          <w:szCs w:val="19"/>
          <w:i w:val="1"/>
          <w:iCs w:val="1"/>
          <w:color w:val="auto"/>
        </w:rPr>
        <w:t>Insolvenzordnung</w:t>
      </w:r>
      <w:r>
        <w:rPr>
          <w:rFonts w:ascii="Times New Roman" w:cs="Times New Roman" w:eastAsia="Times New Roman" w:hAnsi="Times New Roman"/>
          <w:sz w:val="19"/>
          <w:szCs w:val="19"/>
          <w:color w:val="auto"/>
        </w:rPr>
        <w:t>), or overindebted within the meaning of the German proper accounting standards (</w:t>
      </w:r>
      <w:r>
        <w:rPr>
          <w:rFonts w:ascii="Times New Roman" w:cs="Times New Roman" w:eastAsia="Times New Roman" w:hAnsi="Times New Roman"/>
          <w:sz w:val="19"/>
          <w:szCs w:val="19"/>
          <w:i w:val="1"/>
          <w:iCs w:val="1"/>
          <w:color w:val="auto"/>
        </w:rPr>
        <w:t>Grundsätze ordentlicher Buchführung</w:t>
      </w:r>
      <w:r>
        <w:rPr>
          <w:rFonts w:ascii="Times New Roman" w:cs="Times New Roman" w:eastAsia="Times New Roman" w:hAnsi="Times New Roman"/>
          <w:sz w:val="19"/>
          <w:szCs w:val="19"/>
          <w:color w:val="auto"/>
        </w:rPr>
        <w:t xml:space="preserve">); (c) Crown Holdings and its Subsidiaries (taken as a whole) will be able to pay its debts and liabilities, subordinated, contingent or otherwise, as such debts and liabilities become absolute and matured; and (d) Crown Holdings and its Subsidiaries (taken as a whole) will not have unreasonably small capital with which to conduct the business in which it is engaged as such business is now conducted and is proposed to be conducted following the Effective Date and (II) (i) no Credit Party will be subject to any proceedings for its administration (with respect to a Credit Party organized under the laws of France, </w:t>
      </w:r>
      <w:r>
        <w:rPr>
          <w:rFonts w:ascii="Times New Roman" w:cs="Times New Roman" w:eastAsia="Times New Roman" w:hAnsi="Times New Roman"/>
          <w:sz w:val="19"/>
          <w:szCs w:val="19"/>
          <w:i w:val="1"/>
          <w:iCs w:val="1"/>
          <w:color w:val="auto"/>
        </w:rPr>
        <w:t>redressement judiciaire</w:t>
      </w:r>
      <w:r>
        <w:rPr>
          <w:rFonts w:ascii="Times New Roman" w:cs="Times New Roman" w:eastAsia="Times New Roman" w:hAnsi="Times New Roman"/>
          <w:sz w:val="19"/>
          <w:szCs w:val="19"/>
          <w:color w:val="auto"/>
        </w:rPr>
        <w:t xml:space="preserve">), or will be subject to a plan for the transfer of the whole or part of its business, or is or will be subject to liquidation (with respect to a Credit Party organized under the laws of France, </w:t>
      </w:r>
      <w:r>
        <w:rPr>
          <w:rFonts w:ascii="Times New Roman" w:cs="Times New Roman" w:eastAsia="Times New Roman" w:hAnsi="Times New Roman"/>
          <w:sz w:val="19"/>
          <w:szCs w:val="19"/>
          <w:i w:val="1"/>
          <w:iCs w:val="1"/>
          <w:color w:val="auto"/>
        </w:rPr>
        <w:t>liquidation judiciaire</w:t>
      </w:r>
      <w:r>
        <w:rPr>
          <w:rFonts w:ascii="Times New Roman" w:cs="Times New Roman" w:eastAsia="Times New Roman" w:hAnsi="Times New Roman"/>
          <w:sz w:val="19"/>
          <w:szCs w:val="19"/>
          <w:color w:val="auto"/>
        </w:rPr>
        <w:t>) and no claim has been made requesting implementation of such proceedings;</w:t>
      </w:r>
    </w:p>
    <w:p>
      <w:pPr>
        <w:spacing w:after="0" w:line="4" w:lineRule="exact"/>
        <w:rPr>
          <w:sz w:val="20"/>
          <w:szCs w:val="20"/>
          <w:color w:val="auto"/>
        </w:rPr>
      </w:pPr>
    </w:p>
    <w:p>
      <w:pPr>
        <w:jc w:val="both"/>
        <w:ind w:firstLine="8"/>
        <w:spacing w:after="0" w:line="248" w:lineRule="auto"/>
        <w:tabs>
          <w:tab w:leader="none" w:pos="29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Party will be subject to the administration of a court appointed mediator (</w:t>
      </w:r>
      <w:r>
        <w:rPr>
          <w:rFonts w:ascii="Times New Roman" w:cs="Times New Roman" w:eastAsia="Times New Roman" w:hAnsi="Times New Roman"/>
          <w:sz w:val="20"/>
          <w:szCs w:val="20"/>
          <w:i w:val="1"/>
          <w:iCs w:val="1"/>
          <w:color w:val="auto"/>
        </w:rPr>
        <w:t>conciliateur</w:t>
      </w:r>
      <w:r>
        <w:rPr>
          <w:rFonts w:ascii="Times New Roman" w:cs="Times New Roman" w:eastAsia="Times New Roman" w:hAnsi="Times New Roman"/>
          <w:sz w:val="20"/>
          <w:szCs w:val="20"/>
          <w:color w:val="auto"/>
        </w:rPr>
        <w:t>), judicial condition, compulsory manager, receiver (</w:t>
      </w:r>
      <w:r>
        <w:rPr>
          <w:rFonts w:ascii="Times New Roman" w:cs="Times New Roman" w:eastAsia="Times New Roman" w:hAnsi="Times New Roman"/>
          <w:sz w:val="20"/>
          <w:szCs w:val="20"/>
          <w:i w:val="1"/>
          <w:iCs w:val="1"/>
          <w:color w:val="auto"/>
        </w:rPr>
        <w:t>administrateur judiciaire</w:t>
      </w:r>
      <w:r>
        <w:rPr>
          <w:rFonts w:ascii="Times New Roman" w:cs="Times New Roman" w:eastAsia="Times New Roman" w:hAnsi="Times New Roman"/>
          <w:sz w:val="20"/>
          <w:szCs w:val="20"/>
          <w:color w:val="auto"/>
        </w:rPr>
        <w:t>), administrator, liquidator (</w:t>
      </w:r>
      <w:r>
        <w:rPr>
          <w:rFonts w:ascii="Times New Roman" w:cs="Times New Roman" w:eastAsia="Times New Roman" w:hAnsi="Times New Roman"/>
          <w:sz w:val="20"/>
          <w:szCs w:val="20"/>
          <w:i w:val="1"/>
          <w:iCs w:val="1"/>
          <w:color w:val="auto"/>
        </w:rPr>
        <w:t>liquidateur judiciaire</w:t>
      </w:r>
      <w:r>
        <w:rPr>
          <w:rFonts w:ascii="Times New Roman" w:cs="Times New Roman" w:eastAsia="Times New Roman" w:hAnsi="Times New Roman"/>
          <w:sz w:val="20"/>
          <w:szCs w:val="20"/>
          <w:color w:val="auto"/>
        </w:rPr>
        <w:t xml:space="preserve">) or other similar office (with respect to a Credit Party organized under the laws of France, </w:t>
      </w:r>
      <w:r>
        <w:rPr>
          <w:rFonts w:ascii="Times New Roman" w:cs="Times New Roman" w:eastAsia="Times New Roman" w:hAnsi="Times New Roman"/>
          <w:sz w:val="20"/>
          <w:szCs w:val="20"/>
          <w:i w:val="1"/>
          <w:iCs w:val="1"/>
          <w:color w:val="auto"/>
        </w:rPr>
        <w:t>mandataire ad hoc</w:t>
      </w:r>
      <w:r>
        <w:rPr>
          <w:rFonts w:ascii="Times New Roman" w:cs="Times New Roman" w:eastAsia="Times New Roman" w:hAnsi="Times New Roman"/>
          <w:sz w:val="20"/>
          <w:szCs w:val="20"/>
          <w:color w:val="auto"/>
        </w:rPr>
        <w:t xml:space="preserve">), and no request will have been filed and no negotiations envisaged for the rehabilitation, administration, custodianship, liquidation, winding-up or dissolution of such Credit Party; (iii) no Credit Party will be unable to settle its debts (contingent or otherwise) with realizable assets (with respect to a Credit Party organized under the laws of France, </w:t>
      </w:r>
      <w:r>
        <w:rPr>
          <w:rFonts w:ascii="Times New Roman" w:cs="Times New Roman" w:eastAsia="Times New Roman" w:hAnsi="Times New Roman"/>
          <w:sz w:val="20"/>
          <w:szCs w:val="20"/>
          <w:i w:val="1"/>
          <w:iCs w:val="1"/>
          <w:color w:val="auto"/>
        </w:rPr>
        <w:t>en état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de cessation des paiements </w:t>
      </w:r>
      <w:r>
        <w:rPr>
          <w:rFonts w:ascii="Times New Roman" w:cs="Times New Roman" w:eastAsia="Times New Roman" w:hAnsi="Times New Roman"/>
          <w:sz w:val="20"/>
          <w:szCs w:val="20"/>
          <w:color w:val="auto"/>
        </w:rPr>
        <w:t>within the meaning of article L 631-1 of the French Commercial Code) or will have admitted in writing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inability to pay its debts as they fall due; (iv) no Credit Party organized under the laws of France will be subject to safeguard proceedings (</w:t>
      </w:r>
      <w:r>
        <w:rPr>
          <w:rFonts w:ascii="Times New Roman" w:cs="Times New Roman" w:eastAsia="Times New Roman" w:hAnsi="Times New Roman"/>
          <w:sz w:val="20"/>
          <w:szCs w:val="20"/>
          <w:i w:val="1"/>
          <w:iCs w:val="1"/>
          <w:color w:val="auto"/>
        </w:rPr>
        <w:t>procédure de sauvegarde</w:t>
      </w:r>
      <w:r>
        <w:rPr>
          <w:rFonts w:ascii="Times New Roman" w:cs="Times New Roman" w:eastAsia="Times New Roman" w:hAnsi="Times New Roman"/>
          <w:sz w:val="20"/>
          <w:szCs w:val="20"/>
          <w:color w:val="auto"/>
        </w:rPr>
        <w:t xml:space="preserve">), within the meaning of Article L. 620-1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of the French Commercial Code (which shall include, for the avoidance of doubt, </w:t>
      </w:r>
      <w:r>
        <w:rPr>
          <w:rFonts w:ascii="Times New Roman" w:cs="Times New Roman" w:eastAsia="Times New Roman" w:hAnsi="Times New Roman"/>
          <w:sz w:val="20"/>
          <w:szCs w:val="20"/>
          <w:i w:val="1"/>
          <w:iCs w:val="1"/>
          <w:color w:val="auto"/>
        </w:rPr>
        <w:t>sauvegarde accélérée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sauvegarde financière accélérée</w:t>
      </w:r>
      <w:r>
        <w:rPr>
          <w:rFonts w:ascii="Times New Roman" w:cs="Times New Roman" w:eastAsia="Times New Roman" w:hAnsi="Times New Roman"/>
          <w:sz w:val="20"/>
          <w:szCs w:val="20"/>
          <w:color w:val="auto"/>
        </w:rPr>
        <w:t xml:space="preserve">); and (v) no Credit Party will have commenced negotiations with any of its creditors with a view to the general readjustment or rescheduling of any of its indebtedness or will have made a general assignment for the benefit of any of its creditors and/or will have entered into any settlement agreement or amicable arrangement with any of its creditors (with respect to a Credit Party organized under the laws of France, transactions, </w:t>
      </w:r>
      <w:r>
        <w:rPr>
          <w:rFonts w:ascii="Times New Roman" w:cs="Times New Roman" w:eastAsia="Times New Roman" w:hAnsi="Times New Roman"/>
          <w:sz w:val="20"/>
          <w:szCs w:val="20"/>
          <w:i w:val="1"/>
          <w:iCs w:val="1"/>
          <w:color w:val="auto"/>
        </w:rPr>
        <w:t>accord de conciliation</w:t>
      </w:r>
      <w:r>
        <w:rPr>
          <w:rFonts w:ascii="Times New Roman" w:cs="Times New Roman" w:eastAsia="Times New Roman" w:hAnsi="Times New Roman"/>
          <w:sz w:val="20"/>
          <w:szCs w:val="20"/>
          <w:color w:val="auto"/>
        </w:rPr>
        <w:t>), or will have stopped or suspended payment of all or substantially all of its debts or will have announced an intention to do so, or will have a moratorium declared in respect of any of its indebtedness.</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6.5.2.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Set forth on (i) </w:t>
      </w:r>
      <w:r>
        <w:rPr>
          <w:rFonts w:ascii="Times New Roman" w:cs="Times New Roman" w:eastAsia="Times New Roman" w:hAnsi="Times New Roman"/>
          <w:sz w:val="20"/>
          <w:szCs w:val="20"/>
          <w:u w:val="single" w:color="auto"/>
          <w:color w:val="auto"/>
        </w:rPr>
        <w:t>Schedule 6.5(b)(i)</w:t>
      </w:r>
      <w:r>
        <w:rPr>
          <w:rFonts w:ascii="Times New Roman" w:cs="Times New Roman" w:eastAsia="Times New Roman" w:hAnsi="Times New Roman"/>
          <w:sz w:val="20"/>
          <w:szCs w:val="20"/>
          <w:color w:val="auto"/>
        </w:rPr>
        <w:t xml:space="preserve"> hereto is a list and description of all Indebtedness of the Credit Parties and their respective Subsidiaries (other than the Loans), in each case, with an aggregate outstanding principal amount in excess of $5,000,000 that will be outstanding as of the Incremental Amendment No. 3 and Fifth Amendment Effective Date; (ii) </w:t>
      </w:r>
      <w:r>
        <w:rPr>
          <w:rFonts w:ascii="Times New Roman" w:cs="Times New Roman" w:eastAsia="Times New Roman" w:hAnsi="Times New Roman"/>
          <w:sz w:val="20"/>
          <w:szCs w:val="20"/>
          <w:u w:val="single" w:color="auto"/>
          <w:color w:val="auto"/>
        </w:rPr>
        <w:t>Schedule 6.5(b)(ii)</w:t>
      </w:r>
      <w:r>
        <w:rPr>
          <w:rFonts w:ascii="Times New Roman" w:cs="Times New Roman" w:eastAsia="Times New Roman" w:hAnsi="Times New Roman"/>
          <w:sz w:val="20"/>
          <w:szCs w:val="20"/>
          <w:color w:val="auto"/>
        </w:rPr>
        <w:t xml:space="preserve"> hereto is a list and description of the Existing Non-U.S. Facilities and the obligations of any Subsidiary of Crown Holdings that has any Guarantee Obligations with respect to, is an obligor under or provides credit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16" w:name="page217"/>
    <w:bookmarkEnd w:id="216"/>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support in respect of such Existing Non-U.S. Facilities, in each case, with an aggregate outstanding principal amount in excess of $5,000,000, as of the Incremental Amendment No. 3 and Fifth Amendment Effective Date; and (iii) </w:t>
      </w:r>
      <w:r>
        <w:rPr>
          <w:rFonts w:ascii="Times New Roman" w:cs="Times New Roman" w:eastAsia="Times New Roman" w:hAnsi="Times New Roman"/>
          <w:sz w:val="19"/>
          <w:szCs w:val="19"/>
          <w:u w:val="single" w:color="auto"/>
          <w:color w:val="auto"/>
        </w:rPr>
        <w:t>Schedule 6.5(b)(iii)</w:t>
      </w:r>
      <w:r>
        <w:rPr>
          <w:rFonts w:ascii="Times New Roman" w:cs="Times New Roman" w:eastAsia="Times New Roman" w:hAnsi="Times New Roman"/>
          <w:sz w:val="19"/>
          <w:szCs w:val="19"/>
          <w:color w:val="auto"/>
        </w:rPr>
        <w:t xml:space="preserve"> hereto is a list and description of the Existing Factoring Facilities of the Credit Parties and their respective Subsidiaries and the obligations of any Subsidiary of Crown Holdings that has any Guarantee Obligations with respect to, is an obligor under or provides credit support in respect of such Existing Factoring Facilities, in each case, with an aggregate outstanding principal amount in excess of $5,000,000, as of the Incremental Amendment No. 3 and Fifth Amendment Effective Date (collectively, including such Indebtedness described in this </w:t>
      </w:r>
      <w:r>
        <w:rPr>
          <w:rFonts w:ascii="Times New Roman" w:cs="Times New Roman" w:eastAsia="Times New Roman" w:hAnsi="Times New Roman"/>
          <w:sz w:val="19"/>
          <w:szCs w:val="19"/>
          <w:u w:val="single" w:color="auto"/>
          <w:color w:val="auto"/>
        </w:rPr>
        <w:t>Section 6.5(b)</w:t>
      </w:r>
      <w:r>
        <w:rPr>
          <w:rFonts w:ascii="Times New Roman" w:cs="Times New Roman" w:eastAsia="Times New Roman" w:hAnsi="Times New Roman"/>
          <w:sz w:val="19"/>
          <w:szCs w:val="19"/>
          <w:color w:val="auto"/>
        </w:rPr>
        <w:t xml:space="preserve"> and not required to be scheduled, the “</w:t>
      </w:r>
      <w:r>
        <w:rPr>
          <w:rFonts w:ascii="Times New Roman" w:cs="Times New Roman" w:eastAsia="Times New Roman" w:hAnsi="Times New Roman"/>
          <w:sz w:val="19"/>
          <w:szCs w:val="19"/>
          <w:u w:val="single" w:color="auto"/>
          <w:color w:val="auto"/>
        </w:rPr>
        <w:t>Indebtedness to Remain Outstanding</w:t>
      </w:r>
      <w:r>
        <w:rPr>
          <w:rFonts w:ascii="Times New Roman" w:cs="Times New Roman" w:eastAsia="Times New Roman" w:hAnsi="Times New Roman"/>
          <w:sz w:val="19"/>
          <w:szCs w:val="19"/>
          <w:color w:val="auto"/>
        </w:rPr>
        <w:t xml:space="preserve">”), in each case showing the outstanding aggregate principal amount thereof (and the aggregate amount of any undrawn commitments with respect thereto) and the name of the respective obligor and any other entity which directly or indirectly guaranteed such debt. No Indebtedness to Remain Outstanding has been incurred in connection with, or in contemplation of, the Transactions or the other transactions contemplated hereby. Crown Holdings has delivered or caused to be delivered to Administrative Agent a true and complete copy of the form of each material instrument evidencing Indebtedness for money borrowed listed on </w:t>
      </w:r>
      <w:r>
        <w:rPr>
          <w:rFonts w:ascii="Times New Roman" w:cs="Times New Roman" w:eastAsia="Times New Roman" w:hAnsi="Times New Roman"/>
          <w:sz w:val="19"/>
          <w:szCs w:val="19"/>
          <w:u w:val="single" w:color="auto"/>
          <w:color w:val="auto"/>
        </w:rPr>
        <w:t>Schedule 6.5(b)(i)</w:t>
      </w:r>
      <w:r>
        <w:rPr>
          <w:rFonts w:ascii="Times New Roman" w:cs="Times New Roman" w:eastAsia="Times New Roman" w:hAnsi="Times New Roman"/>
          <w:sz w:val="19"/>
          <w:szCs w:val="19"/>
          <w:color w:val="auto"/>
        </w:rPr>
        <w:t xml:space="preserve"> and of each material agreement or instrument pursuant to which such Indebtedness for money borrowed was issued.</w:t>
      </w:r>
    </w:p>
    <w:p>
      <w:pPr>
        <w:spacing w:after="0" w:line="17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6.5.3.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On and as of the Effective Date, the financial projections previously delivered to Administrative Agent for further distribution to the Lenders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and each of the budgets and projections delivered after the Effective Date pursuant to </w:t>
      </w:r>
      <w:r>
        <w:rPr>
          <w:rFonts w:ascii="Times New Roman" w:cs="Times New Roman" w:eastAsia="Times New Roman" w:hAnsi="Times New Roman"/>
          <w:sz w:val="20"/>
          <w:szCs w:val="20"/>
          <w:u w:val="single" w:color="auto"/>
          <w:color w:val="auto"/>
        </w:rPr>
        <w:t>Section 7.2(c)</w:t>
      </w:r>
      <w:r>
        <w:rPr>
          <w:rFonts w:ascii="Times New Roman" w:cs="Times New Roman" w:eastAsia="Times New Roman" w:hAnsi="Times New Roman"/>
          <w:sz w:val="20"/>
          <w:szCs w:val="20"/>
          <w:color w:val="auto"/>
        </w:rPr>
        <w:t xml:space="preserve"> are, at the time made, based on good faith estimates and assumptions made by the management of Crown Holdings, which assumptions were believed by management of Crown Holdings to be reasonable at the time made, it being understood that uncertainty is inherent in any forecasts or projections, such projections are not to be viewed as facts, that actual results during the period or periods covered by such projections may differ from such projections and the differences may be material, and that no assurance can be given that the results set forth in the Projections will actually be obtained.</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6.5.4. </w:t>
      </w:r>
      <w:r>
        <w:rPr>
          <w:rFonts w:ascii="Times New Roman" w:cs="Times New Roman" w:eastAsia="Times New Roman" w:hAnsi="Times New Roman"/>
          <w:sz w:val="20"/>
          <w:szCs w:val="20"/>
          <w:u w:val="single" w:color="auto"/>
          <w:color w:val="auto"/>
        </w:rPr>
        <w:t>No Material Adverse Change</w:t>
      </w:r>
      <w:r>
        <w:rPr>
          <w:rFonts w:ascii="Times New Roman" w:cs="Times New Roman" w:eastAsia="Times New Roman" w:hAnsi="Times New Roman"/>
          <w:sz w:val="20"/>
          <w:szCs w:val="20"/>
          <w:color w:val="auto"/>
        </w:rPr>
        <w:t>. Since December 31, 2016, there has been no material adverse change in the financial condition of Crown Holdings and its Subsidiaries, taken as a whole.</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6.6. Litigation. There are no actions or proceedings pending or, to the knowledge of any of the Credit Parties, threatened in writing against any Credit Party (i) that would reasonably be expected to have a Material Adverse Effect, or (ii) which purports to affect the legality, validity or enforceability of this Agreement, any Loan Document or the transactions contemplated hereby or thereby.</w:t>
      </w:r>
    </w:p>
    <w:p>
      <w:pPr>
        <w:spacing w:after="0" w:line="16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6.7. True and Complete Disclosure. To Crown Holding’s knowledge, all written information (taken as a whole) heretofore or contemporaneously furnished by or on behalf of any Credit Party in writing to any Lender (including, without limitation, all information contained in the Loan Documents) (other than the Projections, as to which </w:t>
      </w:r>
      <w:r>
        <w:rPr>
          <w:rFonts w:ascii="Times New Roman" w:cs="Times New Roman" w:eastAsia="Times New Roman" w:hAnsi="Times New Roman"/>
          <w:sz w:val="20"/>
          <w:szCs w:val="20"/>
          <w:u w:val="single" w:color="auto"/>
          <w:color w:val="auto"/>
        </w:rPr>
        <w:t>Section 6.5(c)</w:t>
      </w:r>
      <w:r>
        <w:rPr>
          <w:rFonts w:ascii="Times New Roman" w:cs="Times New Roman" w:eastAsia="Times New Roman" w:hAnsi="Times New Roman"/>
          <w:sz w:val="20"/>
          <w:szCs w:val="20"/>
          <w:color w:val="auto"/>
        </w:rPr>
        <w:t xml:space="preserve"> applies, and any forecast, estimates, pro forma information, projections and statements as to anticipated future performance or conditions and other than information of a general economic or industry specific nature or financial information) for purposes of or in connection with this Agreement or any transaction contemplated herein is, as modified or supplemented by other information (taken as a whole) so furnished from time to time, when taken as a whole, do not contain as of the date furnished (or, if such information expressly related to a specific date, as of such specific date) any untrue statement of material fact or omit to state a material fact necessary in order to make the statements contained herein or therein, in light of the circumstances under which they were made, not materially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this or any such document, certificate or statement was based upon or constitutes a forecast estimate, pro forma information or projection, statement as to anticipated future performance or conditions or general economic, industry specific 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17" w:name="page218"/>
    <w:bookmarkEnd w:id="217"/>
    <w:p>
      <w:pPr>
        <w:jc w:val="both"/>
        <w:spacing w:after="0" w:line="258" w:lineRule="auto"/>
        <w:rPr>
          <w:sz w:val="20"/>
          <w:szCs w:val="20"/>
          <w:color w:val="auto"/>
        </w:rPr>
      </w:pPr>
      <w:r>
        <w:rPr>
          <w:rFonts w:ascii="Times New Roman" w:cs="Times New Roman" w:eastAsia="Times New Roman" w:hAnsi="Times New Roman"/>
          <w:sz w:val="20"/>
          <w:szCs w:val="20"/>
          <w:color w:val="auto"/>
        </w:rPr>
        <w:t>financial information, it is understood that such document, certificate or statement is not to be viewed as fact, that actual results during the period or periods covered by such document, certificate or statement may differ from such document, certificate or statement and the differences may be material, and that no assurance can be given that the results set forth in such document, certificate or statement will actually be obtained.</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19"/>
          <w:szCs w:val="19"/>
          <w:color w:val="auto"/>
        </w:rPr>
        <w:t>Use of Proceeds; Margin Regulations.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6.8.1. </w:t>
      </w:r>
      <w:r>
        <w:rPr>
          <w:rFonts w:ascii="Times New Roman" w:cs="Times New Roman" w:eastAsia="Times New Roman" w:hAnsi="Times New Roman"/>
          <w:sz w:val="20"/>
          <w:szCs w:val="20"/>
          <w:u w:val="single" w:color="auto"/>
          <w:color w:val="auto"/>
        </w:rPr>
        <w:t>Effective Date Proceeds</w:t>
      </w:r>
      <w:r>
        <w:rPr>
          <w:rFonts w:ascii="Times New Roman" w:cs="Times New Roman" w:eastAsia="Times New Roman" w:hAnsi="Times New Roman"/>
          <w:sz w:val="20"/>
          <w:szCs w:val="20"/>
          <w:color w:val="auto"/>
        </w:rPr>
        <w:t>. The proceeds of (x) the Term Loans and Revolving Loans incurred on the Effective Date hereunder shall be used by the Borrowers (i) to refinance all Indebtedness and other obligations under the Existing Credit Agreement, (ii) to pay transaction costs and expenses in connection with this Agreement and the transactions contemplated hereby and (iii) with regard to any remaining amount, for general corporate purposes.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6.8.2. </w:t>
      </w:r>
      <w:r>
        <w:rPr>
          <w:rFonts w:ascii="Times New Roman" w:cs="Times New Roman" w:eastAsia="Times New Roman" w:hAnsi="Times New Roman"/>
          <w:sz w:val="20"/>
          <w:szCs w:val="20"/>
          <w:u w:val="single" w:color="auto"/>
          <w:color w:val="auto"/>
        </w:rPr>
        <w:t>Revolving Loan Proceeds</w:t>
      </w:r>
      <w:r>
        <w:rPr>
          <w:rFonts w:ascii="Times New Roman" w:cs="Times New Roman" w:eastAsia="Times New Roman" w:hAnsi="Times New Roman"/>
          <w:sz w:val="20"/>
          <w:szCs w:val="20"/>
          <w:color w:val="auto"/>
        </w:rPr>
        <w:t>. All proceeds of the Revolving Loans incurred hereunder shall be used by Crown Holdings and its Subsidiaries for ongoing working capital needs, acquisitions, share repurchases and other general corporate purposes, including, but not limited to, (x) the refinancing in part or in full of the Loans as defined and as outstanding under this Agreement immediately prior to giving effect to the Incremental Amendment No. 2 and Third Amendment and (y) to pay fees and expenses incurred in connection with the Incremental Amendment No. 2 and Third Amendment and any other transactions contemplated by or otherwise permitted under this Agreement.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6.8.3.</w:t>
      </w:r>
      <w:r>
        <w:rPr>
          <w:sz w:val="20"/>
          <w:szCs w:val="20"/>
          <w:color w:val="auto"/>
        </w:rPr>
        <w:tab/>
      </w: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No proceeds of any Loan will be used in a violation of any provision of Regulation U or X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6.8.4.</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6.8.5. </w:t>
      </w:r>
      <w:r>
        <w:rPr>
          <w:rFonts w:ascii="Times New Roman" w:cs="Times New Roman" w:eastAsia="Times New Roman" w:hAnsi="Times New Roman"/>
          <w:sz w:val="20"/>
          <w:szCs w:val="20"/>
          <w:u w:val="single" w:color="auto"/>
          <w:color w:val="auto"/>
        </w:rPr>
        <w:t>Incremental Amendment No. 3 and Fifth Amendment Proceeds</w:t>
      </w:r>
      <w:r>
        <w:rPr>
          <w:rFonts w:ascii="Times New Roman" w:cs="Times New Roman" w:eastAsia="Times New Roman" w:hAnsi="Times New Roman"/>
          <w:sz w:val="20"/>
          <w:szCs w:val="20"/>
          <w:color w:val="auto"/>
        </w:rPr>
        <w:t>. The proceeds of the Term A Loans and Term Euro Loans incurred on the Incremental Amendment No. 3 and Fifth Amendment Effective Date shall be used by the U.S. Borrower and European Borrower as set forth in the Incremental Amendment No. 3 and Fifth Amendment.</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6.9. Taxes. Each of Crown Holdings and its Subsidiaries has timely filed all federal income, foreign country income and other material Tax returns and reports required by law to have been filed by it. Each of Crown Holdings and its Subsidiaries has paid all Taxes payable by it before they have become delinquent other than (i) such Taxes that are being contested in good faith by proper proceedings diligently conducted and for which adequate reserves have been established in conformity with GAAP and (ii) such Taxes that, individually or in the aggregate, would not reasonably be expected to have a Material Adverse Effect.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color w:val="auto"/>
        </w:rPr>
        <w:t>Compliance With ERISA; Foreign Pension Plans.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6.10.1. No Termination Event has occurred or is reasonably expected to occur which would reasonably be expected to have a Material Adverse Effect or give rise to a Lien other than a Permitted Lien. Crown Holdings and its Subsidiaries or any ERISA Affiliates are in compliance in all material respects with the presently applicable provisions of applicable law, including ERISA and the Code, with respect to each Plan. No condition exists or event or transaction has occurred with respect to any Plan which reasonably might result in the incurrence by Crown Holdings and its Subsidiaries or any ERISA Affiliates of any liability, fine or penalty which would reasonably be expected to have a Material Adverse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18" w:name="page219"/>
    <w:bookmarkEnd w:id="218"/>
    <w:p>
      <w:pPr>
        <w:jc w:val="both"/>
        <w:spacing w:after="0" w:line="258" w:lineRule="auto"/>
        <w:rPr>
          <w:sz w:val="20"/>
          <w:szCs w:val="20"/>
          <w:color w:val="auto"/>
        </w:rPr>
      </w:pPr>
      <w:r>
        <w:rPr>
          <w:rFonts w:ascii="Times New Roman" w:cs="Times New Roman" w:eastAsia="Times New Roman" w:hAnsi="Times New Roman"/>
          <w:sz w:val="20"/>
          <w:szCs w:val="20"/>
          <w:color w:val="auto"/>
        </w:rPr>
        <w:t>Effect. Crown Holdings and its Subsidiaries or any ERISA Affiliates have no contingent liability with respect to post-retirement benefits provided by Crown Holdings and its Subsidiaries or any ERISA Affiliates under a Welfare Plan, other than (i) liability for continuation coverage described in Part 6 of Subtitle B of Title I of ERISA and (ii) liabilities that, individually or in the aggregate, would not reasonably be expected to have a Material Adverse Effect.</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6.10.2. Except as would not reasonably be expected to have a Material Adverse Effect, (i) each Foreign Plan has been established, registered, amended, funded, invested and administered in compliance with its terms and with the requirements of any and all applicable laws, statutes, rules, regulations and orders, including all funding and contribution requirements, and has been maintained, where required, in good standing with applicable regulatory authorities, (ii) neither any Credit Party nor any Subsidiary has incurred any obligation in connection with the termination of or withdrawal from any Foreign Plan, (iii) all employer and employee payments, contributions and premiums required to be remitted or paid to or in respect of each Foreign Plan have been paid or remitted in accordance with its terms and all applicable laws and (iv) there is no investigation by a Governmental Authority or claim (other than routine claims for payment of benefits) pending or, to the knowledge of any Credit Party, threatened involving any Foreign Plan or its assets, and no facts exist which could reasonably be expected to give rise to any such investigation or claim (other than routine claims for payment of benefits).</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6.10.3. </w:t>
      </w:r>
      <w:r>
        <w:rPr>
          <w:rFonts w:ascii="Times New Roman" w:cs="Times New Roman" w:eastAsia="Times New Roman" w:hAnsi="Times New Roman"/>
          <w:sz w:val="20"/>
          <w:szCs w:val="20"/>
          <w:u w:val="single" w:color="auto"/>
          <w:color w:val="auto"/>
        </w:rPr>
        <w:t>Schedule 6.10(c)</w:t>
      </w:r>
      <w:r>
        <w:rPr>
          <w:rFonts w:ascii="Times New Roman" w:cs="Times New Roman" w:eastAsia="Times New Roman" w:hAnsi="Times New Roman"/>
          <w:sz w:val="20"/>
          <w:szCs w:val="20"/>
          <w:color w:val="auto"/>
        </w:rPr>
        <w:t xml:space="preserve"> lists all of the Canadian Defined Benefit Plans as of the Effective Date. As of the Effective Date, the hypothetical wind-up deficiency, going concern deficiency and solvency deficiency of each Canadian Defined Benefit Plan as of the date of the most recently filed actuarial valuation for such plan prior to the Effective Date is set out in </w:t>
      </w:r>
      <w:r>
        <w:rPr>
          <w:rFonts w:ascii="Times New Roman" w:cs="Times New Roman" w:eastAsia="Times New Roman" w:hAnsi="Times New Roman"/>
          <w:sz w:val="20"/>
          <w:szCs w:val="20"/>
          <w:u w:val="single" w:color="auto"/>
          <w:color w:val="auto"/>
        </w:rPr>
        <w:t>Schedule 6.10(c)</w:t>
      </w:r>
      <w:r>
        <w:rPr>
          <w:rFonts w:ascii="Times New Roman" w:cs="Times New Roman" w:eastAsia="Times New Roman" w:hAnsi="Times New Roman"/>
          <w:sz w:val="20"/>
          <w:szCs w:val="20"/>
          <w:color w:val="auto"/>
        </w:rPr>
        <w:t xml:space="preserve"> or has otherwise been disclosed to the Canadian Administrative Agent. As of the Effective Date, the wind-up deficiency related to any prior wind-up or partial wind-up of a Canadian Defined Benefit Plan as of the date of the most recently filed actuarial valuation for such plan prior to the Effective Date is set out in </w:t>
      </w:r>
      <w:r>
        <w:rPr>
          <w:rFonts w:ascii="Times New Roman" w:cs="Times New Roman" w:eastAsia="Times New Roman" w:hAnsi="Times New Roman"/>
          <w:sz w:val="20"/>
          <w:szCs w:val="20"/>
          <w:u w:val="single" w:color="auto"/>
          <w:color w:val="auto"/>
        </w:rPr>
        <w:t>Schedule 6.10(c)</w:t>
      </w:r>
      <w:r>
        <w:rPr>
          <w:rFonts w:ascii="Times New Roman" w:cs="Times New Roman" w:eastAsia="Times New Roman" w:hAnsi="Times New Roman"/>
          <w:sz w:val="20"/>
          <w:szCs w:val="20"/>
          <w:color w:val="auto"/>
        </w:rPr>
        <w:t xml:space="preserve"> or has otherwise been disclosed to the Canadian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disclosure shall not be required where a Canadian Defined Benefit Plan has been wound-up or partially wound-up and all plan assets and benefits owing to affected members, including any surplus, attributable to such wind-up or partial wind-up have been fully distributed or paid out in accordance with all applicable laws. With respect to each Canadian Defined Benefit Plan (i) except as disclosed in </w:t>
      </w:r>
      <w:r>
        <w:rPr>
          <w:rFonts w:ascii="Times New Roman" w:cs="Times New Roman" w:eastAsia="Times New Roman" w:hAnsi="Times New Roman"/>
          <w:sz w:val="20"/>
          <w:szCs w:val="20"/>
          <w:u w:val="single" w:color="auto"/>
          <w:color w:val="auto"/>
        </w:rPr>
        <w:t>Schedule 6.10(c)</w:t>
      </w:r>
      <w:r>
        <w:rPr>
          <w:rFonts w:ascii="Times New Roman" w:cs="Times New Roman" w:eastAsia="Times New Roman" w:hAnsi="Times New Roman"/>
          <w:sz w:val="20"/>
          <w:szCs w:val="20"/>
          <w:color w:val="auto"/>
        </w:rPr>
        <w:t>, no Canadian Pension Termination Event has occurred, (ii) all reports and disclosures relating to the Canadian Defined Benefit Plan required by any applicable laws have been filed or distributed in a timely fashion, except as would not reasonably be expected to have a Material Adverse Effect and (iii) all obligations of any Canadian Credit Party required to be performed in connection with the Canadian Defined Benefit Plans or the funding agreements therefor have been performed in a timely fashion and there are no outstanding disputes concerning the assets held pursuant to any such funding agreement, except as would not reasonably be expected to have a Material Adverse Effect. No Canadian Credit Party contributes to, or has any obligation to contribute to, any Multiple Employer Plan.</w:t>
      </w:r>
    </w:p>
    <w:p>
      <w:pPr>
        <w:spacing w:after="0" w:line="20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color w:val="auto"/>
        </w:rPr>
        <w:t>Security Documents.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6.11.1. The U.S. Pledge Agreement is effective to create in favor of the U.S. Collateral Agent, for its benefit and the benefit of the Secured Creditors named therein, a legal, valid and enforceable (subject to clause (a) in the definition of Legal Reservations) security interest in the Collateral securing the Obligations (as defined in the U.S. Pledge Agreement). In the case of the Pledged Securities to the extent represented by certificated securities (the “</w:t>
      </w:r>
      <w:r>
        <w:rPr>
          <w:rFonts w:ascii="Times New Roman" w:cs="Times New Roman" w:eastAsia="Times New Roman" w:hAnsi="Times New Roman"/>
          <w:sz w:val="20"/>
          <w:szCs w:val="20"/>
          <w:u w:val="single" w:color="auto"/>
          <w:color w:val="auto"/>
        </w:rPr>
        <w:t>Certificated Pledged Stock</w:t>
      </w:r>
      <w:r>
        <w:rPr>
          <w:rFonts w:ascii="Times New Roman" w:cs="Times New Roman" w:eastAsia="Times New Roman" w:hAnsi="Times New Roman"/>
          <w:sz w:val="20"/>
          <w:szCs w:val="20"/>
          <w:color w:val="auto"/>
        </w:rPr>
        <w:t>”) described in the U.S. Pledge Agreement, as a result of certificates representing such Certificated Pledged Stock having been delivered to the Collateral Agent, the security interests created by the U.S. Pledge Agreement in such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19" w:name="page220"/>
    <w:bookmarkEnd w:id="219"/>
    <w:p>
      <w:pPr>
        <w:jc w:val="both"/>
        <w:spacing w:after="0" w:line="283" w:lineRule="auto"/>
        <w:rPr>
          <w:sz w:val="20"/>
          <w:szCs w:val="20"/>
          <w:color w:val="auto"/>
        </w:rPr>
      </w:pPr>
      <w:r>
        <w:rPr>
          <w:rFonts w:ascii="Times New Roman" w:cs="Times New Roman" w:eastAsia="Times New Roman" w:hAnsi="Times New Roman"/>
          <w:sz w:val="20"/>
          <w:szCs w:val="20"/>
          <w:color w:val="auto"/>
        </w:rPr>
        <w:t>Certificated Pledged Stock constitute a fully perfected Lien (to the extent such Lien can be perfected by possession) having the priority set forth therein (subject to Permitted Liens).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6.11.2. [Reserved].</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6.11.3. The U.S. Security Agreement is effective to create in favor of the U.S. Collateral Agent, for its benefit and the benefit of the Secured Creditors named therein, a legal, valid and enforceable (subject to clause (a) in the definition of Legal Reservations) security interest in the Collateral securing the Obligations (as defined in the U.S. Security Agreement). As a result of financing statements in appropriate form having been filed with the appropriate offices, the security interest in the Collateral (including registered trademarks and registered patents, but excluding registered copyrights) described in the U.S. Security Agreement constitutes a fully perfected Lien (to the extent such Lien can be perfected by filing, recording or registering under the UCC) on, and security interest in, all right, title and interest of the grantors thereunder in such Collateral (including registered trademarks and registered patents, but excluding registered copyrights), in each case having the priority set forth therein (except Permitted Liens).</w:t>
      </w:r>
    </w:p>
    <w:p>
      <w:pPr>
        <w:spacing w:after="0" w:line="19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6.11.4. As a result of security agreements, financing statements and/or analogous documents in appropriate form having been filed with the appropriate offices, including the United States Copyright Office, the security interest in the Collateral described in the U.S. Security Agreement that are registered copyrights constitutes a fully perfected Lien (to the extent such Lien can be perfected by filing, recording or registering in such appropriate offices, including the United States Copyright Office), in each case having the priority set forth therein (except Permitted Liens) (it being understood that subsequent recordings in the United States Copyright Office may be necessary to perfect a Lien on registered copyrights acquired by the Credit Parties after the Incremental Amendment No. 3 and Fifth Amendment Effective Date).</w:t>
      </w:r>
    </w:p>
    <w:p>
      <w:pPr>
        <w:spacing w:after="0" w:line="1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6.11.5. The security agreements entered into by the Canadian Credit Parties are effective (subject to the Legal Reservations) to create in favor of the Canadian Administrative Agent, for its benefit and the benefit of the Secured Creditors named in the applicable security agreement, a legal, valid and enforceable security interest in the Collateral securing the Obligations (as defined in the each applicable security agreement) having the priority set forth therein and, upon the taking of possession or control by the Canadian Administrative Agent of any such Collateral in which a security interest may be perfected only by possession or control (which possession or control shall be given to the Canadian Administrative Agent to the extent possession or control by the Canadian Administrative Agent is required by any Security Document), the Canadian Administrative Agent, constitutes a fully perfected Lien on, and security interest in, all right, title and interest of the grantors thereunder in such Collateral, to the extent such Lien and security interest can be perfected by the filing of a financing statement pursuant to the UCC or by possession or control by the Canadian Administrative Agent, in each case prior and superior in right to any other Person, other than with respect to Permitted Liens.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6.11.6. Subject to the filings, amendments, undertakings and other actions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the Incremental Amendment No. 2 and Third Amendment, each Euro Security Document is effective (subject to the Legal Reservations) to create in favor of the Euro Collateral Agent, for the benefit of the Secured Creditors named therein, a legal, valid and enforceable security interest in the assets purported to be encumbered thereby having the priority set forth therein and, when (x) all appropriate filings, notices or recordings are made in the appropriate offices, corporate records or with the appropriate Persons as may be required under applicable laws and/or any Euro Security Document, (y) upon the taking of possession or control by the Euro Collateral Agent of any such Collateral in which a security interest may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20" w:name="page221"/>
    <w:bookmarkEnd w:id="220"/>
    <w:p>
      <w:pPr>
        <w:jc w:val="both"/>
        <w:spacing w:after="0" w:line="276" w:lineRule="auto"/>
        <w:rPr>
          <w:sz w:val="20"/>
          <w:szCs w:val="20"/>
          <w:color w:val="auto"/>
        </w:rPr>
      </w:pPr>
      <w:r>
        <w:rPr>
          <w:rFonts w:ascii="Times New Roman" w:cs="Times New Roman" w:eastAsia="Times New Roman" w:hAnsi="Times New Roman"/>
          <w:sz w:val="19"/>
          <w:szCs w:val="19"/>
          <w:color w:val="auto"/>
        </w:rPr>
        <w:t xml:space="preserve">be perfected only by possession or control (which possession or control shall be given to the Euro Collateral Agent to the extent possession or control by the Euro Collateral Agent is required by any Euro Security Document) and (z) any further action required under </w:t>
      </w:r>
      <w:r>
        <w:rPr>
          <w:rFonts w:ascii="Times New Roman" w:cs="Times New Roman" w:eastAsia="Times New Roman" w:hAnsi="Times New Roman"/>
          <w:sz w:val="19"/>
          <w:szCs w:val="19"/>
          <w:u w:val="single" w:color="auto"/>
          <w:color w:val="auto"/>
        </w:rPr>
        <w:t>Section 7.14</w:t>
      </w:r>
      <w:r>
        <w:rPr>
          <w:rFonts w:ascii="Times New Roman" w:cs="Times New Roman" w:eastAsia="Times New Roman" w:hAnsi="Times New Roman"/>
          <w:sz w:val="19"/>
          <w:szCs w:val="19"/>
          <w:color w:val="auto"/>
        </w:rPr>
        <w:t xml:space="preserve"> are taken, each Euro Security Document shall constitute a fully perfected Lien on, and security interest in, all right, title and interest of the grantors thereunder in such Collateral, in each case prior and superior in right to any other Person, other than with respect to Permitted Liens.</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6.12. Ownership of Property. Crown Holdings and each of its Material Subsidiaries has good and marketable title to, a subsisting leasehold interest in, or right to use, all items of material real and tangible personal property used in its operations, free and clear of all Liens (except as to leasehold interests), except Permitted Liens and except as would not reasonably be expected to have a Material Adverse Effect. Substantially all items of real property owned by, leased to or used by Crown Holdings and each of its Material Subsidiaries are free and clear of any known defects in title except such defects as do not substantially interfere with the continued use thereof in the conduct of normal operations, and except Permitted Real Property Encumbrances except as would reasonably be expected to have a Material Adverse Effect.</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6.13. Capitalization of Credit Parties. As of the Effective Date, all outstanding shares of Capital Stock of each Credit Party’s Subsidiaries have been duly authorized and validly issued and are fully paid and non-assessable (to the extent applicable) and are owned, directly or indirectly by a Credit Party, free and clear of all Liens other than those created by the Security Documents and Permitted Liens. As of the Effective Date, except as otherwise permitted by this Agreement, no authorized but unissued or treasury shares of Capital Stock of each Credit Party’s Subsidiaries are subject to any option, warrant, right to call or commitment of any kind or character. As of the Effective Date, except as otherwise permitted by the Agreement, none of any Credit Party’s Subsidiaries has any outstanding stock or securities convertible into or exchangeable for any shares of its Capital Stock, or any rights issued to any Person (either preemptive or other) to subscribe for or to purchase, or any options for the purchase of, or any agreements providing for the issuance (contingent or otherwise) of, or any calls, commitments or claims of any character relating to any of its Capital Stock or any stock or securities convertible into or exchangeable for any of its Capital Stock (other than as disclosed to the Lenders prior to the Effective Date).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6.14. Subsidiaries. </w:t>
      </w:r>
      <w:r>
        <w:rPr>
          <w:rFonts w:ascii="Times New Roman" w:cs="Times New Roman" w:eastAsia="Times New Roman" w:hAnsi="Times New Roman"/>
          <w:sz w:val="20"/>
          <w:szCs w:val="20"/>
          <w:u w:val="single" w:color="auto"/>
          <w:color w:val="auto"/>
        </w:rPr>
        <w:t>Schedule 6.14</w:t>
      </w:r>
      <w:r>
        <w:rPr>
          <w:rFonts w:ascii="Times New Roman" w:cs="Times New Roman" w:eastAsia="Times New Roman" w:hAnsi="Times New Roman"/>
          <w:sz w:val="20"/>
          <w:szCs w:val="20"/>
          <w:color w:val="auto"/>
        </w:rPr>
        <w:t xml:space="preserve"> hereto sets forth a true, complete and correct list as of the Effective Date of all Subsidiaries of any Credit Party after giving effect to the Transactions and indicates for each such Subsidiary (i) its jurisdiction of organization and federal employer identification number (where applicable) or equivalent organizational number in its jurisdiction of organization and exact legal name as it appears on the certificate of incorporation or other state, provincial, territorial or applicable Governmental Authority issued Organic Document, (ii) its ownership (by holder and percentage interest), (iii) whether such Subsidiary is a U.S. Subsidiary or a Non-U.S. Subsidiary and (iv) whether such Subsidiary is a Material Subsidiary.</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color w:val="auto"/>
        </w:rPr>
        <w:t>Compliance With Laws, Etc.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Neither Crown Holdings nor any of its Material Subsidiaries is in default under or in violation of any Requirement of Law (other than Taxes, ERISA and Foreign Plans or Environmental Laws, which are covered exclusively by </w:t>
      </w:r>
      <w:r>
        <w:rPr>
          <w:rFonts w:ascii="Times New Roman" w:cs="Times New Roman" w:eastAsia="Times New Roman" w:hAnsi="Times New Roman"/>
          <w:sz w:val="20"/>
          <w:szCs w:val="20"/>
          <w:u w:val="single" w:color="auto"/>
          <w:color w:val="auto"/>
        </w:rPr>
        <w:t>Sections 6.9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6.18</w:t>
      </w:r>
      <w:r>
        <w:rPr>
          <w:rFonts w:ascii="Times New Roman" w:cs="Times New Roman" w:eastAsia="Times New Roman" w:hAnsi="Times New Roman"/>
          <w:sz w:val="20"/>
          <w:szCs w:val="20"/>
          <w:color w:val="auto"/>
        </w:rPr>
        <w:t>, respectively) applicable to any of them or Contractual Obligation applicable to any of them (other than Contractual Obligations related to Indebtedness (other than Material Indebtedness)), as the case may be, in each case the consequences of which default or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21" w:name="page222"/>
    <w:bookmarkEnd w:id="221"/>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violation, individually or in the aggregate with all such other deficits and violations, would reasonably be expected to have a Material Adverse Effect.</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6.16. Investment Company Act. None of the Borrowers nor any of their respective Subsidiaries is an “investment company” or a company “controlled” by an “investment company,” within the meaning of the Investment Company Act of 1940, as amended.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19"/>
          <w:szCs w:val="19"/>
          <w:color w:val="auto"/>
        </w:rPr>
        <w:t>[Reserved].</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6.18. Environmental Matters. Except for any matters that, individually or in the aggregate, would not reasonably be expected to have a Material Adverse Effect:</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6.18.1. All facilities and property owned, leased or operated by Crown Holdings or any of its Subsidiaries, and all operations conducted thereon, are in compliance with all Environmental Laws.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6.18.2. There are no pending or threatened written claims, complaints, notices or inquiries received by Crown Holdings or any of its Subsidiaries regarding any Environmental Liability.</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6.18.3. There have been no Releases of Hazardous Materials at, on, under or from any property now or, to any Credit Party’s knowledge, previously owned or leased or operated by Crown Holdings or any of its Subsidiaries.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6.18.4. Crown Holdings and its Subsidiaries have been issued and are in compliance with all Environmental Permits necessary for their operations, facilities and businesses and each is in full force and effect.</w:t>
      </w:r>
    </w:p>
    <w:p>
      <w:pPr>
        <w:spacing w:after="0" w:line="17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6.18.5. No property now or, to any Credit Party’s knowledge, previously owned, leased or operated by Crown Holdings or any of its Subsidiaries is listed or proposed (with respect to owned property only) for listing on the SEMs or on any similar state, provincial or territorial list of sites requiring investigation or clean-up, or on the National Priorities List pursuant to CERCLA.</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6.18.6. [Reserved].</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6.18.7. Neither Crown Holdings nor any Subsidiary has transported or arranged for the transportation of any Hazardous Material to any location which is listed or proposed for listing on the National Priorities List pursuant to CERCLA, on the SEMs or on any similar state, provincial or territorial list or which is the subject of federal, state, provincial, territorial or local enforcement actions or other investigations which would reasonably be expected to lead to any Environmental Liability against Crown Holdings or such Subsidiary.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6.18.8. To the knowledge of any Credit Party, there are no past or present actions, activities, conditions or occurrences that would reasonably be expected to prevent Crown Holdings or any of its Subsidiaries from complying with, or to result in the liability of Crown Holdings or any of its Subsidiaries under, any Environmental Law.</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6.18.9. No Environmental Liens have been recorded pursuant to any Environmental Law with respect to any property or other assets owned or leased by Crown Holdings or any of its Subsidiaries that impair the current use or marketability thereof.</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22" w:name="page223"/>
    <w:bookmarkEnd w:id="222"/>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6.18.10.Neither Crown Holdings nor any of its Subsidiaries is currently conducting any Remedial Action pursuant to any Environmental Law, nor has Crown Holdings or any of its Subsidiaries assumed by contract, agreement or operation of law any obligation under Environmental Law which is unresolved.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6.18.11.[Reserved].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6.19.</w:t>
      </w:r>
      <w:r>
        <w:rPr>
          <w:sz w:val="20"/>
          <w:szCs w:val="20"/>
          <w:color w:val="auto"/>
        </w:rPr>
        <w:tab/>
      </w:r>
      <w:r>
        <w:rPr>
          <w:rFonts w:ascii="Times New Roman" w:cs="Times New Roman" w:eastAsia="Times New Roman" w:hAnsi="Times New Roman"/>
          <w:sz w:val="19"/>
          <w:szCs w:val="19"/>
          <w:color w:val="auto"/>
        </w:rPr>
        <w:t>[Reserved].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6.20. Intellectual Property, Licenses, Franchises and Formulas. Each of Crown Holdings and its Material Subsidiaries owns or possesses, is licensed or otherwise has the right to use, or could obtain ownership or possession of, on terms not materially adverse to it, all patents, trademarks, service marks, trade names, copyrights, licenses and rights with respect thereto (collectively,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necessary for the present conduct of its business, without any known conflict with the rights of others, except where such conflicts, individually or in the aggregate with all such other conflicts, would not reasonably be expected to have a Material Adverse Effect.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6.21.</w:t>
      </w:r>
      <w:r>
        <w:rPr>
          <w:sz w:val="20"/>
          <w:szCs w:val="20"/>
          <w:color w:val="auto"/>
        </w:rPr>
        <w:tab/>
      </w:r>
      <w:r>
        <w:rPr>
          <w:rFonts w:ascii="Times New Roman" w:cs="Times New Roman" w:eastAsia="Times New Roman" w:hAnsi="Times New Roman"/>
          <w:sz w:val="19"/>
          <w:szCs w:val="19"/>
          <w:color w:val="auto"/>
        </w:rPr>
        <w:t>Anti-Terrorism Laws.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6.21.1. None of the Credit Parties or any of their Subsidiaries or Unrestricted Entities, officers or directors, or to the knowledge of any of the Credit Parties, any of their employees, agents or Affiliates, are in violation of any Anti-Corruption Laws or any laws relating to terrorism or money laundering (“</w:t>
      </w:r>
      <w:r>
        <w:rPr>
          <w:rFonts w:ascii="Times New Roman" w:cs="Times New Roman" w:eastAsia="Times New Roman" w:hAnsi="Times New Roman"/>
          <w:sz w:val="20"/>
          <w:szCs w:val="20"/>
          <w:u w:val="single" w:color="auto"/>
          <w:color w:val="auto"/>
        </w:rPr>
        <w:t>Anti-Terrorism Laws</w:t>
      </w:r>
      <w:r>
        <w:rPr>
          <w:rFonts w:ascii="Times New Roman" w:cs="Times New Roman" w:eastAsia="Times New Roman" w:hAnsi="Times New Roman"/>
          <w:sz w:val="20"/>
          <w:szCs w:val="20"/>
          <w:color w:val="auto"/>
        </w:rPr>
        <w:t>”), including the economic or financial sanctions or trade embargoes imposed, administered or enforced from time to time by (i) the United States Treasury Department’s Office of Foreign Asset Control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the State Department and the Commerce Department (including Executive Order No. 13224 on Terrorist Financing, effective September 24, 2001 (the “</w:t>
      </w:r>
      <w:r>
        <w:rPr>
          <w:rFonts w:ascii="Times New Roman" w:cs="Times New Roman" w:eastAsia="Times New Roman" w:hAnsi="Times New Roman"/>
          <w:sz w:val="20"/>
          <w:szCs w:val="20"/>
          <w:u w:val="single" w:color="auto"/>
          <w:color w:val="auto"/>
        </w:rPr>
        <w:t>Executive Order</w:t>
      </w:r>
      <w:r>
        <w:rPr>
          <w:rFonts w:ascii="Times New Roman" w:cs="Times New Roman" w:eastAsia="Times New Roman" w:hAnsi="Times New Roman"/>
          <w:sz w:val="20"/>
          <w:szCs w:val="20"/>
          <w:color w:val="auto"/>
        </w:rPr>
        <w:t>”)), and the Uniting and Strengthening America by Providing Appropriate Tools Required to Intercept and Obstruct Terrorism Act of 2001, Public Law 107-56 and (ii) the United Nations Security Council, the European Union or Her Majesty’s Treasury of the United Kingdom (collectively, the “</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No part of the proceeds of the Loans or Letters of Credit will be used, directly or indirectly by any Borrower for the purpose of funding, financing or facilitating any activities, business or transaction of or with any Sanctioned Person, or in any Sanctioned Country, or in any manner that would result in the violation of any Anti-Corruption Laws or Sanctions applicable to any party hereto.</w:t>
      </w:r>
    </w:p>
    <w:p>
      <w:pPr>
        <w:spacing w:after="0" w:line="19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6.21.2. No Credit Party or any of their Subsidiaries or Unrestricted Entities or any of their officers or directors, to the knowledge of any of the Credit Parties, any of their employees, Affiliates or their respective brokers or other agents, is any of the following:</w:t>
      </w:r>
    </w:p>
    <w:p>
      <w:pPr>
        <w:spacing w:after="0" w:line="146" w:lineRule="exact"/>
        <w:rPr>
          <w:sz w:val="20"/>
          <w:szCs w:val="20"/>
          <w:color w:val="auto"/>
        </w:rPr>
      </w:pPr>
    </w:p>
    <w:p>
      <w:pPr>
        <w:ind w:left="660" w:right="20" w:firstLine="907"/>
        <w:spacing w:after="0" w:line="283" w:lineRule="auto"/>
        <w:rPr>
          <w:sz w:val="20"/>
          <w:szCs w:val="20"/>
          <w:color w:val="auto"/>
        </w:rPr>
      </w:pPr>
      <w:r>
        <w:rPr>
          <w:rFonts w:ascii="Times New Roman" w:cs="Times New Roman" w:eastAsia="Times New Roman" w:hAnsi="Times New Roman"/>
          <w:sz w:val="20"/>
          <w:szCs w:val="20"/>
          <w:color w:val="auto"/>
        </w:rPr>
        <w:t>6.21.2.1. a Person or entity that is listed in the annex to, or is otherwise subject to the prohibitions contained in, the Executive Order or the OFAC regulations;</w:t>
      </w:r>
    </w:p>
    <w:p>
      <w:pPr>
        <w:spacing w:after="0" w:line="146" w:lineRule="exact"/>
        <w:rPr>
          <w:sz w:val="20"/>
          <w:szCs w:val="20"/>
          <w:color w:val="auto"/>
        </w:rPr>
      </w:pPr>
    </w:p>
    <w:p>
      <w:pPr>
        <w:ind w:left="660" w:right="20" w:firstLine="907"/>
        <w:spacing w:after="0" w:line="283" w:lineRule="auto"/>
        <w:rPr>
          <w:sz w:val="20"/>
          <w:szCs w:val="20"/>
          <w:color w:val="auto"/>
        </w:rPr>
      </w:pPr>
      <w:r>
        <w:rPr>
          <w:rFonts w:ascii="Times New Roman" w:cs="Times New Roman" w:eastAsia="Times New Roman" w:hAnsi="Times New Roman"/>
          <w:sz w:val="20"/>
          <w:szCs w:val="20"/>
          <w:color w:val="auto"/>
        </w:rPr>
        <w:t>6.21.2.2. a Person or entity owned or controlled by, or acting for or on behalf of, any Person or entity that is listed in the annex to, or is otherwise subject to the prohibitions contained in, the Executive Order or the OFAC regulations;</w:t>
      </w:r>
    </w:p>
    <w:p>
      <w:pPr>
        <w:spacing w:after="0" w:line="160" w:lineRule="exact"/>
        <w:rPr>
          <w:sz w:val="20"/>
          <w:szCs w:val="20"/>
          <w:color w:val="auto"/>
        </w:rPr>
      </w:pPr>
    </w:p>
    <w:p>
      <w:pPr>
        <w:ind w:left="660" w:firstLine="907"/>
        <w:spacing w:after="0" w:line="269" w:lineRule="auto"/>
        <w:rPr>
          <w:sz w:val="20"/>
          <w:szCs w:val="20"/>
          <w:color w:val="auto"/>
        </w:rPr>
      </w:pPr>
      <w:r>
        <w:rPr>
          <w:rFonts w:ascii="Times New Roman" w:cs="Times New Roman" w:eastAsia="Times New Roman" w:hAnsi="Times New Roman"/>
          <w:sz w:val="20"/>
          <w:szCs w:val="20"/>
          <w:color w:val="auto"/>
        </w:rPr>
        <w:t>6.21.2.3. a Person or entity with which any Lender is prohibited from dealing or otherwise engaging in any transaction by any Anti-Terrorism Law or Sanctions;</w:t>
      </w:r>
    </w:p>
    <w:p>
      <w:pPr>
        <w:spacing w:after="0" w:line="173" w:lineRule="exact"/>
        <w:rPr>
          <w:sz w:val="20"/>
          <w:szCs w:val="20"/>
          <w:color w:val="auto"/>
        </w:rPr>
      </w:pPr>
    </w:p>
    <w:p>
      <w:pPr>
        <w:ind w:left="660" w:firstLine="907"/>
        <w:spacing w:after="0" w:line="269" w:lineRule="auto"/>
        <w:rPr>
          <w:sz w:val="20"/>
          <w:szCs w:val="20"/>
          <w:color w:val="auto"/>
        </w:rPr>
      </w:pPr>
      <w:r>
        <w:rPr>
          <w:rFonts w:ascii="Times New Roman" w:cs="Times New Roman" w:eastAsia="Times New Roman" w:hAnsi="Times New Roman"/>
          <w:sz w:val="20"/>
          <w:szCs w:val="20"/>
          <w:color w:val="auto"/>
        </w:rPr>
        <w:t>6.21.2.4. a Person or entity that commits, threatens or conspires to commit or supports “terrorism” as defined in the Executive Order or the OFAC regulations;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169</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23" w:name="page224"/>
    <w:bookmarkEnd w:id="223"/>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6.21.2.5. a Person or entity that is named on the most current list of “Specially Designated Nationals and Blocked Persons” published by OFAC at its official website or any replacement website or other replacement official publication of such list; or</w:t>
      </w:r>
    </w:p>
    <w:p>
      <w:pPr>
        <w:spacing w:after="0" w:line="181" w:lineRule="exact"/>
        <w:rPr>
          <w:sz w:val="20"/>
          <w:szCs w:val="20"/>
          <w:color w:val="auto"/>
        </w:rPr>
      </w:pPr>
    </w:p>
    <w:p>
      <w:pPr>
        <w:ind w:left="1560"/>
        <w:spacing w:after="0"/>
        <w:tabs>
          <w:tab w:leader="none" w:pos="2580" w:val="left"/>
        </w:tabs>
        <w:rPr>
          <w:sz w:val="20"/>
          <w:szCs w:val="20"/>
          <w:color w:val="auto"/>
        </w:rPr>
      </w:pPr>
      <w:r>
        <w:rPr>
          <w:rFonts w:ascii="Times New Roman" w:cs="Times New Roman" w:eastAsia="Times New Roman" w:hAnsi="Times New Roman"/>
          <w:sz w:val="20"/>
          <w:szCs w:val="20"/>
          <w:color w:val="auto"/>
        </w:rPr>
        <w:t>6.21.2.6.</w:t>
      </w:r>
      <w:r>
        <w:rPr>
          <w:sz w:val="20"/>
          <w:szCs w:val="20"/>
          <w:color w:val="auto"/>
        </w:rPr>
        <w:tab/>
      </w:r>
      <w:r>
        <w:rPr>
          <w:rFonts w:ascii="Times New Roman" w:cs="Times New Roman" w:eastAsia="Times New Roman" w:hAnsi="Times New Roman"/>
          <w:sz w:val="19"/>
          <w:szCs w:val="19"/>
          <w:color w:val="auto"/>
        </w:rPr>
        <w:t>a Sanctioned Person.</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6.21.3. The Credit Parties are subject to and will remain subject to policies and procedures designed to ensure compliance by the Credit Parties, their respective Subsidiaries and Unrestricted Entities and their respective directors, officers, employees and agents with Anti-Corruption Laws and applicable Sanctions.</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6.21.4. No Credit Party or Subsidiary and Unrestricted Entities or to the knowledge of any Credit Party, any of its brokers or other agents acting in any capacity in connection with the Loans (i) conducts any business or engages in making or receiving any contribution of funds, goods or services to or for the benefit of any Person described in clause (b) above, (ii) deals in, or otherwise engages in any transaction relating to, any property or interests in property blocked pursuant to the Executive Order, OFAC regulations or Sanctions, or (iii) engages in or conspires to engage in any transaction that evades or avoids, or has the purpose of evading or avoiding, or attempts to violate, any of the prohibitions set forth in any Anti-Terrorism Law.</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6.22. Patriot Act; Foreign Corrupt Practices Act. To the extent applicable, each of the Borrowers and their respective Subsidiaries and Unrestricted Entities is in compliance, in all material respects, with (a) Sanctions, (b) the USA Patriot Improvement and Reauthorization Act, Title III of Pub. L. 109-177 (signed into law March 9, 2006)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(c) the </w:t>
      </w:r>
      <w:r>
        <w:rPr>
          <w:rFonts w:ascii="Times New Roman" w:cs="Times New Roman" w:eastAsia="Times New Roman" w:hAnsi="Times New Roman"/>
          <w:sz w:val="20"/>
          <w:szCs w:val="20"/>
          <w:i w:val="1"/>
          <w:iCs w:val="1"/>
          <w:color w:val="auto"/>
        </w:rPr>
        <w:t>Proceeds of Crime (Money Laundering)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Terrorist Financing Act </w:t>
      </w:r>
      <w:r>
        <w:rPr>
          <w:rFonts w:ascii="Times New Roman" w:cs="Times New Roman" w:eastAsia="Times New Roman" w:hAnsi="Times New Roman"/>
          <w:sz w:val="20"/>
          <w:szCs w:val="20"/>
          <w:color w:val="auto"/>
        </w:rPr>
        <w:t>(Canada), (d) the Proceeds of Crime Act 2002 (United Kingdom) and (e) Anti-Corruption Laws. No part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proceeds of the Loans or Letters of Credit will be used, directly or indirectly, by any Borrower,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the </w:t>
      </w:r>
      <w:r>
        <w:rPr>
          <w:rFonts w:ascii="Times New Roman" w:cs="Times New Roman" w:eastAsia="Times New Roman" w:hAnsi="Times New Roman"/>
          <w:sz w:val="20"/>
          <w:szCs w:val="20"/>
          <w:i w:val="1"/>
          <w:iCs w:val="1"/>
          <w:color w:val="auto"/>
        </w:rPr>
        <w:t>Corruption of Foreign Public Officials Act</w:t>
      </w:r>
      <w:r>
        <w:rPr>
          <w:rFonts w:ascii="Times New Roman" w:cs="Times New Roman" w:eastAsia="Times New Roman" w:hAnsi="Times New Roman"/>
          <w:sz w:val="20"/>
          <w:szCs w:val="20"/>
          <w:color w:val="auto"/>
        </w:rPr>
        <w:t xml:space="preserve"> (Canada), or Anti-Corruption Laws.</w:t>
      </w:r>
    </w:p>
    <w:p>
      <w:pPr>
        <w:spacing w:after="0" w:line="18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6.23. Insolvency Proceedings. On the Incremental Amendment No. 3 and Fifth Amendment Effective Date, no Insolvency Proceeding has occurred and is continuing.</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6.24. Beneficial Ownership Certification. As of the Incremental Amendment No. 3 and Fifth Amendment Effective Date, the information included in each Beneficial Ownership Certification, if any, is true and correct in all material respects.</w:t>
      </w:r>
    </w:p>
    <w:p>
      <w:pPr>
        <w:spacing w:after="0" w:line="1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7.</w:t>
      </w:r>
    </w:p>
    <w:p>
      <w:pPr>
        <w:spacing w:after="0" w:line="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and after the Incremental Amendment No. 3 and Fifth Amendment Effective Date, each Credit Party, jointly and severally, hereby agrees, that, so long as (a) 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24" w:name="page225"/>
    <w:bookmarkEnd w:id="224"/>
    <w:p>
      <w:pPr>
        <w:spacing w:after="0" w:line="283" w:lineRule="auto"/>
        <w:rPr>
          <w:sz w:val="20"/>
          <w:szCs w:val="20"/>
          <w:color w:val="auto"/>
        </w:rPr>
      </w:pPr>
      <w:r>
        <w:rPr>
          <w:rFonts w:ascii="Times New Roman" w:cs="Times New Roman" w:eastAsia="Times New Roman" w:hAnsi="Times New Roman"/>
          <w:sz w:val="20"/>
          <w:szCs w:val="20"/>
          <w:color w:val="auto"/>
        </w:rPr>
        <w:t>Contingent Obligations or obligations and liabilities under any Hedging Agreement) is owing to any Lender or Administrative Agent hereunder, that:</w:t>
      </w:r>
    </w:p>
    <w:p>
      <w:pPr>
        <w:spacing w:after="0" w:line="146"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7.1. Financial Statements. Crown Holdings will furnish, or cause to be furnished, to the Administrative Agent (for further distribution to each Lender):</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u w:val="single" w:color="auto"/>
          <w:color w:val="auto"/>
        </w:rPr>
        <w:t>Quarterly Financial Statements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60" w:firstLine="907"/>
        <w:spacing w:after="0" w:line="250" w:lineRule="auto"/>
        <w:rPr>
          <w:sz w:val="20"/>
          <w:szCs w:val="20"/>
          <w:color w:val="auto"/>
        </w:rPr>
      </w:pPr>
      <w:r>
        <w:rPr>
          <w:rFonts w:ascii="Times New Roman" w:cs="Times New Roman" w:eastAsia="Times New Roman" w:hAnsi="Times New Roman"/>
          <w:sz w:val="20"/>
          <w:szCs w:val="20"/>
          <w:color w:val="auto"/>
        </w:rPr>
        <w:t>7.1.1.1. As soon as available, and in any event within 45 days (or such shorter period for the filing of Crown Holdings’ Form 10-Q as may be required by the SEC) after the end of each of the first three Fiscal Quarters of each Fiscal Year of Crown Holdings (commencing with the first Fiscal Quarter ending after the Effective Date), an unaudited consolidated balance sheet of Crown Holdings and its consolidated Subsidiaries as of the end of such Fiscal Quarter and consolidated statements of earnings and of cash flow of Crown Holdings and its consolidated Subsidiaries for such Fiscal Quarter and the related unaudited consolidated statements of earnings and cash flow of Crown Holdings and its consolidated Subsidiaries for the period commencing at the end of the previous Fiscal Year and ending with the end of such Fiscal Quarter certified by a Financial Officer of Crown Holdings as of the dates indicated and for the periods indicated, subject to normal year-end audit adjustments and the absence of footnotes, it being understood and agreed that the filing of Crown Holdings’ Form 10-Q with the SEC, if certified as required in this clause (a), shall satisfy the requirements set forth in this clause when posted to the SEC website;</w:t>
      </w:r>
    </w:p>
    <w:p>
      <w:pPr>
        <w:spacing w:after="0" w:line="196" w:lineRule="exact"/>
        <w:rPr>
          <w:sz w:val="20"/>
          <w:szCs w:val="20"/>
          <w:color w:val="auto"/>
        </w:rPr>
      </w:pPr>
    </w:p>
    <w:p>
      <w:pPr>
        <w:jc w:val="both"/>
        <w:ind w:left="660" w:firstLine="907"/>
        <w:spacing w:after="0" w:line="252" w:lineRule="auto"/>
        <w:rPr>
          <w:sz w:val="20"/>
          <w:szCs w:val="20"/>
          <w:color w:val="auto"/>
        </w:rPr>
      </w:pPr>
      <w:r>
        <w:rPr>
          <w:rFonts w:ascii="Times New Roman" w:cs="Times New Roman" w:eastAsia="Times New Roman" w:hAnsi="Times New Roman"/>
          <w:sz w:val="20"/>
          <w:szCs w:val="20"/>
          <w:color w:val="auto"/>
        </w:rPr>
        <w:t>7.1.1.2. as soon as available and in any event within 60 days after the end of each of the first three Fiscal Quarters of each Fiscal Year of Crown Holdings (commencing with the first Fiscal Quarter ending after the Effective Date), an unaudited consolidating balance sheet of Crown Holdings and its consolidated Subsidiaries as of the end of such Fiscal Quarter and consolidating statements of earnings and cash flows of Crown Holdings and its Subsidiaries for such Fiscal Quarter and for the period commencing at the end of the previous Fiscal Year and ending with the end of such Fiscal Quarter, certified by a Financial Officer of Crown Holdings (it being understood and agreed that such financial statements need only break out (A) U.S. Borrower and its U.S. Subsidiaries (other than any Excluded Subsidiary), on a consolidated basis; (B) European Borrower and the Euro Subsidiary Credit Parties, on a consolidated basis; and (C) each Subsidiary of European Borrower that is not a Euro Subsidiary Credit Party, on a consolidated basis);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u w:val="single" w:color="auto"/>
          <w:color w:val="auto"/>
        </w:rPr>
        <w:t>Annual Financial Statements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660" w:firstLine="907"/>
        <w:spacing w:after="0" w:line="251" w:lineRule="auto"/>
        <w:rPr>
          <w:sz w:val="20"/>
          <w:szCs w:val="20"/>
          <w:color w:val="auto"/>
        </w:rPr>
      </w:pPr>
      <w:r>
        <w:rPr>
          <w:rFonts w:ascii="Times New Roman" w:cs="Times New Roman" w:eastAsia="Times New Roman" w:hAnsi="Times New Roman"/>
          <w:sz w:val="20"/>
          <w:szCs w:val="20"/>
          <w:color w:val="auto"/>
        </w:rPr>
        <w:t>7.1.2.1. As soon as available, but in any event within 90 days (or such shorter period for the filing of the Crown Holdings’ Form 10-K as may be required by the SEC) after the end of each Fiscal Year of Crown Holdings (commencing with the first Fiscal Year ended after the Effective Date), a copy of the annual audit report for such Fiscal Year for Crown Holdings and its consolidated Subsidiaries, including therein a consolidated balance sheet of Crown Holdings and its Subsidiaries as at the end of such Fiscal Year and consolidated statements of earnings and cash flow of Crown Holdings and its consolidated Subsidiaries for such Fiscal Year (it being understood and agreed that the filing of Crown Holdings’ 10-K with the SEC shall satisfy such delivery requirements in this clause when posted to the SEC website);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25" w:name="page226"/>
    <w:bookmarkEnd w:id="225"/>
    <w:p>
      <w:pPr>
        <w:jc w:val="both"/>
        <w:ind w:left="660" w:firstLine="907"/>
        <w:spacing w:after="0" w:line="269" w:lineRule="auto"/>
        <w:rPr>
          <w:sz w:val="20"/>
          <w:szCs w:val="20"/>
          <w:color w:val="auto"/>
        </w:rPr>
      </w:pPr>
      <w:r>
        <w:rPr>
          <w:rFonts w:ascii="Times New Roman" w:cs="Times New Roman" w:eastAsia="Times New Roman" w:hAnsi="Times New Roman"/>
          <w:sz w:val="19"/>
          <w:szCs w:val="19"/>
          <w:color w:val="auto"/>
        </w:rPr>
        <w:t>7.1.2.2. as soon as available and in any event within 105 days after the end of each Fiscal Year of Crown Holdings (commencing with the first Fiscal Year ended after the Effective Date), an unaudited consolidating balance sheet of Crown Holdings and its consolidated Subsidiaries as of the end of such Fiscal Year and consolidating statements of earnings and cash flow of Crown Holdings and its Subsidiaries for such Fiscal Year, certified by a Financial Officer of Crown Holdings (it being understood and agreed that such financial statements need only break out (A) U.S. Borrower and its U.S. Subsidiaries (other than any Excluded Subsidiary), on a consolidated basis; (B) European Borrower and the Euro Subsidiary Credit Parties, on a consolidated basis; and (C) each Subsidiary of European Borrower that is not a Euro Subsidiary Credit Party, on a consolidated basis);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All such financial statements shall be complete and correct in all material respects and shall be prepared in accordance with GAAP applied consistently (except as approved by the accountants preparing such statements or the Chief Financial Officer, as the case may be, and disclosed therein or otherwise disclosed in writing by Crown Holdings to the Lenders) and, in the case of the consolidated financial statements referred to in </w:t>
      </w:r>
      <w:r>
        <w:rPr>
          <w:rFonts w:ascii="Times New Roman" w:cs="Times New Roman" w:eastAsia="Times New Roman" w:hAnsi="Times New Roman"/>
          <w:sz w:val="20"/>
          <w:szCs w:val="20"/>
          <w:u w:val="single" w:color="auto"/>
          <w:color w:val="auto"/>
        </w:rPr>
        <w:t>Section 7.1(b)</w:t>
      </w:r>
      <w:r>
        <w:rPr>
          <w:rFonts w:ascii="Times New Roman" w:cs="Times New Roman" w:eastAsia="Times New Roman" w:hAnsi="Times New Roman"/>
          <w:sz w:val="20"/>
          <w:szCs w:val="20"/>
          <w:color w:val="auto"/>
        </w:rPr>
        <w:t>, shall be accompanied by a report thereon of independent certified public accountants of recognized national standing, which report shall contain no Impermissible Qualifications and shall state that such financial statements present fairly in all material respects the financial position of Crown Holdings and its consolidated Subsidiaries as at the dates indicated and the results of their operations and cash flow for the periods indicated in conformity with GAAP (except as approved by the accountants preparing such statements or the Chief Financial Officer, as the case may be, and disclosed therein or otherwise disclosed in writing by Crown Holdings to the Lenders).</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7.2. Certificates; Other Information. Crown Holdings will furnish, or will cause to be furnished, to Administrative Agent (for further delivery to each Lender, as applicable):</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7.2.1. </w:t>
      </w:r>
      <w:r>
        <w:rPr>
          <w:rFonts w:ascii="Times New Roman" w:cs="Times New Roman" w:eastAsia="Times New Roman" w:hAnsi="Times New Roman"/>
          <w:sz w:val="20"/>
          <w:szCs w:val="20"/>
          <w:u w:val="single" w:color="auto"/>
          <w:color w:val="auto"/>
        </w:rPr>
        <w:t>Officer’s Certificates</w:t>
      </w:r>
      <w:r>
        <w:rPr>
          <w:rFonts w:ascii="Times New Roman" w:cs="Times New Roman" w:eastAsia="Times New Roman" w:hAnsi="Times New Roman"/>
          <w:sz w:val="20"/>
          <w:szCs w:val="20"/>
          <w:color w:val="auto"/>
        </w:rPr>
        <w:t xml:space="preserve">. Concurrently with the delivery of the financial statements referred to in </w:t>
      </w:r>
      <w:r>
        <w:rPr>
          <w:rFonts w:ascii="Times New Roman" w:cs="Times New Roman" w:eastAsia="Times New Roman" w:hAnsi="Times New Roman"/>
          <w:sz w:val="20"/>
          <w:szCs w:val="20"/>
          <w:u w:val="single" w:color="auto"/>
          <w:color w:val="auto"/>
        </w:rPr>
        <w:t>Sections 7.1(a)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7.1(b)</w:t>
      </w:r>
      <w:r>
        <w:rPr>
          <w:rFonts w:ascii="Times New Roman" w:cs="Times New Roman" w:eastAsia="Times New Roman" w:hAnsi="Times New Roman"/>
          <w:sz w:val="20"/>
          <w:szCs w:val="20"/>
          <w:color w:val="auto"/>
        </w:rPr>
        <w:t xml:space="preserve">, (A) a certificate from a Responsible Financial Officer of Crown Holdings substantially in the form of </w:t>
      </w:r>
      <w:r>
        <w:rPr>
          <w:rFonts w:ascii="Times New Roman" w:cs="Times New Roman" w:eastAsia="Times New Roman" w:hAnsi="Times New Roman"/>
          <w:sz w:val="20"/>
          <w:szCs w:val="20"/>
          <w:u w:val="single" w:color="auto"/>
          <w:color w:val="auto"/>
        </w:rPr>
        <w:t>Exhibit 7.2(a)</w:t>
      </w:r>
      <w:r>
        <w:rPr>
          <w:rFonts w:ascii="Times New Roman" w:cs="Times New Roman" w:eastAsia="Times New Roman" w:hAnsi="Times New Roman"/>
          <w:sz w:val="20"/>
          <w:szCs w:val="20"/>
          <w:color w:val="auto"/>
        </w:rPr>
        <w:t xml:space="preserve"> (or such other form as mutually agreed by Crown Holdings and the Administrative Agent) (a “</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stating that, to such officer’s knowledge, (i) such financial statements present fairly, in accordance with GAAP, or, in the case of financial statements of any Non-U.S. Subsidiary delivered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generally accepted accounting principles in such Person’s jurisdiction of organization (in each case, except as approved by the accountants preparing such statements or the Chief Financial Officer, as the case may be, and disclosed therein or otherwise disclosed in writing by Crown Holdings to the Lenders), the financial condition and results of operations of Crown Holdings and its consolidated Subsidiaries for the period referred to therein (subject, in the case of interim statements, to normal year-end adjustments and absence of footnotes) and (ii) no Event of Default or Unmatured Event of Default exists and is continuing, except as specified in such certificate and, if so specified, the action which Crown Holdings proposes to take with respect thereto, which certificate shall set forth reasonably detailed computations to the extent necessary to establish Crown Holdings’ compliance with the covenant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of this Agreement and (B) if there are any Unrestricted Entities, (i) a summary of the adjustments necessary to eliminate the accounts of Unrestricted Entities (if any) from such financial statements and (ii) a list identifying each subsidiary of Crown Holdings as a Subsidiary or an Unrestricted Entity as of the date of delivery of such Compliance Certificate or confirmation that there is no change in such information since the later of the Effective Date and the date of the last such list;</w:t>
      </w:r>
    </w:p>
    <w:p>
      <w:pPr>
        <w:spacing w:after="0" w:line="20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7.2.2. </w:t>
      </w:r>
      <w:r>
        <w:rPr>
          <w:rFonts w:ascii="Times New Roman" w:cs="Times New Roman" w:eastAsia="Times New Roman" w:hAnsi="Times New Roman"/>
          <w:sz w:val="20"/>
          <w:szCs w:val="20"/>
          <w:u w:val="single" w:color="auto"/>
          <w:color w:val="auto"/>
        </w:rPr>
        <w:t>Reports; Management Letters</w:t>
      </w:r>
      <w:r>
        <w:rPr>
          <w:rFonts w:ascii="Times New Roman" w:cs="Times New Roman" w:eastAsia="Times New Roman" w:hAnsi="Times New Roman"/>
          <w:sz w:val="20"/>
          <w:szCs w:val="20"/>
          <w:color w:val="auto"/>
        </w:rPr>
        <w:t>. Promptly upon receipt thereof, copies of all significant reports submitted to Crown Holdings by independent certified public accountants in connection with each</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26" w:name="page227"/>
    <w:bookmarkEnd w:id="226"/>
    <w:p>
      <w:pPr>
        <w:jc w:val="both"/>
        <w:spacing w:after="0" w:line="283" w:lineRule="auto"/>
        <w:rPr>
          <w:sz w:val="20"/>
          <w:szCs w:val="20"/>
          <w:color w:val="auto"/>
        </w:rPr>
      </w:pPr>
      <w:r>
        <w:rPr>
          <w:rFonts w:ascii="Times New Roman" w:cs="Times New Roman" w:eastAsia="Times New Roman" w:hAnsi="Times New Roman"/>
          <w:sz w:val="20"/>
          <w:szCs w:val="20"/>
          <w:color w:val="auto"/>
        </w:rPr>
        <w:t>annual, interim or special audit of the books of Crown Holdings and its consolidated Subsidiaries made by such accountants, including any management letters submitted by such accountants to management in connection with their annual audit;</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7.2.3. </w:t>
      </w:r>
      <w:r>
        <w:rPr>
          <w:rFonts w:ascii="Times New Roman" w:cs="Times New Roman" w:eastAsia="Times New Roman" w:hAnsi="Times New Roman"/>
          <w:sz w:val="20"/>
          <w:szCs w:val="20"/>
          <w:u w:val="single" w:color="auto"/>
          <w:color w:val="auto"/>
        </w:rPr>
        <w:t>Budgets</w:t>
      </w:r>
      <w:r>
        <w:rPr>
          <w:rFonts w:ascii="Times New Roman" w:cs="Times New Roman" w:eastAsia="Times New Roman" w:hAnsi="Times New Roman"/>
          <w:sz w:val="20"/>
          <w:szCs w:val="20"/>
          <w:color w:val="auto"/>
        </w:rPr>
        <w:t>. Within sixty (60) days following the first day of each Fiscal Year of Crown Holdings (commencing with the first Fiscal Year ended after the Effective Date) an annual consolidated budget of Crown Holdings and its Subsidiaries prepared for each Fiscal Quarter of such Fiscal Year (including a projected consolidated balance sheet and related statements of projected operations and cash flow as of the end of and for each Fiscal Quarter during such Fiscal Year) (it being understood that Crown Holdings shall have no obligation to update or revise such budget);</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7.2.4. </w:t>
      </w:r>
      <w:r>
        <w:rPr>
          <w:rFonts w:ascii="Times New Roman" w:cs="Times New Roman" w:eastAsia="Times New Roman" w:hAnsi="Times New Roman"/>
          <w:sz w:val="20"/>
          <w:szCs w:val="20"/>
          <w:u w:val="single" w:color="auto"/>
          <w:color w:val="auto"/>
        </w:rPr>
        <w:t>Securityholder Communications</w:t>
      </w:r>
      <w:r>
        <w:rPr>
          <w:rFonts w:ascii="Times New Roman" w:cs="Times New Roman" w:eastAsia="Times New Roman" w:hAnsi="Times New Roman"/>
          <w:sz w:val="20"/>
          <w:szCs w:val="20"/>
          <w:color w:val="auto"/>
        </w:rPr>
        <w:t xml:space="preserve">. Promptly after the sending or filing thereof, copies of all reports which any Credit Party sends to any of its security holders (other than a report by a Wholly-Owned Subsidiary to its parent security holders) and all reports, registration statements (other than on Form S-8 or any successor form) or other materials which any Credit Party or any of their officers file with the SEC or any national securities exchange (other than the Luxembourg Stock Exchange)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materials filed with the SEC shall be deemed delivered when posted to the SEC website; and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7.2.5. </w:t>
      </w:r>
      <w:r>
        <w:rPr>
          <w:rFonts w:ascii="Times New Roman" w:cs="Times New Roman" w:eastAsia="Times New Roman" w:hAnsi="Times New Roman"/>
          <w:sz w:val="20"/>
          <w:szCs w:val="20"/>
          <w:u w:val="single" w:color="auto"/>
          <w:color w:val="auto"/>
        </w:rPr>
        <w:t>Other Requested Information</w:t>
      </w:r>
      <w:r>
        <w:rPr>
          <w:rFonts w:ascii="Times New Roman" w:cs="Times New Roman" w:eastAsia="Times New Roman" w:hAnsi="Times New Roman"/>
          <w:sz w:val="20"/>
          <w:szCs w:val="20"/>
          <w:color w:val="auto"/>
        </w:rPr>
        <w:t>. Such information and documentation reasonably requested by the Administrative Agent or any Lender necessary for compliance with applicable “know your customer” requirements under the PATRIOT Act or other applicable anti-money laundering laws and such other information respecting the condition or operations, financial or otherwise, of Crown Holdings, any Borrower, or any of their Subsidiaries that any Lender through Administrative Agent may from time to time reasonably request.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Notices.</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7.3.1. </w:t>
      </w:r>
      <w:r>
        <w:rPr>
          <w:rFonts w:ascii="Times New Roman" w:cs="Times New Roman" w:eastAsia="Times New Roman" w:hAnsi="Times New Roman"/>
          <w:sz w:val="20"/>
          <w:szCs w:val="20"/>
          <w:u w:val="single" w:color="auto"/>
          <w:color w:val="auto"/>
        </w:rPr>
        <w:t>Event of Default or Unmatured Event of Default</w:t>
      </w:r>
      <w:r>
        <w:rPr>
          <w:rFonts w:ascii="Times New Roman" w:cs="Times New Roman" w:eastAsia="Times New Roman" w:hAnsi="Times New Roman"/>
          <w:sz w:val="20"/>
          <w:szCs w:val="20"/>
          <w:color w:val="auto"/>
        </w:rPr>
        <w:t>. Promptly and in any event within the earlier of three (3) Business Days after a Responsible Officer of Crown Holdings or U.S. Borrower or five (5) Business Days after a Responsible Officer of European Borrower obtains knowledge thereof, Crown Holdings will give written notice to Administrative Agent (which shall promptly provide a copy of such notice to each Lender) of the occurrence of any Event of Default or Unmatured Event of Default, accompanied by a statement of a Financial Officer of Crown Holdings, U.S. Borrower or European Borrower, as applicable, setting forth details of the occurrence referred to therein and stating what action Crown Holdings, U.S. Borrower or European Borrower, as applicable, have taken and propose to take with respect thereto;</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7.3.2. </w:t>
      </w:r>
      <w:r>
        <w:rPr>
          <w:rFonts w:ascii="Times New Roman" w:cs="Times New Roman" w:eastAsia="Times New Roman" w:hAnsi="Times New Roman"/>
          <w:sz w:val="20"/>
          <w:szCs w:val="20"/>
          <w:u w:val="single" w:color="auto"/>
          <w:color w:val="auto"/>
        </w:rPr>
        <w:t>Litigation and Related Matters</w:t>
      </w:r>
      <w:r>
        <w:rPr>
          <w:rFonts w:ascii="Times New Roman" w:cs="Times New Roman" w:eastAsia="Times New Roman" w:hAnsi="Times New Roman"/>
          <w:sz w:val="20"/>
          <w:szCs w:val="20"/>
          <w:color w:val="auto"/>
        </w:rPr>
        <w:t>. Promptly, and in any event within five (5) Business Days after a Responsible Officer of Crown Holdings, U.S. Borrower or European Borrower obtains knowledge thereof, Crown Holdings will give written notice to Administrative Agent (which shall promptly provide a copy of such notice to each Lender) of the commencement of, or any material development in, any action, suit, proceeding or investigation pending or threatened in writing against or involving Crown Holdings or any of its Material Subsidiaries before any arbitrator or Governmental Authority, or purport to affect the legality, validity or enforcement of this Agreement or any other Loan Document or the transactions contemplated hereby or thereby, which, individually or in the aggregate with any other action, suit, proceeding or investigation, would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27" w:name="page228"/>
    <w:bookmarkEnd w:id="227"/>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7.3.3. </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As soon as possible, Crown Holdings will give notice to Administrative Agent of any other development that would reasonably be expected to have a Material Adverse Effect.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7.3.4. </w:t>
      </w:r>
      <w:r>
        <w:rPr>
          <w:rFonts w:ascii="Times New Roman" w:cs="Times New Roman" w:eastAsia="Times New Roman" w:hAnsi="Times New Roman"/>
          <w:sz w:val="20"/>
          <w:szCs w:val="20"/>
          <w:u w:val="single" w:color="auto"/>
          <w:color w:val="auto"/>
        </w:rPr>
        <w:t>Sustainability Rating</w:t>
      </w:r>
      <w:r>
        <w:rPr>
          <w:rFonts w:ascii="Times New Roman" w:cs="Times New Roman" w:eastAsia="Times New Roman" w:hAnsi="Times New Roman"/>
          <w:sz w:val="20"/>
          <w:szCs w:val="20"/>
          <w:color w:val="auto"/>
        </w:rPr>
        <w:t>. Crown Holdings will give prompt notice to the Administrative Agent (which the Administrative Agent shall promptly provide to the Lenders) of any material adverse change in or discontinuation of the Sustainability Rating.</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7.4. Conduct of Business and Maintenance of Existence. Each Credit Party will do or cause to be done all things necessary to preserve, renew and keep in full force and effect its organizational existence and take all reasonable action to maintain the rights, licenses, permits, privileges, franchises and Intellectual Property material to the conduct of its business, except, in each case, as (a) would not reasonably be expected to have a Material Adverse Effect and (b) permitted under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color w:val="auto"/>
        </w:rPr>
        <w:t>Compliance with Laws, etc.</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Each Credit Party will, and will cause each of its Subsidiaries to, comply in all respects with all applicable laws, rules, regulations and orders, except where such noncompliance, individually or in the aggregate, would not reasonably be expected to have a Material Adverse Effect.</w:t>
      </w:r>
    </w:p>
    <w:p>
      <w:pPr>
        <w:spacing w:after="0" w:line="1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7.6. Maintenance of Properties. Each Credit Party will, and will cause each of its Material Subsidiaries to, maintain, preserve, protect and keep its material tangible properties and assets in good repair, working order and condition (ordinary wear and tear, condemnation and damage by casualty and transactions permitted under </w:t>
      </w:r>
      <w:r>
        <w:rPr>
          <w:rFonts w:ascii="Times New Roman" w:cs="Times New Roman" w:eastAsia="Times New Roman" w:hAnsi="Times New Roman"/>
          <w:sz w:val="20"/>
          <w:szCs w:val="20"/>
          <w:u w:val="single" w:color="auto"/>
          <w:color w:val="auto"/>
        </w:rPr>
        <w:t>Sections 8.3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 xml:space="preserve"> excluded), and make necessary and proper repairs, renewals and replacements so that its business carried on in connection therewith may be properly conducted at all times, except, in each case, as would not reasonably be expected to have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shall prevent any Credit Party from discontinuing the operation and maintenance of any of its properties or any of those of its Material Subsidiaries if such discontinuance is, in the judgment of such Credit Party, desirable in the conduct of its or their business and, in the aggregate, would not reasonably be expected to have a Material Adverse Effect.</w:t>
      </w:r>
    </w:p>
    <w:p>
      <w:pPr>
        <w:spacing w:after="0" w:line="1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color w:val="auto"/>
        </w:rPr>
        <w:t>[Reserved.]</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7.8. Payment of Taxes. Each Credit Party will, and will cause each of its Material Subsidiaries to, pay, discharge or otherwise satisfy all material Taxes imposed upon it or upon its income or profits, or upon any properties belonging to it, prior to the date on which material penalties attach thereto, and all lawful claims which, if unpaid, might become a Lien or charge upon any properties of such Person or cause a failure or forfeiture of title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Credit Party nor any of its Subsidiaries shall be required to pay, discharge or otherwise satisfy any such Tax that is being contested in good faith and by appropriate proceedings diligently conducted, if it has maintained adequate reserves with respect thereto in accordance with and to the extent required under GAAP or their equivalent in the relevant jurisdiction of the taxing authority with respect thereto or to the extent failure to pay, discharge or otherwise satisfy such obligations would not reasonably be expected to have a Material Adverse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7.9. Inspection of Property, Books and Records. Each Credit Party will, and will cause each of its Subsidiaries to, keep books and records which accurately reflect all of its business affairs and material transactions and permit the Administrative Agent or any of its representatives, at reasonable times and intervals during normal business hours, but no more frequently than once annually if no Event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174</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28" w:name="page229"/>
    <w:bookmarkEnd w:id="22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of Default exists, at the reasonable request of the Administrative Agent made to Borrowers, and at the Administrative Agent’s expense and upon reasonable notice, to visit all of its offices, to discuss its financial matters with its principal officers and to examine any of its books or other corporate or partnership records and, if an Event of Default exists and is continuing, permit, and cause each of its Subsidiaries to permit, the Administrative Agent or the Required Lenders access, in the presence of Crown Holdings, to their independent public accountants (and by this provision Borrowers authorize such accountants to discuss with the Administrative Agent or the Required Lenders and such representatives the affairs, finances and accounts of Crown Holdings and its Subsidiaries), in the case of each of the foregoing, so long as the Administrative Agent, such Lenders, and such representatives agree to treat such information and documents in accordance with </w:t>
      </w:r>
      <w:r>
        <w:rPr>
          <w:rFonts w:ascii="Times New Roman" w:cs="Times New Roman" w:eastAsia="Times New Roman" w:hAnsi="Times New Roman"/>
          <w:sz w:val="20"/>
          <w:szCs w:val="20"/>
          <w:u w:val="single" w:color="auto"/>
          <w:color w:val="auto"/>
        </w:rPr>
        <w:t>Section 12.16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in this Agreement or any other Loan Document, neither Crown Holdings, any of its Subsidiaries or Affiliates, nor any of its or their respective directors, officers, managers, employees, independent auditors, or other experts and advisors, including accountants, legal counsel and other advisors, will be required to disclose, permit the inspection, examination or making of copies or extracts of, or permit discussions of, any documents, information or other matter that</w:t>
      </w:r>
    </w:p>
    <w:p>
      <w:pPr>
        <w:spacing w:after="0" w:line="10" w:lineRule="exact"/>
        <w:rPr>
          <w:sz w:val="20"/>
          <w:szCs w:val="20"/>
          <w:color w:val="auto"/>
        </w:rPr>
      </w:pPr>
    </w:p>
    <w:p>
      <w:pPr>
        <w:jc w:val="both"/>
        <w:ind w:firstLine="8"/>
        <w:spacing w:after="0" w:line="253" w:lineRule="auto"/>
        <w:tabs>
          <w:tab w:leader="none" w:pos="26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constitutes non-financial trade secrets or non-financial proprietary information, (ii) in respect of which disclosure to any Agent, any Facing Agent, any Lender or any of their respective Related Parties or contractors is then prohibited by any Requirement of Law or any binding agreement or (iii) is subject to attorney-client or similar privilege or constitutes attorney work product.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color w:val="auto"/>
        </w:rPr>
        <w:t>ERISA; Foreign Pension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7.10.1. Crown Holdings will furnish, or will cause to be furnished, to each Lender and the Administrative Agent notice thereof and copies of all documentation relating thereto, immediately upon becoming aware of any of the following events: (i) the taking of any specific actions by Crown Holdings or any other Person to terminate any Pension Plan (other than a termination pursuant to Section 4041(b) of ERISA which can be completed without Crown Holdings or any ERISA Affiliate having to provide more than $25,000,000 in addition to the normal contribution required for the plan year in which termination occurs to make such Pension Plan sufficient), (ii) the occurrence of a Termination Event which could result in a Lien or in the incurrence by a Credit Party of any liability, fine or penalty which would reasonably be expected to have a Material Adverse Effect, or (iii) any increase in the contingent liability of a Credit Party with respect to any post-retirement Welfare Plan benefit if the increase in such contingent liability would reasonably be expected to have a Material Adverse Effect.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7.10.2. Crown Holdings will furnish, or will cause to be furnished, upon request by the Administrative Agent, to each Lender and the Administrative Agent, copies of: (i) each Schedule B (Actuarial Information) to the annual report (Form 5500 Series) filed by any Credit Party or ERISA Affiliate with the United States Internal Revenue Service with respect to each Pension Plan; (ii) the most recent actuarial valuation report for each Pension Plan or Foreign Plan; (iii) all notices received by any Credit Party or ERISA Affiliate from a Multiemployer Plan sponsor or any governmental agency concerning a Termination Event; and (iv) such other documents or governmental reports or filings relating to any Plan as the Administrative Agent shall reasonably request.</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7.10.3. Each Credit Party will (i) correct any failure to satisfy the minimum funding standards, or make any required installment, under Section 412 of the Code within ninety (90) days after the occurrence thereof, except where the failure to so satisfy would not reasonably be expected to have a Material Adverse Effect, and (ii) establish, maintain and operate all Foreign Plans in compliance in all material respects with all requirements of law and the respective requirements of the governing documents for such Foreign Plans (including, for greater certainty, to pay all contributions, premiums and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29" w:name="page230"/>
    <w:bookmarkEnd w:id="229"/>
    <w:p>
      <w:pPr>
        <w:jc w:val="both"/>
        <w:spacing w:after="0" w:line="283" w:lineRule="auto"/>
        <w:rPr>
          <w:sz w:val="20"/>
          <w:szCs w:val="20"/>
          <w:color w:val="auto"/>
        </w:rPr>
      </w:pPr>
      <w:r>
        <w:rPr>
          <w:rFonts w:ascii="Times New Roman" w:cs="Times New Roman" w:eastAsia="Times New Roman" w:hAnsi="Times New Roman"/>
          <w:sz w:val="20"/>
          <w:szCs w:val="20"/>
          <w:color w:val="auto"/>
        </w:rPr>
        <w:t>payments when due in accordance with its terms and all applicable laws), except for failures to comply which, in the aggregate, would not reasonably be expected to have a Material Adverse Effect.</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7.10.4. Each Canadian Credit Party shall provide the Canadian Administrative Agent and each Lender with (i) upon request by the Canadian Administrative Agent, copies of all annual information returns, actuarial reports and any other reports which have been filed with a Governmental Authority with respect to each Canadian Defined Benefit Plan, promptly after filing, and (ii) any direction, order, notice, ruling or opinion that any Canadian Credit Party may receive from a Governmental Authority with respect to any Canadian Defined Benefit Plan, promptly after receipt.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7.10.5. Each Canadian Credit Party will promptly notify the Canadian Administrative Agent and each Lender on becoming aware of</w:t>
      </w:r>
    </w:p>
    <w:p>
      <w:pPr>
        <w:spacing w:after="0" w:line="40" w:lineRule="exact"/>
        <w:rPr>
          <w:sz w:val="20"/>
          <w:szCs w:val="20"/>
          <w:color w:val="auto"/>
        </w:rPr>
      </w:pPr>
    </w:p>
    <w:p>
      <w:pPr>
        <w:jc w:val="both"/>
        <w:ind w:firstLine="8"/>
        <w:spacing w:after="0" w:line="264" w:lineRule="auto"/>
        <w:tabs>
          <w:tab w:leader="none" w:pos="25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Canadian Pension Termination Event, (ii) the failure to make a required contribution or payment under any Canadian Defined Benefit Plan when due in accordance with its terms and applicable laws, (iii) the occurrence of any event which is reasonably likely to result in any Canadian Credit Party incurring any liability, fine or penalty with respect to any Canadian Defined Benefit Plan, (iv) the establishment of any new plan which, if it currently existed, would be a Canadian Defined Benefit Plan, or any change to an existing Canadian Defined Benefit Plan which would materially affect the funding obligations or funded status of such plan, (v) the acquisition of an interest in any Person if such Person sponsors, administers, or participates in, or has any liability in respect of, any Canadian Defined Benefit Plan or Multiple Employer Plan; or (vi) any increase in the contingent liability of a Canadian Credit Party with respect to any post-retirement Foreign Plan benefit if the increase in such contingent liability would reasonably be expected to have a Material Adverse Effect. In the notice to the Canadian Administrative Agent and each Lender of the foregoing, copies of all documentation relating thereto shall be provided.</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color w:val="auto"/>
        </w:rPr>
        <w:t>Insurance.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7.11.1. Each Credit Party will maintain or cause to be maintained, and shall cause each of its Material Subsidiaries to maintain or cause to be maintained, with insurers such Credit Party believes are reputable at the time the relevant coverage is placed or renewed, insurance with respect to its material properties and business against loss or damage of the kinds customarily insured against by Persons engaged in the same or similar business, of such types and in such amounts as are customarily carried under similar circumstances by such other Persons, except that a portion of such insurance program (not to exceed that which is customary in the case of companies engaged in the same or similar business or having similar properties similarly situated) may be effected through self-insurance,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adequate reserves therefor, in accordance with GAAP, are maintained,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7.11.2. [Reserved], and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7.11.3. All insurance policies or certificates (or certified copies thereof) with respect to such insurance issued by third parties:</w:t>
      </w:r>
    </w:p>
    <w:p>
      <w:pPr>
        <w:spacing w:after="0" w:line="229" w:lineRule="exact"/>
        <w:rPr>
          <w:sz w:val="20"/>
          <w:szCs w:val="20"/>
          <w:color w:val="auto"/>
        </w:rPr>
      </w:pPr>
    </w:p>
    <w:p>
      <w:pPr>
        <w:ind w:left="660" w:firstLine="907"/>
        <w:spacing w:after="0" w:line="283" w:lineRule="auto"/>
        <w:rPr>
          <w:sz w:val="20"/>
          <w:szCs w:val="20"/>
          <w:color w:val="auto"/>
        </w:rPr>
      </w:pPr>
      <w:r>
        <w:rPr>
          <w:rFonts w:ascii="Times New Roman" w:cs="Times New Roman" w:eastAsia="Times New Roman" w:hAnsi="Times New Roman"/>
          <w:sz w:val="20"/>
          <w:szCs w:val="20"/>
          <w:color w:val="auto"/>
        </w:rPr>
        <w:t>7.11.3.1. shall provide that Collateral Agent is a loss payee for all property and casualty policies and additional insured for all liability policies; and</w:t>
      </w:r>
    </w:p>
    <w:p>
      <w:pPr>
        <w:spacing w:after="0" w:line="146" w:lineRule="exact"/>
        <w:rPr>
          <w:sz w:val="20"/>
          <w:szCs w:val="20"/>
          <w:color w:val="auto"/>
        </w:rPr>
      </w:pPr>
    </w:p>
    <w:p>
      <w:pPr>
        <w:ind w:left="660" w:firstLine="907"/>
        <w:spacing w:after="0" w:line="283" w:lineRule="auto"/>
        <w:rPr>
          <w:sz w:val="20"/>
          <w:szCs w:val="20"/>
          <w:color w:val="auto"/>
        </w:rPr>
      </w:pPr>
      <w:r>
        <w:rPr>
          <w:rFonts w:ascii="Times New Roman" w:cs="Times New Roman" w:eastAsia="Times New Roman" w:hAnsi="Times New Roman"/>
          <w:sz w:val="20"/>
          <w:szCs w:val="20"/>
          <w:color w:val="auto"/>
        </w:rPr>
        <w:t>7.11.3.2. shall state that such insurance policy shall not be canceled or revised without thirty days’ (or ten days’, with respect to cancellation in connection with nonpayment) prior to written notice thereof by the insurer to the Collateral Agent.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30" w:name="page231"/>
    <w:bookmarkEnd w:id="23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color w:val="auto"/>
        </w:rPr>
        <w:t>Environmental Laws. Each Credit Party will, and will cause each of its Subsidiaries to:</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7.12.1. Crown use and operate all of its facilities and properties in compliance with all Environmental Laws, keep all Environmental Permits required by Environmental Laws for the operation of its facilities in effect and remain in compliance therewith, and handle all Hazardous Materials in compliance with all Environmental Laws, except for any such noncompliance or failure to keep that, individually or in the aggregate, would not reasonably be expected to have a Material Adverse Effect;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7.12.2. promptly notify Administrative Agent and provide copies of all written inquiries, claims, assessments, complaints or notices from any Person relating to the environmental condition of its facilities and properties or compliance with or liability under any Environmental Law which would reasonably be expected to have a Material Adverse Effect, and promptly cure and have dismissed with prejudice or contest in good faith any actions and proceedings relating thereto; and</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7.12.3. provide such information and certifications which Administrative Agent may reasonably request from time to time to evidence compliance with this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color w:val="auto"/>
        </w:rPr>
        <w:t xml:space="preserve">Use of Proceeds. Borrowers will use all proceeds of the Loans as provided in </w:t>
      </w:r>
      <w:r>
        <w:rPr>
          <w:rFonts w:ascii="Times New Roman" w:cs="Times New Roman" w:eastAsia="Times New Roman" w:hAnsi="Times New Roman"/>
          <w:sz w:val="19"/>
          <w:szCs w:val="19"/>
          <w:u w:val="single" w:color="auto"/>
          <w:color w:val="auto"/>
        </w:rPr>
        <w:t>Sections 6.8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6.21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6.22</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color w:val="auto"/>
        </w:rPr>
        <w:t>Guarantees; Pledge of Additional Collateral.</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7.14.1. Subject to the Agreed Guaranty and Security Principles, in the event that any U.S. Subsidiary of Crown Holdings existing on the Incremental Amendment No. 3 and Fifth Amendment Effective Date (other than any Excluded Subsidiary and other than a U.S. Subsidiary that executes a U.S. Borrower Joinder Agreement) has not previously executed the U.S. Guarantee Agreement or in the event that any Person becomes a U.S. Material Subsidiary (other than any Excluded Subsidiary) of Crown Holdings, Crown Holdings will promptly notify Administrative Agent of that fact and cause such Subsidiary to execute and deliver to Administrative Agent a counterpart of the U.S. Guarantee Agreement and cause such Subsidiary (other than, solely with respect to any U.S. Obligations of U.S. Borrower in its capacity as a Borrower, any Disregarded Subsidiary) to deliver to U.S. Collateral Agent a counterpart of the U.S. Security Agreement and the U.S. Pledge Agreement and to take all such further actions and execute all such further documents and instruments (including actions, documents and certificates comparable to those described in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as may be necessary or, in the reasonable opinion of Administrative Agent, desirable to create in favor of U.S. Collateral Agent, for the benefit of the Secured Creditors, a valid and perfected first priority Lien on all of the property and assets (excluding, however, any Real Property) of such Subsidiary described in the applicable forms of U.S. Security Documents.</w:t>
      </w:r>
    </w:p>
    <w:p>
      <w:pPr>
        <w:spacing w:after="0" w:line="20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7.14.2. Subject to the Agreed Guaranty and Security Principles, in any event within 60 days (or within such longer period of time that the U.S. Collateral Agent may agree in its sole discretion) after the acquisition of assets of the type that would have constituted U.S. Collateral on the Original Closing Date pursuant to the U.S. Security Agreement or the U.S. Pledge Agreement (the “</w:t>
      </w:r>
      <w:r>
        <w:rPr>
          <w:rFonts w:ascii="Times New Roman" w:cs="Times New Roman" w:eastAsia="Times New Roman" w:hAnsi="Times New Roman"/>
          <w:sz w:val="20"/>
          <w:szCs w:val="20"/>
          <w:u w:val="single" w:color="auto"/>
          <w:color w:val="auto"/>
        </w:rPr>
        <w:t>Additional 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Crown Holdings will, and will cause each appropriate U.S. Material Subsidiary to, take all necessary action, including the filing of appropriate financing statements under the provisions of the UCC, applicable domestic or local laws, rules or regulations in each of the offices where such filing is necessary or appropriate, or entering into or amending the U.S. Guarantee Agreement, the U.S. Security Agreement or the U.S. Pledge Agreement, to grant to U.S. Collateral Agent for its benefit and the benefit of the Secured Creditors a perfected Lien (having the priority set forth in the U.S. Security Agreement or the U.S. Pledge Agreement, as applicable) on such Additional U.S. Collateral pursuant to and to the full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31" w:name="page232"/>
    <w:bookmarkEnd w:id="231"/>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extent required by the U.S. Security Agreement or the U.S. Pledge Agreement and this Agreement (including, without limitation, to the extent requested by the U.S. Collateral Agent, satisfaction of the conditions set forth in subsections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 xml:space="preserve">7.14.3. Subject to the provisos set forth below in this section and the Agreed Guaranty and Security Principles, in the event that any Non-U.S. Guarantee Subsidiary existing on the Incremental Amendment No. 3 and Fifth Amendment Effective Date has not previously executed the Non-U.S. Guarantee Agreement (or a supplement or counterpart thereto) or in the event that any Person becomes a Non-U.S. Guarantee Subsidiary after the Effective Date, European Borrower will promptly notify Administrative Agent of that fact and, to the extent permitted by applicable law, cause such Non-U.S. Subsidiary to execute and deliver to Administrative Agent a counterpart of the Non-U.S. Guarantee Agreement (or as required by local law, such local law equivalent document) and (x) if such Non-U.S. Subsidiary is a Specified Foreign Credit Party, deliver to Euro Collateral Agent a counterpart of the applicable Euro Security Documents and such documents and instruments and take such further actions (including actions, documents and instruments comparable to those referred to in </w:t>
      </w:r>
      <w:r>
        <w:rPr>
          <w:rFonts w:ascii="Times New Roman" w:cs="Times New Roman" w:eastAsia="Times New Roman" w:hAnsi="Times New Roman"/>
          <w:sz w:val="19"/>
          <w:szCs w:val="19"/>
          <w:u w:val="single" w:color="auto"/>
          <w:color w:val="auto"/>
        </w:rPr>
        <w:t>Section 5.1(b)(v)</w:t>
      </w:r>
      <w:r>
        <w:rPr>
          <w:rFonts w:ascii="Times New Roman" w:cs="Times New Roman" w:eastAsia="Times New Roman" w:hAnsi="Times New Roman"/>
          <w:sz w:val="19"/>
          <w:szCs w:val="19"/>
          <w:color w:val="auto"/>
        </w:rPr>
        <w:t xml:space="preserve">) as may be necessary or, in the reasonable opinion of Administrative Agent, desirable to create in favor of Euro Collateral Agent, for the benefit of the applicable Secured Creditors, a valid and perfected first priority Lien (subject to Permitted Liens) on all of the property and assets (excluding, however, any Real Property) of such Non-U.S. Subsidiary that would have constituted Euro Collateral on the Original Closing Date under the applicable Euro Security Documents of other Non-U.S. Guarantee Subsidiaries organized in the same jurisdiction to the extent legally permissible and (y) if such Non-U.S. Subsidiary is not a Specified Foreign Credit Party, create in favor of the Euro Collateral Agent for the benefit of the applicable Secured Creditors, a valid and perfected first priority Lien (subject to Permitted Liens) on all Capital Stock of its Subsidiaries, together with executed and undated stock powers and/or assignments in blank or other instruments of transfer customary in the applicable jurisdiction and customary local law pledge agreements;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with respect to all Non-U.S. Subsidiary Guarantors other than those organized in England, Canada, France, Germany, Mexico, Switzerland, The Netherlands or The Grand Duchy of Luxembourg, in addition to the foregoing requirements, the Administrative Agent shall have either (1) given prior written consent (not to be unreasonably conditioned, withheld or delayed) with respect to adding such Non-U.S. Subsidiary as a new Credit Party or</w:t>
      </w:r>
    </w:p>
    <w:p>
      <w:pPr>
        <w:spacing w:after="0" w:line="17" w:lineRule="exact"/>
        <w:rPr>
          <w:sz w:val="20"/>
          <w:szCs w:val="20"/>
          <w:color w:val="auto"/>
        </w:rPr>
      </w:pPr>
    </w:p>
    <w:p>
      <w:pPr>
        <w:jc w:val="both"/>
        <w:ind w:firstLine="8"/>
        <w:spacing w:after="0" w:line="251" w:lineRule="auto"/>
        <w:tabs>
          <w:tab w:leader="none" w:pos="306"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(A) legal opinions from local counsel in each relevant jurisdiction confirming the availability, validity and enforceability of guarantees and collateral support to be provided by each such Non-U.S. Subsidiary Guarantor in form and substance reasonably satisfactory to the Administrative Agent and (B) confirmation from the applicable Lenders that the addition of such Non-U.S. Subsidiary as a new Credit Party does not conflict with or violate applicable law or the internal policies of each applicable Lender.</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7.14.4. Subject to the Agreed Guaranty and Security Principles, in any event within 60 days (or within such longer period of time that the Euro Collateral Agent may agree in its sole discretion) after the acquisition of assets of the type that would have constituted Euro Collateral on the Original Closing Date (other than any intercompany loans or Indebtedness not otherwise required to be pledged under this Agreement) pursuant to any Euro Security Document (the “</w:t>
      </w:r>
      <w:r>
        <w:rPr>
          <w:rFonts w:ascii="Times New Roman" w:cs="Times New Roman" w:eastAsia="Times New Roman" w:hAnsi="Times New Roman"/>
          <w:sz w:val="20"/>
          <w:szCs w:val="20"/>
          <w:u w:val="single" w:color="auto"/>
          <w:color w:val="auto"/>
        </w:rPr>
        <w:t>Additional Euro Collateral</w:t>
      </w:r>
      <w:r>
        <w:rPr>
          <w:rFonts w:ascii="Times New Roman" w:cs="Times New Roman" w:eastAsia="Times New Roman" w:hAnsi="Times New Roman"/>
          <w:sz w:val="20"/>
          <w:szCs w:val="20"/>
          <w:color w:val="auto"/>
        </w:rPr>
        <w:t>” and together with the Additional U.S. Collateral, the “</w:t>
      </w:r>
      <w:r>
        <w:rPr>
          <w:rFonts w:ascii="Times New Roman" w:cs="Times New Roman" w:eastAsia="Times New Roman" w:hAnsi="Times New Roman"/>
          <w:sz w:val="20"/>
          <w:szCs w:val="20"/>
          <w:u w:val="single" w:color="auto"/>
          <w:color w:val="auto"/>
        </w:rPr>
        <w:t>Additional Collateral</w:t>
      </w:r>
      <w:r>
        <w:rPr>
          <w:rFonts w:ascii="Times New Roman" w:cs="Times New Roman" w:eastAsia="Times New Roman" w:hAnsi="Times New Roman"/>
          <w:sz w:val="20"/>
          <w:szCs w:val="20"/>
          <w:color w:val="auto"/>
        </w:rPr>
        <w:t xml:space="preserve">”), European Borrower will, and will cause each appropriate Subsidiary to, to the extent legally permissible, take all necessary action, including the filing of appropriate financing statements, under the provisions of applicable laws, rules or regulations in each of the offices where such filing is necessary or appropriate, or entering into or amending any Euro Security Document, to grant to Euro Collateral Agent for its benefit and the benefit of the Secured Creditors a perfected Lien on such Additional Euro Collateral pursuant to and to the full extent required by this Agreement (including, without limitation, to the extent requested by U.K. Administrative Agent, satisfaction of the conditions set forth in subsection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32" w:name="page233"/>
    <w:bookmarkEnd w:id="232"/>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7.14.5. The U.S. Collateral Agent and the Euro Collateral Agent are hereby authorized by each U.S. Credit Party to file one or more financing statements or continuation statements or amendments thereto where such filing is necessary or appropriate to perfect the Lien granted pursuant to the U.S. Pledge Agreement, the Euro Pledge Agreement and/or any foreign security document executed by the U.S. Credit Parties.</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7.14.6. Crown Holdings agrees not to effect or permit any change with respect to any U.S. Credit Party (i) in its legal name, (ii) in the location of its chief executive office or jurisdiction of organization, (iii) in its identity or corporate structure or (iv) in its organizational identification number unless all filings have been made under the UCC or otherwise that are required in order for the U.S. Collateral Agent or the Euro Collateral Agent to continue at all times following such change to have a valid, legal and perfected first priority security interest in all the Collateral pledged under the Security Documents in effect immediately prior to such change for the benefit of the Secured Creditors, subject to no Liens other than Permitted Liens.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7.14.7. If, for any reason after the Original Closing Date, any debt securities of Crown Holdings or any of its Subsidiaries become secured by a Lien on Principal Property, each Credit Party shall, and shall cause each of its Subsidiaries to, take all necessary action so that any limitation on the Lien of the applicable Collateral Agent and the applicable Lenders on such Principal Property is eliminated from the Security Documents and the applicable Collateral Agent and the applicable Secured Creditors enjoy a full and unconditional Lien on all such Principal Property.</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7.14.8. </w:t>
      </w:r>
      <w:r>
        <w:rPr>
          <w:rFonts w:ascii="Times New Roman" w:cs="Times New Roman" w:eastAsia="Times New Roman" w:hAnsi="Times New Roman"/>
          <w:sz w:val="20"/>
          <w:szCs w:val="20"/>
          <w:u w:val="single" w:color="auto"/>
          <w:color w:val="auto"/>
        </w:rPr>
        <w:t>Documentation for Additional Security</w:t>
      </w:r>
      <w:r>
        <w:rPr>
          <w:rFonts w:ascii="Times New Roman" w:cs="Times New Roman" w:eastAsia="Times New Roman" w:hAnsi="Times New Roman"/>
          <w:sz w:val="20"/>
          <w:szCs w:val="20"/>
          <w:color w:val="auto"/>
        </w:rPr>
        <w:t xml:space="preserve">. The security interests required to be granted pursuant to this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shall be granted pursuant to such security documentation (which shall be subject to the Agreed Guaranty and Security Principles and be substantially similar to the Security Documents already executed and delivered in the applicable jurisdiction by Crown Holdings or the applicable Borrower or otherwise reasonably satisfactory in form and substance to the Administrative Agent) shall constitute valid and enforceable perfected security interests (to the extent such concepts exist in the relevant jurisdictions) subject to no other Liens except Permitted Liens,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to the contrary in any Loan Document, each Additional Security Document shall be limited to the extent necessary to comply with the Agreed Guaranty and Security Principles, including as may be required pursuant thereto by limiting the maximum amount of the Obligations guaranteed by such Person or secured under such Additional Security Document. The Additional Security Documents and other instruments related thereto shall be duly recorded or filed in such manner and in such places and at such times as are required by law to establish, perfect, preserve and protect the Liens, in favor of Collateral Agent for the benefit of the Secured Creditors, required to be granted pursuant to the Additional Security Document and, all taxes, duties, levies, imposes, deductions, assessments, charges, withholdings, fees and other charges payable in connection therewith shall be paid in full by Crown Holdings. At the time of the execution and delivery of the Additional Security Documents, Crown Holdings shall cause to be delivered to Administrative Agent such agreements, opinions of counsel, and other related documents as may be reasonably requested by Administrative Agent or the Required Lenders to assure themselves that this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has been complied with.</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Credit Party will, and will cause each of its Subsidiaries to, execute any and all further documents, financing statements, agreements and instruments, and take all such further actions (including the filing and recording of financing statements, notarizations, mortgages, deeds of trust and other documents and the delivery of appropriate opinions of counsel), which may be required under any applicable law, or which Administrative Agent or the Required Lenders may reasonably request, to effectuate the transactions contemplated by the Loan Documents or to grant, preserve, protect or perfect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33" w:name="page234"/>
    <w:bookmarkEnd w:id="233"/>
    <w:p>
      <w:pPr>
        <w:jc w:val="both"/>
        <w:spacing w:after="0" w:line="261" w:lineRule="auto"/>
        <w:rPr>
          <w:sz w:val="20"/>
          <w:szCs w:val="20"/>
          <w:color w:val="auto"/>
        </w:rPr>
      </w:pPr>
      <w:r>
        <w:rPr>
          <w:rFonts w:ascii="Times New Roman" w:cs="Times New Roman" w:eastAsia="Times New Roman" w:hAnsi="Times New Roman"/>
          <w:sz w:val="20"/>
          <w:szCs w:val="20"/>
          <w:color w:val="auto"/>
        </w:rPr>
        <w:t>the Liens created by the Security Documents or the validity or priority of any such Lien, all at the expense of the Credit Parties. Each Credit Party also agrees to provide to Administrative Agent, from time to time upon request, evidence reasonably satisfactory to Administrative Agent as to the perfection and priority of the Liens created or intended to be created by the Security Documents.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Notwithstanding anything to the contrary, the provisions in this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are subject to the exceptions set forth in </w:t>
      </w:r>
      <w:r>
        <w:rPr>
          <w:rFonts w:ascii="Times New Roman" w:cs="Times New Roman" w:eastAsia="Times New Roman" w:hAnsi="Times New Roman"/>
          <w:sz w:val="20"/>
          <w:szCs w:val="20"/>
          <w:u w:val="single" w:color="auto"/>
          <w:color w:val="auto"/>
        </w:rPr>
        <w:t>Section 7.20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7.15. End of Fiscal Years; Fiscal Quarters. Except as otherwise (x) required by any Requirement of Law or to qualify for any exemption therefrom or (y) agreed between Crown Holdings and the Administrative Agent (and in the case of clauses (x) and (y), subject to such adjustments to this Agreement as Crown Holdings and the Administrative Agent shall reasonably agree are necessary or appropriate in connection with such changes (and, notwithstanding anything to the contrary contained herein, the parties hereto hereby authorize Crown Holdings and the Administrative Agent to make any such amendments to this Agreement as they jointly deem necessary or appropriate to give effect to the foregoing)), Crown Holdings will cause each of its and the Borrowers’ annual accounting periods to end on December 31 of each year (each a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with quarterly accounting periods ending on March 31, June 30 and September 30, of each Fiscal Year (each a “</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19"/>
          <w:szCs w:val="19"/>
          <w:color w:val="auto"/>
        </w:rPr>
        <w:t>Information Regarding Collateral.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7.16.1. Each Credit Party will furnish to Administrative Agent prompt written notice of any change (i) in any Credit Party’s legal name, (ii) in the location of any Credit Party’s chief executive office or (iii) in any Credit Party’s jurisdiction of organization. Each Credit Party agrees not to effect or permit any change referred to in the preceding sentence unless all filings have been made under the UCC or otherwise that are required in order for the applicable Collateral Agent to continue at all times following such change to have a valid, legal and perfected security interest in all relevant Collateral unless not required under the applicable Security Documents. Each Credit Party also agrees promptly to notify Administrative Agent if any material portion of the Collateral is damaged or destroyed.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7.16.2. [Reserved].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7.17. Excluded Companies. Notwithstanding anything to the contrary set forth herein, Crown Holdings shall ensure that each Excluded U.K. Company remains (i) a Dormant Company and shall remain a Dormant Company until such time as it is dissolved in accordance with the laws of England or (ii) a trust company which is involved only in the business of holding assets on behalf of beneficiaries in a trustee relationship, as applicable, and shall continue to exist as a Dormant Company until it is dissolved or act in such capacity and in no other capacity until such time as all of the Obligations hereunder are discharged pursuant to this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7.18. Facilities Rating. Crown Holdings shall use its commercially reasonable efforts to provide that the Indebtedness under this Agreement remains rated by each of S&amp;P and Moody’s at all times and without regard to the level of such ratings, and to promptly deliver to Administrative Agent written notice of any change in the rating thereof by S&amp;P or Moody’s.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7.19.</w:t>
      </w:r>
      <w:r>
        <w:rPr>
          <w:sz w:val="20"/>
          <w:szCs w:val="20"/>
          <w:color w:val="auto"/>
        </w:rPr>
        <w:tab/>
      </w: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34" w:name="page235"/>
    <w:bookmarkEnd w:id="234"/>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7.20.</w:t>
      </w:r>
      <w:r>
        <w:rPr>
          <w:sz w:val="20"/>
          <w:szCs w:val="20"/>
          <w:color w:val="auto"/>
        </w:rPr>
        <w:tab/>
      </w:r>
      <w:r>
        <w:rPr>
          <w:rFonts w:ascii="Times New Roman" w:cs="Times New Roman" w:eastAsia="Times New Roman" w:hAnsi="Times New Roman"/>
          <w:sz w:val="19"/>
          <w:szCs w:val="19"/>
          <w:color w:val="auto"/>
        </w:rPr>
        <w:t>Release and Reinstatement of Collateral.</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7.20.1. Notwithstanding anything to the contrary contained in this Agreement or any Loan Document, if at any time a Non-Stock Collateral Release Event shall have occurred and be continuing, then all Collateral (other than Pledged Securities) shall be released automatically and the provisions in the Security Documents with respect to such Collateral shall be terminated without any further action and the U.S Security Agreement and Canadian Security Agreement shall automatically terminate; provided that the U.S. Pledge Agreement, the Euro Bank Pledge Agreement, the Canadian Pledge Agreement and each Security Document governed by the laws of each jurisdiction outside of the United States and Canada governing the granting and/or perfection of a security interest in the Pledged Securities shall remain in full force and effect, subject to any amendment, waiver or other modification in forms agreed between the Borrowers and the Administrative Agent that are requested by the Borrowers to evidence the release of all Collateral (other than Pledged Securities). In connection with the foregoing, the Administrative Agent shall, at Crown Holdings’ sole expense and at Crown Holdings’ request, promptly</w:t>
      </w:r>
    </w:p>
    <w:p>
      <w:pPr>
        <w:spacing w:after="0" w:line="1" w:lineRule="exact"/>
        <w:rPr>
          <w:sz w:val="20"/>
          <w:szCs w:val="20"/>
          <w:color w:val="auto"/>
        </w:rPr>
      </w:pPr>
    </w:p>
    <w:p>
      <w:pPr>
        <w:jc w:val="both"/>
        <w:ind w:firstLine="8"/>
        <w:spacing w:after="0" w:line="253" w:lineRule="auto"/>
        <w:tabs>
          <w:tab w:leader="none" w:pos="26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and file in the appropriate location and deliver to Crown Holdings such termination and release statements or confirmation thereof, as applicable, and (ii) do such other things as are reasonably necessary to release the Liens to be released pursuant hereto promptly upon the effectiveness of any such release.</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7.20.2. Notwithstanding anything to the contrary contained in this Agreement or any Loan Document (including after a Collateral Reinstatement Event shall have previously occurred), if at any time a Collateral Release Event shall have occurred and be continuing, then all Collateral and the Security Documents shall be released automatically and the provisions in the Security Documents with respect to such Collateral shall be terminated without any further action. In connection with the foregoing, the Administrative Agent shall, at Crown Holdings’ sole expense and at Crown Holdings’ request, promptly (i) return to Crown Holdings all certificates and instruments evidencing pledged Collateral, (ii) execute and file in the appropriate location and deliver to Crown Holdings such termination and full or partial release statements or confirmation thereof, as applicable, and (iii) do such other things as are reasonably necessary to release the Liens to be released pursuant hereto promptly upon the effectiveness of any such release.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7.20.3. Notwithstanding clause (b) above, if a Collateral Reinstatement Event shall have occurred, all Pledged Securities and Security Documents to the extent related thereto shall, at Crown Holdings’ sole cost and expense, be reinstated and all actions reasonably necessary, or reasonably requested by the Administrative Agent to provide to the Administrative Agent for the benefit of the Secured Creditors valid, perfected, first priority security interests (subject to Permitted Liens) in such Collateral (including without limitation the delivery of applicable documentation and taking of applicable actions described in </w:t>
      </w:r>
      <w:r>
        <w:rPr>
          <w:rFonts w:ascii="Times New Roman" w:cs="Times New Roman" w:eastAsia="Times New Roman" w:hAnsi="Times New Roman"/>
          <w:sz w:val="20"/>
          <w:szCs w:val="20"/>
          <w:u w:val="single" w:color="auto"/>
          <w:color w:val="auto"/>
        </w:rPr>
        <w:t>Sections 7.14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7.16</w:t>
      </w:r>
      <w:r>
        <w:rPr>
          <w:rFonts w:ascii="Times New Roman" w:cs="Times New Roman" w:eastAsia="Times New Roman" w:hAnsi="Times New Roman"/>
          <w:sz w:val="20"/>
          <w:szCs w:val="20"/>
          <w:color w:val="auto"/>
        </w:rPr>
        <w:t xml:space="preserve"> to the extent applicable to such Collateral) shall be taken within sixty (60) days (or such longer period as agreed to by the Administrative Agent) after such Collateral Reinstatement Event.</w:t>
      </w:r>
    </w:p>
    <w:p>
      <w:pPr>
        <w:spacing w:after="0" w:line="1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8.</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From and after the Incremental Amendment No. 3 and Fifth Amendment Effective Date, each Credit Party, jointly and severally, hereby agrees, that, so long as (a) any of the Commitments remain in effect, (b) any Loan (other than any Unasserted Contingent Obligations) remains outstanding and unpaid, (c) any Letter of Credit has not (w) expired, (x) been terminated, (y) been cash collateralized or (z) been backstopped in a manner satisfactory to the relevant Facing Agent in its sole discretion, (d) any Unpaid Drawing remains outstanding and unpaid or (e) any other Obligation (other than any Unasserted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35" w:name="page236"/>
    <w:bookmarkEnd w:id="235"/>
    <w:p>
      <w:pPr>
        <w:spacing w:after="0" w:line="283" w:lineRule="auto"/>
        <w:rPr>
          <w:sz w:val="20"/>
          <w:szCs w:val="20"/>
          <w:color w:val="auto"/>
        </w:rPr>
      </w:pPr>
      <w:r>
        <w:rPr>
          <w:rFonts w:ascii="Times New Roman" w:cs="Times New Roman" w:eastAsia="Times New Roman" w:hAnsi="Times New Roman"/>
          <w:sz w:val="20"/>
          <w:szCs w:val="20"/>
          <w:color w:val="auto"/>
        </w:rPr>
        <w:t>Contingent Obligations or obligations and liabilities under any Hedging Agreement) is owing to any Lender or Administrative Agent hereunder, that: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color w:val="auto"/>
        </w:rPr>
        <w:t>Indebtedness; Certain Equity Securities.</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8.1.1. The Credit Parties will not, and will not permit any Subsidiary to create, incur, assume or permit to exist (including by way of Guarantee Obligations) any Indebtedness, except:</w:t>
      </w:r>
    </w:p>
    <w:p>
      <w:pPr>
        <w:spacing w:after="0" w:line="173"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 xml:space="preserve">8.1.1.1. Indebtedness incurred and outstanding under the Loan Documents, including, without limitation, Obligations incurred under Additional Facilities created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obligations incurred pursuant to </w:t>
      </w:r>
      <w:r>
        <w:rPr>
          <w:rFonts w:ascii="Times New Roman" w:cs="Times New Roman" w:eastAsia="Times New Roman" w:hAnsi="Times New Roman"/>
          <w:sz w:val="20"/>
          <w:szCs w:val="20"/>
          <w:u w:val="single" w:color="auto"/>
          <w:color w:val="auto"/>
        </w:rPr>
        <w:t>Sections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and any extension of the Obligations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660" w:firstLine="907"/>
        <w:spacing w:after="0" w:line="258" w:lineRule="auto"/>
        <w:rPr>
          <w:sz w:val="20"/>
          <w:szCs w:val="20"/>
          <w:color w:val="auto"/>
        </w:rPr>
      </w:pPr>
      <w:r>
        <w:rPr>
          <w:rFonts w:ascii="Times New Roman" w:cs="Times New Roman" w:eastAsia="Times New Roman" w:hAnsi="Times New Roman"/>
          <w:sz w:val="20"/>
          <w:szCs w:val="20"/>
          <w:color w:val="auto"/>
        </w:rPr>
        <w:t xml:space="preserve">8.1.1.2. Indebtedness incurred pursuant to Uncommitted Short Term Lines of Credit, the principal amount of such Indebtedness not to exceed in the aggregate at any time outstanding the greater of (1) the Dollar Equivalent of $435,000,000 and (2) 3% of the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left="660" w:firstLine="907"/>
        <w:spacing w:after="0" w:line="283" w:lineRule="auto"/>
        <w:rPr>
          <w:sz w:val="20"/>
          <w:szCs w:val="20"/>
          <w:color w:val="auto"/>
        </w:rPr>
      </w:pPr>
      <w:r>
        <w:rPr>
          <w:rFonts w:ascii="Times New Roman" w:cs="Times New Roman" w:eastAsia="Times New Roman" w:hAnsi="Times New Roman"/>
          <w:sz w:val="20"/>
          <w:szCs w:val="20"/>
          <w:color w:val="auto"/>
        </w:rPr>
        <w:t>8.1.1.3. Indebtedness evidenced by the Senior Notes, including any Guarantee Obligations in respect thereof, and any Permitted Refinancing Indebtedness thereof;</w:t>
      </w:r>
    </w:p>
    <w:p>
      <w:pPr>
        <w:spacing w:after="0" w:line="146" w:lineRule="exact"/>
        <w:rPr>
          <w:sz w:val="20"/>
          <w:szCs w:val="20"/>
          <w:color w:val="auto"/>
        </w:rPr>
      </w:pPr>
    </w:p>
    <w:p>
      <w:pPr>
        <w:jc w:val="both"/>
        <w:ind w:left="660" w:firstLine="907"/>
        <w:spacing w:after="0" w:line="258" w:lineRule="auto"/>
        <w:rPr>
          <w:sz w:val="20"/>
          <w:szCs w:val="20"/>
          <w:color w:val="auto"/>
        </w:rPr>
      </w:pPr>
      <w:r>
        <w:rPr>
          <w:rFonts w:ascii="Times New Roman" w:cs="Times New Roman" w:eastAsia="Times New Roman" w:hAnsi="Times New Roman"/>
          <w:sz w:val="20"/>
          <w:szCs w:val="20"/>
          <w:color w:val="auto"/>
        </w:rPr>
        <w:t>8.1.1.4. Indebtedness evidenced by the Debentures, including any Guarantee Obligations in respect thereof, in each case, existing on the Incremental Amendment No. 3 and Fifth Amendment Effective Date or required to be incurred after the Incremental Amendment No. 3 and Fifth Amendment Effective Date pursuant to the terms of the documents governing such Indebtedness, and any Permitted Refinancing Indebtedness thereof;</w:t>
      </w:r>
    </w:p>
    <w:p>
      <w:pPr>
        <w:spacing w:after="0" w:line="186" w:lineRule="exact"/>
        <w:rPr>
          <w:sz w:val="20"/>
          <w:szCs w:val="20"/>
          <w:color w:val="auto"/>
        </w:rPr>
      </w:pPr>
    </w:p>
    <w:p>
      <w:pPr>
        <w:ind w:left="1560"/>
        <w:spacing w:after="0"/>
        <w:tabs>
          <w:tab w:leader="none" w:pos="2560" w:val="left"/>
        </w:tabs>
        <w:rPr>
          <w:sz w:val="20"/>
          <w:szCs w:val="20"/>
          <w:color w:val="auto"/>
        </w:rPr>
      </w:pPr>
      <w:r>
        <w:rPr>
          <w:rFonts w:ascii="Times New Roman" w:cs="Times New Roman" w:eastAsia="Times New Roman" w:hAnsi="Times New Roman"/>
          <w:sz w:val="20"/>
          <w:szCs w:val="20"/>
          <w:color w:val="auto"/>
        </w:rPr>
        <w:t>8.1.1.5.</w:t>
      </w:r>
      <w:r>
        <w:rPr>
          <w:sz w:val="20"/>
          <w:szCs w:val="20"/>
          <w:color w:val="auto"/>
        </w:rPr>
        <w:tab/>
      </w:r>
      <w:r>
        <w:rPr>
          <w:rFonts w:ascii="Times New Roman" w:cs="Times New Roman" w:eastAsia="Times New Roman" w:hAnsi="Times New Roman"/>
          <w:sz w:val="19"/>
          <w:szCs w:val="19"/>
          <w:color w:val="auto"/>
        </w:rPr>
        <w:t>[reserved];</w:t>
      </w:r>
    </w:p>
    <w:p>
      <w:pPr>
        <w:spacing w:after="0" w:line="216"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 xml:space="preserve">8.1.1.6. Indebtedness to Remain Outstanding (other than Indebtedness under </w:t>
      </w:r>
      <w:r>
        <w:rPr>
          <w:rFonts w:ascii="Times New Roman" w:cs="Times New Roman" w:eastAsia="Times New Roman" w:hAnsi="Times New Roman"/>
          <w:sz w:val="20"/>
          <w:szCs w:val="20"/>
          <w:u w:val="single" w:color="auto"/>
          <w:color w:val="auto"/>
        </w:rPr>
        <w:t>Sections 8.1(a)(iii)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in each case up to the amounts set forth on the applicable </w:t>
      </w:r>
      <w:r>
        <w:rPr>
          <w:rFonts w:ascii="Times New Roman" w:cs="Times New Roman" w:eastAsia="Times New Roman" w:hAnsi="Times New Roman"/>
          <w:sz w:val="20"/>
          <w:szCs w:val="20"/>
          <w:u w:val="single" w:color="auto"/>
          <w:color w:val="auto"/>
        </w:rPr>
        <w:t>Schedule 6.5(b)</w:t>
      </w:r>
      <w:r>
        <w:rPr>
          <w:rFonts w:ascii="Times New Roman" w:cs="Times New Roman" w:eastAsia="Times New Roman" w:hAnsi="Times New Roman"/>
          <w:sz w:val="20"/>
          <w:szCs w:val="20"/>
          <w:color w:val="auto"/>
        </w:rPr>
        <w:t xml:space="preserve"> if required to be disclosed pursuant to </w:t>
      </w:r>
      <w:r>
        <w:rPr>
          <w:rFonts w:ascii="Times New Roman" w:cs="Times New Roman" w:eastAsia="Times New Roman" w:hAnsi="Times New Roman"/>
          <w:sz w:val="20"/>
          <w:szCs w:val="20"/>
          <w:u w:val="single" w:color="auto"/>
          <w:color w:val="auto"/>
        </w:rPr>
        <w:t>Section 6.5(b)</w:t>
      </w:r>
      <w:r>
        <w:rPr>
          <w:rFonts w:ascii="Times New Roman" w:cs="Times New Roman" w:eastAsia="Times New Roman" w:hAnsi="Times New Roman"/>
          <w:sz w:val="20"/>
          <w:szCs w:val="20"/>
          <w:color w:val="auto"/>
        </w:rPr>
        <w:t>, and any Permitted Refinancing Indebtedness thereof;</w:t>
      </w:r>
    </w:p>
    <w:p>
      <w:pPr>
        <w:spacing w:after="0" w:line="181"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8.1.1.7. Indebtedness (including Indebtedness outstanding and available as of the Incremental Amendment No. 3 and Fifth Amendment Effective Date) under one or more Permitted Receivables or Factoring Financings (other than Indebtedness incurred under 8.1(a)(vi);</w:t>
      </w:r>
    </w:p>
    <w:p>
      <w:pPr>
        <w:spacing w:after="0" w:line="181" w:lineRule="exact"/>
        <w:rPr>
          <w:sz w:val="20"/>
          <w:szCs w:val="20"/>
          <w:color w:val="auto"/>
        </w:rPr>
      </w:pPr>
    </w:p>
    <w:p>
      <w:pPr>
        <w:ind w:left="1560"/>
        <w:spacing w:after="0"/>
        <w:tabs>
          <w:tab w:leader="none" w:pos="2560" w:val="left"/>
        </w:tabs>
        <w:rPr>
          <w:sz w:val="20"/>
          <w:szCs w:val="20"/>
          <w:color w:val="auto"/>
        </w:rPr>
      </w:pPr>
      <w:r>
        <w:rPr>
          <w:rFonts w:ascii="Times New Roman" w:cs="Times New Roman" w:eastAsia="Times New Roman" w:hAnsi="Times New Roman"/>
          <w:sz w:val="20"/>
          <w:szCs w:val="20"/>
          <w:color w:val="auto"/>
        </w:rPr>
        <w:t>8.1.1.8.</w:t>
      </w:r>
      <w:r>
        <w:rPr>
          <w:sz w:val="20"/>
          <w:szCs w:val="20"/>
          <w:color w:val="auto"/>
        </w:rPr>
        <w:tab/>
      </w:r>
      <w:r>
        <w:rPr>
          <w:rFonts w:ascii="Times New Roman" w:cs="Times New Roman" w:eastAsia="Times New Roman" w:hAnsi="Times New Roman"/>
          <w:sz w:val="19"/>
          <w:szCs w:val="19"/>
          <w:color w:val="auto"/>
        </w:rPr>
        <w:t>Indebtedness constituting Permitted Guarantee Obligations;</w:t>
      </w:r>
    </w:p>
    <w:p>
      <w:pPr>
        <w:spacing w:after="0" w:line="216" w:lineRule="exact"/>
        <w:rPr>
          <w:sz w:val="20"/>
          <w:szCs w:val="20"/>
          <w:color w:val="auto"/>
        </w:rPr>
      </w:pPr>
    </w:p>
    <w:p>
      <w:pPr>
        <w:jc w:val="both"/>
        <w:ind w:left="660" w:firstLine="907"/>
        <w:spacing w:after="0" w:line="268" w:lineRule="auto"/>
        <w:rPr>
          <w:sz w:val="20"/>
          <w:szCs w:val="20"/>
          <w:color w:val="auto"/>
        </w:rPr>
      </w:pPr>
      <w:r>
        <w:rPr>
          <w:rFonts w:ascii="Times New Roman" w:cs="Times New Roman" w:eastAsia="Times New Roman" w:hAnsi="Times New Roman"/>
          <w:sz w:val="20"/>
          <w:szCs w:val="20"/>
          <w:color w:val="auto"/>
        </w:rPr>
        <w:t>8.1.1.9. Indebtedness consisting of (1) the financing of insurance premiums, (2) take-or-pay obligations contained in supply arrangements and/or (3) obligations to reacquire assets or inventory in connection with customer financing arrangements, in each case, in the ordinary course of business;</w:t>
      </w:r>
    </w:p>
    <w:p>
      <w:pPr>
        <w:spacing w:after="0" w:line="161"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 xml:space="preserve">8.1.1.10. (a) Indebtedness of any Credit Party to any other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Indebtedness owed by a Subsidiary Credit Party of U.S. Borrower or U.S. Borrower to a Subsidiary Credit Party of European Borrower or European Borrower shall be subordinated to the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36" w:name="page237"/>
    <w:bookmarkEnd w:id="236"/>
    <w:p>
      <w:pPr>
        <w:spacing w:after="0" w:line="283" w:lineRule="auto"/>
        <w:rPr>
          <w:sz w:val="20"/>
          <w:szCs w:val="20"/>
          <w:color w:val="auto"/>
        </w:rPr>
      </w:pPr>
      <w:r>
        <w:rPr>
          <w:rFonts w:ascii="Times New Roman" w:cs="Times New Roman" w:eastAsia="Times New Roman" w:hAnsi="Times New Roman"/>
          <w:sz w:val="20"/>
          <w:szCs w:val="20"/>
          <w:color w:val="auto"/>
        </w:rPr>
        <w:t>U.S. Obligations (but only to the extent permitted by applicable law) in a manner reasonably acceptable to Administrative Agent; and (b) Indebtedness of any Subsidiary that is not a Credit Party owed to another Subsidiary that is not a Credit Party;</w:t>
      </w:r>
    </w:p>
    <w:p>
      <w:pPr>
        <w:spacing w:after="0" w:line="146" w:lineRule="exact"/>
        <w:rPr>
          <w:sz w:val="20"/>
          <w:szCs w:val="20"/>
          <w:color w:val="auto"/>
        </w:rPr>
      </w:pPr>
    </w:p>
    <w:p>
      <w:pPr>
        <w:jc w:val="both"/>
        <w:ind w:firstLine="907"/>
        <w:spacing w:after="0" w:line="257" w:lineRule="auto"/>
        <w:rPr>
          <w:sz w:val="20"/>
          <w:szCs w:val="20"/>
          <w:color w:val="auto"/>
        </w:rPr>
      </w:pPr>
      <w:r>
        <w:rPr>
          <w:rFonts w:ascii="Times New Roman" w:cs="Times New Roman" w:eastAsia="Times New Roman" w:hAnsi="Times New Roman"/>
          <w:sz w:val="20"/>
          <w:szCs w:val="20"/>
          <w:color w:val="auto"/>
        </w:rPr>
        <w:t xml:space="preserve">8.1.1.11. other Intercompany Indebtedness of any Credit Party owing to any Subsidiary and/or of any Subsidiary owing to any Credit Party or any other Subsidiary, to the extent permitted by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case of Intercompany Indebtedness consisting of a loan or advance to a Credit Party, each such loan or advance shall be subordinated to such Credit Party’s Obligations (but only to the extent permitted by applicable law) in a manner reasonably acceptable to Administrative Agent;</w:t>
      </w:r>
    </w:p>
    <w:p>
      <w:pPr>
        <w:spacing w:after="0" w:line="173" w:lineRule="exact"/>
        <w:rPr>
          <w:sz w:val="20"/>
          <w:szCs w:val="20"/>
          <w:color w:val="auto"/>
        </w:rPr>
      </w:pPr>
    </w:p>
    <w:p>
      <w:pPr>
        <w:jc w:val="both"/>
        <w:ind w:firstLine="907"/>
        <w:spacing w:after="0" w:line="283" w:lineRule="auto"/>
        <w:rPr>
          <w:sz w:val="20"/>
          <w:szCs w:val="20"/>
          <w:color w:val="auto"/>
        </w:rPr>
      </w:pPr>
      <w:r>
        <w:rPr>
          <w:rFonts w:ascii="Times New Roman" w:cs="Times New Roman" w:eastAsia="Times New Roman" w:hAnsi="Times New Roman"/>
          <w:sz w:val="20"/>
          <w:szCs w:val="20"/>
          <w:color w:val="auto"/>
        </w:rPr>
        <w:t>8.1.1.12. Indebtedness in respect of Hedging Agreements that are incurred in the ordinary course of business and not for speculative purposes;</w:t>
      </w:r>
    </w:p>
    <w:p>
      <w:pPr>
        <w:spacing w:after="0" w:line="146" w:lineRule="exact"/>
        <w:rPr>
          <w:sz w:val="20"/>
          <w:szCs w:val="20"/>
          <w:color w:val="auto"/>
        </w:rPr>
      </w:pPr>
    </w:p>
    <w:p>
      <w:pPr>
        <w:jc w:val="both"/>
        <w:ind w:firstLine="907"/>
        <w:spacing w:after="0" w:line="249" w:lineRule="auto"/>
        <w:rPr>
          <w:sz w:val="20"/>
          <w:szCs w:val="20"/>
          <w:color w:val="auto"/>
        </w:rPr>
      </w:pPr>
      <w:r>
        <w:rPr>
          <w:rFonts w:ascii="Times New Roman" w:cs="Times New Roman" w:eastAsia="Times New Roman" w:hAnsi="Times New Roman"/>
          <w:sz w:val="20"/>
          <w:szCs w:val="20"/>
          <w:color w:val="auto"/>
        </w:rPr>
        <w:t xml:space="preserve">8.1.1.13. (1) Indebtedness incurred to finance the design, development, acquisition, construction, installation, repair, lease, or improvement of any property (or Indebtedness incurred to finance the design, development, acquisition, construction, installation, lease, repairs, additions or improvements to property (real or personal) whether through the direct purchase or lease of such assets or through the purchase of equity interests in a Person owning such assets), including tax retention and other synthetic lease obligations and purchase money obligations and any replacement, renewal, refinancing, extension, exchange, defeasance, restructuring, refunding, repayment, amendment, restatement, or supplementation of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shall be secured only by the property acquired, developed, constructed, repaired, designed, improved, leased or subject to such design or installation in connection with the incurrence of such Indebtedness and any proceeds and products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Dollar Equivalent of the aggregate outstanding principal amount of such Indebtedness together with the Dollar Equivalent of Indebtedness permitted to be outstanding pursuant to </w:t>
      </w:r>
      <w:r>
        <w:rPr>
          <w:rFonts w:ascii="Times New Roman" w:cs="Times New Roman" w:eastAsia="Times New Roman" w:hAnsi="Times New Roman"/>
          <w:sz w:val="20"/>
          <w:szCs w:val="20"/>
          <w:u w:val="single" w:color="auto"/>
          <w:color w:val="auto"/>
        </w:rPr>
        <w:t>Section 8.1(a)(xiii)(2))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(xvi)</w:t>
      </w:r>
      <w:r>
        <w:rPr>
          <w:rFonts w:ascii="Times New Roman" w:cs="Times New Roman" w:eastAsia="Times New Roman" w:hAnsi="Times New Roman"/>
          <w:sz w:val="20"/>
          <w:szCs w:val="20"/>
          <w:color w:val="auto"/>
        </w:rPr>
        <w:t xml:space="preserve"> shall not exceed the Debt Basket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Unmatured Event of Default or Event of Default shall be deemed to have occurred if such aggregate outstanding principal amount of such Indebtedness or other obligations shall at a later time exceed the Debt Basket Amount so long as, at the time of the creation, incurrence, assumption or initial existence thereof, such Indebtedness or other obligation was permitted to be incurred); and (2) Indebtedness in respect of Capitalized Lease Obligations and any replacement, renewal, refinancing, extension, exchange, defeasance, restructuring, refunding, repayment, amendment, restatement, or supplementation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incurred and outstanding under this </w:t>
      </w:r>
      <w:r>
        <w:rPr>
          <w:rFonts w:ascii="Times New Roman" w:cs="Times New Roman" w:eastAsia="Times New Roman" w:hAnsi="Times New Roman"/>
          <w:sz w:val="20"/>
          <w:szCs w:val="20"/>
          <w:u w:val="single" w:color="auto"/>
          <w:color w:val="auto"/>
        </w:rPr>
        <w:t>clause (xiii)(2)</w:t>
      </w:r>
      <w:r>
        <w:rPr>
          <w:rFonts w:ascii="Times New Roman" w:cs="Times New Roman" w:eastAsia="Times New Roman" w:hAnsi="Times New Roman"/>
          <w:sz w:val="20"/>
          <w:szCs w:val="20"/>
          <w:color w:val="auto"/>
        </w:rPr>
        <w:t xml:space="preserve">, together with Indebtedness incurred and outstanding under </w:t>
      </w:r>
      <w:r>
        <w:rPr>
          <w:rFonts w:ascii="Times New Roman" w:cs="Times New Roman" w:eastAsia="Times New Roman" w:hAnsi="Times New Roman"/>
          <w:sz w:val="20"/>
          <w:szCs w:val="20"/>
          <w:u w:val="single" w:color="auto"/>
          <w:color w:val="auto"/>
        </w:rPr>
        <w:t>clauses (xiii)(1)</w:t>
      </w:r>
      <w:r>
        <w:rPr>
          <w:rFonts w:ascii="Times New Roman" w:cs="Times New Roman" w:eastAsia="Times New Roman" w:hAnsi="Times New Roman"/>
          <w:sz w:val="20"/>
          <w:szCs w:val="20"/>
          <w:color w:val="auto"/>
        </w:rPr>
        <w:t xml:space="preserve">, (xiv) and </w:t>
      </w:r>
      <w:r>
        <w:rPr>
          <w:rFonts w:ascii="Times New Roman" w:cs="Times New Roman" w:eastAsia="Times New Roman" w:hAnsi="Times New Roman"/>
          <w:sz w:val="20"/>
          <w:szCs w:val="20"/>
          <w:u w:val="single" w:color="auto"/>
          <w:color w:val="auto"/>
        </w:rPr>
        <w:t>(xvi)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does not exceed the Debt Basket Amount;</w:t>
      </w:r>
    </w:p>
    <w:p>
      <w:pPr>
        <w:spacing w:after="0" w:line="201" w:lineRule="exact"/>
        <w:rPr>
          <w:sz w:val="20"/>
          <w:szCs w:val="20"/>
          <w:color w:val="auto"/>
        </w:rPr>
      </w:pPr>
    </w:p>
    <w:p>
      <w:pPr>
        <w:jc w:val="both"/>
        <w:ind w:firstLine="907"/>
        <w:spacing w:after="0" w:line="253" w:lineRule="auto"/>
        <w:rPr>
          <w:sz w:val="20"/>
          <w:szCs w:val="20"/>
          <w:color w:val="auto"/>
        </w:rPr>
      </w:pPr>
      <w:r>
        <w:rPr>
          <w:rFonts w:ascii="Times New Roman" w:cs="Times New Roman" w:eastAsia="Times New Roman" w:hAnsi="Times New Roman"/>
          <w:sz w:val="20"/>
          <w:szCs w:val="20"/>
          <w:color w:val="auto"/>
        </w:rPr>
        <w:t xml:space="preserve">8.1.1.14. (1) Indebtedness of any Subsidiary of Crown Holdings assumed in connection with a Permitted Acquisition or other permitted Investment and (2) any Permitted Refinancing Indebtedness thereof, so long as (a) such Indebtedness was not issued or created in contemplation of such acquisition and (b) the aggregate principal amount of Indebtedness incurred and outstanding under this </w:t>
      </w:r>
      <w:r>
        <w:rPr>
          <w:rFonts w:ascii="Times New Roman" w:cs="Times New Roman" w:eastAsia="Times New Roman" w:hAnsi="Times New Roman"/>
          <w:sz w:val="20"/>
          <w:szCs w:val="20"/>
          <w:u w:val="single" w:color="auto"/>
          <w:color w:val="auto"/>
        </w:rPr>
        <w:t>clause (xiv)</w:t>
      </w:r>
      <w:r>
        <w:rPr>
          <w:rFonts w:ascii="Times New Roman" w:cs="Times New Roman" w:eastAsia="Times New Roman" w:hAnsi="Times New Roman"/>
          <w:sz w:val="20"/>
          <w:szCs w:val="20"/>
          <w:color w:val="auto"/>
        </w:rPr>
        <w:t xml:space="preserve">, together with Indebtedness incurred and outstanding under </w:t>
      </w:r>
      <w:r>
        <w:rPr>
          <w:rFonts w:ascii="Times New Roman" w:cs="Times New Roman" w:eastAsia="Times New Roman" w:hAnsi="Times New Roman"/>
          <w:sz w:val="20"/>
          <w:szCs w:val="20"/>
          <w:u w:val="single" w:color="auto"/>
          <w:color w:val="auto"/>
        </w:rPr>
        <w:t>clauses (xiii)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(xvi)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does not exceed the Debt Basket Amount;</w:t>
      </w:r>
    </w:p>
    <w:p>
      <w:pPr>
        <w:spacing w:after="0" w:line="192" w:lineRule="exact"/>
        <w:rPr>
          <w:sz w:val="20"/>
          <w:szCs w:val="20"/>
          <w:color w:val="auto"/>
        </w:rPr>
      </w:pPr>
    </w:p>
    <w:p>
      <w:pPr>
        <w:ind w:left="900"/>
        <w:spacing w:after="0"/>
        <w:tabs>
          <w:tab w:leader="none" w:pos="1920" w:val="left"/>
        </w:tabs>
        <w:rPr>
          <w:sz w:val="20"/>
          <w:szCs w:val="20"/>
          <w:color w:val="auto"/>
        </w:rPr>
      </w:pPr>
      <w:r>
        <w:rPr>
          <w:rFonts w:ascii="Times New Roman" w:cs="Times New Roman" w:eastAsia="Times New Roman" w:hAnsi="Times New Roman"/>
          <w:sz w:val="20"/>
          <w:szCs w:val="20"/>
          <w:color w:val="auto"/>
        </w:rPr>
        <w:t>8.1.1.15.</w:t>
      </w:r>
      <w:r>
        <w:rPr>
          <w:sz w:val="20"/>
          <w:szCs w:val="20"/>
          <w:color w:val="auto"/>
        </w:rPr>
        <w:tab/>
      </w: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183</w:t>
      </w:r>
    </w:p>
    <w:p>
      <w:pPr>
        <w:spacing w:after="0" w:line="8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237" w:name="page238"/>
    <w:bookmarkEnd w:id="237"/>
    <w:p>
      <w:pPr>
        <w:jc w:val="both"/>
        <w:ind w:firstLine="907"/>
        <w:spacing w:after="0" w:line="261" w:lineRule="auto"/>
        <w:rPr>
          <w:sz w:val="20"/>
          <w:szCs w:val="20"/>
          <w:color w:val="auto"/>
        </w:rPr>
      </w:pPr>
      <w:r>
        <w:rPr>
          <w:rFonts w:ascii="Times New Roman" w:cs="Times New Roman" w:eastAsia="Times New Roman" w:hAnsi="Times New Roman"/>
          <w:sz w:val="20"/>
          <w:szCs w:val="20"/>
          <w:color w:val="auto"/>
        </w:rPr>
        <w:t xml:space="preserve">8.1.1.16. Indebtedness in respect of sale and leaseback transactions permitted by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provided that the aggregate principal amount of Indebtedness incurred pursuant to this clause (xvi), together with Indebtedness incurred and outstanding under clauses (xiii) and (xiv) of Section 8.1(a) does not exceed the Debt Basket Amount;</w:t>
      </w:r>
    </w:p>
    <w:p>
      <w:pPr>
        <w:spacing w:after="0" w:line="181" w:lineRule="exact"/>
        <w:rPr>
          <w:sz w:val="20"/>
          <w:szCs w:val="20"/>
          <w:color w:val="auto"/>
        </w:rPr>
      </w:pPr>
    </w:p>
    <w:p>
      <w:pPr>
        <w:jc w:val="both"/>
        <w:ind w:firstLine="907"/>
        <w:spacing w:after="0" w:line="258" w:lineRule="auto"/>
        <w:rPr>
          <w:sz w:val="20"/>
          <w:szCs w:val="20"/>
          <w:color w:val="auto"/>
        </w:rPr>
      </w:pPr>
      <w:r>
        <w:rPr>
          <w:rFonts w:ascii="Times New Roman" w:cs="Times New Roman" w:eastAsia="Times New Roman" w:hAnsi="Times New Roman"/>
          <w:sz w:val="20"/>
          <w:szCs w:val="20"/>
          <w:color w:val="auto"/>
        </w:rPr>
        <w:t>8.1.1.17. Indebtedness and obligations (including obligations in respect of letters of credit for the benefit) of Crown Holdings or its Subsidiaries in respect of worker’s compensation, other types of social security benefits, pension obligations, vacation pay, unemployment obligations (including premiums related thereto), health, disability or other employee benefits or property, casualty or liability insurance or self-insurance and similar obligations;</w:t>
      </w:r>
    </w:p>
    <w:p>
      <w:pPr>
        <w:spacing w:after="0" w:line="172" w:lineRule="exact"/>
        <w:rPr>
          <w:sz w:val="20"/>
          <w:szCs w:val="20"/>
          <w:color w:val="auto"/>
        </w:rPr>
      </w:pPr>
    </w:p>
    <w:p>
      <w:pPr>
        <w:jc w:val="both"/>
        <w:ind w:firstLine="907"/>
        <w:spacing w:after="0" w:line="251" w:lineRule="auto"/>
        <w:rPr>
          <w:sz w:val="20"/>
          <w:szCs w:val="20"/>
          <w:color w:val="auto"/>
        </w:rPr>
      </w:pPr>
      <w:r>
        <w:rPr>
          <w:rFonts w:ascii="Times New Roman" w:cs="Times New Roman" w:eastAsia="Times New Roman" w:hAnsi="Times New Roman"/>
          <w:sz w:val="20"/>
          <w:szCs w:val="20"/>
          <w:color w:val="auto"/>
        </w:rPr>
        <w:t>8.1.1.18. Indebtedness of (including obligations in respect of letters of credit for the benefit of) Crown Holdings or its Subsidiaries in respect of (A) bid bonds, appeal bonds and similar obligations and commercial and trade-related letters of credit (including reimbursement obligations with respect to any such letters of credit), (B) reclamation, (C) pursuant to tenders, statutory obligations, bids, leases, governmental contracts, trade contracts, stay, customs, appeal, performance and/or return of money bonds or other similar obligations and (D) in respect of letters of credit (including reimbursement obligations with respect to any such letters of credit), bank guarantees, bankers’ acceptances, performance, bid and appeal bonds, performance guarantees or similar obligations, in each case, provided in the ordinary course of business, including those incurred to secure health, safety and environmental obligations in the ordinary course of business;</w:t>
      </w:r>
    </w:p>
    <w:p>
      <w:pPr>
        <w:spacing w:after="0" w:line="195" w:lineRule="exact"/>
        <w:rPr>
          <w:sz w:val="20"/>
          <w:szCs w:val="20"/>
          <w:color w:val="auto"/>
        </w:rPr>
      </w:pPr>
    </w:p>
    <w:p>
      <w:pPr>
        <w:jc w:val="both"/>
        <w:ind w:firstLine="907"/>
        <w:spacing w:after="0" w:line="253" w:lineRule="auto"/>
        <w:rPr>
          <w:sz w:val="20"/>
          <w:szCs w:val="20"/>
          <w:color w:val="auto"/>
        </w:rPr>
      </w:pPr>
      <w:r>
        <w:rPr>
          <w:rFonts w:ascii="Times New Roman" w:cs="Times New Roman" w:eastAsia="Times New Roman" w:hAnsi="Times New Roman"/>
          <w:sz w:val="20"/>
          <w:szCs w:val="20"/>
          <w:color w:val="auto"/>
        </w:rPr>
        <w:t>8.1.1.19. Indebtedness arising from agreements of Crown Holdings or any of its Subsidiaries providing for indemnification, adjustment of purchase price, holdback obligations, earn-out obligations, seller notes or contingent deferred purchase price obligations, working capital adjustments, non-compete, consulting and other or similar obligations, in each case, incurred or assumed in connection with a Permitted Acquisition, any other Investment or the disposition of any business, assets or a Subsidiary;</w:t>
      </w:r>
    </w:p>
    <w:p>
      <w:pPr>
        <w:spacing w:after="0" w:line="192" w:lineRule="exact"/>
        <w:rPr>
          <w:sz w:val="20"/>
          <w:szCs w:val="20"/>
          <w:color w:val="auto"/>
        </w:rPr>
      </w:pPr>
    </w:p>
    <w:p>
      <w:pPr>
        <w:jc w:val="both"/>
        <w:ind w:firstLine="907"/>
        <w:spacing w:after="0" w:line="269" w:lineRule="auto"/>
        <w:rPr>
          <w:sz w:val="20"/>
          <w:szCs w:val="20"/>
          <w:color w:val="auto"/>
        </w:rPr>
      </w:pPr>
      <w:r>
        <w:rPr>
          <w:rFonts w:ascii="Times New Roman" w:cs="Times New Roman" w:eastAsia="Times New Roman" w:hAnsi="Times New Roman"/>
          <w:sz w:val="20"/>
          <w:szCs w:val="20"/>
          <w:color w:val="auto"/>
        </w:rPr>
        <w:t>8.1.1.20. obligations in respect of performance and surety bonds and completion guarantees provided by Crown Holdings and its Subsidiaries in the ordinary course of business;</w:t>
      </w:r>
    </w:p>
    <w:p>
      <w:pPr>
        <w:spacing w:after="0" w:line="173" w:lineRule="exact"/>
        <w:rPr>
          <w:sz w:val="20"/>
          <w:szCs w:val="20"/>
          <w:color w:val="auto"/>
        </w:rPr>
      </w:pPr>
    </w:p>
    <w:p>
      <w:pPr>
        <w:jc w:val="both"/>
        <w:ind w:firstLine="907"/>
        <w:spacing w:after="0" w:line="283" w:lineRule="auto"/>
        <w:rPr>
          <w:sz w:val="20"/>
          <w:szCs w:val="20"/>
          <w:color w:val="auto"/>
        </w:rPr>
      </w:pPr>
      <w:r>
        <w:rPr>
          <w:rFonts w:ascii="Times New Roman" w:cs="Times New Roman" w:eastAsia="Times New Roman" w:hAnsi="Times New Roman"/>
          <w:sz w:val="20"/>
          <w:szCs w:val="20"/>
          <w:color w:val="auto"/>
        </w:rPr>
        <w:t xml:space="preserve">8.1.1.21. Indebtedness arising from the honoring by a bank or other financial institution of a check, draft or similar instrument against insufficient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is extinguished within ten Business Days of incurrence;</w:t>
      </w:r>
    </w:p>
    <w:p>
      <w:pPr>
        <w:spacing w:after="0" w:line="146" w:lineRule="exact"/>
        <w:rPr>
          <w:sz w:val="20"/>
          <w:szCs w:val="20"/>
          <w:color w:val="auto"/>
        </w:rPr>
      </w:pPr>
    </w:p>
    <w:p>
      <w:pPr>
        <w:jc w:val="both"/>
        <w:ind w:firstLine="907"/>
        <w:spacing w:after="0" w:line="253" w:lineRule="auto"/>
        <w:rPr>
          <w:sz w:val="20"/>
          <w:szCs w:val="20"/>
          <w:color w:val="auto"/>
        </w:rPr>
      </w:pPr>
      <w:r>
        <w:rPr>
          <w:rFonts w:ascii="Times New Roman" w:cs="Times New Roman" w:eastAsia="Times New Roman" w:hAnsi="Times New Roman"/>
          <w:sz w:val="20"/>
          <w:szCs w:val="20"/>
          <w:color w:val="auto"/>
        </w:rPr>
        <w:t>8.1.1.22. Indebtedness in respect of commercial credit cards, stored value cards, purchasing cards, treasury, depositary and cash management services, check drawing services, automated payment services (including depository, overdraft, controlled disbursement, ACH transactions, return items and interstate depository network services), employee credit card programs, pooling account arrangements, netting services, overdraft protections, set-off, revocation, refunds and chargebacks, and otherwise in connection with deposit accounts, commodities accounts, securities accounts and vendor incentive, supplier finance or similar programs;</w:t>
      </w:r>
    </w:p>
    <w:p>
      <w:pPr>
        <w:spacing w:after="0" w:line="192" w:lineRule="exact"/>
        <w:rPr>
          <w:sz w:val="20"/>
          <w:szCs w:val="20"/>
          <w:color w:val="auto"/>
        </w:rPr>
      </w:pPr>
    </w:p>
    <w:p>
      <w:pPr>
        <w:jc w:val="both"/>
        <w:ind w:firstLine="907"/>
        <w:spacing w:after="0" w:line="269" w:lineRule="auto"/>
        <w:rPr>
          <w:sz w:val="20"/>
          <w:szCs w:val="20"/>
          <w:color w:val="auto"/>
        </w:rPr>
      </w:pPr>
      <w:r>
        <w:rPr>
          <w:rFonts w:ascii="Times New Roman" w:cs="Times New Roman" w:eastAsia="Times New Roman" w:hAnsi="Times New Roman"/>
          <w:sz w:val="20"/>
          <w:szCs w:val="20"/>
          <w:color w:val="auto"/>
        </w:rPr>
        <w:t>8.1.1.23. Indebtedness of any Euro Credit Party to any other Non-U.S. Subsidiary that is not a Credit Party incurred in the ordinary course of business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184</w:t>
      </w:r>
    </w:p>
    <w:p>
      <w:pPr>
        <w:spacing w:after="0" w:line="6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238" w:name="page239"/>
    <w:bookmarkEnd w:id="238"/>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such Indebtedness in excess of $250,000,000 is outstanding at any time, Indebtedness representing such excess shall be subordinated to the Euro Obligations;</w:t>
      </w:r>
    </w:p>
    <w:p>
      <w:pPr>
        <w:spacing w:after="0" w:line="146" w:lineRule="exact"/>
        <w:rPr>
          <w:sz w:val="20"/>
          <w:szCs w:val="20"/>
          <w:color w:val="auto"/>
        </w:rPr>
      </w:pPr>
    </w:p>
    <w:p>
      <w:pPr>
        <w:jc w:val="both"/>
        <w:ind w:firstLine="907"/>
        <w:spacing w:after="0" w:line="283" w:lineRule="auto"/>
        <w:rPr>
          <w:sz w:val="20"/>
          <w:szCs w:val="20"/>
          <w:color w:val="auto"/>
        </w:rPr>
      </w:pPr>
      <w:r>
        <w:rPr>
          <w:rFonts w:ascii="Times New Roman" w:cs="Times New Roman" w:eastAsia="Times New Roman" w:hAnsi="Times New Roman"/>
          <w:sz w:val="20"/>
          <w:szCs w:val="20"/>
          <w:color w:val="auto"/>
        </w:rPr>
        <w:t xml:space="preserve">8.1.1.24. Indebtedness of Subsidiaries that are not Credit Parties to Credit Parties issued solely as consideration for asset sales permitted by </w:t>
      </w:r>
      <w:r>
        <w:rPr>
          <w:rFonts w:ascii="Times New Roman" w:cs="Times New Roman" w:eastAsia="Times New Roman" w:hAnsi="Times New Roman"/>
          <w:sz w:val="20"/>
          <w:szCs w:val="20"/>
          <w:u w:val="single" w:color="auto"/>
          <w:color w:val="auto"/>
        </w:rPr>
        <w:t>Section 8.5(k)</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907"/>
        <w:spacing w:after="0" w:line="258" w:lineRule="auto"/>
        <w:rPr>
          <w:sz w:val="20"/>
          <w:szCs w:val="20"/>
          <w:color w:val="auto"/>
        </w:rPr>
      </w:pPr>
      <w:r>
        <w:rPr>
          <w:rFonts w:ascii="Times New Roman" w:cs="Times New Roman" w:eastAsia="Times New Roman" w:hAnsi="Times New Roman"/>
          <w:sz w:val="20"/>
          <w:szCs w:val="20"/>
          <w:color w:val="auto"/>
        </w:rPr>
        <w:t xml:space="preserve">8.1.1.25. Indebtedness (including Guarantee Obligations incurred in respect thereof) consisting of unsecured promissory notes issued by any Credit Party to any current or former director, officer, employee, member of management, manager or consultant of Crown Holdings, any Credit Party or any Subsidiary to finance the purchase or redemption of Capital Stock of Crown Holdings permitted by </w:t>
      </w:r>
      <w:r>
        <w:rPr>
          <w:rFonts w:ascii="Times New Roman" w:cs="Times New Roman" w:eastAsia="Times New Roman" w:hAnsi="Times New Roman"/>
          <w:sz w:val="20"/>
          <w:szCs w:val="20"/>
          <w:u w:val="single" w:color="auto"/>
          <w:color w:val="auto"/>
        </w:rPr>
        <w:t>Section 8.8(e)</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907"/>
        <w:spacing w:after="0" w:line="253" w:lineRule="auto"/>
        <w:rPr>
          <w:sz w:val="20"/>
          <w:szCs w:val="20"/>
          <w:color w:val="auto"/>
        </w:rPr>
      </w:pPr>
      <w:r>
        <w:rPr>
          <w:rFonts w:ascii="Times New Roman" w:cs="Times New Roman" w:eastAsia="Times New Roman" w:hAnsi="Times New Roman"/>
          <w:sz w:val="20"/>
          <w:szCs w:val="20"/>
          <w:color w:val="auto"/>
        </w:rPr>
        <w:t xml:space="preserve">8.1.1.26. Indebtedness of Crown Holdings in the form of Disqualified Preferred Stock in an aggregate amount at any time outstanding not to exceed the greater of (1) $290,000,000 and (2) 2%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any replacement, renewal, refinancing, extension, defeasance, restructuring, refunding, repayment, amendment, restatement, supplementation, modification or exchange of such Indebtedness that satisfies the provisions of this </w:t>
      </w:r>
      <w:r>
        <w:rPr>
          <w:rFonts w:ascii="Times New Roman" w:cs="Times New Roman" w:eastAsia="Times New Roman" w:hAnsi="Times New Roman"/>
          <w:sz w:val="20"/>
          <w:szCs w:val="20"/>
          <w:u w:val="single" w:color="auto"/>
          <w:color w:val="auto"/>
        </w:rPr>
        <w:t>Section 8.1(a)(xxvi)</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907"/>
        <w:spacing w:after="0" w:line="261" w:lineRule="auto"/>
        <w:rPr>
          <w:sz w:val="20"/>
          <w:szCs w:val="20"/>
          <w:color w:val="auto"/>
        </w:rPr>
      </w:pPr>
      <w:r>
        <w:rPr>
          <w:rFonts w:ascii="Times New Roman" w:cs="Times New Roman" w:eastAsia="Times New Roman" w:hAnsi="Times New Roman"/>
          <w:sz w:val="20"/>
          <w:szCs w:val="20"/>
          <w:color w:val="auto"/>
        </w:rPr>
        <w:t>8.1.1.27. Permitted European Borrower Debt (including any Permitted Refinancing Indebtedness of such Indebtedness) in an aggregate principal amount not to exceed €500,000,000 at any time, the net proceeds of which are used to finance a Permitted Acquisition (and to pay fees and expenses related thereto);</w:t>
      </w:r>
    </w:p>
    <w:p>
      <w:pPr>
        <w:spacing w:after="0" w:line="181" w:lineRule="exact"/>
        <w:rPr>
          <w:sz w:val="20"/>
          <w:szCs w:val="20"/>
          <w:color w:val="auto"/>
        </w:rPr>
      </w:pPr>
    </w:p>
    <w:p>
      <w:pPr>
        <w:jc w:val="both"/>
        <w:ind w:firstLine="907"/>
        <w:spacing w:after="0" w:line="253" w:lineRule="auto"/>
        <w:rPr>
          <w:sz w:val="20"/>
          <w:szCs w:val="20"/>
          <w:color w:val="auto"/>
        </w:rPr>
      </w:pPr>
      <w:r>
        <w:rPr>
          <w:rFonts w:ascii="Times New Roman" w:cs="Times New Roman" w:eastAsia="Times New Roman" w:hAnsi="Times New Roman"/>
          <w:sz w:val="20"/>
          <w:szCs w:val="20"/>
          <w:color w:val="auto"/>
        </w:rPr>
        <w:t xml:space="preserve">8.1.1.28. Indebtedness evidenced by one or more letter of credit facilities and/or one or more bank guarantees (and reimbursement obligations in connection with such letter of credit facilities and/or bank guarantees) in an aggregate undrawn face amount and any unreimbursed obligations in respect thereof at any time outstanding not to exceed the greater of (1) $290,000,000 and (2) 2%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907"/>
        <w:spacing w:after="0" w:line="251" w:lineRule="auto"/>
        <w:rPr>
          <w:sz w:val="20"/>
          <w:szCs w:val="20"/>
          <w:color w:val="auto"/>
        </w:rPr>
      </w:pPr>
      <w:r>
        <w:rPr>
          <w:rFonts w:ascii="Times New Roman" w:cs="Times New Roman" w:eastAsia="Times New Roman" w:hAnsi="Times New Roman"/>
          <w:sz w:val="20"/>
          <w:szCs w:val="20"/>
          <w:color w:val="auto"/>
        </w:rPr>
        <w:t xml:space="preserve">8.1.1.29. Permitted Ratio Debt (including any Permitted Refinancing Indebtedness of such Indebtedness) not otherwise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the date on which such Indebtedness is incurred or created and after giving effect to the incurrence of such Permitted Ratio Debt on a Pro Forma Basis for the period of four Fiscal Quarters for which financial statements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immediately preceding the date on which such Permitted Ratio Debt is incurred or created, (i) no Event of Default would exist hereunder and (ii) the Total Leverage Ratio shall not be greater than (x) prior to December 31, 2023, 5.00 to 1.00 (or 5.50 to 1.00 during any Increase Period prior to December 31, 2023) and (y) thereafter, 4.50 to 1.00 (or 5.00 to 1.00 during any Increase Period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Indebtedness incurred by Subsidiaries that are not Credit Parties pursuant to this clause (xxix) and clause (xxx) below shall not exceed the greater of (1) $725,000,000 and (2) 5%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if the Total Leverage Ratio is less than or equal to 3.50 to 1.00 at the time of incurrence, the greater of (A) $935,000,000 and (B) 6.5%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at any time outstanding);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185</w:t>
      </w:r>
    </w:p>
    <w:p>
      <w:pPr>
        <w:spacing w:after="0" w:line="8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0580"/>
          </w:cols>
          <w:pgMar w:left="980" w:top="1413" w:right="339" w:bottom="1440" w:gutter="0" w:footer="0" w:header="0"/>
        </w:sectPr>
      </w:pPr>
    </w:p>
    <w:bookmarkStart w:id="239" w:name="page240"/>
    <w:bookmarkEnd w:id="239"/>
    <w:p>
      <w:pPr>
        <w:jc w:val="both"/>
        <w:ind w:left="660" w:firstLine="907"/>
        <w:spacing w:after="0" w:line="250" w:lineRule="auto"/>
        <w:rPr>
          <w:sz w:val="20"/>
          <w:szCs w:val="20"/>
          <w:color w:val="auto"/>
        </w:rPr>
      </w:pPr>
      <w:r>
        <w:rPr>
          <w:rFonts w:ascii="Times New Roman" w:cs="Times New Roman" w:eastAsia="Times New Roman" w:hAnsi="Times New Roman"/>
          <w:sz w:val="20"/>
          <w:szCs w:val="20"/>
          <w:color w:val="auto"/>
        </w:rPr>
        <w:t xml:space="preserve">8.1.1.30. other Indebtedness (including any Permitted Refinancing Indebtedness of such Indebtedness) of Crown Holdings or any of its Subsidiaries incurred after the Incremental Amendment No. 3 and Fifth Amendment Effective Date in an aggregate principal amount not exceeding the greater of (1) $935,000,000 and (2) 6.5%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if the Total Leverage Ratio is less than or equal to 3.50 to 1.00, the greater of (x) $1,150,000,000 and (y) 8%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at any time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Indebtedness incurred by Subsidiaries that are not Credit Parties pursuant to this clause (xxx) and clause (xxix) above shall not exceed the greater of (A) $725,000,000 and (B) 5%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if the Total Leverage Ratio is less than 3.50 to 1.00 at the time of incurrence, the greater of (I) $935,000,000 and (II) 6.5%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at any time outstanding;</w:t>
      </w:r>
    </w:p>
    <w:p>
      <w:pPr>
        <w:spacing w:after="0" w:line="200" w:lineRule="exact"/>
        <w:rPr>
          <w:sz w:val="20"/>
          <w:szCs w:val="20"/>
          <w:color w:val="auto"/>
        </w:rPr>
      </w:pPr>
    </w:p>
    <w:p>
      <w:pPr>
        <w:jc w:val="both"/>
        <w:ind w:left="660" w:firstLine="907"/>
        <w:spacing w:after="0" w:line="269" w:lineRule="auto"/>
        <w:rPr>
          <w:sz w:val="20"/>
          <w:szCs w:val="20"/>
          <w:color w:val="auto"/>
        </w:rPr>
      </w:pPr>
      <w:r>
        <w:rPr>
          <w:rFonts w:ascii="Times New Roman" w:cs="Times New Roman" w:eastAsia="Times New Roman" w:hAnsi="Times New Roman"/>
          <w:sz w:val="20"/>
          <w:szCs w:val="20"/>
          <w:color w:val="auto"/>
        </w:rPr>
        <w:t>8.1.1.31. Indebtedness arising as a result of the endorsement in the ordinary course of business of negotiable instruments in the course of collection;</w:t>
      </w:r>
    </w:p>
    <w:p>
      <w:pPr>
        <w:spacing w:after="0" w:line="173" w:lineRule="exact"/>
        <w:rPr>
          <w:sz w:val="20"/>
          <w:szCs w:val="20"/>
          <w:color w:val="auto"/>
        </w:rPr>
      </w:pPr>
    </w:p>
    <w:p>
      <w:pPr>
        <w:ind w:left="1560"/>
        <w:spacing w:after="0"/>
        <w:tabs>
          <w:tab w:leader="none" w:pos="2580" w:val="left"/>
        </w:tabs>
        <w:rPr>
          <w:sz w:val="20"/>
          <w:szCs w:val="20"/>
          <w:color w:val="auto"/>
        </w:rPr>
      </w:pPr>
      <w:r>
        <w:rPr>
          <w:rFonts w:ascii="Times New Roman" w:cs="Times New Roman" w:eastAsia="Times New Roman" w:hAnsi="Times New Roman"/>
          <w:sz w:val="20"/>
          <w:szCs w:val="20"/>
          <w:color w:val="auto"/>
        </w:rPr>
        <w:t>8.1.1.32.</w:t>
      </w:r>
      <w:r>
        <w:rPr>
          <w:sz w:val="20"/>
          <w:szCs w:val="20"/>
          <w:color w:val="auto"/>
        </w:rPr>
        <w:tab/>
      </w:r>
      <w:r>
        <w:rPr>
          <w:rFonts w:ascii="Times New Roman" w:cs="Times New Roman" w:eastAsia="Times New Roman" w:hAnsi="Times New Roman"/>
          <w:sz w:val="19"/>
          <w:szCs w:val="19"/>
          <w:color w:val="auto"/>
        </w:rPr>
        <w:t>[reserved];</w:t>
      </w:r>
    </w:p>
    <w:p>
      <w:pPr>
        <w:spacing w:after="0" w:line="216" w:lineRule="exact"/>
        <w:rPr>
          <w:sz w:val="20"/>
          <w:szCs w:val="20"/>
          <w:color w:val="auto"/>
        </w:rPr>
      </w:pPr>
    </w:p>
    <w:p>
      <w:pPr>
        <w:jc w:val="both"/>
        <w:ind w:left="660" w:firstLine="907"/>
        <w:spacing w:after="0" w:line="268" w:lineRule="auto"/>
        <w:rPr>
          <w:sz w:val="20"/>
          <w:szCs w:val="20"/>
          <w:color w:val="auto"/>
        </w:rPr>
      </w:pPr>
      <w:r>
        <w:rPr>
          <w:rFonts w:ascii="Times New Roman" w:cs="Times New Roman" w:eastAsia="Times New Roman" w:hAnsi="Times New Roman"/>
          <w:sz w:val="20"/>
          <w:szCs w:val="20"/>
          <w:color w:val="auto"/>
        </w:rPr>
        <w:t>8.1.1.33. (A) Incremental Equivalent Debt incurred in accordance with the terms of this Agreement and (B) any Permitted Refinancing Indebtedness thereof (to the extent such Incremental Equivalent Debt was incurred pursuant to clause (z) of the definition of “Incremental Cap”);</w:t>
      </w:r>
    </w:p>
    <w:p>
      <w:pPr>
        <w:spacing w:after="0" w:line="161"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8.1.1.34. all premiums (if any), interest (including post-petition interest and payment in kind interest), accretion or amortization of original issue discount, fees, expenses, charges and additional or contingent interest with respect to Indebtedness permitted hereunder;</w:t>
      </w:r>
    </w:p>
    <w:p>
      <w:pPr>
        <w:spacing w:after="0" w:line="181"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8.1.1.35. (A) obligations incurred in the ordinary course of business to pay the deferred purchase price of goods or services or progress payments in connection with such goods and services, and (B) customer deposits and advance payments received from customers for goods and services purchased in the ordinary course of business; and</w:t>
      </w:r>
    </w:p>
    <w:p>
      <w:pPr>
        <w:spacing w:after="0" w:line="181" w:lineRule="exact"/>
        <w:rPr>
          <w:sz w:val="20"/>
          <w:szCs w:val="20"/>
          <w:color w:val="auto"/>
        </w:rPr>
      </w:pPr>
    </w:p>
    <w:p>
      <w:pPr>
        <w:jc w:val="both"/>
        <w:ind w:left="660" w:firstLine="907"/>
        <w:spacing w:after="0" w:line="271" w:lineRule="auto"/>
        <w:rPr>
          <w:sz w:val="20"/>
          <w:szCs w:val="20"/>
          <w:color w:val="auto"/>
        </w:rPr>
      </w:pPr>
      <w:r>
        <w:rPr>
          <w:rFonts w:ascii="Times New Roman" w:cs="Times New Roman" w:eastAsia="Times New Roman" w:hAnsi="Times New Roman"/>
          <w:sz w:val="19"/>
          <w:szCs w:val="19"/>
          <w:color w:val="auto"/>
        </w:rPr>
        <w:t xml:space="preserve">8.1.1.36. Indebtedness (i) incurred as a result of a redesignation pursuant to </w:t>
      </w:r>
      <w:r>
        <w:rPr>
          <w:rFonts w:ascii="Times New Roman" w:cs="Times New Roman" w:eastAsia="Times New Roman" w:hAnsi="Times New Roman"/>
          <w:sz w:val="19"/>
          <w:szCs w:val="19"/>
          <w:u w:val="single" w:color="auto"/>
          <w:color w:val="auto"/>
        </w:rPr>
        <w:t>Section 12.21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after giving effect to the incurrence of the Indebtedness (and any other Indebtedness incurred since the last day of the immediately preceding Test Period) on a Pro Forma Basis (but tested as if the applicable ratio were the ratio for the next succeeding Test Period) Crown Holdings and its Subsidiaries would be in compliance with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and (ii) any Permitted Refinancing Indebtedness in respect thereof;</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if all or any portion of any item of Indebtedness would be permitted to be incurred, created or assumed pursuant to clause (xxix) above, such item of Indebtedness (or the relevant portion thereof) shall be deemed to have been incurred, created or assumed in reliance on clause (xxix) above prior and without giving effect to the other clauses, and any substantially concurrent incurrence or series of related incurrences of Indebtedness incurred pursuant to any clause other than clause (xxix) (other than any Indebtedness incurred in reliance on a Total First Lien Leverage Ratio, Total Leverage Ratio or Total Secured Leverage Ratio) above shall not be given pro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40" w:name="page241"/>
    <w:bookmarkEnd w:id="240"/>
    <w:p>
      <w:pPr>
        <w:jc w:val="both"/>
        <w:spacing w:after="0" w:line="269" w:lineRule="auto"/>
        <w:rPr>
          <w:sz w:val="20"/>
          <w:szCs w:val="20"/>
          <w:color w:val="auto"/>
        </w:rPr>
      </w:pPr>
      <w:r>
        <w:rPr>
          <w:rFonts w:ascii="Times New Roman" w:cs="Times New Roman" w:eastAsia="Times New Roman" w:hAnsi="Times New Roman"/>
          <w:sz w:val="19"/>
          <w:szCs w:val="19"/>
          <w:color w:val="auto"/>
        </w:rPr>
        <w:t>forma e</w:t>
      </w:r>
      <w:r>
        <w:rPr>
          <w:rFonts w:ascii="Arial" w:cs="Arial" w:eastAsia="Arial" w:hAnsi="Arial"/>
          <w:sz w:val="19"/>
          <w:szCs w:val="19"/>
          <w:color w:val="auto"/>
        </w:rPr>
        <w:t>ﬀ</w:t>
      </w:r>
      <w:r>
        <w:rPr>
          <w:rFonts w:ascii="Times New Roman" w:cs="Times New Roman" w:eastAsia="Times New Roman" w:hAnsi="Times New Roman"/>
          <w:sz w:val="19"/>
          <w:szCs w:val="19"/>
          <w:color w:val="auto"/>
        </w:rPr>
        <w:t xml:space="preserve">ect for purposes of determining the Total Leverage Ratio with respect to any incurrence under clause (xxix). Without limiting the foregoing, in the event that an item of proposed Indebtedness meets the criteria of more than one of the categories of permitted Indebtedness described in clauses (i) through (xxxvi) above, Crown Holdings, in its sole discretion, will be permitted to classify such item of Indebtedness on the date of its incurrence, creation or assumption or later reclassify such item of Indebtedness, in any manner that complies with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xml:space="preserve">, so long as such Indebtedness (or any portion thereof) is permitted to be incurred, created or assumed pursuant to such provision at the time of reclassification. Notwithstanding the foregoing, Indebtedness incurred, created or assumed (a) under the Loan Documents (including in respect of any Additional Facility, Replacement Revolving Commitments, Replacement Revolving Loans, Replacement Term Commitments and Replacement Term Loans and any other Obligations incurred, created or assumed under </w:t>
      </w:r>
      <w:r>
        <w:rPr>
          <w:rFonts w:ascii="Times New Roman" w:cs="Times New Roman" w:eastAsia="Times New Roman" w:hAnsi="Times New Roman"/>
          <w:sz w:val="19"/>
          <w:szCs w:val="19"/>
          <w:u w:val="single" w:color="auto"/>
          <w:color w:val="auto"/>
        </w:rPr>
        <w:t>Sections 2.9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2.14</w:t>
      </w:r>
      <w:r>
        <w:rPr>
          <w:rFonts w:ascii="Times New Roman" w:cs="Times New Roman" w:eastAsia="Times New Roman" w:hAnsi="Times New Roman"/>
          <w:sz w:val="19"/>
          <w:szCs w:val="19"/>
          <w:color w:val="auto"/>
        </w:rPr>
        <w:t xml:space="preserve"> (and any extension thereof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shall only be classified as incurred, created or assumed under </w:t>
      </w:r>
      <w:r>
        <w:rPr>
          <w:rFonts w:ascii="Times New Roman" w:cs="Times New Roman" w:eastAsia="Times New Roman" w:hAnsi="Times New Roman"/>
          <w:sz w:val="19"/>
          <w:szCs w:val="19"/>
          <w:u w:val="single" w:color="auto"/>
          <w:color w:val="auto"/>
        </w:rPr>
        <w:t>Section 8.1(a)(i)</w:t>
      </w:r>
      <w:r>
        <w:rPr>
          <w:rFonts w:ascii="Times New Roman" w:cs="Times New Roman" w:eastAsia="Times New Roman" w:hAnsi="Times New Roman"/>
          <w:sz w:val="19"/>
          <w:szCs w:val="19"/>
          <w:color w:val="auto"/>
        </w:rPr>
        <w:t xml:space="preserve">, (b) pursuant to </w:t>
      </w:r>
      <w:r>
        <w:rPr>
          <w:rFonts w:ascii="Times New Roman" w:cs="Times New Roman" w:eastAsia="Times New Roman" w:hAnsi="Times New Roman"/>
          <w:sz w:val="19"/>
          <w:szCs w:val="19"/>
          <w:u w:val="single" w:color="auto"/>
          <w:color w:val="auto"/>
        </w:rPr>
        <w:t>Section 6.5(b)(i)</w:t>
      </w:r>
      <w:r>
        <w:rPr>
          <w:rFonts w:ascii="Times New Roman" w:cs="Times New Roman" w:eastAsia="Times New Roman" w:hAnsi="Times New Roman"/>
          <w:sz w:val="19"/>
          <w:szCs w:val="19"/>
          <w:color w:val="auto"/>
        </w:rPr>
        <w:t xml:space="preserve"> and any Permitted Refinancing Indebtedness thereof shall only be classified as incurred, created or assumed under </w:t>
      </w:r>
      <w:r>
        <w:rPr>
          <w:rFonts w:ascii="Times New Roman" w:cs="Times New Roman" w:eastAsia="Times New Roman" w:hAnsi="Times New Roman"/>
          <w:sz w:val="19"/>
          <w:szCs w:val="19"/>
          <w:u w:val="single" w:color="auto"/>
          <w:color w:val="auto"/>
        </w:rPr>
        <w:t>Section 8.1(a)(vi)</w:t>
      </w:r>
      <w:r>
        <w:rPr>
          <w:rFonts w:ascii="Times New Roman" w:cs="Times New Roman" w:eastAsia="Times New Roman" w:hAnsi="Times New Roman"/>
          <w:sz w:val="19"/>
          <w:szCs w:val="19"/>
          <w:color w:val="auto"/>
        </w:rPr>
        <w:t xml:space="preserve"> (other than Indebtedness under </w:t>
      </w:r>
      <w:r>
        <w:rPr>
          <w:rFonts w:ascii="Times New Roman" w:cs="Times New Roman" w:eastAsia="Times New Roman" w:hAnsi="Times New Roman"/>
          <w:sz w:val="19"/>
          <w:szCs w:val="19"/>
          <w:u w:val="single" w:color="auto"/>
          <w:color w:val="auto"/>
        </w:rPr>
        <w:t>Section 8.1(a)(iii)</w:t>
      </w:r>
      <w:r>
        <w:rPr>
          <w:rFonts w:ascii="Times New Roman" w:cs="Times New Roman" w:eastAsia="Times New Roman" w:hAnsi="Times New Roman"/>
          <w:sz w:val="19"/>
          <w:szCs w:val="19"/>
          <w:color w:val="auto"/>
        </w:rPr>
        <w:t xml:space="preserve">) and (c) under the Senior Notes, Debentures and any Permitted Refinancing Indebtedness in respect thereof shall only be classified as incurred, created or assumed under </w:t>
      </w:r>
      <w:r>
        <w:rPr>
          <w:rFonts w:ascii="Times New Roman" w:cs="Times New Roman" w:eastAsia="Times New Roman" w:hAnsi="Times New Roman"/>
          <w:sz w:val="19"/>
          <w:szCs w:val="19"/>
          <w:u w:val="single" w:color="auto"/>
          <w:color w:val="auto"/>
        </w:rPr>
        <w:t>Section 8.1(a)(iii)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The maximum amount of Indebtedness that Crown Holdings or any Subsidiary may incur pursuant to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shall not be deemed to be exceeded solely as the result of fluctuations in the exchange rates of currencies.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8.1.2. Other than as permitted to be incurred under </w:t>
      </w:r>
      <w:r>
        <w:rPr>
          <w:rFonts w:ascii="Times New Roman" w:cs="Times New Roman" w:eastAsia="Times New Roman" w:hAnsi="Times New Roman"/>
          <w:sz w:val="20"/>
          <w:szCs w:val="20"/>
          <w:u w:val="single" w:color="auto"/>
          <w:color w:val="auto"/>
        </w:rPr>
        <w:t>Section 8.1(a)(xxvi)</w:t>
      </w:r>
      <w:r>
        <w:rPr>
          <w:rFonts w:ascii="Times New Roman" w:cs="Times New Roman" w:eastAsia="Times New Roman" w:hAnsi="Times New Roman"/>
          <w:sz w:val="20"/>
          <w:szCs w:val="20"/>
          <w:color w:val="auto"/>
        </w:rPr>
        <w:t>, the Credit Parties will not, nor will they permit any of their Subsidiaries to issue any preferred stock or other preferred Capital Stock other than Permitted Preferred Stock.</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8.2. Liens. The Credit Parties will not, and will not permit any of their Subsidiaries to create, incur, assume or permit to exist any Lien on any property or asset now owned or hereafter acquired by it, except the following (herein collectively referred to as “</w:t>
      </w:r>
      <w:r>
        <w:rPr>
          <w:rFonts w:ascii="Times New Roman" w:cs="Times New Roman" w:eastAsia="Times New Roman" w:hAnsi="Times New Roman"/>
          <w:sz w:val="20"/>
          <w:szCs w:val="20"/>
          <w:u w:val="single" w:color="auto"/>
          <w:color w:val="auto"/>
        </w:rPr>
        <w:t>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8.2.1. (i) Liens created under the Loan Documents or otherwise securing the Obligations, (ii) Liens on Cash, Cash Equivalents or deposits granted in favor of the Administrative Agent, the Collateral Agent, any Swing Line Lender or Facing Agent to cash collateralize any Defaulting Lender’s participation in Letters of Credit or Swing Line Loans, (iii) Liens on cash, cash deposits or other credit support securing Hedging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cash, cash deposits or other credit support securing Hedging Agreements shall not exceed in the aggregate at any time the greater of (x) the Dollar Equivalent of $290,000,000 and (y) 2% of Consolidated Total Assets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(iv) Liens on cash, cash deposits or other credit support securing Hedging Agreements entered into on behalf of any customer of Crown Holdings or a Subsidiary;</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8.2.2.</w:t>
      </w:r>
      <w:r>
        <w:rPr>
          <w:sz w:val="20"/>
          <w:szCs w:val="20"/>
          <w:color w:val="auto"/>
        </w:rPr>
        <w:tab/>
      </w:r>
      <w:r>
        <w:rPr>
          <w:rFonts w:ascii="Times New Roman" w:cs="Times New Roman" w:eastAsia="Times New Roman" w:hAnsi="Times New Roman"/>
          <w:sz w:val="19"/>
          <w:szCs w:val="19"/>
          <w:color w:val="auto"/>
        </w:rPr>
        <w:t xml:space="preserve">Liens to secure Indebtedness incurred under </w:t>
      </w:r>
      <w:r>
        <w:rPr>
          <w:rFonts w:ascii="Times New Roman" w:cs="Times New Roman" w:eastAsia="Times New Roman" w:hAnsi="Times New Roman"/>
          <w:sz w:val="19"/>
          <w:szCs w:val="19"/>
          <w:u w:val="single" w:color="auto"/>
          <w:color w:val="auto"/>
        </w:rPr>
        <w:t>Section 8.1(a)(xxviii)</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8.2.3. Liens existing on the Incremental Amendment No. 3 and Fifth Amendment Effective Date and listed on </w:t>
      </w:r>
      <w:r>
        <w:rPr>
          <w:rFonts w:ascii="Times New Roman" w:cs="Times New Roman" w:eastAsia="Times New Roman" w:hAnsi="Times New Roman"/>
          <w:sz w:val="20"/>
          <w:szCs w:val="20"/>
          <w:u w:val="single" w:color="auto"/>
          <w:color w:val="auto"/>
        </w:rPr>
        <w:t>Schedule 8.2(c)</w:t>
      </w:r>
      <w:r>
        <w:rPr>
          <w:rFonts w:ascii="Times New Roman" w:cs="Times New Roman" w:eastAsia="Times New Roman" w:hAnsi="Times New Roman"/>
          <w:sz w:val="20"/>
          <w:szCs w:val="20"/>
          <w:color w:val="auto"/>
        </w:rPr>
        <w:t>, and Liens in connection with any Permitted Refinancing Indebtedness in respect of obligations secured by such Liens or, to the extent such obligations do not constitute Indebtedness, any modifications, replacements, renewals, extensions or substitutions of any other such obligations in respect thereof;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367" w:right="339" w:bottom="1440" w:gutter="0" w:footer="0" w:header="0"/>
        </w:sectPr>
      </w:pPr>
    </w:p>
    <w:bookmarkStart w:id="241" w:name="page242"/>
    <w:bookmarkEnd w:id="241"/>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8.2.4. Liens on assets of any Person existing at the time of acquisition of such assets by any Credit Party or Subsidiary or at the time such Person becomes a Credit Party or is merged, amalgamated or consolidated with a Credit Party (plus any modifications, refinancings, refundings, renewals, replacements and extensions of any such Liens);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were not incurred in connection with, or in contemplation of, such acquisition and do not extend to any assets of such Credit Party other than the specific assets so acquired and the Indebtedness secured thereby is permitted to be incurred pursuant to </w:t>
      </w:r>
      <w:r>
        <w:rPr>
          <w:rFonts w:ascii="Times New Roman" w:cs="Times New Roman" w:eastAsia="Times New Roman" w:hAnsi="Times New Roman"/>
          <w:sz w:val="20"/>
          <w:szCs w:val="20"/>
          <w:u w:val="single" w:color="auto"/>
          <w:color w:val="auto"/>
        </w:rPr>
        <w:t>Section 8.1(a)(xiv)</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8.2.5. (1) Liens to secure the performance of statutory obligations (excluding any Lien imposed pursuant to applicable Canadian federal or provincial pension benefit standards legislation other than inchoate liens for amounts required to be remitted but not yet due), surety, indemnity, customs and release or appeal bonds or performance bonds, guarantees, landlords’, carriers’, warehousemen’s, mechanics’, suppliers’, processor’s, workmen’s, repairmen’s, materialmen’s, attorney’s or other like liens, in any case incurred in the ordinary course of business and with respect to amounts not yet delinquent for a period more than 60 days or being contested in good faith) and (2) bank guarantees, letters of credit and/or Cash, Cash Equivalents and other deposits securing bank guarantees or letters of credit (and reimbursement obligations in respect of the foregoing), in each case securing or otherwise supporting the obligations described in clause (1) above, or otherwise securing or supporting the obligations described in this clause (2);</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8.2.6. Liens arising from the filing of precautionary UCC financing statements relating to Operating Leases or other obligations not constituting Indebtedness or relating to Capitalized Lease Obligations or Attributable Debt (to the extent that such Capital Lease Obligations or Attributable Debt would be permitted to be secured by Liens under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2 without regard to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8.2.7.</w:t>
        <w:tab/>
        <w:t xml:space="preserve">Liens for Taxes or claims or other like statutory Liens (A) that are not required to be discharged pursuant to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ind w:right="20" w:firstLine="8"/>
        <w:spacing w:after="0" w:line="260" w:lineRule="auto"/>
        <w:tabs>
          <w:tab w:leader="none" w:pos="339"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not overdue for a period of more than 60 days or (C) that are being contested in good faith for which any reserve or other appropriate provision to the extent required by GAAP shall have been made therefor;</w:t>
      </w:r>
    </w:p>
    <w:p>
      <w:pPr>
        <w:spacing w:after="0" w:line="168"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8.2.8. Reservations, limitations, provisos and conditions expressed in any original grants from Her Majesty the Queen in Right of Canada;</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8.2.9. Liens to secure (i) Capitalized Lease Obligations permitted under Sections 8.1(a)(xiii)(2)) and (ii) Indebtedness permitted to be incurred or assumed pursuant to Section 8.1(a)(xiii)(1) or assumed for the purpose of financing (or financing all or part of the purchase price within 270 days after the respective purchase of assets) all or any part of the design, acquisition, development, construction, installation, repair, improvement cost or the lease of such property (including Liens to which any property is subject at the time of acquisition thereof by Crown Holdings or any of its Subsidiaries); provided that:</w:t>
      </w:r>
    </w:p>
    <w:p>
      <w:pPr>
        <w:spacing w:after="0" w:line="173" w:lineRule="exact"/>
        <w:rPr>
          <w:sz w:val="20"/>
          <w:szCs w:val="20"/>
          <w:color w:val="auto"/>
        </w:rPr>
      </w:pPr>
    </w:p>
    <w:p>
      <w:pPr>
        <w:jc w:val="both"/>
        <w:ind w:left="660" w:firstLine="644"/>
        <w:spacing w:after="0" w:line="258" w:lineRule="auto"/>
        <w:tabs>
          <w:tab w:leader="none" w:pos="1836"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clauses (i) and (ii), any such Lien does not extend to any other property (other than accessions and additions of such property, and products and proceeds of such property, and other than pursuant to customary cross-collateralization provisions with respect to other property of a Credit Party or Subsidiary that also secures Indebtedness owed to the same financing party or its Affiliates);</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5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(ii), such Lien either exists on the Incremental Amendment No. 3 and Fifth Amendment Effective Date, on the date that the Person owning such property becomes a Subsidiary, or is created in connection with the design, acquisition, construction,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42" w:name="page243"/>
    <w:bookmarkEnd w:id="242"/>
    <w:p>
      <w:pPr>
        <w:ind w:left="660"/>
        <w:spacing w:after="0" w:line="283" w:lineRule="auto"/>
        <w:rPr>
          <w:sz w:val="20"/>
          <w:szCs w:val="20"/>
          <w:color w:val="auto"/>
        </w:rPr>
      </w:pPr>
      <w:r>
        <w:rPr>
          <w:rFonts w:ascii="Times New Roman" w:cs="Times New Roman" w:eastAsia="Times New Roman" w:hAnsi="Times New Roman"/>
          <w:sz w:val="20"/>
          <w:szCs w:val="20"/>
          <w:color w:val="auto"/>
        </w:rPr>
        <w:t>development, installation, repair, lease or improvement of such property as permitted by this Agreement, or in connection with any extensions, renewals, refinancings, refundings and replacements of any such Indebtedness or Capitalized Lease Obligations; and</w:t>
      </w:r>
    </w:p>
    <w:p>
      <w:pPr>
        <w:spacing w:after="0" w:line="146" w:lineRule="exact"/>
        <w:rPr>
          <w:sz w:val="20"/>
          <w:szCs w:val="20"/>
          <w:color w:val="auto"/>
        </w:rPr>
      </w:pPr>
    </w:p>
    <w:p>
      <w:pPr>
        <w:jc w:val="both"/>
        <w:ind w:left="660" w:firstLine="644"/>
        <w:spacing w:after="0" w:line="257" w:lineRule="auto"/>
        <w:tabs>
          <w:tab w:leader="none" w:pos="177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clauses (i) and (ii), the principal amount of the Indebtedness secured by any such Lien, (or the principal amount of the Capitalized Lease Obligations with respect to any Capitalized Lease) does not exceed 100% of the cost of such assets at the time of incurrence of such Indebtedness (for the purpose of the calculation in this clause (3), including the cost of all of the assets subject to customary cross-collateralization provisions (measured at the time the Capitalized Lease in respect of such assets was originally incurred) that also secure Indebtedness owed to the same financing party or its Affiliates);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8.2.10. Liens on the assets that are the subject of a sale and leaseback transaction permitted by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8.2.11. Liens on the assets of a Subsidiary that is not a Credit Party, so long as such assets are not otherwise Collateral, which Liens secure such Subsidiary’s obligations under Indebtedness incurred pursuant to </w:t>
      </w:r>
      <w:r>
        <w:rPr>
          <w:rFonts w:ascii="Times New Roman" w:cs="Times New Roman" w:eastAsia="Times New Roman" w:hAnsi="Times New Roman"/>
          <w:sz w:val="20"/>
          <w:szCs w:val="20"/>
          <w:u w:val="single" w:color="auto"/>
          <w:color w:val="auto"/>
        </w:rPr>
        <w:t>Section 8.1(a)(xxx)</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8.2.12. Liens securing Indebtedness incurred to refinance Indebtedness secured by the Liens of the type described in clauses (c), (d), (i), (j) and (s) of this definition;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shall not extend to or cover any assets, or class of assets in respect of inventory and receivables, not securing the Indebtedness so refinanced;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8.2.13. Permitted Real Property Encumbrances;</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8.2.14. Liens in the form of pledges or deposits securing bids, tenders, contracts (other than contracts for the payment of money) or leases to which any Credit Party or any Subsidiary is a party, in each case, made in the ordinary course of business;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8.2.15. Liens resulting from operation of law with respect to any attachments, writs, warrants of attachment, judgments, awards, orders or other similar Liens, which do not cause or constitute an Event of Default under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8.2.16. Liens in the form of licenses, leases, sublicenses or subleases (or other grants of rights to use) granted or created by any Credit Party or any Subsidiary, which (A) do not interfere, individually or in the aggregate, in any material respect with the business of the Credit Parties and their Subsidiaries, taken as a whole, or (B) are between or among Crown Holdings and/or its Subsidiaries;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8.2.17. any interest or title of a lessor, licensor, sublessor or sublicensor under leases or licenses not prohibited by this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8.2.18. pledges and deposits made in the ordinary course of business in compliance with workers’ compensation, unemployment insurance, old age pensions and other social security laws or regulations and deposits securing liability to insurance carriers under insurance or self-insurance arrangements or Liens created by pension standards legislation, and Liens consisting of bank guarantees, letters of credit and/or pledges and Cash, Cash Equivalents and other deposits securing bank guarantees or letters of credit (and reimbursement obligations in respect of the foregoing), in each case securing or otherwise supporting the obligations described in this clause (r);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189</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43" w:name="page244"/>
    <w:bookmarkEnd w:id="243"/>
    <w:p>
      <w:pPr>
        <w:ind w:left="660"/>
        <w:spacing w:after="0"/>
        <w:rPr>
          <w:sz w:val="20"/>
          <w:szCs w:val="20"/>
          <w:color w:val="auto"/>
        </w:rPr>
      </w:pPr>
      <w:r>
        <w:rPr>
          <w:rFonts w:ascii="Times New Roman" w:cs="Times New Roman" w:eastAsia="Times New Roman" w:hAnsi="Times New Roman"/>
          <w:sz w:val="20"/>
          <w:szCs w:val="20"/>
          <w:color w:val="auto"/>
        </w:rPr>
        <w:t>8.2.19. Liens in respect of Receivables Assets that are the subject of Permitted Receivables or Factoring Financings;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8.2.20. customary rights of set off, revocation, refund or chargeback, Liens or similar rights under agreements with respect to deposit disbursement, concentration account or comparable account under the laws of any foreign jurisdiction, or under the UCC (or comparable foreign law) or arising by operation of law of banks or other financial institutions where any Credit Party maintains deposit disbursement, concentration accounts or comparable account under the laws of any foreign jurisdiction in the ordinary course of business;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8.2.21. (1) Liens in favor of customs and revenue authorities to secure payment of customs duties in connection with the importation of goods in the ordinary course of business and other similar liens arising in the ordinary course of business, (2) Liens arising out of conditional sale, title, retention, consignment or similar arrangements for the sale of any assets or property in the ordinary course or business under Article 2 of the UCC or similar provisions of applicable law, (3) (A) to the extent, if any, constituting a Lien, Liens consisting of an option or agreement to sell, transfer, convey, lease or otherwise dispose of any asset or property or any negative pledge on or with respect to such asset or property pending consummation of such transaction and (B) solely on any earnest money deposits made by Crown Holdings or any of its Subsidiaries in connection with any letter of intent or purchase agreement entered into by it and (4) Liens on trusts, escrow arrangements and other funding arrangements, and any Cash, Cash Equivalents, deposit accounts, securities accounts and trust accounts, in each case in connection with the defeasance (whether by covenant or legal defeasance), satisfaction and discharge, redemption of, or obligation to cash collateralize (as applicable), Indebtedness; and</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8.2.22.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8.2.23. [reserved];</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8.2.24. Liens on the Collateral (subject, to the extent applicable and required hereunder, to an appropriate intercreditor agreement) securing (A) Credit Agreement Refinancing Indebtedness and (B) Incremental Equivalent Debt;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8.2.25. Liens in respect of Indebtedness permitted under </w:t>
      </w:r>
      <w:r>
        <w:rPr>
          <w:rFonts w:ascii="Times New Roman" w:cs="Times New Roman" w:eastAsia="Times New Roman" w:hAnsi="Times New Roman"/>
          <w:sz w:val="20"/>
          <w:szCs w:val="20"/>
          <w:u w:val="single" w:color="auto"/>
          <w:color w:val="auto"/>
        </w:rPr>
        <w:t>Section 8.1(a)(xxxvi)</w:t>
      </w:r>
      <w:r>
        <w:rPr>
          <w:rFonts w:ascii="Times New Roman" w:cs="Times New Roman" w:eastAsia="Times New Roman" w:hAnsi="Times New Roman"/>
          <w:sz w:val="20"/>
          <w:szCs w:val="20"/>
          <w:color w:val="auto"/>
        </w:rPr>
        <w:t xml:space="preserve"> to the extent such Lien exists at the time of redesignation of the applicable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property covered thereby is not changed in category or scope after such acquisition or after such Person becoming a Subsidiary and (y) the Lien would comply with </w:t>
      </w:r>
      <w:r>
        <w:rPr>
          <w:rFonts w:ascii="Times New Roman" w:cs="Times New Roman" w:eastAsia="Times New Roman" w:hAnsi="Times New Roman"/>
          <w:sz w:val="20"/>
          <w:szCs w:val="20"/>
          <w:u w:val="single" w:color="auto"/>
          <w:color w:val="auto"/>
        </w:rPr>
        <w:t>Section 8.2(d)</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8.2.26. Liens in favor of Crown Holdings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Lien is granted by a Credit Party in favor of a Subsidiary that is not a Credit Party, the amount of Indebtedness secured by such Lien cannot exceed the amount permitted as an Investment under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8.2.27. Liens to secure financing of insurance premiums permitted under </w:t>
      </w:r>
      <w:r>
        <w:rPr>
          <w:rFonts w:ascii="Times New Roman" w:cs="Times New Roman" w:eastAsia="Times New Roman" w:hAnsi="Times New Roman"/>
          <w:sz w:val="20"/>
          <w:szCs w:val="20"/>
          <w:u w:val="single" w:color="auto"/>
          <w:color w:val="auto"/>
        </w:rPr>
        <w:t>Section 8.1(a)(ix)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8.2.28. Liens, pursuant to one or more cash collateral arrangements, escrow arrangements or other funding arrangements pursuant to which funds will be segregated to pay all or any portion of the purchase price of any acquisition (or to secure or otherwise support the obligation to pay such purchase price), on such cash collateral arrangements, escrow arrangements and other funding arrangements, and any Cash, Cash Equivalents, and deposit accounts and securities accounts, in each case containing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44" w:name="page245"/>
    <w:bookmarkEnd w:id="244"/>
    <w:p>
      <w:pPr>
        <w:jc w:val="both"/>
        <w:spacing w:after="0" w:line="253" w:lineRule="auto"/>
        <w:rPr>
          <w:sz w:val="20"/>
          <w:szCs w:val="20"/>
          <w:color w:val="auto"/>
        </w:rPr>
      </w:pPr>
      <w:r>
        <w:rPr>
          <w:rFonts w:ascii="Times New Roman" w:cs="Times New Roman" w:eastAsia="Times New Roman" w:hAnsi="Times New Roman"/>
          <w:sz w:val="20"/>
          <w:szCs w:val="20"/>
          <w:color w:val="auto"/>
        </w:rPr>
        <w:t>internally generated cash flow of Crown Holdings and its Subsidiaries and/or the proceeds of (i) any sale or other disposition of assets, (ii) any issuance of Capital Stock or (iii) any issuance or incurrence of any Indebtedness permitted under this Agreement (including, for the avoidance of doubt, any Loans made or Letters of Credit issued hereunder) plus an amount equal to interest that would accrue on such Indebtedness for a period not to exceed eighteen months after the date of issuance of such Indebtedness plus fees and expenses in connection therewith;</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8.2.29. (A) Liens on Unrestricted Entities or joint ventures (including on Capital Stock thereof) securing capital contributions to, or obligations of, such Persons and (B) customary rights of first refusal and tag, drag and similar rights in joint venture agreements and agreements with respect to Non-Wholly Owned Subsidiaries;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8.2.30. Liens securing Indebtedness incurred pursuant to </w:t>
      </w:r>
      <w:r>
        <w:rPr>
          <w:rFonts w:ascii="Times New Roman" w:cs="Times New Roman" w:eastAsia="Times New Roman" w:hAnsi="Times New Roman"/>
          <w:sz w:val="20"/>
          <w:szCs w:val="20"/>
          <w:u w:val="single" w:color="auto"/>
          <w:color w:val="auto"/>
        </w:rPr>
        <w:t>Section 8.1(a)(viii)</w:t>
      </w:r>
      <w:r>
        <w:rPr>
          <w:rFonts w:ascii="Times New Roman" w:cs="Times New Roman" w:eastAsia="Times New Roman" w:hAnsi="Times New Roman"/>
          <w:sz w:val="20"/>
          <w:szCs w:val="20"/>
          <w:color w:val="auto"/>
        </w:rPr>
        <w:t xml:space="preserve"> (to the extent the underlying Indebtedness or other obligations being guaranteed are permitted to be secured);</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8.2.31. Liens in favor of the U.S. or any state or municipality thereof, or in favor of any other country or political subdivision thereof, to secure certain payments pursuant to any contract or statute or to secure any Indebtedness incurred for the purpose of financing all or any part of the purchase price, or, in the case of real property, the cost of construction, of the assets subject to such Liens, including, without limitation, such Liens incurred in connection with pollution control, industrial revenue, tax increment or similar financing;</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8.2.32. Liens in respect of Indebtedness permitted under </w:t>
      </w:r>
      <w:r>
        <w:rPr>
          <w:rFonts w:ascii="Times New Roman" w:cs="Times New Roman" w:eastAsia="Times New Roman" w:hAnsi="Times New Roman"/>
          <w:sz w:val="20"/>
          <w:szCs w:val="20"/>
          <w:u w:val="single" w:color="auto"/>
          <w:color w:val="auto"/>
        </w:rPr>
        <w:t>Section 8.1(a)(xxix)</w:t>
      </w:r>
      <w:r>
        <w:rPr>
          <w:rFonts w:ascii="Times New Roman" w:cs="Times New Roman" w:eastAsia="Times New Roman" w:hAnsi="Times New Roman"/>
          <w:sz w:val="20"/>
          <w:szCs w:val="20"/>
          <w:color w:val="auto"/>
        </w:rPr>
        <w:t xml:space="preserve"> but only to the extent that at the time such Indebtedness is incurred, and immediately after giving effect to such incurrence thereof on a Pro Forma Basis, the Total Secured Leverage Ratio shall not exceed 3.00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are expressly subordinated to the Liens on the Collateral securing the Obligations of the Credit Parties pursuant to intercreditor arrangements reasonably acceptable to the Administrative Agent; and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8.2.33. other Liens incurred after the Incremental Amendment No. 3 and Fifth Amendment Effective Date so long as, without duplication, the value of the property subject to such Liens at the time such Lien is incurred and the Indebtedness (including any refinancings of such Indebtedness) and other obligations secured thereby do not exceed the greater of (1) $750,000,000 and (2) 7.5% of Consolidated Tangible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such Liens (other than Liens under clauses (a), (b), (c), (d), (e), (g), (m), (n), (o) and (p)) shall extend to any Principal Property or Restricted Securities;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during a Collateral Release Period or after a Non-Stock Collateral Release Event, as applicable, none of the foregoing provisions of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shall permit any Lien to exist on assets that constituted or would constitute Collateral immediately prior to the applicable Collateral Release Event or Non-Stock Collateral Release Event, except to the extent that such Liens were expressly permitted on such assets prior to giving effect to such Collateral Release Event or Non-Stock Collateral Release Event.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in the event that a proposed Lien meets the criteria of more than one of the categories of permitted Liens described in clauses (a) through (gg) above, Crown Holdings, in its sole discretion, will be permitted to classify such Lien on the date of its incurrence, or later reclassify such Lien, in any manner that complies with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so long as such Lien (or any portion thereof) is permitted to be incurred pursuant to such provision at the time of</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191</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45" w:name="page246"/>
    <w:bookmarkEnd w:id="245"/>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reclassification. Notwithstanding the foregoing, Liens incurred (a) under the Loan Documents or otherwise securing the obligations shall only be classified as incurred under </w:t>
      </w:r>
      <w:r>
        <w:rPr>
          <w:rFonts w:ascii="Times New Roman" w:cs="Times New Roman" w:eastAsia="Times New Roman" w:hAnsi="Times New Roman"/>
          <w:sz w:val="20"/>
          <w:szCs w:val="20"/>
          <w:u w:val="single" w:color="auto"/>
          <w:color w:val="auto"/>
        </w:rPr>
        <w:t>Section 8.2(a)(i)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and (b) pursuant to </w:t>
      </w:r>
      <w:r>
        <w:rPr>
          <w:rFonts w:ascii="Times New Roman" w:cs="Times New Roman" w:eastAsia="Times New Roman" w:hAnsi="Times New Roman"/>
          <w:sz w:val="20"/>
          <w:szCs w:val="20"/>
          <w:u w:val="single" w:color="auto"/>
          <w:color w:val="auto"/>
        </w:rPr>
        <w:t>Section 8.2(c)</w:t>
      </w:r>
      <w:r>
        <w:rPr>
          <w:rFonts w:ascii="Times New Roman" w:cs="Times New Roman" w:eastAsia="Times New Roman" w:hAnsi="Times New Roman"/>
          <w:sz w:val="20"/>
          <w:szCs w:val="20"/>
          <w:color w:val="auto"/>
        </w:rPr>
        <w:t xml:space="preserve"> on the Incremental Amendment No. 3 and Fifth Amendment Effective Date shall only be classified as incurred under </w:t>
      </w:r>
      <w:r>
        <w:rPr>
          <w:rFonts w:ascii="Times New Roman" w:cs="Times New Roman" w:eastAsia="Times New Roman" w:hAnsi="Times New Roman"/>
          <w:sz w:val="20"/>
          <w:szCs w:val="20"/>
          <w:u w:val="single" w:color="auto"/>
          <w:color w:val="auto"/>
        </w:rPr>
        <w:t>Section 8.2(c)</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The maximum amount of Liens that Crown Holdings or any Subsidiary may incur pursuant to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shall not be deemed to be exceeded solely as the result of fluctuations in the exchange rates of currencies.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color w:val="auto"/>
        </w:rPr>
        <w:t>Fundamental Changes.</w:t>
      </w:r>
    </w:p>
    <w:p>
      <w:pPr>
        <w:spacing w:after="0" w:line="22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8.3.1. The Credit Parties will not, and will not permit any of their Material Subsidiaries to, merge into, amalgamate with or consolidate with any other Person, or permit any other Person to merge into, amalgamate with or consolidate with it, or liquidate or dissolve (other than in connection with any Investment permitted under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8.4(x)</w:t>
      </w:r>
      <w:r>
        <w:rPr>
          <w:rFonts w:ascii="Times New Roman" w:cs="Times New Roman" w:eastAsia="Times New Roman" w:hAnsi="Times New Roman"/>
          <w:sz w:val="20"/>
          <w:szCs w:val="20"/>
          <w:color w:val="auto"/>
        </w:rPr>
        <w:t xml:space="preserve">) and any asset sale permitted under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8.5(j)</w:t>
      </w:r>
      <w:r>
        <w:rPr>
          <w:rFonts w:ascii="Times New Roman" w:cs="Times New Roman" w:eastAsia="Times New Roman" w:hAnsi="Times New Roman"/>
          <w:sz w:val="20"/>
          <w:szCs w:val="20"/>
          <w:color w:val="auto"/>
        </w:rPr>
        <w:t xml:space="preserve">)), except that, (i) any Wholly-Owned Subsidiary of a Borrower may merge into, amalgamate with or consolidate with such Borrower in a transaction in which such Borrower is the surviving Person, (ii) any Wholly-Owned Subsidiary (or any Subsidiary if in connection with a Permitted Acquisition) of a Borrower may merge with or into any Subsidiary of such Borrower in a transaction in which the surviving entity is a Wholly-Owned Subsidiary of such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and if any party to such merger is a Subsidiary Credit Party, the surviving entity shall be (or shall simultaneously with or promptly following such merger become) a Subsidiary Credit Party, (iii) the Credit Parties and their Subsidiaries may engage in Permitted Holding Company Transactions and Permitted Cross Chain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connection with the foregoing, the appropriate Credit Parties shall take all actions necessary or reasonably requested by U.S. Collateral Agent or Euro Collateral Agent to maintain the perfection of or perfect, as the case may be, protect and preserve the Liens on the Collateral granted to the U.S. Collateral Agent or the Euro Collateral Agent pursuant to the Security Documents and otherwise comply with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on the terms set forth therein and to the extent applicable, (iv) any Subsidiary may liquidate or dissolve;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liquidation or dissolution would not reasonably be expected to have a Material Adverse Effect and (y) such Subsidiary, if it is a Borrower, shall have either paid in full (other than Unasserted Contingent Obligations) all Loans made to it hereunder or made arrangements for another Borrower or another Subsidiary that becomes a Credit Party to expressly assume all the obligations of such Borrower under this Agreement and the other Loan Documents to which such Borrower is a party pursuant to a supplement hereto or thereto in form reasonably satisfactory to the Administrative Agent (and such assuming Person that becomes a Credit Party shall, if the dissolving or liquidating Person is a U.S. Credit Party, be organized in any state of the United States or the District of Columbia or, if the dissolving or liquidating Person is not a U.S. Credit Party, in the same jurisdiction as such dissolving or liquidating Person) and (v) any Subsidiary that is not a Credit Party may merge, amalgamate or consolidate with or into any other Subsidiary that is not a Credit Party. No Unrestricted Entity shall enter into any merger or consolidation into or with Crown Holdings, any Credit Party or any Subsidiary except that an Unrestricted Entity may (1) merge or consolidate with Crown Holdings, any Credit Party or any Subsidiary in a transaction in which the surviving entity is Crown Holdings, such Credit Party or such Subsidiary, (2) merge or consolidate with a Credit Party (other than Crown Holdings or any Borrower) or any Subsidiary in a transaction in which such Unrestricted Entity is the surviving entity if such Unrestricted Entity ceases to be an Unrestricted Entity substantially concurrently with such merger or consolidation and, (A) to the extent the merger or consolidation of such Unrestricted Entity is with a Subsidiary Borrower, unless such obligations are assumed by the surviving company by operation of law, such surviving company shall expressly assume all the obligations of such Subsidiary Borrower under this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46" w:name="page247"/>
    <w:bookmarkEnd w:id="24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Agreement and the other Loan Documents to which the such Subsidiary Borrower is a party pursuant to a supplement hereto or thereto in form reasonably satisfactory to the Administrative Agent, (B) each Guarantor, unless it is the other party to such merger or consolidation, shall have confirmed that its guaranty shall apply to the surviving company’s obligations under the Loan Documents or (C) such Person shall comply with the requirements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substantially concurrently with such merger or consolidation (for this purpose only, without giving effect to the grace periods for delivery of a guaranty or security provided for therein).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8.3.2. Notwithstanding the foregoing, any Subsidiary of U.S. Borrower, the Canadian Borrower or European Borrower may dispose of any or all of its assets (upon voluntary liquidation or otherwise) to U.S. Borrower, the Canadian Borrower or European Borrower or any other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connection with the foregoing, the appropriate Credit Parties shall take all actions necessary or reasonably requested by the Collateral Agents to maintain the perfection of or perfect, as the case may be, protect and preserve the Liens on the Collateral granted to the Collateral Agents pursuant to the Security Documents and otherwise comply with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on the terms set forth therein and to the extent applicable), and any Subsidiary which is not a Subsidiary Credit Party may dispose of assets to any other Subsidiary which is not a Subsidiary Credit Party.</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8.3.3. The Credit Parties will not, and will not permit any of their Subsidiaries to engage to any material extent in any business other than businesses of the type conducted by Crown Holdings and its Subsidiaries on the Original Closing Date and businesses which are extensions thereof or otherwise incidental, reasonably related, ancillary, complementary or incidental thereto.</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8.4. Investments, Loans, Advances, Guarantee Obligations and Acquisitions. The Credit Parties will not, and will not permit any of their Subsidiaries to purchase, hold, acquire (including pursuant to any merger or amalgamation with any Person that was not a Wholly-Owned Subsidiary prior to such merger or amalgamation), permit to exist or make any Investment, except: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8.4.1.</w:t>
      </w:r>
      <w:r>
        <w:rPr>
          <w:sz w:val="20"/>
          <w:szCs w:val="20"/>
          <w:color w:val="auto"/>
        </w:rPr>
        <w:tab/>
      </w:r>
      <w:r>
        <w:rPr>
          <w:rFonts w:ascii="Times New Roman" w:cs="Times New Roman" w:eastAsia="Times New Roman" w:hAnsi="Times New Roman"/>
          <w:sz w:val="19"/>
          <w:szCs w:val="19"/>
          <w:color w:val="auto"/>
        </w:rPr>
        <w:t>Cash and Cash Equivalents;</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8.4.2. Investments existing on the Incremental Amendment No. 3 and Fifth Amendment Effective Date and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8.4</w:t>
      </w:r>
      <w:r>
        <w:rPr>
          <w:rFonts w:ascii="Times New Roman" w:cs="Times New Roman" w:eastAsia="Times New Roman" w:hAnsi="Times New Roman"/>
          <w:sz w:val="20"/>
          <w:szCs w:val="20"/>
          <w:color w:val="auto"/>
        </w:rPr>
        <w:t xml:space="preserve"> and any Investment that extends, replaces, refinances or refunds any such Investment and any investment that extends, replaces, refinances or refunds any such Investment;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extending, replacing, refinancing or refunding Investment is in an amount that does not exceed the amount extended, replaced, refinanced or refunded (other than as a result of the accrual or accretion of interest or original issue discount or the issuance of pay-in-kind securities), except as otherwise permitted pursuant to this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8.4.3. Investments (x) by the Parent Guarantors, the Borrowers and the Subsidiaries in Subsidiary Credit Parties and by the Parent Guarantors in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Investment (other than Intercompany Indebtedness held by a Non-U.S. Subsidiary which shall be pledged only if and to the extent required by this Agreement) held by a Credit Party shall be pledged pursuant to the applicable Security Document, (y) by a Subsidiary Credit Party in a Parent Guarantor or a Borrower in the form of Intercompany Indebtedness only,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Investment shall be pledged pursuant to the applicable Security Document if and to the extent required by this Agreement or (z) held by such Person at the time such Person becomes a Subsidiary;</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8.4.4. Investments incurred after the Incremental Amendment No. 3 and Fifth Amendment Effective Date by (A) the Credit Parties in Subsidiaries that are not Credit Parties and (B) Subsidiaries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193</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47" w:name="page248"/>
    <w:bookmarkEnd w:id="247"/>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that are not Credit Parties in other Subsidiaries that are not Credit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Investments are made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applicable, the requirements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are satisfied;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8.4.5.</w:t>
      </w:r>
      <w:r>
        <w:rPr>
          <w:sz w:val="20"/>
          <w:szCs w:val="20"/>
          <w:color w:val="auto"/>
        </w:rPr>
        <w:tab/>
      </w:r>
      <w:r>
        <w:rPr>
          <w:rFonts w:ascii="Times New Roman" w:cs="Times New Roman" w:eastAsia="Times New Roman" w:hAnsi="Times New Roman"/>
          <w:sz w:val="19"/>
          <w:szCs w:val="19"/>
          <w:color w:val="auto"/>
        </w:rPr>
        <w:t xml:space="preserve">Investments constituting Indebtedness permitted by </w:t>
      </w:r>
      <w:r>
        <w:rPr>
          <w:rFonts w:ascii="Times New Roman" w:cs="Times New Roman" w:eastAsia="Times New Roman" w:hAnsi="Times New Roman"/>
          <w:sz w:val="19"/>
          <w:szCs w:val="19"/>
          <w:u w:val="single" w:color="auto"/>
          <w:color w:val="auto"/>
        </w:rPr>
        <w:t>Section 8.1(a)(x)</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(xiii)</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8.4.6.</w:t>
      </w:r>
      <w:r>
        <w:rPr>
          <w:sz w:val="20"/>
          <w:szCs w:val="20"/>
          <w:color w:val="auto"/>
        </w:rPr>
        <w:tab/>
      </w:r>
      <w:r>
        <w:rPr>
          <w:rFonts w:ascii="Times New Roman" w:cs="Times New Roman" w:eastAsia="Times New Roman" w:hAnsi="Times New Roman"/>
          <w:sz w:val="19"/>
          <w:szCs w:val="19"/>
          <w:color w:val="auto"/>
        </w:rPr>
        <w:t>Investments consisting of Permitted Guarantee Obligations;</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8.4.7. Investments (including debt obligations and Capital Stock) received (x) in connection with the bankruptcy or reorganization of, or settlement (including settlements of litigation) of delinquent accounts and disputes with, customers, suppliers and other account debtors, in each case arising in the ordinary course of business, (y) upon the foreclosure with respect to any secured Investment or other transfer of title with respect to any secured Investment or (z) upon the settlement, compromise, resolution of litigation, arbitration or other disputes;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8.4.8. loans and advances to directors, employees, managers, consultants, independent contractors and officers (or equivalent thereof) of Crown Holdings or its Subsidiaries (x) in the ordinary course of business (including, without limitation, for payroll, travel, entertainment and relocation expenses), (y) in connection with such Person’s purchase of Capital Stock of Crown Holdings and (z) for purposes not described in the foregoing clauses (x) and (y), in an aggregate principal amount outstanding at any time not to exceed $50,000,000;</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8.4.9. Investments to the extent that the consideration paid by Crown Holdings and its Subsidiaries is common stock of Crown Holdings;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8.4.10. Investments representing consideration (including by way of capital contribution) for or otherwise received in connection with asset sales and dispositions permitted by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8.4.11. Permitted Acquisitions;</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8.4.12. Investments made by the Credit Parties from and after the Incremental Amendment No. 3 and Fifth Amendment Effective Date in an aggregate amount not to exceed the Available Amount;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8.4.13. Investments, in addition to those Investments identified on </w:t>
      </w:r>
      <w:r>
        <w:rPr>
          <w:rFonts w:ascii="Times New Roman" w:cs="Times New Roman" w:eastAsia="Times New Roman" w:hAnsi="Times New Roman"/>
          <w:sz w:val="20"/>
          <w:szCs w:val="20"/>
          <w:u w:val="single" w:color="auto"/>
          <w:color w:val="auto"/>
        </w:rPr>
        <w:t>Schedule 8.4</w:t>
      </w:r>
      <w:r>
        <w:rPr>
          <w:rFonts w:ascii="Times New Roman" w:cs="Times New Roman" w:eastAsia="Times New Roman" w:hAnsi="Times New Roman"/>
          <w:sz w:val="20"/>
          <w:szCs w:val="20"/>
          <w:color w:val="auto"/>
        </w:rPr>
        <w:t xml:space="preserve">, in any Unrestricted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amount of such additional Investments, together with the aggregate Dollar Equivalent amount of Guarantee Obligations of Crown Holdings and its Subsidiaries (other than any Permitted Guarantee Obligations) with respect to (A) Hedging Agreements to which an Unrestricted Entity is party and (B) Indebtedness and other obligations of one or more Unrestricted Entities (such amount to equal the Dollar Equivalent of the aggregate maximum principal amount of the Indebtedness subject to such Guarantee Obligations), made after the Incremental Amendment No. 3 and Fifth Amendment Effective Date, shall not exceed the Dollar Equivalent of the greater of (1) $435,000,000 and (2) 3%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at any time outstanding, in the aggregate at any time outstanding;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8.4.14. Investments required pursuant to the terms of any Permitted Receivables or Factoring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8.4.15. Crown Holdings and its Subsidiaries may enter into Hedging Agreements in compliance with </w:t>
      </w:r>
      <w:r>
        <w:rPr>
          <w:rFonts w:ascii="Times New Roman" w:cs="Times New Roman" w:eastAsia="Times New Roman" w:hAnsi="Times New Roman"/>
          <w:sz w:val="20"/>
          <w:szCs w:val="20"/>
          <w:u w:val="single" w:color="auto"/>
          <w:color w:val="auto"/>
        </w:rPr>
        <w:t>Section 8.1(a)(xii)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48" w:name="page249"/>
    <w:bookmarkEnd w:id="248"/>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8.4.16. pledges or deposits made in the ordinary course of business (including cash collateral and other credit support to secure obligations under letters of credit permitted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8.4.17. extensions of (w) trade credit, including extensions of credit in the nature of accounts receivable or notes receivable, and accommodation guarantees, accounts receivable and prepaid expenses, (x) constituting deposits, prepayments and/or other credits to suppliers, (y) made in connection with obtaining, maintaining or renewing client and customer contracts and/or (z) in the form of advances made to distributors, suppliers, licensors and licensees, in each case, in the ordinary course of business;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8.4.18. Investments by Crown Holdings and any of its Subsidiaries to Crown Holdings and any of its Subsidiaries, so long as such Investment (or Cash or other assets of equivalent value thereof) is returned or otherwise delivered to such Person within 5 Business Days of the making of such Investment;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8.4.19. Crown Holdings or any Subsidiary may endorse negotiable instruments held for collection in the ordinary course of business;</w:t>
      </w:r>
    </w:p>
    <w:p>
      <w:pPr>
        <w:spacing w:after="0" w:line="24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8.4.20. Investments in any Subsidiary in connection with intercompany cash management arrangements, pooling agreements or related activities arising in the ordinary course of business;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8.4.21. Investments in the ordinary course of business consisting of Uniform Commercial Code Article 3 endorsements for collection or deposit and Uniform Commercial Code Article 4 customary trade arrangements with customers consistent with past practice;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8.4.22. receivables (other than in respect of Indebtedness for borrowed money) owing to the Borrower or any Restricted Subsidiary, if created or acquired in the ordinary course of business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8.4.23. non-cash Investments in connection with reorganization and related activities related to tax planning; provided that, in the good faith judgment of Crown Holdings, immediately after giving effect to such reorganization and/or related activities, the security interests of the Collateral Agent in the Collateral, taken as a whole, would not be materially impaired;</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8.4.24. Investments consisting of Indebtedness permitted by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(other than clause (xi) thereof), Liens permitted by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(other than clause (z) thereof), mergers, consolidations, amalgamations, liquidations, windings up, dissolutions or Dispositions made pursuant to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(other than clause (b) and clause (j) thereof), Restricted Payments and Repayments made pursuant to </w:t>
      </w:r>
      <w:r>
        <w:rPr>
          <w:rFonts w:ascii="Times New Roman" w:cs="Times New Roman" w:eastAsia="Times New Roman" w:hAnsi="Times New Roman"/>
          <w:sz w:val="20"/>
          <w:szCs w:val="20"/>
          <w:u w:val="single" w:color="auto"/>
          <w:color w:val="auto"/>
        </w:rPr>
        <w:t>Sections 8.8</w:t>
      </w:r>
      <w:r>
        <w:rPr>
          <w:rFonts w:ascii="Times New Roman" w:cs="Times New Roman" w:eastAsia="Times New Roman" w:hAnsi="Times New Roman"/>
          <w:sz w:val="20"/>
          <w:szCs w:val="20"/>
          <w:color w:val="auto"/>
        </w:rPr>
        <w:t xml:space="preserve"> (other than clause (l) thereof) and </w:t>
      </w:r>
      <w:r>
        <w:rPr>
          <w:rFonts w:ascii="Times New Roman" w:cs="Times New Roman" w:eastAsia="Times New Roman" w:hAnsi="Times New Roman"/>
          <w:sz w:val="20"/>
          <w:szCs w:val="20"/>
          <w:u w:val="single" w:color="auto"/>
          <w:color w:val="auto"/>
        </w:rPr>
        <w:t>8.11</w:t>
      </w:r>
      <w:r>
        <w:rPr>
          <w:rFonts w:ascii="Times New Roman" w:cs="Times New Roman" w:eastAsia="Times New Roman" w:hAnsi="Times New Roman"/>
          <w:sz w:val="20"/>
          <w:szCs w:val="20"/>
          <w:color w:val="auto"/>
        </w:rPr>
        <w:t xml:space="preserve"> and transactions with Affiliates entered into pursuant to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 xml:space="preserve"> (other than clauses (d) and (e) thereof);</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8.4.25. (i) Guarantees of leases (other than Capitalized Leases) or of other obligations not constituting Indebtedness and</w:t>
      </w:r>
    </w:p>
    <w:p>
      <w:pPr>
        <w:spacing w:after="0" w:line="28" w:lineRule="exact"/>
        <w:rPr>
          <w:sz w:val="20"/>
          <w:szCs w:val="20"/>
          <w:color w:val="auto"/>
        </w:rPr>
      </w:pPr>
    </w:p>
    <w:p>
      <w:pPr>
        <w:ind w:firstLine="8"/>
        <w:spacing w:after="0" w:line="253" w:lineRule="auto"/>
        <w:tabs>
          <w:tab w:leader="none" w:pos="29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the lease obligations of suppliers, customers, franchisees and licensees of Crown Holdings or any Subsidiary, in each case, in the ordinary course of business;</w:t>
      </w:r>
    </w:p>
    <w:p>
      <w:pPr>
        <w:spacing w:after="0" w:line="188"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8.4.26. other Investments not otherwise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the date on which such Investments are made and after giving effect to the making of such Investments on a Pro Forma Basis for the period of four Fiscal Quarters for which financial statements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immediately preceding the date on which such Investment is made, (i) no Event of Default would exist hereunder and (ii) the Total Leverage Ratio shall not be greater than (x) prior to December 31, 2023, 5.00 to 1.00 and (y) thereafter, 4.50 to 1.00; and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195</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49" w:name="page250"/>
    <w:bookmarkEnd w:id="249"/>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8.4.27. other Investments made after the Incremental Amendment No. 3 and Fifth Amendment Effective Date not in excess of the greater of (1) $1,150,000,000 and (2) 8% of Consolidated Total Assets as set forth in the financial statements last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at any time outstanding.</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8.5. Asset Sales. The Credit Parties will not, and will not permit any of their Subsidiaries to sell, transfer, lease or otherwise dispose of any asset, including any Capital Stock owned by it, nor will Crown Holdings permit any Subsidiary to issue any additional Capital Stock in any Subsidiary, except:</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8.5.1. sales of inventory or equipment and other property that is obsolete, uneconomical, damaged, excess, worn out, unmerchantable, unsaleable, replaced, retired, surplus or no longer used or useful;</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8.5.2. (i) sales or transfers set forth on </w:t>
      </w:r>
      <w:r>
        <w:rPr>
          <w:rFonts w:ascii="Times New Roman" w:cs="Times New Roman" w:eastAsia="Times New Roman" w:hAnsi="Times New Roman"/>
          <w:sz w:val="19"/>
          <w:szCs w:val="19"/>
          <w:u w:val="single" w:color="auto"/>
          <w:color w:val="auto"/>
        </w:rPr>
        <w:t>Schedule 8.5(b)(i)</w:t>
      </w:r>
      <w:r>
        <w:rPr>
          <w:rFonts w:ascii="Times New Roman" w:cs="Times New Roman" w:eastAsia="Times New Roman" w:hAnsi="Times New Roman"/>
          <w:sz w:val="19"/>
          <w:szCs w:val="19"/>
          <w:color w:val="auto"/>
        </w:rPr>
        <w:t xml:space="preserve"> and (ii) sales, transfers and dispositions and issuances to the Borrowers or any Subsidiary of U.S. Borrower, Canadian Borrower or European Borrower, including Permitted Cross Chain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connection with the foregoing, (x) if the transferor in such a transaction is a Credit Party, then (i) the transferee must be (or must substantially concurrently become) a Credit Party and (ii) to the extent constituting a disposition to a Subsidiary that is not a Credit Party, such disposition shall be permitted pursuant to </w:t>
      </w:r>
      <w:r>
        <w:rPr>
          <w:rFonts w:ascii="Times New Roman" w:cs="Times New Roman" w:eastAsia="Times New Roman" w:hAnsi="Times New Roman"/>
          <w:sz w:val="19"/>
          <w:szCs w:val="19"/>
          <w:u w:val="single" w:color="auto"/>
          <w:color w:val="auto"/>
        </w:rPr>
        <w:t>Section 8.4</w:t>
      </w:r>
      <w:r>
        <w:rPr>
          <w:rFonts w:ascii="Times New Roman" w:cs="Times New Roman" w:eastAsia="Times New Roman" w:hAnsi="Times New Roman"/>
          <w:sz w:val="19"/>
          <w:szCs w:val="19"/>
          <w:color w:val="auto"/>
        </w:rPr>
        <w:t xml:space="preserve">; and (y) the appropriate Credit Parties shall take all actions necessary or reasonably requested by U.S. Collateral Agent or Euro Collateral Agent, as applicable, to maintain the perfection of or perfect, as the case may be, protect and preserve the Liens on the Collateral granted to U.S. Collateral Agent or the Euro Collateral Agent, as applicable, pursuant to the Security Documents (including, without limitation, all items required by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of the definition of “Permitted Cross Chain Transactions”) and otherwise comply with the provisions of </w:t>
      </w:r>
      <w:r>
        <w:rPr>
          <w:rFonts w:ascii="Times New Roman" w:cs="Times New Roman" w:eastAsia="Times New Roman" w:hAnsi="Times New Roman"/>
          <w:sz w:val="19"/>
          <w:szCs w:val="19"/>
          <w:u w:val="single" w:color="auto"/>
          <w:color w:val="auto"/>
        </w:rPr>
        <w:t>Sections 7.14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12.2</w:t>
      </w:r>
      <w:r>
        <w:rPr>
          <w:rFonts w:ascii="Times New Roman" w:cs="Times New Roman" w:eastAsia="Times New Roman" w:hAnsi="Times New Roman"/>
          <w:sz w:val="19"/>
          <w:szCs w:val="19"/>
          <w:color w:val="auto"/>
        </w:rPr>
        <w:t>, on the terms set forth therein and to the extent applicable;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8.5.3.</w:t>
      </w:r>
      <w:r>
        <w:rPr>
          <w:sz w:val="20"/>
          <w:szCs w:val="20"/>
          <w:color w:val="auto"/>
        </w:rPr>
        <w:tab/>
      </w:r>
      <w:r>
        <w:rPr>
          <w:rFonts w:ascii="Times New Roman" w:cs="Times New Roman" w:eastAsia="Times New Roman" w:hAnsi="Times New Roman"/>
          <w:sz w:val="19"/>
          <w:szCs w:val="19"/>
          <w:color w:val="auto"/>
        </w:rPr>
        <w:t>sales and transfers of Cash and Cash Equivalents;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8.5.4. sales, transfers and other dispositions (including by way of capital contribution) of Receivables Assets pursuant to any Permitted Receivables or Factoring Financing or otherwise as permitted under </w:t>
      </w:r>
      <w:r>
        <w:rPr>
          <w:rFonts w:ascii="Times New Roman" w:cs="Times New Roman" w:eastAsia="Times New Roman" w:hAnsi="Times New Roman"/>
          <w:sz w:val="20"/>
          <w:szCs w:val="20"/>
          <w:u w:val="single" w:color="auto"/>
          <w:color w:val="auto"/>
        </w:rPr>
        <w:t>Section 8.7</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8.5.5. the lease or sublease of Real Property or personal property in the ordinary course of business not constituting a sale and leaseback transaction;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8.5.6. any sale, transfer or disposition of any (a) business or controlling or majority Capital Stock in any Person engaged in a line of business, (b) Minority Interest or (c) property or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such case, such business, Capital Stock, Minority Interest or property is promptly replaced with a similar business, Capital Stock, Minority Interest or property or assets, as applicable, used or useful in a line of business in which Crown Holdings or any of its Subsidiaries is engaged or which are complementary, reasonably related, ancillary or useful to such line of business in which Crown Holdings or any of its Subsidiaries is then engaged;</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8.5.7.</w:t>
      </w:r>
      <w:r>
        <w:rPr>
          <w:sz w:val="20"/>
          <w:szCs w:val="20"/>
          <w:color w:val="auto"/>
        </w:rPr>
        <w:tab/>
      </w:r>
      <w:r>
        <w:rPr>
          <w:rFonts w:ascii="Times New Roman" w:cs="Times New Roman" w:eastAsia="Times New Roman" w:hAnsi="Times New Roman"/>
          <w:sz w:val="19"/>
          <w:szCs w:val="19"/>
          <w:color w:val="auto"/>
        </w:rPr>
        <w:t>Permitted Holding Company Transactions;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8.5.8.</w:t>
      </w:r>
      <w:r>
        <w:rPr>
          <w:sz w:val="20"/>
          <w:szCs w:val="20"/>
          <w:color w:val="auto"/>
        </w:rPr>
        <w:tab/>
      </w:r>
      <w:r>
        <w:rPr>
          <w:rFonts w:ascii="Times New Roman" w:cs="Times New Roman" w:eastAsia="Times New Roman" w:hAnsi="Times New Roman"/>
          <w:sz w:val="19"/>
          <w:szCs w:val="19"/>
          <w:color w:val="auto"/>
        </w:rPr>
        <w:t xml:space="preserve">sales or transfers identified in </w:t>
      </w:r>
      <w:r>
        <w:rPr>
          <w:rFonts w:ascii="Times New Roman" w:cs="Times New Roman" w:eastAsia="Times New Roman" w:hAnsi="Times New Roman"/>
          <w:sz w:val="19"/>
          <w:szCs w:val="19"/>
          <w:u w:val="single" w:color="auto"/>
          <w:color w:val="auto"/>
        </w:rPr>
        <w:t>Schedule 8.5(h)</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8.5.9. sales, transfers and dispositions of assets not otherwise permitted under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fair market value of all assets sold, transferred or otherwise disposed of in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50" w:name="page251"/>
    <w:bookmarkEnd w:id="250"/>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reliance upon this clause (i) shall not, in the aggregate in any Fiscal Year, exceed the greater of (1) $2,100,000,000 and (2) 15% of Consolidated Total Assets as set forth in the financial statements most recently delivered by Crown Holdings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or</w:t>
      </w: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that the Net Proceeds of any such sale, transfer or other disposition that are not required to be used to prepay the Loans pursuant to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are used to purchase assets used or useful in one or more of the businesses referred to in </w:t>
      </w:r>
      <w:r>
        <w:rPr>
          <w:rFonts w:ascii="Times New Roman" w:cs="Times New Roman" w:eastAsia="Times New Roman" w:hAnsi="Times New Roman"/>
          <w:sz w:val="20"/>
          <w:szCs w:val="20"/>
          <w:u w:val="single" w:color="auto"/>
          <w:color w:val="auto"/>
        </w:rPr>
        <w:t>Section 8.3(c)</w:t>
      </w:r>
      <w:r>
        <w:rPr>
          <w:rFonts w:ascii="Times New Roman" w:cs="Times New Roman" w:eastAsia="Times New Roman" w:hAnsi="Times New Roman"/>
          <w:sz w:val="20"/>
          <w:szCs w:val="20"/>
          <w:color w:val="auto"/>
        </w:rPr>
        <w:t xml:space="preserve"> in the time period prescribed in </w:t>
      </w:r>
      <w:r>
        <w:rPr>
          <w:rFonts w:ascii="Times New Roman" w:cs="Times New Roman" w:eastAsia="Times New Roman" w:hAnsi="Times New Roman"/>
          <w:sz w:val="20"/>
          <w:szCs w:val="20"/>
          <w:u w:val="single" w:color="auto"/>
          <w:color w:val="auto"/>
        </w:rPr>
        <w:t>Section 4.4(c)</w:t>
      </w:r>
      <w:r>
        <w:rPr>
          <w:rFonts w:ascii="Times New Roman" w:cs="Times New Roman" w:eastAsia="Times New Roman" w:hAnsi="Times New Roman"/>
          <w:sz w:val="20"/>
          <w:szCs w:val="20"/>
          <w:color w:val="auto"/>
        </w:rPr>
        <w:t xml:space="preserve">, and if such Credit Party or such Subsidiary has complied with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with respect to any assets purchased with such reinvested proceeds, such sale, transfer or other disposition shall be disregarded for purposes of calculations pursuant to this </w:t>
      </w:r>
      <w:r>
        <w:rPr>
          <w:rFonts w:ascii="Times New Roman" w:cs="Times New Roman" w:eastAsia="Times New Roman" w:hAnsi="Times New Roman"/>
          <w:sz w:val="20"/>
          <w:szCs w:val="20"/>
          <w:u w:val="single" w:color="auto"/>
          <w:color w:val="auto"/>
        </w:rPr>
        <w:t>Section 8.5(i)</w:t>
      </w:r>
      <w:r>
        <w:rPr>
          <w:rFonts w:ascii="Times New Roman" w:cs="Times New Roman" w:eastAsia="Times New Roman" w:hAnsi="Times New Roman"/>
          <w:sz w:val="20"/>
          <w:szCs w:val="20"/>
          <w:color w:val="auto"/>
        </w:rPr>
        <w:t xml:space="preserve"> (and shall otherwise be deemed to be permitted under this </w:t>
      </w:r>
      <w:r>
        <w:rPr>
          <w:rFonts w:ascii="Times New Roman" w:cs="Times New Roman" w:eastAsia="Times New Roman" w:hAnsi="Times New Roman"/>
          <w:sz w:val="20"/>
          <w:szCs w:val="20"/>
          <w:u w:val="single" w:color="auto"/>
          <w:color w:val="auto"/>
        </w:rPr>
        <w:t>Section 8.5(i)</w:t>
      </w:r>
      <w:r>
        <w:rPr>
          <w:rFonts w:ascii="Times New Roman" w:cs="Times New Roman" w:eastAsia="Times New Roman" w:hAnsi="Times New Roman"/>
          <w:sz w:val="20"/>
          <w:szCs w:val="20"/>
          <w:color w:val="auto"/>
        </w:rPr>
        <w:t xml:space="preserve">) to the extent of the reinvested proceeds, from and after the time of compliance with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with respect to the acquisition of such other property;</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8.5.10. the Credit Parties and their Subsidiaries may grant liens permitted under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make dispositions consisting of transactions permitted by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make any Investments otherwise permitted by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8.4(x)</w:t>
      </w:r>
      <w:r>
        <w:rPr>
          <w:rFonts w:ascii="Times New Roman" w:cs="Times New Roman" w:eastAsia="Times New Roman" w:hAnsi="Times New Roman"/>
          <w:sz w:val="20"/>
          <w:szCs w:val="20"/>
          <w:color w:val="auto"/>
        </w:rPr>
        <w:t xml:space="preserve">), conduct sale and leaseback transactions permitted by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xml:space="preserve">, make any Restricted Payments permitted by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make prepayments permitted by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 xml:space="preserve"> and undertake transactions with Affiliates permitted by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8.5.11. sales, transfers and dispositions by a Euro Credit Party of the Capital Stock of any Subsidiary that is not a Credit Party held directly by such Euro Credit Party to another Subsidiary that is not a Credit Party in exchange for Indebtedness (in a principal amount no less than the fair market value of such Capital Stock) of such Subsidiary to which such sale, transfer or disposition is made or cancellation of Indebtedness owed by such Euro Credit Party to such Subsidiary;</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8.5.12. the Credit Parties and their Subsidiaries may enter into consignment arrangements (as consignor or as consignee) or similar arrangements for the sale of goods in the ordinary course of business;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8.5.13. (1) Crown Holdings may sell, convey or otherwise dispose of its Capital Stock that is held by Crown Holdings as treasury stock and (2) the Credit Parties and their Subsidiaries may sell, convey or otherwise dispose of any Capital Stock of an Unrestricted Entity;</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8.5.14. Crown Holdings and its Subsidiaries may issue, sell, assign, or dispose of any shares of Capital Stock of any Subsidiary of Crown Holdings (i) to Crown Holdings, (ii) to another Wholly-Owned Subsidiary of Crown Holdings, (iii) to qualify directors if required by any Requirement of Law, (iv) assignments pursuant to the Loan Documents, (v) pursuant to employee stock ownership or employee benefit plans in effect on the Incremental Amendment No. 3 and Fifth Amendment Effective Date (or new or replacement plans entered into thereafter to the extent the terms thereof, taken as a whole, are either on customary market terms (as determined by Crown Holdings in its reasonable discretion) or are otherwise not materially less favorable, taken as a whole, to the Lenders than the terms of any such plans in effect on the Incremental Amendment No. 3 and Fifth Amendment Effective Date) or (vi) so long as (x) after giving effect to such issuance, sale, assignment or disposal, Crown Holdings shall be in compliance with the financial covenant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(calculated on a Pro Forma Basis) as of the end of the most recent Test Period, and (y) no Borrower shall cease to be a Wholly-Owned Subsidiary in connection with such issuance, sale, assignment or disposal;</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8.5.15. the Credit Parties and their Subsidiaries (1) may enter into licenses or sublicenses (or other grants of rights to use) granted or created by any Credit Party or any Subsidiary, which (A) do not interfere, individually or in the aggregate, in any material respect with the business of the Credit Parties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51" w:name="page252"/>
    <w:bookmarkEnd w:id="251"/>
    <w:p>
      <w:pPr>
        <w:jc w:val="both"/>
        <w:spacing w:after="0" w:line="258" w:lineRule="auto"/>
        <w:rPr>
          <w:sz w:val="20"/>
          <w:szCs w:val="20"/>
          <w:color w:val="auto"/>
        </w:rPr>
      </w:pPr>
      <w:r>
        <w:rPr>
          <w:rFonts w:ascii="Times New Roman" w:cs="Times New Roman" w:eastAsia="Times New Roman" w:hAnsi="Times New Roman"/>
          <w:sz w:val="20"/>
          <w:szCs w:val="20"/>
          <w:color w:val="auto"/>
        </w:rPr>
        <w:t>and their Subsidiaries, taken as a whole, (B) are between or among Crown Holdings and/or its Subsidiaries or (C) relate to closed facilities or the discontinuation of any product line, and (2) abandon, allow to lapse or dispose of intellectual property or other proprietary rights of such Person that, in the reasonable judgment of such Person, is no longer economically practical to maintain or useful in any material respect in the business of the Credit Parties and their Subsidiaries, taken as a whole;</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8.5.16. the Credit Parties and their Subsidiaries may make dispositions of owned or leased vehicles in the ordinary course of business;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8.5.17. the Credit Parties and their Subsidiaries may make dispositions resulting from any foreclosure, casualty or other insured damage to, or any taking under power of eminent domain or by condemnation or similar proceeding of, any property or asset of any Credit Party or any of its Subsidiaries;</w:t>
      </w:r>
    </w:p>
    <w:p>
      <w:pPr>
        <w:spacing w:after="0" w:line="168"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8.5.18. the Credit Parties and their Subsidiaries may (i) permit to expire any option agreement in respect of personal property and (ii) surrender or waive contractual rights or settle, release or surrender any contract, tort or litigation claim in the ordinary course of business;</w:t>
      </w:r>
    </w:p>
    <w:p>
      <w:pPr>
        <w:spacing w:after="0" w:line="1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8.5.19. the Credit Parties and their Subsidiaries may dispose of non-core assets (including real estate assets) acquired in connection with any acquisition or other Investment permitted hereunder and consummated after the Incremental No. 2 and Third Amendment Effective Date;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8.5.20. terminations or unwinds of Hedging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8.5.21. dispositions of real estate assets and related assets in the ordinary course of business in connection with relocation activities for directors, officers, employees, members of management, managers or consultants of Crown Holdings (or any direct or indirect parent of Crown Holdings), the Borrowers and/or any Subsidiary;</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8.5.22. dispositions made to comply with any order or any agency of the U.S. federal government, any state, authority or other regulatory body or any applicable Requirement of Law; and</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8.5.23. exchanges or swaps, including transactions covered by Section 1031 of the Code (or any comparable provision of any foreign jurisdiction), of like property or assets.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In the event the Required Lenders waive the provisions of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xml:space="preserve"> with respect to the sale of any Collateral, or any Collateral is sold as permitted by this </w:t>
      </w:r>
      <w:r>
        <w:rPr>
          <w:rFonts w:ascii="Times New Roman" w:cs="Times New Roman" w:eastAsia="Times New Roman" w:hAnsi="Times New Roman"/>
          <w:sz w:val="20"/>
          <w:szCs w:val="20"/>
          <w:u w:val="single" w:color="auto"/>
          <w:color w:val="auto"/>
        </w:rPr>
        <w:t>Section 8.5</w:t>
      </w:r>
      <w:r>
        <w:rPr>
          <w:rFonts w:ascii="Times New Roman" w:cs="Times New Roman" w:eastAsia="Times New Roman" w:hAnsi="Times New Roman"/>
          <w:sz w:val="20"/>
          <w:szCs w:val="20"/>
          <w:color w:val="auto"/>
        </w:rPr>
        <w:t>, such Collateral shall be sold free and clear of the Liens created by the Security Documents, and the Liens created by the Security Documents shall automatically be deemed released and the Administrative Agent shall be authorized to, and shall, take any appropriate actions in order to effect the foregoing.</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8.6. Sale and Leaseback Transactions. The Credit Parties will not, and will not permit any of their Subsidiaries to enter into any arrangement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sale and leaseback transactions to the extent the Attributable Debt associated therewith is permitted by Section 8.1(a)(xvi).</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8.7. Sale or Discount of Receivables. The Credit Parties will not, and will not permit any of their Subsidiaries to sell, with or without recourse, or discount or otherwise sell or transfer for less than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20"/>
          <w:szCs w:val="20"/>
          <w:color w:val="auto"/>
        </w:rPr>
        <w:t>the face value thereof, notes or accounts receivable, other than (a) in connection with a Permitted Receivables or Factoring Financing or</w:t>
      </w:r>
    </w:p>
    <w:p>
      <w:pPr>
        <w:spacing w:after="0" w:line="28" w:lineRule="exact"/>
        <w:rPr>
          <w:sz w:val="20"/>
          <w:szCs w:val="20"/>
          <w:color w:val="auto"/>
        </w:rPr>
      </w:pPr>
    </w:p>
    <w:p>
      <w:pPr>
        <w:jc w:val="both"/>
        <w:ind w:firstLine="8"/>
        <w:spacing w:after="0" w:line="259" w:lineRule="auto"/>
        <w:tabs>
          <w:tab w:leader="none" w:pos="284"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sales and/or discounts, in each case without recourse (except (A) for customary representations, warranties, covenants and indemnities made in connection therewith, or (B) as is otherwise customary (as determined by Crown Holdings in good faith) for similar transactions in the applicable jurisdictions)) and in the ordinary course of business, any accounts receivable arising in the ordinary course of business</w:t>
      </w:r>
    </w:p>
    <w:p>
      <w:pPr>
        <w:spacing w:after="0" w:line="1" w:lineRule="exact"/>
        <w:rPr>
          <w:rFonts w:ascii="Times New Roman" w:cs="Times New Roman" w:eastAsia="Times New Roman" w:hAnsi="Times New Roman"/>
          <w:sz w:val="19"/>
          <w:szCs w:val="19"/>
          <w:color w:val="auto"/>
        </w:rPr>
      </w:pPr>
    </w:p>
    <w:p>
      <w:pPr>
        <w:jc w:val="both"/>
        <w:ind w:firstLine="8"/>
        <w:spacing w:after="0" w:line="263" w:lineRule="auto"/>
        <w:tabs>
          <w:tab w:leader="none" w:pos="31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are overdue, or (y) which Crown Holdings or any Subsidiary may reasonably determine are difficult to collect but only in connection with the compromise or collection thereof consistent with prudent business practice (and not as part of any bulk sale or financing of receivables) and (ii) Crown Holdings and its Subsidiaries may sell, discount, contribute or otherwise transfer, including, without limitation, pursuant to financing arrangements (including, without limitation, pursuant to any supply chain or similar arrangements), in each case without recourse (except (A) for customary representations, warranties, covenants and indemnities made in connection therewith, or (B) as is otherwise customary (as determined by Crown Holdings in good faith) for similar transactions in the applicable jurisdictions)), any receivables arising in the ordinary course of business; provided that (x) such sale, discount, contribution or other transfer does not otherwise meet the requirements set forth in the definition of “Permitted Receivables or Factoring Financing” and (y) all Receivables Net Investments shall not exceed the amount set forth in clause (iv) of the definition of “Permitted Receivables or Factoring Financing”.</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8.8. Restricted Payments. The Credit Parties will not, and will not permit any of their Subsidiaries to, declare or make, or agree to pay or make, directly or indirectly, any Restricted Payment, or incur any obligation (contingent or otherwise) to do so, except: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8.8.1.</w:t>
        <w:tab/>
        <w:t>Subsidiaries may declare and pay dividends ratably with respect to their Capital Stock and repurchase their Capital Stock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ratably;</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8.8.2.</w:t>
      </w:r>
      <w:r>
        <w:rPr>
          <w:sz w:val="20"/>
          <w:szCs w:val="20"/>
          <w:color w:val="auto"/>
        </w:rPr>
        <w:tab/>
      </w:r>
      <w:r>
        <w:rPr>
          <w:rFonts w:ascii="Times New Roman" w:cs="Times New Roman" w:eastAsia="Times New Roman" w:hAnsi="Times New Roman"/>
          <w:sz w:val="19"/>
          <w:szCs w:val="19"/>
          <w:color w:val="auto"/>
        </w:rPr>
        <w:t>Crown Holdings may pay dividends consisting solely of shares of its common stock;</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8.8.3.</w:t>
      </w:r>
      <w:r>
        <w:rPr>
          <w:sz w:val="20"/>
          <w:szCs w:val="20"/>
          <w:color w:val="auto"/>
        </w:rPr>
        <w:tab/>
      </w:r>
      <w:r>
        <w:rPr>
          <w:rFonts w:ascii="Times New Roman" w:cs="Times New Roman" w:eastAsia="Times New Roman" w:hAnsi="Times New Roman"/>
          <w:sz w:val="19"/>
          <w:szCs w:val="19"/>
          <w:color w:val="auto"/>
        </w:rPr>
        <w:t xml:space="preserve">purchases of Capital Stock of non-Wholly-Owned Subsidiaries as permitted by </w:t>
      </w:r>
      <w:r>
        <w:rPr>
          <w:rFonts w:ascii="Times New Roman" w:cs="Times New Roman" w:eastAsia="Times New Roman" w:hAnsi="Times New Roman"/>
          <w:sz w:val="19"/>
          <w:szCs w:val="19"/>
          <w:u w:val="single" w:color="auto"/>
          <w:color w:val="auto"/>
        </w:rPr>
        <w:t>Section 8.4(m)</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8.8.4.</w:t>
      </w:r>
      <w:r>
        <w:rPr>
          <w:sz w:val="20"/>
          <w:szCs w:val="20"/>
          <w:color w:val="auto"/>
        </w:rPr>
        <w:tab/>
      </w:r>
      <w:r>
        <w:rPr>
          <w:rFonts w:ascii="Times New Roman" w:cs="Times New Roman" w:eastAsia="Times New Roman" w:hAnsi="Times New Roman"/>
          <w:sz w:val="19"/>
          <w:szCs w:val="19"/>
          <w:color w:val="auto"/>
        </w:rPr>
        <w:t>[reserved];</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8.8.5. the purchase, redemption or other acquisition or retirement for value of any Capital Stock (or any options or warrants or stock appreciation rights issued with respect to any of such Capital Stock) of Crown Holdings held (x) by current or former employees, officers, managers or directors (or any spouse, former spouse, successor, executor, administrator, heir, legatee or distributee of any of the foregoing) of Crown Holdings or any of its Subsidiaries upon the death, disability, retirement or termination of employment or services of such Person or otherwise in accordance with any management equity subscription agreement, stock option agreement or similar agreement or plan or (y) for matching contributions to otherwise meet the needs of its employee stock purchase, deferred compensation, 401(k) and other employee benefit plans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price paid (net of employee contributions) for all such purchased, redeemed, acquired or retired Capital Stock shall not exceed the sum of $25,000,000 in any Fiscal Year;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such permitted amount of purchased, redeemed, acquired or retired Capital Stock may be increased in any Fiscal Year by carrying forward any unused amount from the immediately preceding Fiscal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Fiscal Year, such permitted amount shall be deemed to be made first with respect to the applicable limitation for such Fiscal Year and then with respect to any carry forward (such carry forward to be limited solely to the immediately preceding Fiscal Year) to the extent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199</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53" w:name="page254"/>
    <w:bookmarkEnd w:id="253"/>
    <w:p>
      <w:pPr>
        <w:jc w:val="both"/>
        <w:spacing w:after="0" w:line="283" w:lineRule="auto"/>
        <w:rPr>
          <w:sz w:val="20"/>
          <w:szCs w:val="20"/>
          <w:color w:val="auto"/>
        </w:rPr>
      </w:pPr>
      <w:r>
        <w:rPr>
          <w:rFonts w:ascii="Times New Roman" w:cs="Times New Roman" w:eastAsia="Times New Roman" w:hAnsi="Times New Roman"/>
          <w:sz w:val="20"/>
          <w:szCs w:val="20"/>
          <w:color w:val="auto"/>
        </w:rPr>
        <w:t>Restricted Payment that would cause or result in a “</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as defined in any Public Debt Document shall not be permitted under this clause (e);</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8.8.6. Crown Holdings or any Subsidiary may make repurchases of Capital Stock by Crown Holdings or any Subsidiary deemed to occur upon the withholding of a portion of the Capital Stock granted or awarded to a current or former officer, employee, manager or director of such Person, or consultant or advisor (or any spouses, former spouses, successors, executors, administrators, heirs, legatees or distributees of any of the foregoing) to pay for the Taxes payable by such Person upon such grant or award (or upon the vesting thereof);</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8.8.7.</w:t>
      </w:r>
      <w:r>
        <w:rPr>
          <w:sz w:val="20"/>
          <w:szCs w:val="20"/>
          <w:color w:val="auto"/>
        </w:rPr>
        <w:tab/>
      </w:r>
      <w:r>
        <w:rPr>
          <w:rFonts w:ascii="Times New Roman" w:cs="Times New Roman" w:eastAsia="Times New Roman" w:hAnsi="Times New Roman"/>
          <w:sz w:val="19"/>
          <w:szCs w:val="19"/>
          <w:color w:val="auto"/>
        </w:rPr>
        <w:t>[reserved];</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8.8.8. Crown Holdings and any Subsidiary may repurchase Capital Stock upon the exercise of stock options, warrants or other convertible or exchangeable securities if such Capital Stock represents a portion of the exercise, conversion or exchange price thereof;</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8.8.9.</w:t>
        <w:tab/>
        <w:t>Crown Holdings or any Subsidiary may (i) pay cash in lieu of fractional Capital Stock in connection with any dividend and</w:t>
      </w:r>
    </w:p>
    <w:p>
      <w:pPr>
        <w:spacing w:after="0" w:line="28" w:lineRule="exact"/>
        <w:rPr>
          <w:sz w:val="20"/>
          <w:szCs w:val="20"/>
          <w:color w:val="auto"/>
        </w:rPr>
      </w:pPr>
    </w:p>
    <w:p>
      <w:pPr>
        <w:jc w:val="both"/>
        <w:ind w:firstLine="8"/>
        <w:spacing w:after="0" w:line="253" w:lineRule="auto"/>
        <w:tabs>
          <w:tab w:leader="none" w:pos="293"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any conversion request by a holder of convertible Indebtedness or securities convertible into or exchangeable for Capital Stock and make cash payments in lieu of fractional shares in connection with any such conversion and may make payments on convertible Indebtedness or securities convertible into or exchangeable for Capital Stock in accordance with its terms;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8.8.10. so long as no Event of Default or Unmatured Event of Default has occurred and is continuing or would result therefrom, Crown Holdings and its Subsidiaries may declare and pay dividends to holders of any class or series of Disqualified Preferred Stock issued pursuant to </w:t>
      </w:r>
      <w:r>
        <w:rPr>
          <w:rFonts w:ascii="Times New Roman" w:cs="Times New Roman" w:eastAsia="Times New Roman" w:hAnsi="Times New Roman"/>
          <w:sz w:val="20"/>
          <w:szCs w:val="20"/>
          <w:u w:val="single" w:color="auto"/>
          <w:color w:val="auto"/>
        </w:rPr>
        <w:t>Section 8.1(a)(xxvi)</w:t>
      </w:r>
      <w:r>
        <w:rPr>
          <w:rFonts w:ascii="Times New Roman" w:cs="Times New Roman" w:eastAsia="Times New Roman" w:hAnsi="Times New Roman"/>
          <w:sz w:val="20"/>
          <w:szCs w:val="20"/>
          <w:color w:val="auto"/>
        </w:rPr>
        <w:t xml:space="preserve">; provided that such dividends shall not violate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definition of “Permitted Preferred Stock”;</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8.8.11. Crown Holdings and its Subsidiaries may make Restricted Payments made in exchange for, or in an amount equal to the net cash proceeds of, the substantially concurrent sale (other than to Crown Holdings or any of its Subsidiaries) of, Capital Stock of Crown Holdings (other than Disqualified Preferred Stock);</w:t>
      </w:r>
    </w:p>
    <w:p>
      <w:pPr>
        <w:spacing w:after="0" w:line="168"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8.8.12. to the extent constituting a Restricted Payment, Crown Holdings and each Subsidiary may consummate any transaction, and pay any amounts permitted under or in respect of any such transaction, permitted by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8.4(x)</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8.8.13. Crown Holdings and its Subsidiaries may make Restricted Payments from and after the Incremental Amendment No. 3 and Fifth Amendment Effective Date in an aggregate amount not to exceed the Available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the date on which such Restricted Payments are made and after giving effect to the making of such Restricted Payments, no Event of Default would exist hereunder; and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8.8.14. other Restricted Payments not otherwise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the date on which such Restricted Payments are made and after giving effect to the making of such Restricted Payments on a Pro Forma Basis for the period of four Fiscal Quarters for which financial statements have been delivered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immediately preceding the date on which such Restricted Payments is made, (i) no Event of Default would exist hereunder and (ii) the Total Leverage Ratio shall not be greater than (x) prior to December 31, 2023, 5.00 to 1.00 and (y) thereafter, 4.50 to 1.00.</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54" w:name="page255"/>
    <w:bookmarkEnd w:id="254"/>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Notwithstanding the foregoing, (i) Crown Holdings may pay dividends within 60 days after the date of declaration thereof if at such date of declaration such dividend would have complied with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and (ii) any Wholly-Owned Subsidiary may purchase, redeem or otherwise acquire or exchange its Capital Stock for the Capital Stock of another Wholly-Owned Subsidiary.</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8.9. Transactions with Affiliates. The Credit Parties will not, and will not permit any of their Subsidiaries to sell, lease or otherwise transfer any property or assets to, or purchase, lease or otherwise acquire any property or assets from, or otherwise engage in any other transactions with, any of its Affiliates, in any case, to the extent that such transaction involves payments in excess of $25,000,000, except:</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8.9.1. transactions that are at prices and on terms and conditions not materially less favorable to the applicable Credit Party or such Subsidiary than could be obtained on an arm’s-length basis from unrelated third parties or, if such transaction is not one which by its nature could be obtained from such third parties, is on fair and reasonable terms;</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8.9.2. transactions between or among the Credit Parties not involving any other Affiliate and transactions among Subsidiaries not involving any Credit Party;</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8.9.3. customary fees, expenses, compensation (including bonuses), and other benefits and incentive arrangements (including retirement, health, stock option and other benefit plans) paid or provided to, and any indemnity provided on behalf of, current or former officers, directors, managers or employees of Crown Holdings or any Subsidiary;</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8.9.4. (i) any Restricted Payment permitted by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(ii) any Investment permitted by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and (iii) any sale or other disposition permitted by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8.9.5. loans and advances to employees of the Borrowers or any Subsidiary permitted by </w:t>
      </w:r>
      <w:r>
        <w:rPr>
          <w:rFonts w:ascii="Times New Roman" w:cs="Times New Roman" w:eastAsia="Times New Roman" w:hAnsi="Times New Roman"/>
          <w:sz w:val="20"/>
          <w:szCs w:val="20"/>
          <w:u w:val="single" w:color="auto"/>
          <w:color w:val="auto"/>
        </w:rPr>
        <w:t>Section 8.4(h)</w:t>
      </w:r>
      <w:r>
        <w:rPr>
          <w:rFonts w:ascii="Times New Roman" w:cs="Times New Roman" w:eastAsia="Times New Roman" w:hAnsi="Times New Roman"/>
          <w:sz w:val="20"/>
          <w:szCs w:val="20"/>
          <w:color w:val="auto"/>
        </w:rPr>
        <w:t xml:space="preserve"> and Investments permitted by </w:t>
      </w:r>
      <w:r>
        <w:rPr>
          <w:rFonts w:ascii="Times New Roman" w:cs="Times New Roman" w:eastAsia="Times New Roman" w:hAnsi="Times New Roman"/>
          <w:sz w:val="20"/>
          <w:szCs w:val="20"/>
          <w:u w:val="single" w:color="auto"/>
          <w:color w:val="auto"/>
        </w:rPr>
        <w:t>Section 8.4(d)</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8.9.6. any agreement as in effect (x) as of the Incremental Amendment No. 3 and Fifth Amendment Effective Date and disclosed in Crown Holdings’ most recently filed Form 10-K or otherwise set forth on </w:t>
      </w:r>
      <w:r>
        <w:rPr>
          <w:rFonts w:ascii="Times New Roman" w:cs="Times New Roman" w:eastAsia="Times New Roman" w:hAnsi="Times New Roman"/>
          <w:sz w:val="20"/>
          <w:szCs w:val="20"/>
          <w:u w:val="single" w:color="auto"/>
          <w:color w:val="auto"/>
        </w:rPr>
        <w:t>Schedule 8.9(f)</w:t>
      </w:r>
      <w:r>
        <w:rPr>
          <w:rFonts w:ascii="Times New Roman" w:cs="Times New Roman" w:eastAsia="Times New Roman" w:hAnsi="Times New Roman"/>
          <w:sz w:val="20"/>
          <w:szCs w:val="20"/>
          <w:color w:val="auto"/>
        </w:rPr>
        <w:t xml:space="preserve"> or any amendment, modification, restatement, renewal, supplementation, refund, replacement, refinancing or otherwise continuation thereto or thereof or any transaction contemplated thereby (including pursuant to any amendment, modification, restatement, renewal, supplementation, refund, replacement, refinancing or otherwise continuation thereto or thereof), in each case, on terms not materially more disadvantageous to the Lenders, taken as a whole, than the original agreement as in effect on the Incremental Amendment No. 3 and Fifth Amendment Effective Date or (y) following the consummation of a Permitted Acquisition or other permitted Investment, any agreements of the acquired Person or other Investment in effect on the closing date of such acquisition or Investment;</w:t>
      </w:r>
    </w:p>
    <w:p>
      <w:pPr>
        <w:spacing w:after="0" w:line="1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8.9.7.</w:t>
      </w:r>
      <w:r>
        <w:rPr>
          <w:sz w:val="20"/>
          <w:szCs w:val="20"/>
          <w:color w:val="auto"/>
        </w:rPr>
        <w:tab/>
      </w:r>
      <w:r>
        <w:rPr>
          <w:rFonts w:ascii="Times New Roman" w:cs="Times New Roman" w:eastAsia="Times New Roman" w:hAnsi="Times New Roman"/>
          <w:sz w:val="19"/>
          <w:szCs w:val="19"/>
          <w:color w:val="auto"/>
        </w:rPr>
        <w:t>any Permitted Receivables or Factoring Financings;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8.9.8. sales or issuances of common stock or securities convertible into or exchangeable for common stock of Crown Holdings or warrants, options or other rights to purchase or subscribe for common stock of Crown Holdings;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8.9.9.</w:t>
      </w:r>
      <w:r>
        <w:rPr>
          <w:sz w:val="20"/>
          <w:szCs w:val="20"/>
          <w:color w:val="auto"/>
        </w:rPr>
        <w:tab/>
      </w:r>
      <w:r>
        <w:rPr>
          <w:rFonts w:ascii="Times New Roman" w:cs="Times New Roman" w:eastAsia="Times New Roman" w:hAnsi="Times New Roman"/>
          <w:sz w:val="19"/>
          <w:szCs w:val="19"/>
          <w:color w:val="auto"/>
        </w:rPr>
        <w:t>any Permitted Cross Chain Transaction and any Permitted Holding Company Transaction;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55" w:name="page256"/>
    <w:bookmarkEnd w:id="255"/>
    <w:p>
      <w:pPr>
        <w:ind w:left="660"/>
        <w:spacing w:after="0"/>
        <w:rPr>
          <w:sz w:val="20"/>
          <w:szCs w:val="20"/>
          <w:color w:val="auto"/>
        </w:rPr>
      </w:pPr>
      <w:r>
        <w:rPr>
          <w:rFonts w:ascii="Times New Roman" w:cs="Times New Roman" w:eastAsia="Times New Roman" w:hAnsi="Times New Roman"/>
          <w:sz w:val="20"/>
          <w:szCs w:val="20"/>
          <w:color w:val="auto"/>
        </w:rPr>
        <w:t xml:space="preserve">8.9.10. transfers by a Credit Party to an SLB Subsidiary in connection with a transaction permitted by </w:t>
      </w:r>
      <w:r>
        <w:rPr>
          <w:rFonts w:ascii="Times New Roman" w:cs="Times New Roman" w:eastAsia="Times New Roman" w:hAnsi="Times New Roman"/>
          <w:sz w:val="20"/>
          <w:szCs w:val="20"/>
          <w:u w:val="single" w:color="auto"/>
          <w:color w:val="auto"/>
        </w:rPr>
        <w:t>Section 8.6</w:t>
      </w:r>
      <w:r>
        <w:rPr>
          <w:rFonts w:ascii="Times New Roman" w:cs="Times New Roman" w:eastAsia="Times New Roman" w:hAnsi="Times New Roman"/>
          <w:sz w:val="20"/>
          <w:szCs w:val="20"/>
          <w:color w:val="auto"/>
        </w:rPr>
        <w:t>; and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8.9.11. transactions involving the provision of services and payment of consideration therefor between and among Crown Holdings and any one or more of its Subsidiaries in the ordinary course of business and/or consistent with past practices and not otherwise prohibited by this Agreement.</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8.10. Restrictive Agreements. The Credit Parties will not, and will not permit any of their Material Subsidiaries to enter into, incur or permit to exist any consensual agreement or other arrangement that prohibits, restricts or imposes any condition upon the ability of any Material Subsidiary (i) to pay dividends or other distributions with respect to any of its Capital Stock to Crown Holdings or any of its Material Subsidiaries or (ii) to make or repay loans or advances to Crown Holdings or any other Material Subsidiary or (iii) to transfer property to Crown Holdings or any of its Material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8.10.1. conditions imposed by Requirements of Law or by any Loan Document;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8.10.2. restrictions and conditions imposed by the Public Debt Documents as in effect on the Incremental Amendment No. 3 and Fifth Amendment Effective Date;</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8.10.3. restrictions and conditions imposed by any Permitted Ratio Debt, Permitted European Borrower Debt and Indebtedness permitted under </w:t>
      </w:r>
      <w:r>
        <w:rPr>
          <w:rFonts w:ascii="Times New Roman" w:cs="Times New Roman" w:eastAsia="Times New Roman" w:hAnsi="Times New Roman"/>
          <w:sz w:val="20"/>
          <w:szCs w:val="20"/>
          <w:u w:val="single" w:color="auto"/>
          <w:color w:val="auto"/>
        </w:rPr>
        <w:t>Sections 8.1(a)(ii)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8.1(a)(xxviii)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encumbrances and restrictions contained in such Indebtedness are no more restrictive in any material respect, taken as a whole, than those contained in the Public Debt Documents (as in effect on the Incremental Amendment No. 3 and Fifth Amendment Effective Date);</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8.10.4. with respect to clause (iii) only, (A) customary restrictions on assignment and (B) assets encumbered by Permitted Liens as long as such restriction applies only to the asset encumbered by such Permitted Lien;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8.10.5. restrictions and conditions existing on the Incremental Amendment No. 3 and Fifth Amendment Effective Date not otherwise excepted from this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 xml:space="preserve"> identified on </w:t>
      </w:r>
      <w:r>
        <w:rPr>
          <w:rFonts w:ascii="Times New Roman" w:cs="Times New Roman" w:eastAsia="Times New Roman" w:hAnsi="Times New Roman"/>
          <w:sz w:val="20"/>
          <w:szCs w:val="20"/>
          <w:u w:val="single" w:color="auto"/>
          <w:color w:val="auto"/>
        </w:rPr>
        <w:t>Schedule 8.10</w:t>
      </w:r>
      <w:r>
        <w:rPr>
          <w:rFonts w:ascii="Times New Roman" w:cs="Times New Roman" w:eastAsia="Times New Roman" w:hAnsi="Times New Roman"/>
          <w:sz w:val="20"/>
          <w:szCs w:val="20"/>
          <w:color w:val="auto"/>
        </w:rPr>
        <w:t xml:space="preserve"> and refinancings thereof with restrictions and conditions no more restrictive, in any material respect, taken as a whole, than those in such Indebtedness on the Incremental Amendment No. 3 and Fifth Amendment Effective Date;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8.10.6. customary restrictions and conditions contained in agreements relating to the sale of a Subsidiary (or the assets of a Subsidiary) pending such sale, provided such restrictions and conditions apply only to the Subsidiary that is to be sold (or whose assets are to be sold) and such sale is permitted hereunder;</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8.10.7. restrictions and conditions contained in any Permitted Receivables or Factoring Financings, sale and leaseback agreements, stock sale agreements and other similar agreements;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8.10.8. restrictions contained in Indebtedness of Subsidiaries that are not Credit Parties that is permitted by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8.10.9. restrictions that are binding on a Subsidiary at the time such Subsidiary first becomes a Subsidiary, so long as such restrictions were not entered into solely in contemplation of such Person becoming a Subsidiary or (y) are assumed in connection with an acquisition of the property or Capital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56" w:name="page257"/>
    <w:bookmarkEnd w:id="256"/>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Stock of any Person, so long as such restriction relates solely to the property so acquired (or to the Person or Persons (and its or their subsidiaries) bound thereby) and was not created in connection with or in anticipation of such acquisition;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8.10.10.customary restrictions contained in leases, subleases, licenses or asset sale agreements otherwise permitted hereby so long as such restrictions relate only to the assets subject thereto;</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8.10.11.restrictions contained in any agreement with respect to Indebtedness permitted by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to the extent that such restrictions are not materially more restrictive with respect to such restrictions, taken as a whole, than the corresponding restrictions hereunder;</w:t>
      </w:r>
    </w:p>
    <w:p>
      <w:pPr>
        <w:spacing w:after="0" w:line="16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8.10.12.restrictions on Cash, Cash Equivalents or deposits imposed by Persons under contracts entered into in the ordinary course of business (or otherwise constituting Permitted Liens on such cash or Cash Equivalents or deposits);</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8.10.13.customary net worth provisions contained in real property leases or licenses of Intellectual Property entered into by Crown Holdings or any Subsidiary, so long as Crown Holdings has determined in good faith that such net worth provisions would not reasonably be expected to impair the ability of Crown Holdings and its Subsidiaries to meet their ongoing obligation;</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8.10.14.restrictions imposed by customary provisions in joint venture agreements, other similar investment agreements and/or Organic Documents of any subsidiary that is a Non-Wholly Owned Subsidiary that restrict or impose conditions upon the transfer of the assets of, or ownership interests in, such applicable Person which limitation is applicable only to the assets that are the subject of such agreements (or the Persons the Capital Stock of which is the subject of such agreement); and</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8.10.15.restrictions imposed by any amendment, modification, restatement, renewal, increase, supplement, refunding, replacement or refinancing of the contracts, instruments or obligations referred to in clauses (a) through (n) above; provided that no such amendment, modification, restatement, renewal, increase, supplement, refunding, replacement or refinancing is, in the good faith judgment of the Borrower, more restrictive with respect to such encumbrances and other restrictions, taken as a whole, than those in effect prior to the relevant amendment, modification, restatement, renewal, increase, supplement, refunding, replacement or refinancing.</w:t>
      </w:r>
    </w:p>
    <w:p>
      <w:pPr>
        <w:spacing w:after="0" w:line="17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19"/>
          <w:szCs w:val="19"/>
          <w:color w:val="auto"/>
        </w:rPr>
        <w:t>Amendments or Waivers of Certain Documents; Prepayments of Indebtedness.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8.11.1. The Credit Parties will not, and will not permit any of their Subsidiaries to amend or otherwise change (or waive) the terms of its Organic Documents or the documents governing any Indebtedness (other than Intercompany Indebtedness subordinated as a result of </w:t>
      </w:r>
      <w:r>
        <w:rPr>
          <w:rFonts w:ascii="Times New Roman" w:cs="Times New Roman" w:eastAsia="Times New Roman" w:hAnsi="Times New Roman"/>
          <w:sz w:val="20"/>
          <w:szCs w:val="20"/>
          <w:u w:val="single" w:color="auto"/>
          <w:color w:val="auto"/>
        </w:rPr>
        <w:t>Section 8.1(a)(xi)</w:t>
      </w:r>
      <w:r>
        <w:rPr>
          <w:rFonts w:ascii="Times New Roman" w:cs="Times New Roman" w:eastAsia="Times New Roman" w:hAnsi="Times New Roman"/>
          <w:sz w:val="20"/>
          <w:szCs w:val="20"/>
          <w:color w:val="auto"/>
        </w:rPr>
        <w:t xml:space="preserve">) that is either subordinate or junior in right of payment to the Obligations (it being understood that Indebtedness shall not be deemed subordinate or junior in right of payment on account of being unsecured or being secured with greater or lower priority) or any refinancing thereof, in each case, if the effect of such amendment, change or waiver would be materially adverse to the interests of the Lenders,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 any such amendment, modification, waiver, termination or release of the documentation governing any such Indebtedness will be deemed to be not materially adverse if such Indebtedness could otherwise be incurred under this Agreement with such terms at the time of such amendment, modification, waiver, termination or release, (x) this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 xml:space="preserve"> shall not otherwise prohibit any Permitted Refinancing Indebtedness or any other replacement, refinancing, amendment, supplement, modification, extension, renewal, restatement or refunding of such Indebtedness, in each</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203</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57" w:name="page258"/>
    <w:bookmarkEnd w:id="257"/>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case, that is otherwise permitted under this Agreement in respect thereof, or any such amendment, modification, waiver, termination or release with respect to such Indebtedness to the extent not in contravention of any subordination or intercreditor agreement or terms applicable to such Indebtedness, (y) at the request of Crown Holdings, the form of any documentation governing such Indebtedness shall be deemed acceptable to the Lenders if posted to the Lenders and not objected to by the Required Lenders within five Business Days thereafter, and (z) this </w:t>
      </w:r>
      <w:r>
        <w:rPr>
          <w:rFonts w:ascii="Times New Roman" w:cs="Times New Roman" w:eastAsia="Times New Roman" w:hAnsi="Times New Roman"/>
          <w:sz w:val="20"/>
          <w:szCs w:val="20"/>
          <w:u w:val="single" w:color="auto"/>
          <w:color w:val="auto"/>
        </w:rPr>
        <w:t>Section 8.11(a)</w:t>
      </w:r>
      <w:r>
        <w:rPr>
          <w:rFonts w:ascii="Times New Roman" w:cs="Times New Roman" w:eastAsia="Times New Roman" w:hAnsi="Times New Roman"/>
          <w:sz w:val="20"/>
          <w:szCs w:val="20"/>
          <w:color w:val="auto"/>
        </w:rPr>
        <w:t xml:space="preserve"> shall not otherwise prohibit any such amendment, modification, waiver, termination or release of any Organic Documents to the extent entered into in order to effect or evidence a transaction that is permitted hereunder, including pursuant to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For the avoidance of doubt, the issuance of Capital Stock that is otherwise permitted under this Agreement shall not be deemed to be materially adverse to the interests of the Lenders..</w:t>
      </w:r>
    </w:p>
    <w:p>
      <w:pPr>
        <w:spacing w:after="0" w:line="1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8.11.2. The Credit Parties will not, and will not permit any of their Subsidiaries to, make (or give any notice or offer in respect of) any voluntary or optional payment or mandatory prepayment or redemption or acquisition for value (“</w:t>
      </w:r>
      <w:r>
        <w:rPr>
          <w:rFonts w:ascii="Times New Roman" w:cs="Times New Roman" w:eastAsia="Times New Roman" w:hAnsi="Times New Roman"/>
          <w:sz w:val="20"/>
          <w:szCs w:val="20"/>
          <w:u w:val="single" w:color="auto"/>
          <w:color w:val="auto"/>
        </w:rPr>
        <w:t>Repayments</w:t>
      </w:r>
      <w:r>
        <w:rPr>
          <w:rFonts w:ascii="Times New Roman" w:cs="Times New Roman" w:eastAsia="Times New Roman" w:hAnsi="Times New Roman"/>
          <w:sz w:val="20"/>
          <w:szCs w:val="20"/>
          <w:color w:val="auto"/>
        </w:rPr>
        <w:t xml:space="preserve">”) of (including, without limitation, by way of depositing with any trustee with respect thereto money or securities before such Indebtedness is due for the purpose of paying such Indebtedness when due) the Indebtedness described in clause (a) above, except for Repayments (s) in an aggregate amount from and after the Incremental Amendment No. 3 and Fifth Amendment Effective Date not to exceed the Available Amount, (t) any AHYDO Payment, (u) that constitute payments of principal at maturity and regularly scheduled payments of interest and fees as and when due in respect of any Subordinated Indebtedness (other than payments prohibited by the subordination provisions applicable thereto, if any), (v) that are mandatory prepayments of any Indebtedness described in clause (a) above (other than Subordinated Indebtedness) not otherwise prohibited by the terms of this Agreement, (w) pursuant to the issuance of Permitted Refinancing Indebtedness or as otherwise permitted by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(x) to the extent, as of the date on which such Repayment is made and immediately after giving effect thereto, on a Pro Forma Basis for the period of four Fiscal Quarters for which financial statements pursuant to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immediately preceding the date on which such Repayment is made, the Total Leverage Ratio shall not be greater than (A) prior to December 31, 2023, 5.00 to 1.00 and (B) thereafter, 4.50 to 1.00 or (y) a voluntary or optional payment or prepayment on or redemption or acquisition for value in exchange for, or out of proceeds of, the substantially concurrent issuance (other than to an Affiliate of Crown Holdings) of Capital Stock of Crown Holdings.</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8.12. Limitation on Activities of Crown Holdings, Crown Finance, Crown Finance II and CCSC. Notwithstanding anything to the contrary set forth herein, each of Crown Holdings, Crown International, Crown Finance, Crown Finance II and CCSC, in the case of each of Crown Holdings, Crown International and CCSC, (i) shall not conduct any business or hold or acquire any assets other than (A) immaterial equipment, other intellectual property and other immaterial assets, or (B) the Capital Stock of Borrowers or other Credit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the Capital Stock of Credit Parties other than Borrowers, (1) any Credit Party that is directly owned by Crown Holdings or CCSC must be a holding company and shall have the same restrictions set forth herein as Crown Holdings, Crown International and CCSC (other than restrictions set forth in this clause (1)), and (2) no Credit Party other than Crown Holdings and any successor to CCSC may guaranty the Debentures and (C) cash sufficient to pay amounts owing under its Indebtedness permitted to be incurred hereunder and to pay its ordinary course operating expenses and (ii) shall have no operations other than (A) holding such Capital Stock, (B) in the case of Crown Holdings, holding company activities (including, without limitation, administering employee benefit plans and other holding company activities) reasonably related to being a publicly listed company or having publicly traded securities, (C) in the case of Crown Finance and Crown Finance II, activities directly related to its responsibilities as co-issuer of the Senior Notes and (D) in the case of</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204</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58" w:name="page259"/>
    <w:bookmarkEnd w:id="258"/>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CCSC, activities engaged in as of the Original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Permitted Holding Company Transactions shall be permitted under this </w:t>
      </w:r>
      <w:r>
        <w:rPr>
          <w:rFonts w:ascii="Times New Roman" w:cs="Times New Roman" w:eastAsia="Times New Roman" w:hAnsi="Times New Roman"/>
          <w:sz w:val="20"/>
          <w:szCs w:val="20"/>
          <w:u w:val="single" w:color="auto"/>
          <w:color w:val="auto"/>
        </w:rPr>
        <w:t>Section 8.12</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8.13. Anti-Money Laundering. At all times throughout the term of the Loans, to the knowledge of any Credit Party, based upon reasonable inquiry by such Credit Party, none of the funds of such Credit Party that are used to repay the Loans shall be derived from any unlawful activity, with the result that the investment in the Credit Parties (whether directly or indirectly) is prohibited by law or the Loans would be in violation of law or applicable Sanctions or Anti-Corruption Laws.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8.14. Accounting Changes. The Credit Parties will not, and will not permit any of their Subsidiaries to, make any change in accounting policies affecting the presentation of financial statements or reporting practices from those employed by it on the Original Closing Date, unless (i) such change is required or permitted by GAAP, (ii) such change is disclosed to the Lenders through Administrative Agent or otherwise and (iii) relevant prior financial statements that are affected by such change are restated (in form and detail satisfactory to Administrative Agent) to the extent required by GAAP to show comparative results. If any changes in GAAP or the application thereof from that used in the preparation of the financial statements referred to in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 xml:space="preserve"> hereof occur after the Original Closing Date and such changes or such application result in a material variation in the method of calculation of financial covenants or other terms of this Agreement, then the parties hereto agree to enter into and diligently pursue negotiations in good faith in order to amend such provisions of this Agreement so as to equitably reflect such changes, so that the criteria for evaluating the financial condition and results of operations of Crown Holdings and its Subsidiaries will be the same after such changes as if such changes had not occurred.</w:t>
      </w:r>
    </w:p>
    <w:p>
      <w:pPr>
        <w:spacing w:after="0" w:line="19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8.15.</w:t>
        <w:tab/>
        <w:t>Canadian Defined Benefit Plans. No Canadian Credit Party shall, without prior written consent from the Majority Lenders</w:t>
      </w:r>
    </w:p>
    <w:p>
      <w:pPr>
        <w:spacing w:after="0" w:line="22" w:lineRule="exact"/>
        <w:rPr>
          <w:sz w:val="20"/>
          <w:szCs w:val="20"/>
          <w:color w:val="auto"/>
        </w:rPr>
      </w:pPr>
    </w:p>
    <w:p>
      <w:pPr>
        <w:jc w:val="both"/>
        <w:ind w:firstLine="8"/>
        <w:spacing w:after="0" w:line="249" w:lineRule="auto"/>
        <w:tabs>
          <w:tab w:leader="none" w:pos="28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any plan which would be considered a Canadian Defined Benefit Plan or Multiple Employer Plan once created or commence contributing to or otherwise participate in any plan which would be considered a Canadian Defined Benefit Plan or Multiple Employer Plan after a Canadian Credit Party commenced such contributions or participation; (b) acquire an interest in any Person if such Person sponsors, administers, participates in, or has any liability in respect of, any Canadian Defined Benefit Plan or Multiple Employer Plan, or (c) terminate, or cause to be terminated, any of the Canadian Defined Benefit Plans, if such Canadian Defined Benefit Plan would have a wind up deficiency on termination in an amount that would reasonably be expected to have a Material Adverse Effect.</w:t>
      </w:r>
    </w:p>
    <w:p>
      <w:pPr>
        <w:spacing w:after="0" w:line="19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8.16. Sanctions. Crown Holdings shall not, nor shall it permit any Subsidiary to, directly or indirectly, use the proceeds of any Loan, or lend, contribute or otherwise make available such proceeds to any Subsidiary, joint venture partner or other individual or entity, to fund any activities of or business with any individual or entity, or in any Sanctioned Country, that, at the time of such funding, is the subject of Sanctions, or in any other manner that will result in a violation by any individual or entity (including any individual or entity participating in the transaction, whether as Lender, Arranger, Administrative Agent, Facing Agent, Swing Line Lender, or otherwise) of Sanctions.</w:t>
      </w:r>
    </w:p>
    <w:p>
      <w:pPr>
        <w:spacing w:after="0" w:line="1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9.</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FINANCIAL COVENANT</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From and after the Incremental Amendment No. 3 and Fifth Amendment Effective Date, Crown Holdings hereby agrees, that, so long as (a) any of the Commitments remain in effect, (b) any Loan (other than any Unasserted Contingent Obligations) remains outstanding and unpaid, (c) any Letter of Credit has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59" w:name="page260"/>
    <w:bookmarkEnd w:id="259"/>
    <w:p>
      <w:pPr>
        <w:jc w:val="both"/>
        <w:spacing w:after="0" w:line="253" w:lineRule="auto"/>
        <w:rPr>
          <w:sz w:val="20"/>
          <w:szCs w:val="20"/>
          <w:color w:val="auto"/>
        </w:rPr>
      </w:pPr>
      <w:r>
        <w:rPr>
          <w:rFonts w:ascii="Times New Roman" w:cs="Times New Roman" w:eastAsia="Times New Roman" w:hAnsi="Times New Roman"/>
          <w:sz w:val="20"/>
          <w:szCs w:val="20"/>
          <w:color w:val="auto"/>
        </w:rPr>
        <w:t>not (w) expired, (x) been terminated, (y) been cash collateralized or (z) been backstopped in a manner satisfactory to the relevant Facing Agent in its sole discretion, (d) any Unpaid Drawing remains outstanding and unpaid or (e) any other Obligation (other than any Unasserted Contingent Obligations or obligations and liabilities under any Hedging Agreement) is owing to any Lender or Administrative Agent hereunder, Crown Holdings will not permit or suffer to exist the Total Leverage Ratio for any Test Period set forth below to exceed the ratio set forth opposite such period:</w:t>
      </w:r>
    </w:p>
    <w:p>
      <w:pPr>
        <w:spacing w:after="0" w:line="222" w:lineRule="exact"/>
        <w:rPr>
          <w:sz w:val="20"/>
          <w:szCs w:val="20"/>
          <w:color w:val="auto"/>
        </w:rPr>
      </w:pPr>
    </w:p>
    <w:tbl>
      <w:tblPr>
        <w:tblLayout w:type="fixed"/>
        <w:tblInd w:w="1090" w:type="dxa"/>
        <w:tblCellMar>
          <w:top w:w="0" w:type="dxa"/>
          <w:left w:w="0" w:type="dxa"/>
          <w:bottom w:w="0" w:type="dxa"/>
          <w:right w:w="0" w:type="dxa"/>
        </w:tblCellMar>
      </w:tblPr>
      <w:tr>
        <w:trPr>
          <w:trHeight w:val="216"/>
        </w:trPr>
        <w:tc>
          <w:tcPr>
            <w:tcW w:w="1220" w:type="dxa"/>
            <w:vAlign w:val="bottom"/>
            <w:tcBorders>
              <w:top w:val="single" w:sz="8" w:color="auto"/>
              <w:left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40" w:type="dxa"/>
            <w:vAlign w:val="bottom"/>
            <w:tcBorders>
              <w:top w:val="single" w:sz="8" w:color="auto"/>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20"/>
                <w:szCs w:val="20"/>
                <w:b w:val="1"/>
                <w:bCs w:val="1"/>
                <w:color w:val="auto"/>
              </w:rPr>
              <w:t>Test Period Ended</w:t>
            </w:r>
          </w:p>
        </w:tc>
        <w:tc>
          <w:tcPr>
            <w:tcW w:w="1020" w:type="dxa"/>
            <w:vAlign w:val="bottom"/>
            <w:tcBorders>
              <w:top w:val="single" w:sz="8" w:color="auto"/>
            </w:tcBorders>
          </w:tcPr>
          <w:p>
            <w:pPr>
              <w:spacing w:after="0"/>
              <w:rPr>
                <w:sz w:val="18"/>
                <w:szCs w:val="18"/>
                <w:color w:val="auto"/>
              </w:rPr>
            </w:pPr>
          </w:p>
        </w:tc>
        <w:tc>
          <w:tcPr>
            <w:tcW w:w="1520" w:type="dxa"/>
            <w:vAlign w:val="bottom"/>
            <w:tcBorders>
              <w:top w:val="single" w:sz="8" w:color="auto"/>
              <w:right w:val="single" w:sz="8" w:color="auto"/>
            </w:tcBorders>
            <w:gridSpan w:val="2"/>
          </w:tcPr>
          <w:p>
            <w:pPr>
              <w:jc w:val="center"/>
              <w:ind w:right="1060"/>
              <w:spacing w:after="0" w:line="216" w:lineRule="exact"/>
              <w:rPr>
                <w:sz w:val="20"/>
                <w:szCs w:val="20"/>
                <w:color w:val="auto"/>
              </w:rPr>
            </w:pPr>
            <w:r>
              <w:rPr>
                <w:rFonts w:ascii="Times New Roman" w:cs="Times New Roman" w:eastAsia="Times New Roman" w:hAnsi="Times New Roman"/>
                <w:sz w:val="20"/>
                <w:szCs w:val="20"/>
                <w:b w:val="1"/>
                <w:bCs w:val="1"/>
                <w:color w:val="auto"/>
                <w:w w:val="98"/>
              </w:rPr>
              <w:t>Ratio</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r>
      <w:tr>
        <w:trPr>
          <w:trHeight w:val="250"/>
        </w:trPr>
        <w:tc>
          <w:tcPr>
            <w:tcW w:w="12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99"/>
              </w:rPr>
              <w:t>December 31,</w:t>
            </w:r>
          </w:p>
        </w:tc>
        <w:tc>
          <w:tcPr>
            <w:tcW w:w="408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2020 to September 30, 2023</w:t>
            </w:r>
          </w:p>
        </w:tc>
        <w:tc>
          <w:tcPr>
            <w:tcW w:w="25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5.00 to 1.00</w:t>
            </w:r>
          </w:p>
        </w:tc>
      </w:tr>
      <w:tr>
        <w:trPr>
          <w:trHeight w:val="241"/>
        </w:trPr>
        <w:tc>
          <w:tcPr>
            <w:tcW w:w="12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99"/>
              </w:rPr>
              <w:t>December 31,</w:t>
            </w:r>
          </w:p>
        </w:tc>
        <w:tc>
          <w:tcPr>
            <w:tcW w:w="40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2023 and each</w:t>
            </w:r>
          </w:p>
        </w:tc>
        <w:tc>
          <w:tcPr>
            <w:tcW w:w="25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4.50 to 1.00</w:t>
            </w:r>
          </w:p>
        </w:tc>
      </w:tr>
      <w:tr>
        <w:trPr>
          <w:trHeight w:val="258"/>
        </w:trPr>
        <w:tc>
          <w:tcPr>
            <w:tcW w:w="5300" w:type="dxa"/>
            <w:vAlign w:val="bottom"/>
            <w:tcBorders>
              <w:left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20"/>
                <w:szCs w:val="20"/>
                <w:color w:val="auto"/>
              </w:rPr>
              <w:t>Fiscal Quarter thereafter</w:t>
            </w: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r>
      <w:tr>
        <w:trPr>
          <w:trHeight w:val="21"/>
        </w:trPr>
        <w:tc>
          <w:tcPr>
            <w:tcW w:w="122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foregoing, upon the consummation of a Material Acquisition and until the end of the fourth full fiscal quarter thereafter (the “</w:t>
      </w:r>
      <w:r>
        <w:rPr>
          <w:rFonts w:ascii="Times New Roman" w:cs="Times New Roman" w:eastAsia="Times New Roman" w:hAnsi="Times New Roman"/>
          <w:sz w:val="20"/>
          <w:szCs w:val="20"/>
          <w:u w:val="single" w:color="auto"/>
          <w:color w:val="auto"/>
        </w:rPr>
        <w:t>Increase Period</w:t>
      </w:r>
      <w:r>
        <w:rPr>
          <w:rFonts w:ascii="Times New Roman" w:cs="Times New Roman" w:eastAsia="Times New Roman" w:hAnsi="Times New Roman"/>
          <w:sz w:val="20"/>
          <w:szCs w:val="20"/>
          <w:color w:val="auto"/>
        </w:rPr>
        <w:t>”), the maximum permitted Total Leverage Ratio shall be increased by 0.50 to 1.00 (the “</w:t>
      </w:r>
      <w:r>
        <w:rPr>
          <w:rFonts w:ascii="Times New Roman" w:cs="Times New Roman" w:eastAsia="Times New Roman" w:hAnsi="Times New Roman"/>
          <w:sz w:val="20"/>
          <w:szCs w:val="20"/>
          <w:u w:val="single" w:color="auto"/>
          <w:color w:val="auto"/>
        </w:rPr>
        <w:t>Step-Up</w:t>
      </w:r>
      <w:r>
        <w:rPr>
          <w:rFonts w:ascii="Times New Roman" w:cs="Times New Roman" w:eastAsia="Times New Roman" w:hAnsi="Times New Roman"/>
          <w:sz w:val="20"/>
          <w:szCs w:val="20"/>
          <w:color w:val="auto"/>
        </w:rPr>
        <w:t xml:space="preserve">”) during such Increase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Increase Period may not immediately follow another Increase Period (that is, following an Increase Period, there shall be at least one fiscal quarter as of the end of which the maximum Total Leverage Ratio has been complied with without giving effect to the Step-Up).</w:t>
      </w:r>
    </w:p>
    <w:p>
      <w:pPr>
        <w:spacing w:after="0" w:line="18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10.</w:t>
      </w:r>
    </w:p>
    <w:p>
      <w:pPr>
        <w:spacing w:after="0" w:line="2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207"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10.1. Listing of Events of Default. Each of the following events or occurrences described in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shall constitute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from and after the Incremental Amendment No. 3 and Fifth Amendment Effective Date for purposes of this Agreement:</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Failure to Make Payments When Due</w:t>
      </w:r>
      <w:r>
        <w:rPr>
          <w:rFonts w:ascii="Times New Roman" w:cs="Times New Roman" w:eastAsia="Times New Roman" w:hAnsi="Times New Roman"/>
          <w:sz w:val="20"/>
          <w:szCs w:val="20"/>
          <w:color w:val="auto"/>
        </w:rPr>
        <w:t>. Any Borrower shall default or fail (i) in the payment when due of any principal of any Loan (including, without limitation, on any Scheduled Term Repayment date), the face amount of any B/A Loan, or any reimbursement obligation in respect of any Letter of Credit, (ii) in the payment when due of any interest on any Loan (and such default shall continue unremedied for a period of five (5) Business Days), or (iii) in the payment when due of any fee described or other amount that by its terms is due and payable hereunder or under any Loan Document and previously invoiced amount (other than an amount described in the foregoing clauses (i) and (ii)) payable under this Agreement or any other Loan Document (and such default shall continue unremedied for a period of five (5) Business Days).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or warranty made by any Credit Party hereunder or in any other Loan Document or certificate furnished by or on behalf of any Credit Party to Administrative Agent, U.K. Administrative Agent, any Collateral Agent, any Facing Agent or any Lender in connection with this Agreement or any such other Loan Document shall have been incorrect in any material respect on the date as of when made, subject to a thirty (30) day grace period in the case of any misrepresentation that is capable of being cured.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Certain Covenants</w:t>
      </w:r>
      <w:r>
        <w:rPr>
          <w:rFonts w:ascii="Times New Roman" w:cs="Times New Roman" w:eastAsia="Times New Roman" w:hAnsi="Times New Roman"/>
          <w:sz w:val="20"/>
          <w:szCs w:val="20"/>
          <w:color w:val="auto"/>
        </w:rPr>
        <w:t xml:space="preserve">. Any Credit Party shall default in the due performance and observance of any of its obligations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(with respect to the maintenance and preservation of any Parent Guarantor’s or any Borrower’s legal existence),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206</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60" w:name="page261"/>
    <w:bookmarkEnd w:id="260"/>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Other Covenants, Default Under Other Loan Documents</w:t>
      </w:r>
      <w:r>
        <w:rPr>
          <w:rFonts w:ascii="Times New Roman" w:cs="Times New Roman" w:eastAsia="Times New Roman" w:hAnsi="Times New Roman"/>
          <w:sz w:val="20"/>
          <w:szCs w:val="20"/>
          <w:color w:val="auto"/>
        </w:rPr>
        <w:t>. Any Credit Party shall default in the due performance and observance of any agreement (other than those specified in paragraphs (a) through (c) above) contained herein or in any other Loan Document, and such default shall continue unremedied or unwaived for a period of thirty (30) days after written notice given to Crown Holdings by Administrative Agent (including through the instruction of any Lender).</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Default Under Other Agreements</w:t>
      </w:r>
      <w:r>
        <w:rPr>
          <w:rFonts w:ascii="Times New Roman" w:cs="Times New Roman" w:eastAsia="Times New Roman" w:hAnsi="Times New Roman"/>
          <w:sz w:val="20"/>
          <w:szCs w:val="20"/>
          <w:color w:val="auto"/>
        </w:rPr>
        <w:t xml:space="preserve">. Any Credit Party shall default (i) in the payment when due (subject to any applicable grace period), whether by acceleration or otherwise, of any Material Indebtedness or (ii) in the performance or observance of any obligation or condition with respect to any Material Indebtedness if the effect of such default referred to in this clause (ii) is to accelerate the maturity of any such Material Indebtedness or is to enable or permit (with or without the giving of notice, the lapse of time or both) the holder or holders of any such Material Indebtedness or any trustee or agent on its or their behalf to cause any such Material Indebtedness to become due, or to require the prepayment, repurchase, redemption or defeasance thereof, prior to its stated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clause (e)(ii) shall not apply to Secured Indebtedness that becomes due as a result of the permitted voluntary sale or permitted transfer of the property or assets securing such Indebtedness.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10.1.6. J</w:t>
      </w:r>
      <w:r>
        <w:rPr>
          <w:rFonts w:ascii="Times New Roman" w:cs="Times New Roman" w:eastAsia="Times New Roman" w:hAnsi="Times New Roman"/>
          <w:sz w:val="20"/>
          <w:szCs w:val="20"/>
          <w:u w:val="single" w:color="auto"/>
          <w:color w:val="auto"/>
        </w:rPr>
        <w:t>udgments</w:t>
      </w:r>
      <w:r>
        <w:rPr>
          <w:rFonts w:ascii="Times New Roman" w:cs="Times New Roman" w:eastAsia="Times New Roman" w:hAnsi="Times New Roman"/>
          <w:sz w:val="20"/>
          <w:szCs w:val="20"/>
          <w:color w:val="auto"/>
        </w:rPr>
        <w:t>. Any judgment or order (or combination of judgments and orders) for the payment of money (to the extent not paid or covered by insurance) equal to or in excess of $250,000,000 individually or in the aggregate shall be rendered against any Credit Party (or any combination thereof) and (i) enforcement proceedings shall have been commenced by any creditor upon such judgment or order and not stayed; (ii) such judgment has not been stayed, bonded, vacated, satisfied or discharged within sixty (60) days of entry; or (iii) there shall be any period (after any applicable statutory grace period) of ten (10) consecutive days during which a stay of enforcement of such judgment or order, by reason of a pending appeal or otherwise, shall not be in effect.</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 Either (i) with respect to any Pension Plan: (A) a Termination Event shall have occurred or (B) any Credit Party, any of its Subsidiaries or any ERISA Affiliate fails to make a minimum required contribution required under Code Section 430(j) to any Pension Plan by the due date for such contribution, if, as a result of such events listed in subclauses (A) and (B) of this clause (i), a Credit Party or any ERISA Affiliate could be required to make a contribution to such Pension Plan, or would reasonably expect to incur a liability or obligation to such Pension Plan, in excess of $250,000,000; or (ii) with respect to any Foreign Plan, (A) a Termination Event or Canadian Pension Termination Event or any noncompliance with respect to Foreign Plans shall have occurred or (B) any Foreign Plan that is required by applicable law to be funded in a trust or other funding vehicle has failed to comply with such funding requirements, if as a result of such events listed in subclauses (A) and (B) of this clause (ii) when taken together with all other Termination Events and Canadian Pension Termination Events or any other noncompliance with respect to Foreign Plans that have occurred, would reasonably be expected to have a Material Adverse Effect.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10.1.8. </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Any Change of Control shall occur.</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10.1.9. </w:t>
      </w:r>
      <w:r>
        <w:rPr>
          <w:rFonts w:ascii="Times New Roman" w:cs="Times New Roman" w:eastAsia="Times New Roman" w:hAnsi="Times New Roman"/>
          <w:sz w:val="20"/>
          <w:szCs w:val="20"/>
          <w:u w:val="single" w:color="auto"/>
          <w:color w:val="auto"/>
        </w:rPr>
        <w:t>Insolvency</w:t>
      </w:r>
      <w:r>
        <w:rPr>
          <w:rFonts w:ascii="Times New Roman" w:cs="Times New Roman" w:eastAsia="Times New Roman" w:hAnsi="Times New Roman"/>
          <w:sz w:val="20"/>
          <w:szCs w:val="20"/>
          <w:color w:val="auto"/>
        </w:rPr>
        <w:t>. Any Credit Party or any of its Material Subsidiaries shall: (i) become insolvent or generally fail to pay debts as they become due; (ii) voluntarily apply for, consent to, or acquiesce in, the appointment of a trustee, Receiver, administrator, sequestrator or other custodian for such Credit Party or any of such Subsidiaries or substantially all of the property of any thereof, or make a general assignment for the benefit of creditors; (iii) in the absence of such voluntary application, consent or acquiescence, permit or suffer to exist the appointment of a trustee, Receiver, administrator, sequestrator or other custodian for any Credit Party or any of such Material Subsidiaries or for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61" w:name="page262"/>
    <w:bookmarkEnd w:id="261"/>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substantial part of the property of any thereof, and such trustee, receiver, sequestrator or other custodian shall not be discharged or stayed within sixty (60)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Credit Party and each such Material Subsidiary hereby expressly authorize Administrative Agent and each Lender to appear in any court conducting any relevant proceeding during such sixty (60) day period to preserve, protect and defend their rights under the Loan Documents; (iv) permit or suffer to exist the commencement of any Insolvency Proceeding, bankruptcy, reorganization, administration, debt arrangement or other case or proceeding under any bankruptcy or insolvency law, or any dissolution, winding up or liquidation proceeding, in respect of any Credit Party or any such Material Subsidiary, and, if any such case or proceeding is not commenced by any Credit Party or such Material Subsidiary, such case or proceeding shall be consented to or acquiesced in by any Credit Party or such Material Subsidiary or shall result in the entry of an order for relief or shall remain for sixty (60) days undismissed, unbonded, unvacated, unsatisfied, undischarged and unstayed,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Credit Party and each such Material Subsidiary hereby expressly authorize Administrative Agent and each Lender to appear in any court conducting any such case or proceeding during such sixty</w:t>
      </w:r>
    </w:p>
    <w:p>
      <w:pPr>
        <w:spacing w:after="0" w:line="5" w:lineRule="exact"/>
        <w:rPr>
          <w:sz w:val="20"/>
          <w:szCs w:val="20"/>
          <w:color w:val="auto"/>
        </w:rPr>
      </w:pPr>
    </w:p>
    <w:p>
      <w:pPr>
        <w:ind w:firstLine="8"/>
        <w:spacing w:after="0" w:line="267" w:lineRule="auto"/>
        <w:tabs>
          <w:tab w:leader="none" w:pos="39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 period to preserve, protect and defend their rights under the Loan Documents; or (v) take any corporate or partnership action (or comparable action, in the case of any other form of legal entity) authorizing, or in furtherance of, any of the foregoing.</w:t>
      </w:r>
    </w:p>
    <w:p>
      <w:pPr>
        <w:spacing w:after="0" w:line="16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10.1.10.</w:t>
      </w:r>
      <w:r>
        <w:rPr>
          <w:rFonts w:ascii="Times New Roman" w:cs="Times New Roman" w:eastAsia="Times New Roman" w:hAnsi="Times New Roman"/>
          <w:sz w:val="20"/>
          <w:szCs w:val="20"/>
          <w:u w:val="single" w:color="auto"/>
          <w:color w:val="auto"/>
        </w:rPr>
        <w:t>Guaranties</w:t>
      </w:r>
      <w:r>
        <w:rPr>
          <w:rFonts w:ascii="Times New Roman" w:cs="Times New Roman" w:eastAsia="Times New Roman" w:hAnsi="Times New Roman"/>
          <w:sz w:val="20"/>
          <w:szCs w:val="20"/>
          <w:color w:val="auto"/>
        </w:rPr>
        <w:t xml:space="preserve">. Other than as a result of any release of the guaranty in accordance with the terms of this Agreement or any Guarantee Agreement, obligations of any Guarantor under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or the obligations of U.S. Borrower or any other Subsidiary Credit Party under the Guarantee Agreements shall (other than as a result of the actions taken by the Administrative Agent or the Lenders to release such guaranty) cease to be in full force and effect in accordance with its terms or, except as otherwise permitted under this Agreement, any Guarantor required to be a Guarantor thereunder shall repudiate its obligations thereunder.</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10.1.11.</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Any Lien purported to be created under any Security Document shall fail or cease to be (other than by termination of such Security Document in accordance with the terms hereof or thereof), or shall be asserted by any Credit Party not to be, a valid and perfected Lien on any Collateral individually or in the aggregate having a fair market value in excess of $150,000,000, except as a result of (i) the Collateral Agents’ failure to take any action required to establish or maintain perfection (x) reasonably requested by any Borrower in order to maintain a valid and perfected Lien on any Collateral or (y) within the Collateral Agent’s control and customarily performed by the Collateral Agent, (ii) any action taken by the Collateral Agents to release any Lien on any Collateral in accordance with the terms of this Agreement and any Receivables Intercreditor Agreement, if applicable, or (iii) any automatic or other release of any Lien on any Collateral in accordance with the terms of this Agreement and any Receivables Intercreditor Agreement, if applicable.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10.2. Action if Bankruptcy. If any Event of Default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shall occur with respect to any Parent Guarantor or any Borrower, the Commitments (if not theretofore terminated) shall automatically terminate and the outstanding principal amount of all outstanding Loans and all other Obligations shall automatically be and become immediately due and payable, without notice or demand, all of which are hereby waived by Borrowers.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10.3.</w:t>
        <w:tab/>
        <w:t xml:space="preserve">Action if Other Event of Default. If any Event of Default (other than any Event of Default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w:t>
      </w:r>
    </w:p>
    <w:p>
      <w:pPr>
        <w:spacing w:after="0" w:line="28" w:lineRule="exact"/>
        <w:rPr>
          <w:sz w:val="20"/>
          <w:szCs w:val="20"/>
          <w:color w:val="auto"/>
        </w:rPr>
      </w:pPr>
    </w:p>
    <w:p>
      <w:pPr>
        <w:jc w:val="both"/>
        <w:ind w:firstLine="8"/>
        <w:spacing w:after="0" w:line="246" w:lineRule="auto"/>
        <w:tabs>
          <w:tab w:leader="none" w:pos="294" w:val="left"/>
        </w:tabs>
        <w:numPr>
          <w:ilvl w:val="0"/>
          <w:numId w:val="1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with respect to any Parent Guarantor or any Borrower) shall occur for any reason, whether voluntary or involuntary, and be continuing, Administrative Agent, upon the direction of the Required Lenders, shall by written notice to Borrowers and each Lender</w:t>
      </w:r>
    </w:p>
    <w:p>
      <w:pPr>
        <w:spacing w:after="0" w:line="1" w:lineRule="exact"/>
        <w:rPr>
          <w:rFonts w:ascii="Times New Roman" w:cs="Times New Roman" w:eastAsia="Times New Roman" w:hAnsi="Times New Roman"/>
          <w:sz w:val="20"/>
          <w:szCs w:val="20"/>
          <w:u w:val="single" w:color="auto"/>
          <w:color w:val="auto"/>
        </w:rPr>
      </w:pPr>
    </w:p>
    <w:p>
      <w:pPr>
        <w:ind w:firstLine="8"/>
        <w:spacing w:after="0" w:line="267" w:lineRule="auto"/>
        <w:tabs>
          <w:tab w:leader="none" w:pos="29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all or any portion of the outstanding principal amount of the Loans and other Obligations to be due and payable and/or the Commitments to be terminated, whereupon the full unpaid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208</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62" w:name="page263"/>
    <w:bookmarkEnd w:id="262"/>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amount of such Loans and other Obligations which shall be so declared due and payable shall be and become immediately due and payable, without further notice, demand or presentment, and/or, as the case may be, the Commitments shall terminate or (b) direct Borrowers to pay (and each Borrower agrees that upon receipt of such notice, or immediately and automatically upon the occurrence and during the continuance of any Event of Default specified in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with respect to such Borrower it will pay) to Administrative Agent at the Payment Office such additional amount of cash, to be held as security by Administrative Agent for the benefit of the Secured Creditors, as is equal to the sum of (a) the aggregate Stated Amount of all Letters of Credit issued for the account of Crown Holdings and its Subsidiaries and then outstanding and (b) the aggregate amount of all Unpaid Drawings,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such time as (y) no Event of Default shall be continuing or (z) this Agreement shall have terminated in accordance with </w:t>
      </w:r>
      <w:r>
        <w:rPr>
          <w:rFonts w:ascii="Times New Roman" w:cs="Times New Roman" w:eastAsia="Times New Roman" w:hAnsi="Times New Roman"/>
          <w:sz w:val="20"/>
          <w:szCs w:val="20"/>
          <w:u w:val="single" w:color="auto"/>
          <w:color w:val="auto"/>
        </w:rPr>
        <w:t>Section 12.15</w:t>
      </w:r>
      <w:r>
        <w:rPr>
          <w:rFonts w:ascii="Times New Roman" w:cs="Times New Roman" w:eastAsia="Times New Roman" w:hAnsi="Times New Roman"/>
          <w:sz w:val="20"/>
          <w:szCs w:val="20"/>
          <w:color w:val="auto"/>
        </w:rPr>
        <w:t xml:space="preserve">, the balance, if any, of the amount held pursuant to this clause (b) shall be returned to the Borrowers and (c) enforce, or cause the U.S. Collateral Agent and Euro Collateral Agent to enforce, the Guarantee Agreement, the provisions of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and all of the Liens and security interests created pursuant to the Security Documents in accordance with their terms.</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[Reserved].</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10.5. Rights Not Exclusive.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(including, without limitation,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hereof), all payments and proceeds (including the proceeds of any Asset Disposition or other sale of, or other realization upon, all or any part of the U.S. Collateral) received after acceleration of the Obligations in respect of any sale of, collection from, or realization upon all or any part of the U.S. Collateral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pro rata, to all fees, costs and expenses incurred by or owing to Administrative Agent, Collateral Agents and any Lender with respect to this Agreement, the other Loan Documents or the Collateral;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pro rata, to accrued and unpaid interest on the Obligations (including any interest which but for the provisions of the Bankruptcy Code, would have accrued on such amounts);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principal amount of or any other portions of, the Obligations outstanding (including without limitation, any Bank Related Debt) and to cash collateralize outstanding Letters of Credit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among all such Obligations based upon the principal amount thereof or the outstanding face amount of such Letters of Credit, as applicable, and with respect to amounts applied to Term Loans,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(including, without limitation,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hereof), all payments and proceeds (including the proceeds of any Asset Disposition or other sale of, or other realization upon, all or any part of the Euro Collateral) received after acceleration of the Obligations in respect of any sale of, collection from, or realization upon all or any part of the Euro Collateral shall be applied: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all fees, costs and expenses incurred by or owing to Administrative Agent, Collateral Agents and any Lender with respect to this Agreement, the other Loan Documents or the Collateral;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accrued and unpaid interest on the Foreign Obligations (including any interest which but for the provisions of the Bankruptcy Code, would have accrued on such amounts);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principal amount of the Foreign Obligations outstanding and to cash collateralize outstanding Letters of Credit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among all such Foreign Obligations based upon the principal amount thereof or the outstanding face amount of such Letters of Credit, as applicable, and with respect to amounts applied to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63" w:name="page264"/>
    <w:bookmarkEnd w:id="263"/>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Term Loans,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among all remaining Scheduled Term Repayments thereof). Any balance remaining shall be delivered to Borrower or to whomever may be lawfully entitled to receive such balance or as a court of competent jurisdiction may direct.</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Excluded Swap Obligations with respect to any Guarantor shall not be paid with amounts received from such Guarantor or its assets, but appropriate adjustments shall be made with respect to payments from other Credit Parties to preserve the allocation to Obligations otherwise set forth above in this Section.</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It is understood and agreed that (i) no payments from the proceeds of Euro Collateral shall be applied to pay any U.S. Obligations and (ii) no Euro Credit Party shall be liable to pay or otherwise be liable, in whole or in part, for principal, interest, fees and other obligations of the U.S. Borrower or any U.S. Credit Party (including all U.S. Obligations) as a result of the exercise of remedies by the Agents and the Lenders under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or otherwise.</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Anything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to the contrary notwithstanding, Administrative Agent shall, at the request of the Required Lenders, rescind and annul any acceleration of the Loans by written instrument filed with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such acceleration is so rescinded and annulled: (A) all past due interest and principal, if any, on the Loans and all other sums payable under this Agreement and the other Loan Documents shall have been duly paid, and (B) no other Event of Default shall have occurred and be continuing which shall not have been waived in accordance with the provision of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hereof.</w:t>
      </w:r>
    </w:p>
    <w:p>
      <w:pPr>
        <w:spacing w:after="0" w:line="16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b w:val="1"/>
          <w:bCs w:val="1"/>
          <w:color w:val="auto"/>
        </w:rPr>
        <w:t>11.</w:t>
      </w:r>
    </w:p>
    <w:p>
      <w:pPr>
        <w:spacing w:after="0" w:line="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THE AGENTS</w:t>
      </w:r>
    </w:p>
    <w:p>
      <w:pPr>
        <w:spacing w:after="0" w:line="21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Appointment.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11.1.1. Each of the Lenders hereby (i) appoints DB and Deutsche Bank AG London Branch, as applicable, to act on its behalf as Administrative Agent and U.K. Administrative Agent hereunder, as U.S. Collateral Agent under all U.S. Security Documents and as Euro Collateral Agent (including, without limitation, in its capacity as security trustee under documents governed by the law of England) under all Euro Security Documents (such appointment being made, as regards any Euro Security Document governed by French law, </w:t>
      </w:r>
      <w:r>
        <w:rPr>
          <w:rFonts w:ascii="Times New Roman" w:cs="Times New Roman" w:eastAsia="Times New Roman" w:hAnsi="Times New Roman"/>
          <w:sz w:val="20"/>
          <w:szCs w:val="20"/>
          <w:i w:val="1"/>
          <w:iCs w:val="1"/>
          <w:color w:val="auto"/>
        </w:rPr>
        <w:t>agent de sûretés</w:t>
      </w:r>
      <w:r>
        <w:rPr>
          <w:rFonts w:ascii="Times New Roman" w:cs="Times New Roman" w:eastAsia="Times New Roman" w:hAnsi="Times New Roman"/>
          <w:sz w:val="20"/>
          <w:szCs w:val="20"/>
          <w:color w:val="auto"/>
        </w:rPr>
        <w:t xml:space="preserve"> to act in accordance with the provisions of Article 2328-1 of the French Civil Code) and (ii) appoints Deutsche Bank AG Canada Branch to act on its behalf as Canadian Administrative Agent (for purposes of this Agreement, the term “Administrative Agent” shall include DB in its capacity as U.S. Collateral Agent and as Euro Collateral Agent pursuant to the Security Documents, the U.K. Administrative Agent and the Canadian Administrative Agent, as applicable) to act as herein specified herein and in the other Loan Documents. Each Lender hereby irrevocably authorizes and each holder of any Note by the acceptance of such Note shall be deemed to irrevocably authorize Administrative Agent, U.K. Administrative Agent, Canadian Administrative Agent, U.S. Collateral Agent and Euro Collateral Agent to take such action on its behalf under the provisions hereof, the other Loan Documents (including, without limitation, to give notices and take such actions on behalf of the Required Lenders as are consented to in writing by the Required Lenders) and any other instruments, documents and agreements referred to herein or therein and to exercise such powers hereunder and thereunder as are specifically delegated to Administrative Agent, Canadian Administrative Agent, U.K. Administrative Agent, U.S. Collateral Agent or Euro Collateral Agent by the terms hereof and thereof and such other powers as are reasonably incidental thereto. Each Agent may perform any of its duties hereunder and under the other Loan Documents, by or through its officers, directors, agents, employees or affiliates.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64" w:name="page265"/>
    <w:bookmarkEnd w:id="26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Each Agent may perform any of its duties hereunder and under the other Loan Documents, by or through its officers, directors, agents, employees or affiliates. The provisions of this Article are solely for the benefit of the Administrative Agent and the Lenders, and no Credit Party shall have rights as a third party beneficiary of any of such provisions. For the purposes of </w:t>
      </w:r>
      <w:r>
        <w:rPr>
          <w:rFonts w:ascii="Times New Roman" w:cs="Times New Roman" w:eastAsia="Times New Roman" w:hAnsi="Times New Roman"/>
          <w:sz w:val="20"/>
          <w:szCs w:val="20"/>
          <w:u w:val="single" w:color="auto"/>
          <w:color w:val="auto"/>
        </w:rPr>
        <w:t>Sections 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12.17</w:t>
      </w:r>
      <w:r>
        <w:rPr>
          <w:rFonts w:ascii="Times New Roman" w:cs="Times New Roman" w:eastAsia="Times New Roman" w:hAnsi="Times New Roman"/>
          <w:sz w:val="20"/>
          <w:szCs w:val="20"/>
          <w:color w:val="auto"/>
        </w:rPr>
        <w:t xml:space="preserve"> each Lender hereby relieves the Euro Collateral Agent from the restrictions on self-dealing and multiple representation pursuant to Section 181 of the German Civil Code (</w:t>
      </w:r>
      <w:r>
        <w:rPr>
          <w:rFonts w:ascii="Times New Roman" w:cs="Times New Roman" w:eastAsia="Times New Roman" w:hAnsi="Times New Roman"/>
          <w:sz w:val="20"/>
          <w:szCs w:val="20"/>
          <w:i w:val="1"/>
          <w:iCs w:val="1"/>
          <w:color w:val="auto"/>
        </w:rPr>
        <w:t>Bürgerliches Gesetzbuch</w:t>
      </w:r>
      <w:r>
        <w:rPr>
          <w:rFonts w:ascii="Times New Roman" w:cs="Times New Roman" w:eastAsia="Times New Roman" w:hAnsi="Times New Roman"/>
          <w:sz w:val="20"/>
          <w:szCs w:val="20"/>
          <w:color w:val="auto"/>
        </w:rPr>
        <w:t>) and similar restrictions applicable to it pursuant to any other applicable law, in each case to the extent legally possible to such Lender. A Lender which is barred by its constitutional documents, by-laws or bank policies from granting such exemption shall notify the Euro Collateral Agent accordingly.</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11.1.2. Each Lender hereby authorizes the Collateral Agents to enter into the Receivables Intercreditor Agreement and each Security Document on behalf of such Lender and to exercise its rights and perform its obligations thereunder. Each of the Collateral Agents, acting alone, is hereby authorized and appointed as the Person holding the power of attorney (“</w:t>
      </w:r>
      <w:r>
        <w:rPr>
          <w:rFonts w:ascii="Times New Roman" w:cs="Times New Roman" w:eastAsia="Times New Roman" w:hAnsi="Times New Roman"/>
          <w:sz w:val="19"/>
          <w:szCs w:val="19"/>
          <w:u w:val="single" w:color="auto"/>
          <w:color w:val="auto"/>
        </w:rPr>
        <w:t>fondé de pouvoir</w:t>
      </w:r>
      <w:r>
        <w:rPr>
          <w:rFonts w:ascii="Times New Roman" w:cs="Times New Roman" w:eastAsia="Times New Roman" w:hAnsi="Times New Roman"/>
          <w:sz w:val="19"/>
          <w:szCs w:val="19"/>
          <w:color w:val="auto"/>
        </w:rPr>
        <w:t xml:space="preserve">”) within the meaning of Article 2692 of the Civil Code of Quebec for the purposes of holding any hypothec to be granted by each of CROWN Metal Packaging Canada LP, CROWN Metal Packaging Canada Inc., 3079939 Nova Scotia Company/3079939 Compagnie de la Nouvelle Ecosse or any other Credit Party as security for any debenture, bond or other title of indebtedness that may be issued by any Credit Party pursuant to a deed of hypothec and to exercise such rights and duties as are conferred upon a </w:t>
      </w:r>
      <w:r>
        <w:rPr>
          <w:rFonts w:ascii="Times New Roman" w:cs="Times New Roman" w:eastAsia="Times New Roman" w:hAnsi="Times New Roman"/>
          <w:sz w:val="19"/>
          <w:szCs w:val="19"/>
          <w:i w:val="1"/>
          <w:iCs w:val="1"/>
          <w:color w:val="auto"/>
        </w:rPr>
        <w:t>fondé de pouvoir</w:t>
      </w:r>
      <w:r>
        <w:rPr>
          <w:rFonts w:ascii="Times New Roman" w:cs="Times New Roman" w:eastAsia="Times New Roman" w:hAnsi="Times New Roman"/>
          <w:sz w:val="19"/>
          <w:szCs w:val="19"/>
          <w:color w:val="auto"/>
        </w:rPr>
        <w:t xml:space="preserve"> under the relevant deed of hypothec and applicable laws (with the power to delegate any such rights or duties). Moreover, in respect of any pledge by any Credit Party of any such debenture, bond or other title of indebtedness as security for any of the Obligations and any other obligations, including those arising under the Loan Documents, the Bank Related Hedging Agreements and the Bank Related Cash Management Agreements, each Collateral Agent shall also be authorized to hold such debenture, bond or other title of indebtedness as agent, mandatary and pledgee for its own account and for the benefit of the Administrative Agent, the U.K. Administrative Agent, the Collateral Agents, the Canadian Administrative Agent, the Lenders (including any Lenders of (i) Additional Term Loans and (ii) Loans pursuant to an Additional Facility) and Hedge Banks, if any, the whole notwithstanding the provisions of Section 32 of </w:t>
      </w:r>
      <w:r>
        <w:rPr>
          <w:rFonts w:ascii="Times New Roman" w:cs="Times New Roman" w:eastAsia="Times New Roman" w:hAnsi="Times New Roman"/>
          <w:sz w:val="19"/>
          <w:szCs w:val="19"/>
          <w:i w:val="1"/>
          <w:iCs w:val="1"/>
          <w:color w:val="auto"/>
        </w:rPr>
        <w:t>An Act respecting the Special Powers of Legal Persons</w:t>
      </w:r>
      <w:r>
        <w:rPr>
          <w:rFonts w:ascii="Times New Roman" w:cs="Times New Roman" w:eastAsia="Times New Roman" w:hAnsi="Times New Roman"/>
          <w:sz w:val="19"/>
          <w:szCs w:val="19"/>
          <w:color w:val="auto"/>
        </w:rPr>
        <w:t xml:space="preserve"> (Quebec). Any person who becomes a Secured Creditor or successor Collateral Agent shall be deemed to have consented to and ratified the foregoing appointment of each Collateral Agent as </w:t>
      </w:r>
      <w:r>
        <w:rPr>
          <w:rFonts w:ascii="Times New Roman" w:cs="Times New Roman" w:eastAsia="Times New Roman" w:hAnsi="Times New Roman"/>
          <w:sz w:val="19"/>
          <w:szCs w:val="19"/>
          <w:i w:val="1"/>
          <w:iCs w:val="1"/>
          <w:color w:val="auto"/>
        </w:rPr>
        <w:t>fondé de pouvoir</w:t>
      </w:r>
      <w:r>
        <w:rPr>
          <w:rFonts w:ascii="Times New Roman" w:cs="Times New Roman" w:eastAsia="Times New Roman" w:hAnsi="Times New Roman"/>
          <w:sz w:val="19"/>
          <w:szCs w:val="19"/>
          <w:color w:val="auto"/>
        </w:rPr>
        <w:t>, agent and mandatary on behalf of all the Secured Creditors, including such person designated above as a Secured Creditor. For greater certainty, each Collateral Agent, acting as the holder of an irrevocable power of attorney (</w:t>
      </w:r>
      <w:r>
        <w:rPr>
          <w:rFonts w:ascii="Times New Roman" w:cs="Times New Roman" w:eastAsia="Times New Roman" w:hAnsi="Times New Roman"/>
          <w:sz w:val="19"/>
          <w:szCs w:val="19"/>
          <w:i w:val="1"/>
          <w:iCs w:val="1"/>
          <w:color w:val="auto"/>
        </w:rPr>
        <w:t>fondé de pouvoir</w:t>
      </w:r>
      <w:r>
        <w:rPr>
          <w:rFonts w:ascii="Times New Roman" w:cs="Times New Roman" w:eastAsia="Times New Roman" w:hAnsi="Times New Roman"/>
          <w:sz w:val="19"/>
          <w:szCs w:val="19"/>
          <w:color w:val="auto"/>
        </w:rPr>
        <w:t xml:space="preserve">), shall have the same rights, powers, immunities, indemnities and exclusions from liability as are prescribed in favour of the Collateral Agents in this Agreement, which shall apply </w:t>
      </w:r>
      <w:r>
        <w:rPr>
          <w:rFonts w:ascii="Times New Roman" w:cs="Times New Roman" w:eastAsia="Times New Roman" w:hAnsi="Times New Roman"/>
          <w:sz w:val="19"/>
          <w:szCs w:val="19"/>
          <w:i w:val="1"/>
          <w:iCs w:val="1"/>
          <w:color w:val="auto"/>
        </w:rPr>
        <w:t>mutatis mutandis</w:t>
      </w:r>
      <w:r>
        <w:rPr>
          <w:rFonts w:ascii="Times New Roman" w:cs="Times New Roman" w:eastAsia="Times New Roman" w:hAnsi="Times New Roman"/>
          <w:sz w:val="19"/>
          <w:szCs w:val="19"/>
          <w:color w:val="auto"/>
        </w:rPr>
        <w:t>. In the event of the resignation and appointment of a successor Collateral Agent, such successor Collateral Agent shall also be authorized to act as the holder of an irrevocable power of attorney (</w:t>
      </w:r>
      <w:r>
        <w:rPr>
          <w:rFonts w:ascii="Times New Roman" w:cs="Times New Roman" w:eastAsia="Times New Roman" w:hAnsi="Times New Roman"/>
          <w:sz w:val="19"/>
          <w:szCs w:val="19"/>
          <w:i w:val="1"/>
          <w:iCs w:val="1"/>
          <w:color w:val="auto"/>
        </w:rPr>
        <w:t>fondé de pouvoir</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11.2. The Administrative Agent in Its Individual Capacity. With respect to its obligation to make Loans under this Agreement, the Administrative Agent shall have the rights and powers specified herein for a “Lender” and may exercise the same rights and powers as though it were not performing the duties specified herein; and the term “Lender,” “Required Lenders” or any similar terms shall, unless the context clearly indicates otherwise, include the Administrative Agent in its respective individual capacities. The Administrative Agent and its affiliates may accept deposits from, lend money to, and generally engage in any kind of banking, investment banking, trust or other business with, or provide debt financing, equity capital or other services (including financial advisory services) to any Credit Party or any Affiliate of any Credit Party (or any Person engaged in a similar business with any Credit Party or any Affiliate thereof) as if they were not performing the duties specified herein, and may accept fees and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65" w:name="page266"/>
    <w:bookmarkEnd w:id="265"/>
    <w:p>
      <w:pPr>
        <w:jc w:val="both"/>
        <w:spacing w:after="0" w:line="283" w:lineRule="auto"/>
        <w:rPr>
          <w:sz w:val="20"/>
          <w:szCs w:val="20"/>
          <w:color w:val="auto"/>
        </w:rPr>
      </w:pPr>
      <w:r>
        <w:rPr>
          <w:rFonts w:ascii="Times New Roman" w:cs="Times New Roman" w:eastAsia="Times New Roman" w:hAnsi="Times New Roman"/>
          <w:sz w:val="20"/>
          <w:szCs w:val="20"/>
          <w:color w:val="auto"/>
        </w:rPr>
        <w:t>other consideration from any Credit Party or any Affiliate of any Credit Party for services in connection with this Agreement and otherwise without having to account for the same to the Lenders.</w:t>
      </w:r>
    </w:p>
    <w:p>
      <w:pPr>
        <w:spacing w:after="0" w:line="14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color w:val="auto"/>
        </w:rPr>
        <w:t>Nature of Duties.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11.3.1. The Administrative Agent, the Arrangers and the other Agents shall not have any duties or responsibilities except those expressly set forth in this Agreement and in the other Loan Documents. Neither the Administrative Agent nor any of its officers, directors, agents, employees or affiliates shall be liable for any action taken or omitted by it or them hereunder or under any other Loan Document or in connection herewith or therewith, unless caused by its or their gross negligence or willful misconduct (as determined by a court of competent jurisdiction in a final and non-appealable decision). The duties of the Administrative Agent shall be mechanical and administrative in nature; the Administrative Agent shall not have by reason of this Agreement or any other Loan Document a fiduciary relationship in respect of any Lender or the holder of any Note; and nothing in this Agreement or in any other Loan Document, expressed or implied, is intended to or shall be so construed as to impose upon the Administrative Agent any obligations in respect of this Agreement or any other Loan Document except as expressly set forth herein or therein.</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11.3.2. Notwithstanding any other provision of this Agreement or any provision of any other Loan Document, each Arranger is named as such for recognition purposes only, and in its capacity as such shall have no powers, duties, responsibilities or liabilities with respect to this Agreement or the other Loan Documents or the transactions contemplated hereby and thereby; it being understood and agreed that each Arranger shall be entitled to all indemnification and reimbursement rights in favor of the Administrative Agent as, and to the extent, provided for under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Without limitation of the foregoing, each Arranger shall not, solely by reason of this Agreement or any other Loan Documents, have any fiduciary relationship in respect of any Lender or any other Person.</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11.3.3. If the Administrative Agent requests instructions from the Required Lenders with respect to any act or action (including failure to act) in connection with this Agreement or any other Loan Document, the Administrative Agent shall be entitled to refrain from such act or taking such action unless and until the Administrative Agent shall have received instructions from the Required Lenders; and the Administrative Agent shall not incur liability to any Lender by reason of so refraining. Without limiting the foregoing, neither any Lender nor the holder of any Note shall have any right of action whatsoever against the Administrative Agent as a result of the Administrative Agent acting or refraining from acting hereunder or under any other Loan Document in accordance with the instructions of the Required Lenders.</w:t>
      </w:r>
    </w:p>
    <w:p>
      <w:pPr>
        <w:spacing w:after="0" w:line="164"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11.3.4. Each Credit Party is entering into each Loan Document to which it is a party as a principal and not an agent, and in its own name and on its own account and not for the account or on behalf of any third party.</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11.4. Reliance. The Administrative Agent shall be entitled to rely, and shall be fully protected in relying, upon any note, writing, resolution, notice, statement, certificate, telex, teletype or telecopier message, cablegram, radiogram, order or other document or telephone message signed, sent or made by any Person that the Administrative Agent believed to be the proper Person, and, with respect to all legal matters pertaining to this Agreement and any other Loan Document and its duties hereunder and thereunder, upon advice of counsel selected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66" w:name="page267"/>
    <w:bookmarkEnd w:id="266"/>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11.5.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shall apply to any such sub-agent and to the Related Parties of the Administrative Agent and any such sub-agent, and shall apply to their respective activities in connection with the syndication of the credit facilities provided fo</w:t>
      </w:r>
      <w:r>
        <w:rPr>
          <w:rFonts w:ascii="Times New Roman" w:cs="Times New Roman" w:eastAsia="Times New Roman" w:hAnsi="Times New Roman"/>
          <w:sz w:val="20"/>
          <w:szCs w:val="20"/>
          <w:u w:val="single" w:color="auto"/>
          <w:color w:val="auto"/>
        </w:rPr>
        <w:t>r herein as well as activities as Administrative Agent.</w:t>
      </w:r>
    </w:p>
    <w:p>
      <w:pPr>
        <w:spacing w:after="0" w:line="19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11.6.</w:t>
      </w:r>
      <w:r>
        <w:rPr>
          <w:sz w:val="20"/>
          <w:szCs w:val="20"/>
          <w:color w:val="auto"/>
        </w:rPr>
        <w:tab/>
      </w:r>
      <w:r>
        <w:rPr>
          <w:rFonts w:ascii="Times New Roman" w:cs="Times New Roman" w:eastAsia="Times New Roman" w:hAnsi="Times New Roman"/>
          <w:sz w:val="19"/>
          <w:szCs w:val="19"/>
          <w:color w:val="auto"/>
        </w:rPr>
        <w:t>Resignation by the Administrative Agent.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11.6.1. The Administrative Agent may resign from the performance of all its respective functions and duties hereunder and/or under the other Loan Documents at any time by giving 30 days’ prior written notice to the Lenders and, unless an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10.1(i)</w:t>
      </w:r>
      <w:r>
        <w:rPr>
          <w:rFonts w:ascii="Times New Roman" w:cs="Times New Roman" w:eastAsia="Times New Roman" w:hAnsi="Times New Roman"/>
          <w:sz w:val="20"/>
          <w:szCs w:val="20"/>
          <w:color w:val="auto"/>
        </w:rPr>
        <w:t xml:space="preserve"> then exists and is continuing, the Borrower. Such resignation shall take effect upon the appointment of a successor Administrative Agent pursuant to clauses (b) and (c) below or as otherwise provided below.</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11.6.2. Upon any such notice of resignation by the Administrative Agent, the Required Lenders shall appoint a successor Administrative Agent hereunder or thereunder who shall be a commercial bank or trust company reasonably acceptable to the Borrower, which acceptance shall not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approval shall not be required if an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10.1(i)</w:t>
      </w:r>
      <w:r>
        <w:rPr>
          <w:rFonts w:ascii="Times New Roman" w:cs="Times New Roman" w:eastAsia="Times New Roman" w:hAnsi="Times New Roman"/>
          <w:sz w:val="20"/>
          <w:szCs w:val="20"/>
          <w:color w:val="auto"/>
        </w:rPr>
        <w:t xml:space="preserve"> then exists and is continuing).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11.6.3. If a successor Administrative Agent shall not have been so appointed within such 30 day period, the Administrative Agent, with the consent of the Borrower (which consent shall not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consent shall not be required if an Event of Default under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10.1(i)</w:t>
      </w:r>
      <w:r>
        <w:rPr>
          <w:rFonts w:ascii="Times New Roman" w:cs="Times New Roman" w:eastAsia="Times New Roman" w:hAnsi="Times New Roman"/>
          <w:sz w:val="20"/>
          <w:szCs w:val="20"/>
          <w:color w:val="auto"/>
        </w:rPr>
        <w:t xml:space="preserve"> then exists and is continuing), shall then appoint a successor Administrative Agent who shall serve as Administrative Agent hereunder or thereunder until such time, if any, as the Required Lenders (with the consent of the Borrower as provided above) appoint a successor Administrative Agent as provided above.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11.6.4. If no successor Administrative Agent has been appointed pursuant to clause (b) or (c) above by the 30th day after the date such notice of resignation was given by the Administrative Agent, the Administrative Agent’s resignation shall nonetheless become effective and the Required Lenders shall thereafter perform all the duties of the Administrative Agent hereunder and/or under any other Loan Document until such time, if any, as the Required Lenders (with the consent of the Borrower as provided above) appoint a successor Administrative Agent as provided above.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11.6.5. Upon a resignation of the Administrative Agent pursuant to this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the Administrative Agent shall remain indemnified to the extent provided in this Agreement and the other Loan Documents and the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(and the analogous provisions of the other Loan Documents) and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shall continue in effect for the benefit of the Administrative Agent for all of its actions and inactions while serving as the Administrative Agent. Upon 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The fees payable by the Borrower to a successor Administrative Agent shall be the same as those payable to its predecessor unless otherwise agreed between the Borrower and such successor.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213</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67" w:name="page268"/>
    <w:bookmarkEnd w:id="267"/>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11.6.6. Anything herein to the contrary notwithstanding, a Person may be removed as the Administrative Agent and a replacement Administrative Agent appointed by Required Lenders (determined after giving effect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by notice to the Borrowers and such Person) with the consent of the Borrowers (such consent not to be unreasonably withheld) or by any Borrower, and such replacement Administrative Agent, if the Required Lenders or any Borrower determine(s) that the Person serving as Administrative Agent is (without taking into account any provision in the definition of “Defaulting Lender” requiring notice from the Administrative Agent or any other party)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removal shall, to the fullest extent permitted by applicable law, in any event become effective if no such replacement Administrative Agent is appointed hereunder within 30 days after the giving of such notice and (ii) no such consent of the Borrowers shall be required if an Event of Default has occurred and is continuing at the time of such appointment.</w:t>
      </w:r>
    </w:p>
    <w:p>
      <w:pPr>
        <w:spacing w:after="0" w:line="19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11.7. Lack of Reliance on the Administrative Agent. Independently and without reliance upon the Administrative Agent, each Lender and the holder of each Note, to the extent it deems appropriate, has made and shall continue to make (i) its own independent investigation of the financial condition and affairs of the Parent Guarantors, the Borrower and the Restricted Subsidiaries in connection with the making and the continuance of the Loans and the taking or not taking of any action in connection herewith and (ii) its own appraisal of the creditworthiness of the Parent Guarantors, the Borrower and the Restricted Subsidiaries and, except as expressly provided in this Agreement, the Administrative Agent shall not have any duty or responsibility, either initially or on a continuing basis, to provide any Lender or the holder of any Note with any credit or other information with respect thereto, whether coming into its possession before the making of the Loans or at any time or times thereafter. The Administrative Agent shall not be responsible to any Lender or the holder of any Note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or the financial condition of the Parent Guarantors, the Borrower or any of the Restricted Subsidiaries or be required to make any inquiry concerning either the performance or observance of any of the terms, provisions or conditions of this Agreement or any other Loan Document, or the financial condition of the Parent Guarantors, the Borrower or any of the Restricted Subsidiaries or the existence or possible existence of any Default or Event of Default.</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Any assignor of a Loan or seller of a participation hereunder shall be entitled to rely conclusively on a representation of the assignee Lender or Participant in the relevant Assignment and Assumption Agreement or participation agreement, as applicable, that such assignee or purchaser is not a Disqualified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68" w:name="page269"/>
    <w:bookmarkEnd w:id="268"/>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Institution. No Agent shall have any responsibility or liability for monitoring the list or identities of, or enforcing provisions relating to, Disqualified Institutions.</w:t>
      </w:r>
    </w:p>
    <w:p>
      <w:pPr>
        <w:spacing w:after="0" w:line="14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9"/>
          <w:szCs w:val="19"/>
          <w:color w:val="auto"/>
        </w:rPr>
        <w:t>No Other Duties, Etc.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11.8.1. Anything herein to the contrary notwithstanding, none of the Administrative Agent, Bookrunners, the Sustainability Coordinator listed on the cover page hereof nor Arrangers shall have any powers, duties or responsibilities under this Agreement or any of the other Loan Documents, except in its capacity, as applicable, as the Administrative Agent or a Lender hereunder.</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11.8.2. The Administrative Agent shall not be required to deliver to any Lender originals or copies of any documents, instruments, notices, communications or other information received by the Administrative Agent from any Credit Party, any Subsidiary, the Required Lenders, any Lender or any other Person under or in connection with this Agreement or any other Loan Document except (i) as specifically provided in this Agreement or any other Loan Document and (ii)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color w:val="auto"/>
        </w:rPr>
        <w:t>Administrative Agent May File Proofs of Claim.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case of the pendency of any proceeding under the Bankruptcy Code or any other judicial proceeding relative to any Credit Party, the Administrative Agent (irrespective of whether the principal of any Loan shall then be due and payable as herein expressed or by declaration or otherwise and irrespective of whether the Administrative Agent shall have made any demand on the Borrowers) shall be entitled and empowered, by intervention in such proceeding or otherwise:</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11.9.1.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12.4</w:t>
      </w:r>
      <w:r>
        <w:rPr>
          <w:rFonts w:ascii="Times New Roman" w:cs="Times New Roman" w:eastAsia="Times New Roman" w:hAnsi="Times New Roman"/>
          <w:sz w:val="20"/>
          <w:szCs w:val="20"/>
          <w:color w:val="auto"/>
        </w:rPr>
        <w:t>) allowed in such judicial proceeding; and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11.9.2. to collect and receive any monies or other property payable or deliverable on any such claims and to distribute the same;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12.4</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69" w:name="page270"/>
    <w:bookmarkEnd w:id="269"/>
    <w:p>
      <w:pPr>
        <w:ind w:left="660"/>
        <w:spacing w:after="0"/>
        <w:rPr>
          <w:sz w:val="20"/>
          <w:szCs w:val="20"/>
          <w:color w:val="auto"/>
        </w:rPr>
      </w:pPr>
      <w:r>
        <w:rPr>
          <w:rFonts w:ascii="Times New Roman" w:cs="Times New Roman" w:eastAsia="Times New Roman" w:hAnsi="Times New Roman"/>
          <w:sz w:val="20"/>
          <w:szCs w:val="20"/>
          <w:color w:val="auto"/>
        </w:rPr>
        <w:t>11.10.  Collateral and Guaranty Matters.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11.10.1.Each Lender authorizes and directs the Collateral Agents to enter into the Security Documents for the benefit of the Lenders and the other Secured Creditors. Each Lender hereby agrees, and each holder of any Note by the acceptance thereof will be deemed to agree, that, except as otherwise set forth herein, any action taken by the Required Lenders in accordance with the provisions of this Agreement or the Security Documents, and the exercise by the Required Lenders of the powers set forth herein or therein, together with such other powers as are reasonably incidental thereto, shall be authorized and binding upon all of the Lenders. Each Collateral Agent is hereby authorized on behalf of all of the Secured Creditors, without the necessity of any notice to or further consent from any Secured Creditor, to take any action with respect to any Collateral or Security Documents which may be necessary to perfect and maintain perfected the security interest in and liens upon the Collateral granted pursuant to the Security Documents;</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11.10.2.The Lenders hereby authorize and direct each Collateral Agent, in accordance with the terms hereof, (1) to release any Lien granted to or held by such Collateral Agent upon any Collateral (i) automatically upon termination of the Commitments and payment and satisfaction in full of all of the Obligations as provided in </w:t>
      </w:r>
      <w:r>
        <w:rPr>
          <w:rFonts w:ascii="Times New Roman" w:cs="Times New Roman" w:eastAsia="Times New Roman" w:hAnsi="Times New Roman"/>
          <w:sz w:val="20"/>
          <w:szCs w:val="20"/>
          <w:u w:val="single" w:color="auto"/>
          <w:color w:val="auto"/>
        </w:rPr>
        <w:t>Section 12.15</w:t>
      </w:r>
      <w:r>
        <w:rPr>
          <w:rFonts w:ascii="Times New Roman" w:cs="Times New Roman" w:eastAsia="Times New Roman" w:hAnsi="Times New Roman"/>
          <w:sz w:val="20"/>
          <w:szCs w:val="20"/>
          <w:color w:val="auto"/>
        </w:rPr>
        <w:t xml:space="preserve">, (ii) constituting property being sold or otherwise disposed of (to Persons other than any Credit Party) automatically upon the sale or other disposition thereof in compliance with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8.5</w:t>
      </w:r>
      <w:r>
        <w:rPr>
          <w:rFonts w:ascii="Times New Roman" w:cs="Times New Roman" w:eastAsia="Times New Roman" w:hAnsi="Times New Roman"/>
          <w:sz w:val="20"/>
          <w:szCs w:val="20"/>
          <w:color w:val="auto"/>
        </w:rPr>
        <w:t xml:space="preserve">, (iii) if approved, authorized or ratified in writing by the Required Lenders (or all of the Lenders hereunder, to the extent required by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w:t>
      </w:r>
    </w:p>
    <w:p>
      <w:pPr>
        <w:spacing w:after="0" w:line="3" w:lineRule="exact"/>
        <w:rPr>
          <w:sz w:val="20"/>
          <w:szCs w:val="20"/>
          <w:color w:val="auto"/>
        </w:rPr>
      </w:pPr>
    </w:p>
    <w:p>
      <w:pPr>
        <w:jc w:val="both"/>
        <w:ind w:firstLine="8"/>
        <w:spacing w:after="0" w:line="248" w:lineRule="auto"/>
        <w:tabs>
          <w:tab w:leader="none" w:pos="37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constituting property acquired by any Credit Party after the Original Closing Date financed with Indebtedness secured by a Lien permitted by </w:t>
      </w:r>
      <w:r>
        <w:rPr>
          <w:rFonts w:ascii="Times New Roman" w:cs="Times New Roman" w:eastAsia="Times New Roman" w:hAnsi="Times New Roman"/>
          <w:sz w:val="20"/>
          <w:szCs w:val="20"/>
          <w:u w:val="single" w:color="auto"/>
          <w:color w:val="auto"/>
        </w:rPr>
        <w:t>Section 8.2(d)</w:t>
      </w:r>
      <w:r>
        <w:rPr>
          <w:rFonts w:ascii="Times New Roman" w:cs="Times New Roman" w:eastAsia="Times New Roman" w:hAnsi="Times New Roman"/>
          <w:sz w:val="20"/>
          <w:szCs w:val="20"/>
          <w:color w:val="auto"/>
        </w:rPr>
        <w:t xml:space="preserve">, (v) if the property subject to such Lien is owned by a Guarantor, automatically upon release of such Guarantor from its obligations under its Guarantee Agreements hereunder or under any other Loan Document as a result of a transaction permitted hereunder, (vi) automatically upon a Non-Stock Collateral Release Event or Collateral Release Event, as applicable, as provided in </w:t>
      </w:r>
      <w:r>
        <w:rPr>
          <w:rFonts w:ascii="Times New Roman" w:cs="Times New Roman" w:eastAsia="Times New Roman" w:hAnsi="Times New Roman"/>
          <w:sz w:val="20"/>
          <w:szCs w:val="20"/>
          <w:u w:val="single" w:color="auto"/>
          <w:color w:val="auto"/>
        </w:rPr>
        <w:t>Section 7.20</w:t>
      </w:r>
      <w:r>
        <w:rPr>
          <w:rFonts w:ascii="Times New Roman" w:cs="Times New Roman" w:eastAsia="Times New Roman" w:hAnsi="Times New Roman"/>
          <w:sz w:val="20"/>
          <w:szCs w:val="20"/>
          <w:color w:val="auto"/>
        </w:rPr>
        <w:t xml:space="preserve">, (vii) constituting property held by an Unrestricted Entity upon the designation of a Subsidiary of Crown Holdings as an Unrestricted Entity or (viii) as otherwise may be expressly provided in the relevant documentation granting such Lien or any Receivables Intercreditor Agreement, (2) to release or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8.2(j)</w:t>
      </w:r>
      <w:r>
        <w:rPr>
          <w:rFonts w:ascii="Times New Roman" w:cs="Times New Roman" w:eastAsia="Times New Roman" w:hAnsi="Times New Roman"/>
          <w:sz w:val="20"/>
          <w:szCs w:val="20"/>
          <w:color w:val="auto"/>
        </w:rPr>
        <w:t xml:space="preserve"> to the extent in respect of Indebtedness under </w:t>
      </w:r>
      <w:r>
        <w:rPr>
          <w:rFonts w:ascii="Times New Roman" w:cs="Times New Roman" w:eastAsia="Times New Roman" w:hAnsi="Times New Roman"/>
          <w:sz w:val="20"/>
          <w:szCs w:val="20"/>
          <w:u w:val="single" w:color="auto"/>
          <w:color w:val="auto"/>
        </w:rPr>
        <w:t>Section 8.1(a)(xvi)</w:t>
      </w:r>
      <w:r>
        <w:rPr>
          <w:rFonts w:ascii="Times New Roman" w:cs="Times New Roman" w:eastAsia="Times New Roman" w:hAnsi="Times New Roman"/>
          <w:sz w:val="20"/>
          <w:szCs w:val="20"/>
          <w:color w:val="auto"/>
        </w:rPr>
        <w:t xml:space="preserve"> and required by the holder of, or pursuant to the terms of any agreement governing, the obligations secured by such Liens, and (3) to release any Guarantor from its obligations under the Security Documents if such Person ceases to be a Restricted Subsidiary or becomes an Unrestricted Entity, in each case, as a result of a transaction or designation permitted hereunder. Upon request by any Collateral Agent at any time, the Required Lenders will confirm in writing such Collateral Agent’s authority to release or subordinate its interest in particular types or items of property, or to release any Guarantor from its obligations under the Loan Documents pursuant to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the applicable Collateral Agent will (and each Lender irrevocably authorizes such Collateral Agent to), at the Borrowers’ expense, execute and deliver to the applicable Credit Party such documents as such Credit Party may reasonably request to evidence the release of such item of Collateral from the assignment and security interest granted under the Security Documents or to subordinate its interest in such item, or to evidence the release of such Guarantor from its obligations under the Guarantee Agreements, in each case in accordance with the terms of the Loan Documents and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11.10.3.The Administrative Agent and Collateral Agents shall have no obligation whatsoever to the Lenders or to any other Person to assure that the Collateral exists or is owned by any Credit Party or is cared for, protected or insured or that the Liens granted to the Administrative Agent and Collateral Agents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70" w:name="page271"/>
    <w:bookmarkEnd w:id="270"/>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Administrative Agent and Collateral Agents in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or in any of the Security Documents, it being understood and agreed that in respect of the Collateral, or any act, omission or event related thereto, the Administrative Agent and Collateral Agents may act in any manner it may deem appropriate, in its sole discretion, given the Administrative Agent’s and Collateral Agents’ own interest in the Collateral as Lenders and that the Administrative Agent and Collateral Agents shall have no duty or liability whatsoever to the Lenders, except for its gross negligence or willful misconduct (as determined by a court of competent jurisdiction in a final and non-appealable decision).</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11.11. Bank Related Debt. Except as otherwise expressly set forth herein or in any Guarantee Agreement or any Security Document, no Hedge Bank that obtains the benefits of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any Guarantee Agreement or any Collateral by virtue of the provisions hereof or of any Guarantee Agreement or any Security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Bank Related Debt unless the Administrative Agent has received written notice of such Bank Related Debt, together with such supporting documentation as the Administrative Agent may request, from the applicable counterparty.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Lenders hereby authorize the Administrative Agent and the Collateral Agents to enter into any Receivables Intercreditor Agreement or other intercreditor agreement or arrangement permitted under this Agreement and any such intercreditor agreement is binding upon the Lenders.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11.12. Withholding Tax Indemnity. To the extent required by any applicable law, the applicable Agent may withhold from any payment to any Lender an amount equivalent to any applicable withholding Tax. Without limiting or expanding the provisions of </w:t>
      </w:r>
      <w:r>
        <w:rPr>
          <w:rFonts w:ascii="Times New Roman" w:cs="Times New Roman" w:eastAsia="Times New Roman" w:hAnsi="Times New Roman"/>
          <w:sz w:val="20"/>
          <w:szCs w:val="20"/>
          <w:u w:val="single" w:color="auto"/>
          <w:color w:val="auto"/>
        </w:rPr>
        <w:t>Section 4.7(b)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each Lender shall, and does hereby, indemnify each Agent against, and shall make payable in respect thereof within 30 days after demand therefor, any and all Taxes and any and all related losses, claims, liabilities and expenses (including fees, charges and disbursements of any counsel for Agent) incurred by or asserted against Agent by the IRS or any other Governmental Authority as a result of the failure of Agent to properly withhold tax from amounts paid to or for the account of any Lender for any reason (including, without limitation, because the appropriate form was not delivered or not property executed, or because such Lender failed to notify Agent of a change in circumstance that rendered the exemption from, or reduction of withholding tax ineffective). A certificate as to the amount of such payment or liability delivered to any Lender by the applicable Agent shall be conclusive absent manifest or demonstrable error. Each Lender hereby authorizes each Agent to set off and apply any and all amounts at any time owing to such Lender under this Agreement or any other Loan Document against any amount due such Agent under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xml:space="preserve"> shall survive the resignation and/or replacement of Agent, any assignment of rights by, or the replacement of, a Lender, the termination of the Commitments and the repayment, satisfaction or discharge of all other Obligations. For purposes of this </w:t>
      </w:r>
      <w:r>
        <w:rPr>
          <w:rFonts w:ascii="Times New Roman" w:cs="Times New Roman" w:eastAsia="Times New Roman" w:hAnsi="Times New Roman"/>
          <w:sz w:val="20"/>
          <w:szCs w:val="20"/>
          <w:u w:val="single" w:color="auto"/>
          <w:color w:val="auto"/>
        </w:rPr>
        <w:t>Section 11.12</w:t>
      </w:r>
      <w:r>
        <w:rPr>
          <w:rFonts w:ascii="Times New Roman" w:cs="Times New Roman" w:eastAsia="Times New Roman" w:hAnsi="Times New Roman"/>
          <w:sz w:val="20"/>
          <w:szCs w:val="20"/>
          <w:color w:val="auto"/>
        </w:rPr>
        <w:t>, the term “Lender” shall include any Swing Line Lender and any Facing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11.13. Holders. The Administrative Agent may deem and treat the payee of any Note as the owner thereof for all purposes hereof unless and until a written notice of the assignment, transfer or endorsement thereof, as the case may be, shall have been filed with the Administrative Agent. 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71" w:name="page272"/>
    <w:bookmarkEnd w:id="271"/>
    <w:p>
      <w:pPr>
        <w:jc w:val="both"/>
        <w:spacing w:after="0" w:line="261" w:lineRule="auto"/>
        <w:rPr>
          <w:sz w:val="20"/>
          <w:szCs w:val="20"/>
          <w:color w:val="auto"/>
        </w:rPr>
      </w:pPr>
      <w:r>
        <w:rPr>
          <w:rFonts w:ascii="Times New Roman" w:cs="Times New Roman" w:eastAsia="Times New Roman" w:hAnsi="Times New Roman"/>
          <w:sz w:val="20"/>
          <w:szCs w:val="20"/>
          <w:color w:val="auto"/>
        </w:rPr>
        <w:t>request, authority or consent of any Person who, at the time of making such request or giving such authority or consent, is the holder of any Note shall be conclusive and binding on any subsequent holder, transferee, assignee or endorsee, as the case may be, of such Note or of any Note or Notes issued in exchange therefor.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11.14.  Erroneous Payments.</w:t>
      </w:r>
    </w:p>
    <w:p>
      <w:pPr>
        <w:spacing w:after="0" w:line="21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11.14.1.If the Administrative Agent (x) notifies a Lender, Facing Agent or Secured Creditor, or any Person who has received funds on behalf of a Lender, Facing Agent or Secured Creditor (any such Lender, Facing Agent, Secured Creditor or other recipient (and each of their respective successors and assigns) , a “</w:t>
      </w:r>
      <w:r>
        <w:rPr>
          <w:rFonts w:ascii="Times New Roman" w:cs="Times New Roman" w:eastAsia="Times New Roman" w:hAnsi="Times New Roman"/>
          <w:sz w:val="19"/>
          <w:szCs w:val="19"/>
          <w:u w:val="single" w:color="auto"/>
          <w:color w:val="auto"/>
        </w:rPr>
        <w:t>Payment Recipient</w:t>
      </w:r>
      <w:r>
        <w:rPr>
          <w:rFonts w:ascii="Times New Roman" w:cs="Times New Roman" w:eastAsia="Times New Roman" w:hAnsi="Times New Roman"/>
          <w:sz w:val="19"/>
          <w:szCs w:val="19"/>
          <w:color w:val="auto"/>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Facing Agent, Secured Creditor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9"/>
          <w:szCs w:val="19"/>
          <w:u w:val="single" w:color="auto"/>
          <w:color w:val="auto"/>
        </w:rPr>
        <w:t>Erroneous Payment</w:t>
      </w:r>
      <w:r>
        <w:rPr>
          <w:rFonts w:ascii="Times New Roman" w:cs="Times New Roman" w:eastAsia="Times New Roman" w:hAnsi="Times New Roman"/>
          <w:sz w:val="19"/>
          <w:szCs w:val="19"/>
          <w:color w:val="auto"/>
        </w:rPr>
        <w:t>”) and</w:t>
      </w:r>
    </w:p>
    <w:p>
      <w:pPr>
        <w:spacing w:after="0" w:line="3" w:lineRule="exact"/>
        <w:rPr>
          <w:sz w:val="20"/>
          <w:szCs w:val="20"/>
          <w:color w:val="auto"/>
        </w:rPr>
      </w:pPr>
    </w:p>
    <w:p>
      <w:pPr>
        <w:jc w:val="both"/>
        <w:ind w:firstLine="8"/>
        <w:spacing w:after="0" w:line="248" w:lineRule="auto"/>
        <w:tabs>
          <w:tab w:leader="none" w:pos="29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demands in writing the return of such Erroneous Payment (or a portion thereof), such Erroneous Payment shall at all times remain the property of the Administrative Agent pending its return or repayment as contemplated below in this Se</w:t>
      </w:r>
      <w:r>
        <w:rPr>
          <w:rFonts w:ascii="Times New Roman" w:cs="Times New Roman" w:eastAsia="Times New Roman" w:hAnsi="Times New Roman"/>
          <w:sz w:val="20"/>
          <w:szCs w:val="20"/>
          <w:u w:val="single" w:color="auto"/>
          <w:color w:val="auto"/>
        </w:rPr>
        <w:t>ction 11.14</w:t>
      </w:r>
      <w:r>
        <w:rPr>
          <w:rFonts w:ascii="Times New Roman" w:cs="Times New Roman" w:eastAsia="Times New Roman" w:hAnsi="Times New Roman"/>
          <w:sz w:val="20"/>
          <w:szCs w:val="20"/>
          <w:color w:val="auto"/>
        </w:rPr>
        <w:t xml:space="preserve"> and held in trust for the benefit of the Administrative Agent, and such Lender, Facing Agent or Secured Creditor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(in the case of amounts denominated in Dollars), the Overnight Euro Rate (in the case of amounts denominated in Euro) or the Overnight Sterling Rate (in the case of amounts denominated in Sterling), as applicable,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11.14.2.Without limiting immediately preceding clause (a), each Lender, Facing Agent, Secured Creditor or any Person who has received funds on behalf of a Lender, Facing Agent or Secured Creditor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Facing Agent or Secured Creditor, or other such recipient, otherwise becomes aware was transmitted, or received, in error or by mistake (in whole or in part), then in each such case: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218</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72" w:name="page273"/>
    <w:bookmarkEnd w:id="272"/>
    <w:p>
      <w:pPr>
        <w:jc w:val="both"/>
        <w:ind w:left="660" w:firstLine="907"/>
        <w:spacing w:after="0" w:line="258" w:lineRule="auto"/>
        <w:rPr>
          <w:sz w:val="20"/>
          <w:szCs w:val="20"/>
          <w:color w:val="auto"/>
        </w:rPr>
      </w:pPr>
      <w:r>
        <w:rPr>
          <w:rFonts w:ascii="Times New Roman" w:cs="Times New Roman" w:eastAsia="Times New Roman" w:hAnsi="Times New Roman"/>
          <w:sz w:val="20"/>
          <w:szCs w:val="20"/>
          <w:color w:val="auto"/>
        </w:rPr>
        <w:t>11.14.2.1.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172" w:lineRule="exact"/>
        <w:rPr>
          <w:sz w:val="20"/>
          <w:szCs w:val="20"/>
          <w:color w:val="auto"/>
        </w:rPr>
      </w:pPr>
    </w:p>
    <w:p>
      <w:pPr>
        <w:jc w:val="both"/>
        <w:ind w:left="660" w:firstLine="907"/>
        <w:spacing w:after="0" w:line="257" w:lineRule="auto"/>
        <w:rPr>
          <w:sz w:val="20"/>
          <w:szCs w:val="20"/>
          <w:color w:val="auto"/>
        </w:rPr>
      </w:pPr>
      <w:r>
        <w:rPr>
          <w:rFonts w:ascii="Times New Roman" w:cs="Times New Roman" w:eastAsia="Times New Roman" w:hAnsi="Times New Roman"/>
          <w:sz w:val="20"/>
          <w:szCs w:val="20"/>
          <w:color w:val="auto"/>
        </w:rPr>
        <w:t xml:space="preserve">11.14.2.2. such Lender, Facing Agent or Secured Creditor shall (and shall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11.14(b)</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20"/>
          <w:szCs w:val="20"/>
          <w:color w:val="auto"/>
        </w:rPr>
        <w:t xml:space="preserve">For the avoidance of doubt, the failure to deliver a notice to the Administrative Agent pursuant to this </w:t>
      </w:r>
      <w:r>
        <w:rPr>
          <w:rFonts w:ascii="Times New Roman" w:cs="Times New Roman" w:eastAsia="Times New Roman" w:hAnsi="Times New Roman"/>
          <w:sz w:val="20"/>
          <w:szCs w:val="20"/>
          <w:u w:val="single" w:color="auto"/>
          <w:color w:val="auto"/>
        </w:rPr>
        <w:t>Section 11.14(b)</w:t>
      </w:r>
      <w:r>
        <w:rPr>
          <w:rFonts w:ascii="Times New Roman" w:cs="Times New Roman" w:eastAsia="Times New Roman" w:hAnsi="Times New Roman"/>
          <w:sz w:val="20"/>
          <w:szCs w:val="20"/>
          <w:color w:val="auto"/>
        </w:rPr>
        <w:t xml:space="preserve"> shall not have any effect on a Payment Recipient’s obligations pursuant to </w:t>
      </w:r>
      <w:r>
        <w:rPr>
          <w:rFonts w:ascii="Times New Roman" w:cs="Times New Roman" w:eastAsia="Times New Roman" w:hAnsi="Times New Roman"/>
          <w:sz w:val="20"/>
          <w:szCs w:val="20"/>
          <w:u w:val="single" w:color="auto"/>
          <w:color w:val="auto"/>
        </w:rPr>
        <w:t>Section 11.14(a)</w:t>
      </w:r>
      <w:r>
        <w:rPr>
          <w:rFonts w:ascii="Times New Roman" w:cs="Times New Roman" w:eastAsia="Times New Roman" w:hAnsi="Times New Roman"/>
          <w:sz w:val="20"/>
          <w:szCs w:val="20"/>
          <w:color w:val="auto"/>
        </w:rPr>
        <w:t xml:space="preserve"> or on whether or not an Erroneous Payment has been made</w:t>
      </w:r>
    </w:p>
    <w:p>
      <w:pPr>
        <w:spacing w:after="0" w:line="16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11.14.3.Each Lender, Facing Agent or Secured Creditor hereby authorizes the Administrative Agent to set off, net and apply any and all amounts at any time owing to such Lender, Facing Agent or Secured Creditor under any Loan Document, or otherwise payable or distributable by the Administrative Agent to such Lender, Facing Agent or Secured Creditor under any Loan Document with respect to any payment of principal, interest, fees or other amounts, against any amount that the Administrative Agent has demanded to be returned under immediately preceding clause (a).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11.14.4.</w:t>
      </w:r>
    </w:p>
    <w:p>
      <w:pPr>
        <w:spacing w:after="0" w:line="229" w:lineRule="exact"/>
        <w:rPr>
          <w:sz w:val="20"/>
          <w:szCs w:val="20"/>
          <w:color w:val="auto"/>
        </w:rPr>
      </w:pPr>
    </w:p>
    <w:p>
      <w:pPr>
        <w:jc w:val="both"/>
        <w:ind w:left="660" w:firstLine="907"/>
        <w:spacing w:after="0" w:line="249" w:lineRule="auto"/>
        <w:rPr>
          <w:sz w:val="20"/>
          <w:szCs w:val="20"/>
          <w:color w:val="auto"/>
        </w:rPr>
      </w:pPr>
      <w:r>
        <w:rPr>
          <w:rFonts w:ascii="Times New Roman" w:cs="Times New Roman" w:eastAsia="Times New Roman" w:hAnsi="Times New Roman"/>
          <w:sz w:val="20"/>
          <w:szCs w:val="20"/>
          <w:color w:val="auto"/>
        </w:rPr>
        <w:t>11.14.4.1.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upon the Administrative Agent’s notice to such Lender at any time, then effective immediately (with the consideration therefor being acknowledged by the parties hereto), (A) such Lender shall be deemed to have assigned its Loans (but not its Commitments) with respect to which such Erroneous Payment was made (the “</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(on a cashless basis and such amount calculated at par plus any accrued and unpaid interest (with the assignment fee to be waived by the Administrative Agent in such instance)), and is hereby (together with the Borrowers) deemed to execute and deliver an Assignment and Assumption Agreement (or, to the extent applicable, an agreement incorporating an Assignment and Assumption Agreement by reference pursuant to an electronic platform approved by the Administrative Agent as to which the Administrative Agent and such parties are participants) with respect to such Erroneous Payment Deficiency Assignment, and such Lender shall deliver any Notes evidencing such Loans to the Company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73" w:name="page274"/>
    <w:bookmarkEnd w:id="273"/>
    <w:p>
      <w:pPr>
        <w:jc w:val="both"/>
        <w:ind w:left="660"/>
        <w:spacing w:after="0" w:line="252" w:lineRule="auto"/>
        <w:rPr>
          <w:sz w:val="20"/>
          <w:szCs w:val="20"/>
          <w:color w:val="auto"/>
        </w:rPr>
      </w:pPr>
      <w:r>
        <w:rPr>
          <w:rFonts w:ascii="Times New Roman" w:cs="Times New Roman" w:eastAsia="Times New Roman" w:hAnsi="Times New Roman"/>
          <w:sz w:val="20"/>
          <w:szCs w:val="20"/>
          <w:color w:val="auto"/>
        </w:rPr>
        <w:t>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Borrowers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176" w:lineRule="exact"/>
        <w:rPr>
          <w:sz w:val="20"/>
          <w:szCs w:val="20"/>
          <w:color w:val="auto"/>
        </w:rPr>
      </w:pPr>
    </w:p>
    <w:p>
      <w:pPr>
        <w:jc w:val="both"/>
        <w:ind w:left="660" w:firstLine="907"/>
        <w:spacing w:after="0" w:line="250" w:lineRule="auto"/>
        <w:rPr>
          <w:sz w:val="20"/>
          <w:szCs w:val="20"/>
          <w:color w:val="auto"/>
        </w:rPr>
      </w:pPr>
      <w:r>
        <w:rPr>
          <w:rFonts w:ascii="Times New Roman" w:cs="Times New Roman" w:eastAsia="Times New Roman" w:hAnsi="Times New Roman"/>
          <w:sz w:val="20"/>
          <w:szCs w:val="20"/>
          <w:color w:val="auto"/>
        </w:rPr>
        <w:t xml:space="preserve">11.14.4.2. Subject to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(but excluding, in all events, any assignment consent or approval requirements (whether from the Borrowers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11.14.5.The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Facing Agent or Secured Party, to the rights and interests of such Lender, Facing Agent or Secured Party, as the case may be) under the Loan Documents with respect to such amount (the “</w:t>
      </w:r>
      <w:r>
        <w:rPr>
          <w:rFonts w:ascii="Times New Roman" w:cs="Times New Roman" w:eastAsia="Times New Roman" w:hAnsi="Times New Roman"/>
          <w:sz w:val="20"/>
          <w:szCs w:val="20"/>
          <w:u w:val="single" w:color="auto"/>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Subrogation Rights</w:t>
      </w:r>
      <w:r>
        <w:rPr>
          <w:rFonts w:ascii="Times New Roman" w:cs="Times New Roman" w:eastAsia="Times New Roman" w:hAnsi="Times New Roman"/>
          <w:sz w:val="20"/>
          <w:szCs w:val="20"/>
          <w:color w:val="auto"/>
        </w:rPr>
        <w:t xml:space="preserve">”) (provided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any Borrower or any other Loan Party; provided that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xml:space="preserve"> shall not be interpreted to increase (or accelerate the due date for), or have the effect of increasing (or accelerating the due date for), the Obligations of such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such Borrower for the purpose of making such Erroneous Payment.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74" w:name="page275"/>
    <w:bookmarkEnd w:id="274"/>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11.14.6.To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11.14.7.Each party’s obligations, agreements and waivers under this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or Facing Agent, the termination of the Commitments and/or the repayment, satisfaction or discharge of all Obligations (or any portion thereof) under any Loan Document.</w:t>
      </w:r>
    </w:p>
    <w:p>
      <w:pPr>
        <w:spacing w:after="0" w:line="1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12.</w:t>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MISCELLANEOUS</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color w:val="auto"/>
        </w:rPr>
        <w:t>No Waiver; Modifications in Writing.</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12.1.1. No failure or delay on the part of any Agent or any Lender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any Agent or any Lender at law or in equity or otherwise. Neither this Agreement nor any terms hereof may be amended, modified, supplemented, waived, discharged, terminated or otherwise changed unless such amendment, modification, supplement, waiver, discharge, termination or other change is in writing signed by the respective Credit Parties party thereto and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modification, supplement, waiver, discharge, termination or other change shall, without the consent of each Lender affected thereby (with Obligations directly affected thereby in the case of the following clause (a)(i)),</w:t>
      </w:r>
    </w:p>
    <w:p>
      <w:pPr>
        <w:spacing w:after="0" w:line="195"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12.1.1.1. extend the final scheduled maturity of any Loan, Commitment or Note (or extend the stated maturity of any Letter of Credit beyond the Revolver Termination Date), or reduce the rate or extend the time of payment of interest or fees thereon (except payment of interest at the Default Rate), or reduce the principal amount thereof,</w:t>
      </w:r>
    </w:p>
    <w:p>
      <w:pPr>
        <w:spacing w:after="0" w:line="168" w:lineRule="exact"/>
        <w:rPr>
          <w:sz w:val="20"/>
          <w:szCs w:val="20"/>
          <w:color w:val="auto"/>
        </w:rPr>
      </w:pPr>
    </w:p>
    <w:p>
      <w:pPr>
        <w:jc w:val="both"/>
        <w:ind w:left="660" w:firstLine="907"/>
        <w:spacing w:after="0" w:line="283" w:lineRule="auto"/>
        <w:rPr>
          <w:sz w:val="20"/>
          <w:szCs w:val="20"/>
          <w:color w:val="auto"/>
        </w:rPr>
      </w:pPr>
      <w:r>
        <w:rPr>
          <w:rFonts w:ascii="Times New Roman" w:cs="Times New Roman" w:eastAsia="Times New Roman" w:hAnsi="Times New Roman"/>
          <w:sz w:val="20"/>
          <w:szCs w:val="20"/>
          <w:color w:val="auto"/>
        </w:rPr>
        <w:t>12.1.1.2. release all or substantially all of the Guarantors or all or substantially all of the Collateral (except as expressly provided in the Security Documents),</w:t>
      </w:r>
    </w:p>
    <w:p>
      <w:pPr>
        <w:spacing w:after="0" w:line="160" w:lineRule="exact"/>
        <w:rPr>
          <w:sz w:val="20"/>
          <w:szCs w:val="20"/>
          <w:color w:val="auto"/>
        </w:rPr>
      </w:pPr>
    </w:p>
    <w:p>
      <w:pPr>
        <w:jc w:val="both"/>
        <w:ind w:left="660" w:firstLine="907"/>
        <w:spacing w:after="0" w:line="251" w:lineRule="auto"/>
        <w:rPr>
          <w:sz w:val="20"/>
          <w:szCs w:val="20"/>
          <w:color w:val="auto"/>
        </w:rPr>
      </w:pPr>
      <w:r>
        <w:rPr>
          <w:rFonts w:ascii="Times New Roman" w:cs="Times New Roman" w:eastAsia="Times New Roman" w:hAnsi="Times New Roman"/>
          <w:sz w:val="20"/>
          <w:szCs w:val="20"/>
          <w:color w:val="auto"/>
        </w:rPr>
        <w:t xml:space="preserve">12.1.1.3. amend, modify or waive any provision of this </w:t>
      </w:r>
      <w:r>
        <w:rPr>
          <w:rFonts w:ascii="Times New Roman" w:cs="Times New Roman" w:eastAsia="Times New Roman" w:hAnsi="Times New Roman"/>
          <w:sz w:val="20"/>
          <w:szCs w:val="20"/>
          <w:u w:val="single" w:color="auto"/>
          <w:color w:val="auto"/>
        </w:rPr>
        <w:t>Section 12.1(a)</w:t>
      </w:r>
      <w:r>
        <w:rPr>
          <w:rFonts w:ascii="Times New Roman" w:cs="Times New Roman" w:eastAsia="Times New Roman" w:hAnsi="Times New Roman"/>
          <w:sz w:val="20"/>
          <w:szCs w:val="20"/>
          <w:color w:val="auto"/>
        </w:rPr>
        <w:t xml:space="preserve">, or reduce the percentage specified in the definition of “Required Lenders” or amend, modify or waive any other provision of any Loan Document (other than the Receivables Intercreditor Agreements and the Security Documents, which are governed by </w:t>
      </w:r>
      <w:r>
        <w:rPr>
          <w:rFonts w:ascii="Times New Roman" w:cs="Times New Roman" w:eastAsia="Times New Roman" w:hAnsi="Times New Roman"/>
          <w:sz w:val="20"/>
          <w:szCs w:val="20"/>
          <w:u w:val="single" w:color="auto"/>
          <w:color w:val="auto"/>
        </w:rPr>
        <w:t>Section 12.17</w:t>
      </w:r>
      <w:r>
        <w:rPr>
          <w:rFonts w:ascii="Times New Roman" w:cs="Times New Roman" w:eastAsia="Times New Roman" w:hAnsi="Times New Roman"/>
          <w:sz w:val="20"/>
          <w:szCs w:val="20"/>
          <w:color w:val="auto"/>
        </w:rPr>
        <w:t xml:space="preserve">), specifying the number or percentage of Lenders (or Lenders of any Facility) required to waive, amend or modify any rights thereunder or make any determination or grant any consent thereunder (except, in each case, for technical amendments with respect to additional facilities, replacement loans or commitments, extensions of maturity date or additional extensions of credit pursuant to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which, except as not otherwise restricted under such Sections, afford the protections to such additional extensions of credit of the type provided to the Term Loans on the Incremental Amendment No. 3 and Fifth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75" w:name="page276"/>
    <w:bookmarkEnd w:id="275"/>
    <w:p>
      <w:pPr>
        <w:jc w:val="both"/>
        <w:ind w:left="660" w:firstLine="907"/>
        <w:spacing w:after="0" w:line="283" w:lineRule="auto"/>
        <w:rPr>
          <w:sz w:val="20"/>
          <w:szCs w:val="20"/>
          <w:color w:val="auto"/>
        </w:rPr>
      </w:pPr>
      <w:r>
        <w:rPr>
          <w:rFonts w:ascii="Times New Roman" w:cs="Times New Roman" w:eastAsia="Times New Roman" w:hAnsi="Times New Roman"/>
          <w:sz w:val="20"/>
          <w:szCs w:val="20"/>
          <w:color w:val="auto"/>
        </w:rPr>
        <w:t>12.1.1.4. consent to the assignment or transfer by any Credit Party of any of its rights and obligations under this Agreement,</w:t>
      </w:r>
    </w:p>
    <w:p>
      <w:pPr>
        <w:spacing w:after="0" w:line="146"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 xml:space="preserve">12.1.1.5. amend or modify the provisions of </w:t>
      </w:r>
      <w:r>
        <w:rPr>
          <w:rFonts w:ascii="Times New Roman" w:cs="Times New Roman" w:eastAsia="Times New Roman" w:hAnsi="Times New Roman"/>
          <w:sz w:val="20"/>
          <w:szCs w:val="20"/>
          <w:u w:val="single" w:color="auto"/>
          <w:color w:val="auto"/>
        </w:rPr>
        <w:t>Section 4.5(a)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12.6</w:t>
      </w:r>
      <w:r>
        <w:rPr>
          <w:rFonts w:ascii="Times New Roman" w:cs="Times New Roman" w:eastAsia="Times New Roman" w:hAnsi="Times New Roman"/>
          <w:sz w:val="20"/>
          <w:szCs w:val="20"/>
          <w:color w:val="auto"/>
        </w:rPr>
        <w:t xml:space="preserve"> in a manner that would by its terms alter the pro rata sharing of payments required thereby, except for technical amendments with respect to additional facilities, replacement loans or commitments, or extensions of the maturity date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or</w:t>
      </w:r>
    </w:p>
    <w:p>
      <w:pPr>
        <w:spacing w:after="0" w:line="181" w:lineRule="exact"/>
        <w:rPr>
          <w:sz w:val="20"/>
          <w:szCs w:val="20"/>
          <w:color w:val="auto"/>
        </w:rPr>
      </w:pPr>
    </w:p>
    <w:p>
      <w:pPr>
        <w:ind w:left="1560"/>
        <w:spacing w:after="0"/>
        <w:tabs>
          <w:tab w:leader="none" w:pos="2580" w:val="left"/>
        </w:tabs>
        <w:rPr>
          <w:sz w:val="20"/>
          <w:szCs w:val="20"/>
          <w:color w:val="auto"/>
        </w:rPr>
      </w:pPr>
      <w:r>
        <w:rPr>
          <w:rFonts w:ascii="Times New Roman" w:cs="Times New Roman" w:eastAsia="Times New Roman" w:hAnsi="Times New Roman"/>
          <w:sz w:val="20"/>
          <w:szCs w:val="20"/>
          <w:color w:val="auto"/>
        </w:rPr>
        <w:t>12.1.1.6.</w:t>
      </w:r>
      <w:r>
        <w:rPr>
          <w:sz w:val="20"/>
          <w:szCs w:val="20"/>
          <w:color w:val="auto"/>
        </w:rPr>
        <w:tab/>
      </w:r>
      <w:r>
        <w:rPr>
          <w:rFonts w:ascii="Times New Roman" w:cs="Times New Roman" w:eastAsia="Times New Roman" w:hAnsi="Times New Roman"/>
          <w:sz w:val="19"/>
          <w:szCs w:val="19"/>
          <w:color w:val="auto"/>
        </w:rPr>
        <w:t>amend or modify the definition of “Pro Rata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such amendment, modification, supplement, waiver, discharge, termination or other change shall</w:t>
      </w:r>
    </w:p>
    <w:p>
      <w:pPr>
        <w:spacing w:after="0" w:line="216" w:lineRule="exact"/>
        <w:rPr>
          <w:sz w:val="20"/>
          <w:szCs w:val="20"/>
          <w:color w:val="auto"/>
        </w:rPr>
      </w:pPr>
    </w:p>
    <w:p>
      <w:pPr>
        <w:jc w:val="both"/>
        <w:ind w:left="660" w:firstLine="644"/>
        <w:spacing w:after="0" w:line="257" w:lineRule="auto"/>
        <w:tabs>
          <w:tab w:leader="none" w:pos="179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increase the Commitments of any Lender over the amount thereof then in effect without the consent of such Lender (it being understood that waivers or modifications of the definition of “Multicurrency Revolving Sublimit”,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“Applicable LC Sublimit”, </w:t>
      </w:r>
      <w:r>
        <w:rPr>
          <w:rFonts w:ascii="Times New Roman" w:cs="Times New Roman" w:eastAsia="Times New Roman" w:hAnsi="Times New Roman"/>
          <w:sz w:val="20"/>
          <w:szCs w:val="20"/>
          <w:u w:val="single" w:color="auto"/>
          <w:color w:val="auto"/>
        </w:rPr>
        <w:t>Schedule 1.1(g)</w:t>
      </w:r>
      <w:r>
        <w:rPr>
          <w:rFonts w:ascii="Times New Roman" w:cs="Times New Roman" w:eastAsia="Times New Roman" w:hAnsi="Times New Roman"/>
          <w:sz w:val="20"/>
          <w:szCs w:val="20"/>
          <w:color w:val="auto"/>
        </w:rPr>
        <w:t>, conditions precedent, representations, warranties, covenants, Events of Default or Unmatured Events of Default shall not constitute an increase of the Commitment of any Lender, and that an increase in the available portion of any Commitment of any Lender shall not constitute an increase in the Commitment of such Lender),</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0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the consent of Administrative Agent and each Facing Agent, amend, modify or waive any provision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alter the rights or obligations of any Facing Agent with respect to Letters of Credit,</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2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the consent of Administrative Agent, U.K. Administrative Agent or Canadian Administrative Agent, amend, modify or waive any provision of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as same applies to Administrative Agent, U.K. Administrative Agent or Canadian Administrative Agent or any other provisions as same relates to the rights or obligations of Administrative Agent, U.K. Administrative Agent or Canadian Administrative Agent,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3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Administrative Agent, U.K. Administrative Agent or Canadian Administrative Agent, amend, modify or waive any provisions relating to the rights or obligations of Administrative Agent, U.K. Administrative Agent or Canadian Administrative Agent under the other Loan Documents,</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69" w:lineRule="auto"/>
        <w:tabs>
          <w:tab w:leader="none" w:pos="1794"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the consent of the Majority Lenders of each Facility which is being allocated a lesser prepayment, repayment or commitment reduction, alter the required application of any prepayments or repayments (or commitment reduction), as between the various Facilities pursuant to </w:t>
      </w:r>
      <w:r>
        <w:rPr>
          <w:rFonts w:ascii="Times New Roman" w:cs="Times New Roman" w:eastAsia="Times New Roman" w:hAnsi="Times New Roman"/>
          <w:sz w:val="19"/>
          <w:szCs w:val="19"/>
          <w:u w:val="single" w:color="auto"/>
          <w:color w:val="auto"/>
        </w:rPr>
        <w:t>Section 4.5(a)</w:t>
      </w:r>
      <w:r>
        <w:rPr>
          <w:rFonts w:ascii="Times New Roman" w:cs="Times New Roman" w:eastAsia="Times New Roman" w:hAnsi="Times New Roman"/>
          <w:sz w:val="19"/>
          <w:szCs w:val="19"/>
          <w:color w:val="auto"/>
        </w:rPr>
        <w:t xml:space="preserve"> (except for technical amendments with respect to additional facilities, replacement loans or commitments, or extensions of the maturity date pursuant to </w:t>
      </w:r>
      <w:r>
        <w:rPr>
          <w:rFonts w:ascii="Times New Roman" w:cs="Times New Roman" w:eastAsia="Times New Roman" w:hAnsi="Times New Roman"/>
          <w:sz w:val="19"/>
          <w:szCs w:val="19"/>
          <w:u w:val="single" w:color="auto"/>
          <w:color w:val="auto"/>
        </w:rPr>
        <w:t>Section 2.9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(although the Required Lenders may waive in whole or in part, any such prepayment, repayment or commitment reduction so long as the application, as amongst the various Facilities, of any such prepayment, repayment or commitment reduction which is still required to be made is not altered), or</w:t>
      </w:r>
    </w:p>
    <w:p>
      <w:pPr>
        <w:spacing w:after="0" w:line="177" w:lineRule="exact"/>
        <w:rPr>
          <w:rFonts w:ascii="Times New Roman" w:cs="Times New Roman" w:eastAsia="Times New Roman" w:hAnsi="Times New Roman"/>
          <w:sz w:val="19"/>
          <w:szCs w:val="19"/>
          <w:color w:val="auto"/>
        </w:rPr>
      </w:pPr>
    </w:p>
    <w:p>
      <w:pPr>
        <w:jc w:val="both"/>
        <w:ind w:left="660" w:firstLine="644"/>
        <w:spacing w:after="0" w:line="261" w:lineRule="auto"/>
        <w:tabs>
          <w:tab w:leader="none" w:pos="188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the Majority Lenders of the applicable Facility, amend the definition of Scheduled Term Repayments for such Facility in a manner that decreases or delays any Scheduled Term Repayment, except for technical amendments with respect to additional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76" w:name="page277"/>
    <w:bookmarkEnd w:id="276"/>
    <w:p>
      <w:pPr>
        <w:ind w:left="660"/>
        <w:spacing w:after="0"/>
        <w:rPr>
          <w:sz w:val="20"/>
          <w:szCs w:val="20"/>
          <w:color w:val="auto"/>
        </w:rPr>
      </w:pPr>
      <w:r>
        <w:rPr>
          <w:rFonts w:ascii="Times New Roman" w:cs="Times New Roman" w:eastAsia="Times New Roman" w:hAnsi="Times New Roman"/>
          <w:sz w:val="20"/>
          <w:szCs w:val="20"/>
          <w:color w:val="auto"/>
        </w:rPr>
        <w:t xml:space="preserve">facilities, replacement loans or commitments, or extensions of the maturity date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provision of this Agreement may be amended, modified, supplemented, waived, discharged terminated or otherwise changed by an agreement in writing signed by the respective Credit Parties thereto, the Required Lenders (measured after giving effect to such amendment, supplement, waiver, discharger or termination) and any Administrative Agent if (a) by the terms of such agreement all Commitments of each Lender not consenting to the actions therein shall terminate upon the effectiveness of such agreement and (b) at the time such agreement becomes effective, each Lender not consenting thereto receives payment in full of the principal of and interest accrued on each Loan made by it and all other Obligations owing to it or accrued for its account under this Agreement.</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12.1.2. If, in connection with any proposed change, waiver, discharge or termination of any of the provisions of this Agreement as contemplated by </w:t>
      </w:r>
      <w:r>
        <w:rPr>
          <w:rFonts w:ascii="Times New Roman" w:cs="Times New Roman" w:eastAsia="Times New Roman" w:hAnsi="Times New Roman"/>
          <w:sz w:val="20"/>
          <w:szCs w:val="20"/>
          <w:u w:val="single" w:color="auto"/>
          <w:color w:val="auto"/>
        </w:rPr>
        <w:t>clauses (a)(i)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inclusive, of the first proviso to the third sentence of </w:t>
      </w:r>
      <w:r>
        <w:rPr>
          <w:rFonts w:ascii="Times New Roman" w:cs="Times New Roman" w:eastAsia="Times New Roman" w:hAnsi="Times New Roman"/>
          <w:sz w:val="20"/>
          <w:szCs w:val="20"/>
          <w:u w:val="single" w:color="auto"/>
          <w:color w:val="auto"/>
        </w:rPr>
        <w:t>Section 12.1(a)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 and (F)</w:t>
      </w:r>
      <w:r>
        <w:rPr>
          <w:rFonts w:ascii="Times New Roman" w:cs="Times New Roman" w:eastAsia="Times New Roman" w:hAnsi="Times New Roman"/>
          <w:sz w:val="20"/>
          <w:szCs w:val="20"/>
          <w:color w:val="auto"/>
        </w:rPr>
        <w:t xml:space="preserve"> of the second proviso to such sentence, the consent of the Required Lenders is obtained but the consent of one or more of such other Lenders whose consent is required is not obtained, then Borrowers shall have the right to replace each such non-consenting Lender or Lenders (or, at the option of Borrowers if the respective Lender’s consent is required with respect to less than all Loans, to replace only the respective Loans of the respective non-consenting Lender which gave rise to the need to obtain such Lender’s individual consent) with one or more Replacement Lenders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so long as at the time of such replacement, each such Replacement Lender consents to the proposed amendment, modification, supplement, waiver, discharge, termination or other change.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12.1.3. In addition to the amendments effected pursuant to the foregoing </w:t>
      </w:r>
      <w:r>
        <w:rPr>
          <w:rFonts w:ascii="Times New Roman" w:cs="Times New Roman" w:eastAsia="Times New Roman" w:hAnsi="Times New Roman"/>
          <w:sz w:val="20"/>
          <w:szCs w:val="20"/>
          <w:u w:val="single" w:color="auto"/>
          <w:color w:val="auto"/>
        </w:rPr>
        <w:t>Section 12.1(a)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Schedules 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1.1(d)</w:t>
      </w:r>
      <w:r>
        <w:rPr>
          <w:rFonts w:ascii="Times New Roman" w:cs="Times New Roman" w:eastAsia="Times New Roman" w:hAnsi="Times New Roman"/>
          <w:sz w:val="20"/>
          <w:szCs w:val="20"/>
          <w:color w:val="auto"/>
        </w:rPr>
        <w:t xml:space="preserve"> and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Receivables Intercreditor Agreement may be amended as follows:</w:t>
      </w:r>
    </w:p>
    <w:p>
      <w:pPr>
        <w:spacing w:after="0" w:line="200" w:lineRule="exact"/>
        <w:rPr>
          <w:sz w:val="20"/>
          <w:szCs w:val="20"/>
          <w:color w:val="auto"/>
        </w:rPr>
      </w:pPr>
    </w:p>
    <w:p>
      <w:pPr>
        <w:jc w:val="both"/>
        <w:ind w:left="660" w:firstLine="907"/>
        <w:spacing w:after="0" w:line="253" w:lineRule="auto"/>
        <w:rPr>
          <w:sz w:val="20"/>
          <w:szCs w:val="20"/>
          <w:color w:val="auto"/>
        </w:rPr>
      </w:pPr>
      <w:r>
        <w:rPr>
          <w:rFonts w:ascii="Times New Roman" w:cs="Times New Roman" w:eastAsia="Times New Roman" w:hAnsi="Times New Roman"/>
          <w:sz w:val="20"/>
          <w:szCs w:val="20"/>
          <w:color w:val="auto"/>
        </w:rPr>
        <w:t xml:space="preserve">12.1.3.1. </w:t>
      </w:r>
      <w:r>
        <w:rPr>
          <w:rFonts w:ascii="Times New Roman" w:cs="Times New Roman" w:eastAsia="Times New Roman" w:hAnsi="Times New Roman"/>
          <w:sz w:val="20"/>
          <w:szCs w:val="20"/>
          <w:u w:val="single" w:color="auto"/>
          <w:color w:val="auto"/>
        </w:rPr>
        <w:t>Schedules 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will be amended to add Non-U.S. Subsidiaries of Crown International Holdings as additional Subsidiary Borrowers upon (A) execution and delivery by European Borrower, any such Subsidiary Borrower and Administrative Agent of a Joinder Agreement in the form of </w:t>
      </w:r>
      <w:r>
        <w:rPr>
          <w:rFonts w:ascii="Times New Roman" w:cs="Times New Roman" w:eastAsia="Times New Roman" w:hAnsi="Times New Roman"/>
          <w:sz w:val="20"/>
          <w:szCs w:val="20"/>
          <w:u w:val="single" w:color="auto"/>
          <w:color w:val="auto"/>
        </w:rPr>
        <w:t>Exhibit 12.1(c)</w:t>
      </w:r>
      <w:r>
        <w:rPr>
          <w:rFonts w:ascii="Times New Roman" w:cs="Times New Roman" w:eastAsia="Times New Roman" w:hAnsi="Times New Roman"/>
          <w:sz w:val="20"/>
          <w:szCs w:val="20"/>
          <w:color w:val="auto"/>
        </w:rPr>
        <w:t xml:space="preserve"> (or such other form as mutually agreed by Crown Holdings and the Administrative Agent), providing for a Multicurrency Revolving Sublimit acceptable to U.K. Administrative Agent, (B) delivery to Administrative Agents of (1) to the extent not previously delivered, the Additional Security Documents required pursuant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(2) an opinion of counsel which covers matters reasonably satisfactory to Administrative Agent and (3) to the extent not previously delivered, all documentation and other information required under </w:t>
      </w:r>
      <w:r>
        <w:rPr>
          <w:rFonts w:ascii="Times New Roman" w:cs="Times New Roman" w:eastAsia="Times New Roman" w:hAnsi="Times New Roman"/>
          <w:sz w:val="20"/>
          <w:szCs w:val="20"/>
          <w:u w:val="single" w:color="auto"/>
          <w:color w:val="auto"/>
        </w:rPr>
        <w:t>Section 5.1(f)(ii)</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 xml:space="preserve">12.1.3.2. </w:t>
      </w:r>
      <w:r>
        <w:rPr>
          <w:rFonts w:ascii="Times New Roman" w:cs="Times New Roman" w:eastAsia="Times New Roman" w:hAnsi="Times New Roman"/>
          <w:sz w:val="20"/>
          <w:szCs w:val="20"/>
          <w:u w:val="single" w:color="auto"/>
          <w:color w:val="auto"/>
        </w:rPr>
        <w:t>Schedules 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will be amended to remove any Subsidiary as a Subsidiary Borrower upon (A) execution and delivery by European Borrower of a written request providing for such amendment and (B) repayment in full of all outstanding Loans and other Obligations of such Subsidiary Borrower.</w:t>
      </w:r>
    </w:p>
    <w:p>
      <w:pPr>
        <w:spacing w:after="0" w:line="181" w:lineRule="exact"/>
        <w:rPr>
          <w:sz w:val="20"/>
          <w:szCs w:val="20"/>
          <w:color w:val="auto"/>
        </w:rPr>
      </w:pPr>
    </w:p>
    <w:p>
      <w:pPr>
        <w:jc w:val="both"/>
        <w:ind w:left="660" w:firstLine="907"/>
        <w:spacing w:after="0" w:line="283" w:lineRule="auto"/>
        <w:rPr>
          <w:sz w:val="20"/>
          <w:szCs w:val="20"/>
          <w:color w:val="auto"/>
        </w:rPr>
      </w:pPr>
      <w:r>
        <w:rPr>
          <w:rFonts w:ascii="Times New Roman" w:cs="Times New Roman" w:eastAsia="Times New Roman" w:hAnsi="Times New Roman"/>
          <w:sz w:val="20"/>
          <w:szCs w:val="20"/>
          <w:color w:val="auto"/>
        </w:rPr>
        <w:t>12.1.3.3. Any Receivables Intercreditor Agreement may be amended in writing by the parties thereto without the consent of the Lenders.</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12.1.4. Notwithstanding the foregoing, upon the execution and delivery of all documentation required by Administrative Agent to be delivered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in connection with any Additional Facility, Replacement Term Loans, Replacement Term Commitments,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223</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77" w:name="page278"/>
    <w:bookmarkEnd w:id="277"/>
    <w:p>
      <w:pPr>
        <w:jc w:val="both"/>
        <w:spacing w:after="0" w:line="261" w:lineRule="auto"/>
        <w:rPr>
          <w:sz w:val="20"/>
          <w:szCs w:val="20"/>
          <w:color w:val="auto"/>
        </w:rPr>
      </w:pPr>
      <w:r>
        <w:rPr>
          <w:rFonts w:ascii="Times New Roman" w:cs="Times New Roman" w:eastAsia="Times New Roman" w:hAnsi="Times New Roman"/>
          <w:sz w:val="20"/>
          <w:szCs w:val="20"/>
          <w:color w:val="auto"/>
        </w:rPr>
        <w:t>Replacement Revolving Loans, Replacement Revolving Commitments, and/or any New Maturity Date, as applicable, this Agreement shall be deemed amended without further action by any Lender to reflect, as applicable, any new Lenders and technical and conforming amendments to reflect the terms of such Additional Facility.</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12.1.5. A Revolving Lender may allocate any proportion of its Revolving Commitment or Revolving Credit Exposure with respect to any waiver, amendment, modification, consent or any other action pursuant to this </w:t>
      </w: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or any other Loan Document in order to vote separate portions thereof differently with respect thereto.</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12.1.6. In addition, notwithstanding the foregoing, this Agreement may be amended with the written consent of Administrative Agent, Crown Holdings, Borrowers and the Lenders providing the relevant Replacement Term Loans (as defined below) to permit the refinancing of all Term Loans outstanding under one or more Term Facilities (“</w:t>
      </w:r>
      <w:r>
        <w:rPr>
          <w:rFonts w:ascii="Times New Roman" w:cs="Times New Roman" w:eastAsia="Times New Roman" w:hAnsi="Times New Roman"/>
          <w:sz w:val="20"/>
          <w:szCs w:val="20"/>
          <w:u w:val="single" w:color="auto"/>
          <w:color w:val="auto"/>
        </w:rPr>
        <w:t>Refinanced Term Loans</w:t>
      </w:r>
      <w:r>
        <w:rPr>
          <w:rFonts w:ascii="Times New Roman" w:cs="Times New Roman" w:eastAsia="Times New Roman" w:hAnsi="Times New Roman"/>
          <w:sz w:val="20"/>
          <w:szCs w:val="20"/>
          <w:color w:val="auto"/>
        </w:rPr>
        <w:t>”) with a replacement term loan tranche hereunder which shall be Loans hereunder (“</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principal amount of such Replacement Term Loans shall not exceed the aggregate principal amount of such Refinanced Term Loans, (b) the weighted average life to maturity of such Replacement Term Loans shall not be shorter than the weighted average life to maturity of such Refinanced Term Loans at the time of such refinancing and (c) all other terms applicable to such Replacement Term Loans shall be substantially identical to, or less favorable to the Lenders providing such Replacement Term Loans than, those applicable to such Refinanced Term Loans, except to the extent necessary to provide for covenants and other terms applicable to any period after the latest final maturity of any Term Loans in effect immediately prior to such refinancing.</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12.1.7. Notwithstanding the foregoing, with respect to amendments under </w:t>
      </w:r>
      <w:r>
        <w:rPr>
          <w:rFonts w:ascii="Times New Roman" w:cs="Times New Roman" w:eastAsia="Times New Roman" w:hAnsi="Times New Roman"/>
          <w:sz w:val="20"/>
          <w:szCs w:val="20"/>
          <w:u w:val="single" w:color="auto"/>
          <w:color w:val="auto"/>
        </w:rPr>
        <w:t>Section 12.1(a)</w:t>
      </w:r>
      <w:r>
        <w:rPr>
          <w:rFonts w:ascii="Times New Roman" w:cs="Times New Roman" w:eastAsia="Times New Roman" w:hAnsi="Times New Roman"/>
          <w:sz w:val="20"/>
          <w:szCs w:val="20"/>
          <w:color w:val="auto"/>
        </w:rPr>
        <w:t xml:space="preserve"> requiring the approval of all of the Lenders adversely affected thereby, if all such Lenders other than one or more Defaulting Lenders approve such amendment, the failure of such Defaulting Lenders to approve such amendment shall not prevent such amendment from becoming effective with respect to such Lenders approving such amendment (it being understood that such amendment will not be effective with respect to such Defaulting Lenders that do not approve such amendment).</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12.1.8. Notwithstanding the foregoing, amendments and waivers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any of financial definitions included in (and for purposes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will require only the consent of the Majority Lenders under the Revolving Facilities, the Term Loan A Facility and the Term Euro Facility and no other consents or approvals from any Lender shall be required.</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12.1.9. Notwithstanding anything to the contrary in any Loan Document, in connection with any determination as to whether the requisite Lenders have (A) consented (or not consented) to any waiver, amendment or modification of any provision of this Agreement or any other Loan Document or any departure by any Loan Party therefrom, (B) otherwise acted on any matter related to this Agreement or any Loan Document or (C) directed or required the Administrative Agent, the Collateral Agent or any Lender to undertake any action (or refrain from taking any action) with respect to, or under, this Agreement or any other Loan Document, any Lender (other than an Excluded Lender) that, as a result of its interest (or its and its Covered Affiliates’ collective interests)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hereunder or with respect to any other tranche, class or series of Indebtedness for borrowed money incurred or issued by any Borrower or any of their Subsidiaries or Crown Holdings at such time of</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224</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78" w:name="page279"/>
    <w:bookmarkEnd w:id="278"/>
    <w:p>
      <w:pPr>
        <w:jc w:val="both"/>
        <w:spacing w:after="0" w:line="250" w:lineRule="auto"/>
        <w:rPr>
          <w:sz w:val="20"/>
          <w:szCs w:val="20"/>
          <w:color w:val="auto"/>
        </w:rPr>
      </w:pPr>
      <w:r>
        <w:rPr>
          <w:rFonts w:ascii="Times New Roman" w:cs="Times New Roman" w:eastAsia="Times New Roman" w:hAnsi="Times New Roman"/>
          <w:sz w:val="20"/>
          <w:szCs w:val="20"/>
          <w:color w:val="auto"/>
        </w:rPr>
        <w:t>determination (including commitments with respect to any revolving credit facility) (each such item of Indebtedness, including the Loan and Commitments, “</w:t>
      </w:r>
      <w:r>
        <w:rPr>
          <w:rFonts w:ascii="Times New Roman" w:cs="Times New Roman" w:eastAsia="Times New Roman" w:hAnsi="Times New Roman"/>
          <w:sz w:val="20"/>
          <w:szCs w:val="20"/>
          <w:u w:val="single" w:color="auto"/>
          <w:color w:val="auto"/>
        </w:rPr>
        <w:t>Specified Indebtedness</w:t>
      </w:r>
      <w:r>
        <w:rPr>
          <w:rFonts w:ascii="Times New Roman" w:cs="Times New Roman" w:eastAsia="Times New Roman" w:hAnsi="Times New Roman"/>
          <w:sz w:val="20"/>
          <w:szCs w:val="20"/>
          <w:color w:val="auto"/>
        </w:rPr>
        <w:t>” and each such Lender, a “</w:t>
      </w:r>
      <w:r>
        <w:rPr>
          <w:rFonts w:ascii="Times New Roman" w:cs="Times New Roman" w:eastAsia="Times New Roman" w:hAnsi="Times New Roman"/>
          <w:sz w:val="20"/>
          <w:szCs w:val="20"/>
          <w:u w:val="single" w:color="auto"/>
          <w:color w:val="auto"/>
        </w:rPr>
        <w:t>Net Short Lender</w:t>
      </w:r>
      <w:r>
        <w:rPr>
          <w:rFonts w:ascii="Times New Roman" w:cs="Times New Roman" w:eastAsia="Times New Roman" w:hAnsi="Times New Roman"/>
          <w:sz w:val="20"/>
          <w:szCs w:val="20"/>
          <w:color w:val="auto"/>
        </w:rPr>
        <w:t>”) shall have no right to vote with respect to any waiver, amendment or modification of this Agreement or any other Loan Documents and shall be deemed to have voted its interest as a Lender without discretion in the same proportion as the allocation of voting with respect to such matter by Lenders who are not Net Short Lenders (including in any plan of reorganization). In connection with any waiver, amendment or modification of this Agreement or the other Loan Documents, each Lender (other than any Excluded Lender) will be deemed to have represented to Crown Holdings and the Administrative Agent that it does not constitute a Net Short Lender, in each case, unless such Lender shall have notified Crown Holdings and the Administrative Agent prior to the requested response date with respect to such waiver, amendment or modification that it constitutes a Net Short Lender (it being understood and agreed that Crown Holdings and the Administrative Agent shall be entitled to rely on each such representation and deemed representation).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12.1.10.For purposes of the preceding clause:</w:t>
      </w:r>
    </w:p>
    <w:p>
      <w:pPr>
        <w:spacing w:after="0" w:line="229" w:lineRule="exact"/>
        <w:rPr>
          <w:sz w:val="20"/>
          <w:szCs w:val="20"/>
          <w:color w:val="auto"/>
        </w:rPr>
      </w:pPr>
    </w:p>
    <w:p>
      <w:pPr>
        <w:jc w:val="both"/>
        <w:ind w:left="660" w:firstLine="907"/>
        <w:spacing w:after="0" w:line="254" w:lineRule="auto"/>
        <w:rPr>
          <w:sz w:val="20"/>
          <w:szCs w:val="20"/>
          <w:color w:val="auto"/>
        </w:rPr>
      </w:pPr>
      <w:r>
        <w:rPr>
          <w:rFonts w:ascii="Times New Roman" w:cs="Times New Roman" w:eastAsia="Times New Roman" w:hAnsi="Times New Roman"/>
          <w:sz w:val="20"/>
          <w:szCs w:val="20"/>
          <w:color w:val="auto"/>
        </w:rPr>
        <w:t>12.1.10.1. “Covered Affiliate” means any Affiliate of a Lender (provided that for this purpose, Affiliates shall not include Persons that are subject to customary procedures to prevent the sharing of confidential information between such Lender and such Person if such Person has fiduciary duties to investors or other equityholders of such Person and such investors or equityholders are not the same as the investors or equityholders of such Lender).</w:t>
      </w:r>
    </w:p>
    <w:p>
      <w:pPr>
        <w:spacing w:after="0" w:line="187" w:lineRule="exact"/>
        <w:rPr>
          <w:sz w:val="20"/>
          <w:szCs w:val="20"/>
          <w:color w:val="auto"/>
        </w:rPr>
      </w:pPr>
    </w:p>
    <w:p>
      <w:pPr>
        <w:jc w:val="both"/>
        <w:ind w:left="660" w:firstLine="907"/>
        <w:spacing w:after="0" w:line="253" w:lineRule="auto"/>
        <w:rPr>
          <w:sz w:val="20"/>
          <w:szCs w:val="20"/>
          <w:color w:val="auto"/>
        </w:rPr>
      </w:pPr>
      <w:r>
        <w:rPr>
          <w:rFonts w:ascii="Times New Roman" w:cs="Times New Roman" w:eastAsia="Times New Roman" w:hAnsi="Times New Roman"/>
          <w:sz w:val="20"/>
          <w:szCs w:val="20"/>
          <w:color w:val="auto"/>
        </w:rPr>
        <w:t>12.1.10.2. “Excluded Lender” means (A) any Lender that is a Regulated Bank, (B) any Lender as of the Closing Date and (C) any Affiliate of a Regulated Bank to the extent that (1) all of the equity of such Affiliate is directly or indirectly owned by either (I) such Regulated Bank or (II) a parent entity that also owns, directly or indirectly, all of the equity of such Regulated Bank and (2) such Affiliate is a securities broker or dealer registered with the SEC under section 15 of the Securities Exchange Act of 1934).</w:t>
      </w:r>
    </w:p>
    <w:p>
      <w:pPr>
        <w:spacing w:after="0" w:line="192" w:lineRule="exact"/>
        <w:rPr>
          <w:sz w:val="20"/>
          <w:szCs w:val="20"/>
          <w:color w:val="auto"/>
        </w:rPr>
      </w:pPr>
    </w:p>
    <w:p>
      <w:pPr>
        <w:jc w:val="both"/>
        <w:ind w:left="660" w:firstLine="907"/>
        <w:spacing w:after="0" w:line="251" w:lineRule="auto"/>
        <w:rPr>
          <w:sz w:val="20"/>
          <w:szCs w:val="20"/>
          <w:color w:val="auto"/>
        </w:rPr>
      </w:pPr>
      <w:r>
        <w:rPr>
          <w:rFonts w:ascii="Times New Roman" w:cs="Times New Roman" w:eastAsia="Times New Roman" w:hAnsi="Times New Roman"/>
          <w:sz w:val="20"/>
          <w:szCs w:val="20"/>
          <w:color w:val="auto"/>
        </w:rPr>
        <w:t>12.1.10.3. “Regulated Bank” means a commercial bank with a consolidated combined capital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93" w:lineRule="exact"/>
        <w:rPr>
          <w:sz w:val="20"/>
          <w:szCs w:val="20"/>
          <w:color w:val="auto"/>
        </w:rPr>
      </w:pPr>
    </w:p>
    <w:p>
      <w:pPr>
        <w:jc w:val="both"/>
        <w:ind w:left="660" w:firstLine="907"/>
        <w:spacing w:after="0" w:line="251" w:lineRule="auto"/>
        <w:rPr>
          <w:sz w:val="20"/>
          <w:szCs w:val="20"/>
          <w:color w:val="auto"/>
        </w:rPr>
      </w:pPr>
      <w:r>
        <w:rPr>
          <w:rFonts w:ascii="Times New Roman" w:cs="Times New Roman" w:eastAsia="Times New Roman" w:hAnsi="Times New Roman"/>
          <w:sz w:val="20"/>
          <w:szCs w:val="20"/>
          <w:color w:val="auto"/>
        </w:rPr>
        <w:t>12.1.10.4. For purposes of determining whether a Lender (alone or together with its Covered Affiliates) has a “net short position”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Crown Holdings, any Borrower or any Subsidiary or any instrument issued or guaranteed by Crown Holdings, any Borrower or any Subsidiary shall not be deemed to create a short position with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79" w:name="page280"/>
    <w:bookmarkEnd w:id="279"/>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respect to such Specified Indebtedness, so long as (x) such index is not created, designed, administered or requested by such Lender or its Covered Affiliates and (y) Crown Holdings, the Borrowers and the other Subsidiaries and any instrument issued or guaranteed by such persons,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20"/>
          <w:szCs w:val="20"/>
          <w:u w:val="single" w:color="auto"/>
          <w:color w:val="auto"/>
        </w:rPr>
        <w:t>ISDA CDS Definitions</w:t>
      </w:r>
      <w:r>
        <w:rPr>
          <w:rFonts w:ascii="Times New Roman" w:cs="Times New Roman" w:eastAsia="Times New Roman" w:hAnsi="Times New Roman"/>
          <w:sz w:val="20"/>
          <w:szCs w:val="20"/>
          <w:color w:val="auto"/>
        </w:rPr>
        <w:t>”) shall be deemed to create a short position with respect to the relevant Specified Indebtedness if such Lender or its Covered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Crown Holdings, any Borrower or any Subsidiary is designated as a “Reference Entity” under the terms of such derivative transaction and</w:t>
      </w:r>
    </w:p>
    <w:p>
      <w:pPr>
        <w:spacing w:after="0" w:line="10" w:lineRule="exact"/>
        <w:rPr>
          <w:sz w:val="20"/>
          <w:szCs w:val="20"/>
          <w:color w:val="auto"/>
        </w:rPr>
      </w:pPr>
    </w:p>
    <w:p>
      <w:pPr>
        <w:jc w:val="both"/>
        <w:ind w:left="660" w:hanging="4"/>
        <w:spacing w:after="0" w:line="250" w:lineRule="auto"/>
        <w:tabs>
          <w:tab w:leader="none" w:pos="94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derivative transactions or other derivatives transactions not documented using the ISDA CDS Definitions shall be deemed to create a short position with respect to any Specified Indebtedness if such transactions offer the Lender or its Covered Affiliates protection against a decline in the value of such Specified Indebtedness, or in the credit quality of Crown Holdings, any Borrower or any Subsidiary, in each case, other than as part of an index so long as (x) such index is not created, designed, administered or requested by such Lender or its Covered Affiliates and (y) Crown Holdings, any Borrower and the Subsidiaries, and any instrument issued or guaranteed by such persons, collectively, shall represent less than 5% of the components of such index.</w:t>
      </w:r>
    </w:p>
    <w:p>
      <w:pPr>
        <w:spacing w:after="0" w:line="181" w:lineRule="exact"/>
        <w:rPr>
          <w:sz w:val="20"/>
          <w:szCs w:val="20"/>
          <w:color w:val="auto"/>
        </w:rPr>
      </w:pPr>
    </w:p>
    <w:p>
      <w:pPr>
        <w:jc w:val="both"/>
        <w:ind w:left="660" w:firstLine="907"/>
        <w:spacing w:after="0" w:line="264" w:lineRule="auto"/>
        <w:rPr>
          <w:sz w:val="20"/>
          <w:szCs w:val="20"/>
          <w:color w:val="auto"/>
        </w:rPr>
      </w:pPr>
      <w:r>
        <w:rPr>
          <w:rFonts w:ascii="Times New Roman" w:cs="Times New Roman" w:eastAsia="Times New Roman" w:hAnsi="Times New Roman"/>
          <w:sz w:val="19"/>
          <w:szCs w:val="19"/>
          <w:color w:val="auto"/>
        </w:rPr>
        <w:t xml:space="preserve">12.1.10.5. Except with respect to the exercise of setoff rights in accordance with </w:t>
      </w:r>
      <w:r>
        <w:rPr>
          <w:rFonts w:ascii="Times New Roman" w:cs="Times New Roman" w:eastAsia="Times New Roman" w:hAnsi="Times New Roman"/>
          <w:sz w:val="19"/>
          <w:szCs w:val="19"/>
          <w:u w:val="single" w:color="auto"/>
          <w:color w:val="auto"/>
        </w:rPr>
        <w:t>Section 12.6</w:t>
      </w:r>
      <w:r>
        <w:rPr>
          <w:rFonts w:ascii="Times New Roman" w:cs="Times New Roman" w:eastAsia="Times New Roman" w:hAnsi="Times New Roman"/>
          <w:sz w:val="19"/>
          <w:szCs w:val="19"/>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or the Collateral Agent, as applicable, on behalf of the Secured Parties in accordance with the terms thereof. Each Secured Party agrees that it shall not, and it shall not permit any of its Affiliates to, and hereby waives any right it or its Affiliates may have to, take or institute any actions or proceedings, judicial or otherwise, for any right or remedy against any Loan Party or any past, present or future Subsidiary of any Loan Party under any of the Loan Documents or in respect of any Swap Obligations or Secured Swap Obligations (including any exercise of any right of setoff, rights on account of any banker’s lien or similar claim or other rights of self-help), or institute any actions or proceedings, or otherwise commence any remedial procedures, with respect to any Collateral or any other property of any such Loan Party or any past, present or future Subsidiary of any Loan Party, without the prior written consent of the Administrative Agent. The provisions of </w:t>
      </w:r>
      <w:r>
        <w:rPr>
          <w:rFonts w:ascii="Times New Roman" w:cs="Times New Roman" w:eastAsia="Times New Roman" w:hAnsi="Times New Roman"/>
          <w:sz w:val="19"/>
          <w:szCs w:val="19"/>
          <w:u w:val="single" w:color="auto"/>
          <w:color w:val="auto"/>
        </w:rPr>
        <w:t>Section 12.1(i)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may be enforced against any Secured Party by the Required Lenders, any Agent or Crown Holdings (or any of their Affiliates) and each Secured Party expressly acknowledges that this sentence shall be available as a defense of Crown Holdings (or any of its Affiliates) in any such action, proceeding or remedial procedure.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12.2. Further Assurances. Crown Holdings agrees to, and to cause its Subsidiaries to, do such further acts and things and to execute and deliver to Agent such additional assignments, agreements, powers and instruments, as Agent may reasonably require or deem advisable to carry into effect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226</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80" w:name="page281"/>
    <w:bookmarkEnd w:id="280"/>
    <w:p>
      <w:pPr>
        <w:jc w:val="both"/>
        <w:spacing w:after="0" w:line="283" w:lineRule="auto"/>
        <w:rPr>
          <w:sz w:val="20"/>
          <w:szCs w:val="20"/>
          <w:color w:val="auto"/>
        </w:rPr>
      </w:pPr>
      <w:r>
        <w:rPr>
          <w:rFonts w:ascii="Times New Roman" w:cs="Times New Roman" w:eastAsia="Times New Roman" w:hAnsi="Times New Roman"/>
          <w:sz w:val="20"/>
          <w:szCs w:val="20"/>
          <w:color w:val="auto"/>
        </w:rPr>
        <w:t>purposes of this Agreement or any of the Loan Documents or to better assure and confirm unto Agent its rights, powers and remedies hereunder.</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12.3.</w:t>
      </w:r>
      <w:r>
        <w:rPr>
          <w:sz w:val="20"/>
          <w:szCs w:val="20"/>
          <w:color w:val="auto"/>
        </w:rPr>
        <w:tab/>
      </w:r>
      <w:r>
        <w:rPr>
          <w:rFonts w:ascii="Times New Roman" w:cs="Times New Roman" w:eastAsia="Times New Roman" w:hAnsi="Times New Roman"/>
          <w:sz w:val="19"/>
          <w:szCs w:val="19"/>
          <w:color w:val="auto"/>
        </w:rPr>
        <w:t>Notices, Etc.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12.3.1. Except where telephonic instructions or notices are authorized herein to be given (and except as provided in paragraph (b) below), all notices, demands, instructions and other communications required or permitted to be given to or made upon any party hereto or any other Person shall be in writing and shall be personally delivered or sent by registered or certified mail, postage prepaid, return receipt requested, or by a reputable overnight or courier delivery service, or by telecopier, and shall be deemed to be given for purposes of this Agreement when received or in the case of notice delivered by telecopy, upon completion of transmission with a copy of such notice also being delivered under any of the methods provided above, all in accordance with the provisions of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xml:space="preserve">. Unless otherwise specified in a notice sent or delivered in accordance with the foregoing provisions of this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notices, demands, instructions and other communications in writing shall be given to or made upon the respective parties hereto at their respective addresses (or to their respective telecopier numbers) and, in the case of telephonic instructions or notices, by calling the telephone number or numbers indicated for such party as follows:</w:t>
      </w:r>
    </w:p>
    <w:p>
      <w:pPr>
        <w:spacing w:after="0" w:line="196" w:lineRule="exact"/>
        <w:rPr>
          <w:sz w:val="20"/>
          <w:szCs w:val="20"/>
          <w:color w:val="auto"/>
        </w:rPr>
      </w:pPr>
    </w:p>
    <w:p>
      <w:pPr>
        <w:jc w:val="both"/>
        <w:ind w:left="660" w:firstLine="907"/>
        <w:spacing w:after="0" w:line="258" w:lineRule="auto"/>
        <w:rPr>
          <w:sz w:val="20"/>
          <w:szCs w:val="20"/>
          <w:color w:val="auto"/>
        </w:rPr>
      </w:pPr>
      <w:r>
        <w:rPr>
          <w:rFonts w:ascii="Times New Roman" w:cs="Times New Roman" w:eastAsia="Times New Roman" w:hAnsi="Times New Roman"/>
          <w:sz w:val="20"/>
          <w:szCs w:val="20"/>
          <w:color w:val="auto"/>
        </w:rPr>
        <w:t>12.3.1.1. if to Crown Holdings, Crown International, CCSC, U.S. Borrower, European Borrower or Canadian Borrower, to it at One Crown Way, Philadelphia, Pennsylvania 19154, attention: Mr. Tom Kelly (telecopy: (215) 276-6011), with a copy to Dechert LLP, 2929 Arch Street, Philadelphia, Pennsylvania 19104, attention: Mr. Ian A. Hartman, Esq. (telecopy: (215) 994-2222) and Ms. Angelina X. Liang, Esq. (telecopy: (212) 698-3599);</w:t>
      </w:r>
    </w:p>
    <w:p>
      <w:pPr>
        <w:spacing w:after="0" w:line="172" w:lineRule="exact"/>
        <w:rPr>
          <w:sz w:val="20"/>
          <w:szCs w:val="20"/>
          <w:color w:val="auto"/>
        </w:rPr>
      </w:pPr>
    </w:p>
    <w:p>
      <w:pPr>
        <w:ind w:left="1560"/>
        <w:spacing w:after="0"/>
        <w:tabs>
          <w:tab w:leader="none" w:pos="2580" w:val="left"/>
        </w:tabs>
        <w:rPr>
          <w:sz w:val="20"/>
          <w:szCs w:val="20"/>
          <w:color w:val="auto"/>
        </w:rPr>
      </w:pPr>
      <w:r>
        <w:rPr>
          <w:rFonts w:ascii="Times New Roman" w:cs="Times New Roman" w:eastAsia="Times New Roman" w:hAnsi="Times New Roman"/>
          <w:sz w:val="20"/>
          <w:szCs w:val="20"/>
          <w:color w:val="auto"/>
        </w:rPr>
        <w:t>12.3.1.2.</w:t>
      </w:r>
      <w:r>
        <w:rPr>
          <w:sz w:val="20"/>
          <w:szCs w:val="20"/>
          <w:color w:val="auto"/>
        </w:rPr>
        <w:tab/>
      </w:r>
      <w:r>
        <w:rPr>
          <w:rFonts w:ascii="Times New Roman" w:cs="Times New Roman" w:eastAsia="Times New Roman" w:hAnsi="Times New Roman"/>
          <w:sz w:val="19"/>
          <w:szCs w:val="19"/>
          <w:color w:val="auto"/>
        </w:rPr>
        <w:t>if to Administrative Agent, to it at the Notice Address;</w:t>
      </w:r>
    </w:p>
    <w:p>
      <w:pPr>
        <w:spacing w:after="0" w:line="229" w:lineRule="exact"/>
        <w:rPr>
          <w:sz w:val="20"/>
          <w:szCs w:val="20"/>
          <w:color w:val="auto"/>
        </w:rPr>
      </w:pPr>
    </w:p>
    <w:p>
      <w:pPr>
        <w:ind w:left="1560"/>
        <w:spacing w:after="0"/>
        <w:tabs>
          <w:tab w:leader="none" w:pos="2580" w:val="left"/>
        </w:tabs>
        <w:rPr>
          <w:sz w:val="20"/>
          <w:szCs w:val="20"/>
          <w:color w:val="auto"/>
        </w:rPr>
      </w:pPr>
      <w:r>
        <w:rPr>
          <w:rFonts w:ascii="Times New Roman" w:cs="Times New Roman" w:eastAsia="Times New Roman" w:hAnsi="Times New Roman"/>
          <w:sz w:val="20"/>
          <w:szCs w:val="20"/>
          <w:color w:val="auto"/>
        </w:rPr>
        <w:t>12.3.1.3.</w:t>
      </w:r>
      <w:r>
        <w:rPr>
          <w:sz w:val="20"/>
          <w:szCs w:val="20"/>
          <w:color w:val="auto"/>
        </w:rPr>
        <w:tab/>
      </w:r>
      <w:r>
        <w:rPr>
          <w:rFonts w:ascii="Times New Roman" w:cs="Times New Roman" w:eastAsia="Times New Roman" w:hAnsi="Times New Roman"/>
          <w:sz w:val="19"/>
          <w:szCs w:val="19"/>
          <w:color w:val="auto"/>
        </w:rPr>
        <w:t>if to U.K. Administrative Agent, to it at the Notice Address;</w:t>
      </w:r>
    </w:p>
    <w:p>
      <w:pPr>
        <w:spacing w:after="0" w:line="216" w:lineRule="exact"/>
        <w:rPr>
          <w:sz w:val="20"/>
          <w:szCs w:val="20"/>
          <w:color w:val="auto"/>
        </w:rPr>
      </w:pPr>
    </w:p>
    <w:p>
      <w:pPr>
        <w:ind w:left="1560"/>
        <w:spacing w:after="0"/>
        <w:tabs>
          <w:tab w:leader="none" w:pos="2580" w:val="left"/>
        </w:tabs>
        <w:rPr>
          <w:sz w:val="20"/>
          <w:szCs w:val="20"/>
          <w:color w:val="auto"/>
        </w:rPr>
      </w:pPr>
      <w:r>
        <w:rPr>
          <w:rFonts w:ascii="Times New Roman" w:cs="Times New Roman" w:eastAsia="Times New Roman" w:hAnsi="Times New Roman"/>
          <w:sz w:val="20"/>
          <w:szCs w:val="20"/>
          <w:color w:val="auto"/>
        </w:rPr>
        <w:t>12.3.1.4.</w:t>
      </w:r>
      <w:r>
        <w:rPr>
          <w:sz w:val="20"/>
          <w:szCs w:val="20"/>
          <w:color w:val="auto"/>
        </w:rPr>
        <w:tab/>
      </w:r>
      <w:r>
        <w:rPr>
          <w:rFonts w:ascii="Times New Roman" w:cs="Times New Roman" w:eastAsia="Times New Roman" w:hAnsi="Times New Roman"/>
          <w:sz w:val="19"/>
          <w:szCs w:val="19"/>
          <w:color w:val="auto"/>
        </w:rPr>
        <w:t>if to Canadian Administrative Agent, to it at the Notice Address;</w:t>
      </w:r>
    </w:p>
    <w:p>
      <w:pPr>
        <w:spacing w:after="0" w:line="229" w:lineRule="exact"/>
        <w:rPr>
          <w:sz w:val="20"/>
          <w:szCs w:val="20"/>
          <w:color w:val="auto"/>
        </w:rPr>
      </w:pPr>
    </w:p>
    <w:p>
      <w:pPr>
        <w:jc w:val="both"/>
        <w:ind w:left="660" w:firstLine="907"/>
        <w:spacing w:after="0" w:line="269" w:lineRule="auto"/>
        <w:rPr>
          <w:sz w:val="20"/>
          <w:szCs w:val="20"/>
          <w:color w:val="auto"/>
        </w:rPr>
      </w:pPr>
      <w:r>
        <w:rPr>
          <w:rFonts w:ascii="Times New Roman" w:cs="Times New Roman" w:eastAsia="Times New Roman" w:hAnsi="Times New Roman"/>
          <w:sz w:val="20"/>
          <w:szCs w:val="20"/>
          <w:color w:val="auto"/>
        </w:rPr>
        <w:t>12.3.1.5. if to Deutsche Bank AG London Branch, as Facing Agent, to it at 175 Bishopsgate, EC2A 2JN London, United Kingdom;</w:t>
      </w:r>
    </w:p>
    <w:p>
      <w:pPr>
        <w:spacing w:after="0" w:line="173" w:lineRule="exact"/>
        <w:rPr>
          <w:sz w:val="20"/>
          <w:szCs w:val="20"/>
          <w:color w:val="auto"/>
        </w:rPr>
      </w:pPr>
    </w:p>
    <w:p>
      <w:pPr>
        <w:jc w:val="both"/>
        <w:ind w:left="660" w:right="20" w:firstLine="907"/>
        <w:spacing w:after="0" w:line="261" w:lineRule="auto"/>
        <w:rPr>
          <w:sz w:val="20"/>
          <w:szCs w:val="20"/>
          <w:color w:val="auto"/>
        </w:rPr>
      </w:pPr>
      <w:r>
        <w:rPr>
          <w:rFonts w:ascii="Times New Roman" w:cs="Times New Roman" w:eastAsia="Times New Roman" w:hAnsi="Times New Roman"/>
          <w:sz w:val="20"/>
          <w:szCs w:val="20"/>
          <w:color w:val="auto"/>
        </w:rPr>
        <w:t>12.3.1.6. if to a Lender or any other Facing Agent, to it at its address (or telecopy number) set forth on its most recent administrative questionnaire delivered to Administrative Agent or in the assignment and acceptance agreement pursuant to which such Lender shall have become a party hereto.</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12.3.2. Notices and other communications to or by any Agent, the Lenders and the Facing Agent hereunder may be delivered or furnished by electronic communication (including e-mail and Internet or intranet websites) pursuant to procedures approved by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unless otherwise agreed by Administrative Agent and the applicable Lender and, to the extent applicable, the Facing Agent. Any Agent or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81" w:name="page282"/>
    <w:bookmarkEnd w:id="281"/>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Unless Administrative Agent otherwise prescribes, (i) notices and other communications sent to an e-mail address or by facsimile transmission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or other communication is sent after 5:00 p.m. (New York City time),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Each Credit Party and Lender hereunder agrees to notify Administrative Agent in writing promptly of any change to the notice information provided above.</w:t>
      </w:r>
    </w:p>
    <w:p>
      <w:pPr>
        <w:spacing w:after="0" w:line="1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color w:val="auto"/>
        </w:rPr>
        <w:t>Costs and Expenses; Indemnification.</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12.4.1. </w:t>
      </w: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Each Credit Party (jointly and severally to the extent legally permissible) agrees to pay promptly upon request by any Agent or Sustainability Coordinator (or any Lender in connection with any enforcement or atonement as provided below) (i) all reasonable out-of-pocket costs and expenses in connection with the negotiation, preparation, printing, typing, reproduction, execution, delivery and syndication of this Agreement and the other Loan Documents and the documents and instruments referred to herein and therein and any amendment, waiver or consent relating hereto or thereto or other modifications of (or supplements to) any of the foregoing and any and all other documents and instruments furnished pursuant hereto or thereto or in connection herewith or therewith (including in connection with the pledge of Additional Collateral), including without limitation, the reasonable fees and out-of-pocket expenses of independent public accountants and other outside experts retained by Administrative Agent and of Cahill Gordon &amp; Reindel llp, counsel to Administrative Agent, and any local counsel retained by Administrative Agent relative thereto and other Attorney Costs, in connection with the administration of this Agreement and the other Loan Documents, and all search fees, appraisal fees and expenses, title insurance policy fees, costs and expenses and filing and recording fees, (ii) all reasonable out-of-pocket expenses incurred by any Facing Agent in connection with the issuance, amendment, renewal or extension of any Letter of Credit or any demand for payment thereunder and (iii) all reasonable out-of-pocket costs and expenses incurred by any Agent, any Sustainability Coordinator, any Lender or any Facing Agent, including the fees, charges and Attorney Costs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12.4.2.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Each Credit Party (jointly and severally to the extent legally permissible) will indemnify and hold harmless each Agent, each Sustainability Coordinator and each Lender and each director, officer, employee, agent, attorney and Affiliate of each Agent and each Lender (each such Person an “</w:t>
      </w:r>
      <w:r>
        <w:rPr>
          <w:rFonts w:ascii="Times New Roman" w:cs="Times New Roman" w:eastAsia="Times New Roman" w:hAnsi="Times New Roman"/>
          <w:sz w:val="20"/>
          <w:szCs w:val="20"/>
          <w:u w:val="single" w:color="auto"/>
          <w:color w:val="auto"/>
        </w:rPr>
        <w:t>Indemnified Person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Indemnified Persons</w:t>
      </w:r>
      <w:r>
        <w:rPr>
          <w:rFonts w:ascii="Times New Roman" w:cs="Times New Roman" w:eastAsia="Times New Roman" w:hAnsi="Times New Roman"/>
          <w:sz w:val="20"/>
          <w:szCs w:val="20"/>
          <w:color w:val="auto"/>
        </w:rPr>
        <w:t>”) from and against all losses, claims, damages, or liabilities and related reasonable, documented and out-of-pocket expenses, including Attorney Costs, charges and disbursements to which such Indemnified Person may become subject or which may be asserted against such Indemnified Person by any third party or by any Credit Party, insofar as such losses, claims, damages, penalties, expenses or liabilities (or actions, suits or proceedings including any inquiry or investigation or claims in respect thereof (whether or not an Agent or any Lender is a party thereto)) arise out of, in any way relate to, or result from (i) the execution or delivery of this Agreement, any other Loan Document or any agreement or instrument contemplated hereby or thereby, the performance by the parties hereto of their respective obligations hereunder or the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82" w:name="page283"/>
    <w:bookmarkEnd w:id="282"/>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consummation of the transactions contemplated hereby or thereby, (ii) any Loan or Letter of Credit or the use of the proceeds therefrom (including any refusal by the Facing Agent to honor a demand for payment under a Letter of Credit if the documents presented in connection with such demand do not strictly comply with the terms of such Letter of Credit), (iii) any Release or threatened Release of any Hazardous Materials into the Environment for which any Credit Party or any of its Subsidiaries has any liability or which is related to any property currently or formerly owned, leased or operated by or on behalf of Crown Holdings or any of its Subsidiaries, any Environmental Lien for which any Credit Party or any of its Subsidiaries has any liability, any Environmental Liability related in any way to Crown Holdings or any of its Subsidiaries or any liability which occurs by a breach of any of the representations, warranties or covenants relating to environmental matters contained herein, or (iv) any actual or prospective claim, litigation, investigation or proceeding relating to any of the foregoing, whether based on contract, tort or any other theory and regardless of whether brought by a third party or by a Credit Party and regardless of whether any Indemnified Person is a party thereto, and to reimburse each Indemnified Person upon their demand, for any Attorney Costs or other expenses incurred in connection with investigating, preparing to defend or defending any such loss, claim, damage, liability, action or claim;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12.4.2.1. that no Indemnified Person shall have the right to be so indemnified hereunder for any loss, claim, damage, penalties, obligations, expense or liability to the extent it arises or results from the gross negligence, bad faith or willful misconduct of such Indemnified Person as finally determined by a court of competent jurisdiction; and</w:t>
      </w:r>
    </w:p>
    <w:p>
      <w:pPr>
        <w:spacing w:after="0" w:line="181" w:lineRule="exact"/>
        <w:rPr>
          <w:sz w:val="20"/>
          <w:szCs w:val="20"/>
          <w:color w:val="auto"/>
        </w:rPr>
      </w:pPr>
    </w:p>
    <w:p>
      <w:pPr>
        <w:jc w:val="both"/>
        <w:ind w:left="660" w:right="20" w:firstLine="907"/>
        <w:spacing w:after="0" w:line="283" w:lineRule="auto"/>
        <w:rPr>
          <w:sz w:val="20"/>
          <w:szCs w:val="20"/>
          <w:color w:val="auto"/>
        </w:rPr>
      </w:pPr>
      <w:r>
        <w:rPr>
          <w:rFonts w:ascii="Times New Roman" w:cs="Times New Roman" w:eastAsia="Times New Roman" w:hAnsi="Times New Roman"/>
          <w:sz w:val="20"/>
          <w:szCs w:val="20"/>
          <w:color w:val="auto"/>
        </w:rPr>
        <w:t>12.4.2.2. that nothing contained herein shall affect the express contractual obligations of the Lenders to any Credit Party contained herein or in the other Loan Documents.</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For the avoidance of doubt, this </w:t>
      </w:r>
      <w:r>
        <w:rPr>
          <w:rFonts w:ascii="Times New Roman" w:cs="Times New Roman" w:eastAsia="Times New Roman" w:hAnsi="Times New Roman"/>
          <w:sz w:val="20"/>
          <w:szCs w:val="20"/>
          <w:u w:val="single" w:color="auto"/>
          <w:color w:val="auto"/>
        </w:rPr>
        <w:t>Section 12.4(b)</w:t>
      </w:r>
      <w:r>
        <w:rPr>
          <w:rFonts w:ascii="Times New Roman" w:cs="Times New Roman" w:eastAsia="Times New Roman" w:hAnsi="Times New Roman"/>
          <w:sz w:val="20"/>
          <w:szCs w:val="20"/>
          <w:color w:val="auto"/>
        </w:rPr>
        <w:t xml:space="preserve"> shall not apply to Taxes, except any Taxes that represent claims, demands, liabilities, damages, losses, costs, charges and expenses arising from any non-Tax claim.</w:t>
      </w:r>
    </w:p>
    <w:p>
      <w:pPr>
        <w:spacing w:after="0" w:line="14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If any action, suit or proceeding arising from any of the foregoing is brought against any Agent, any Lender or any other Person indemnified or intended to be indemnified pursuant to this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Crown Holdings or the applicable Borrower will, if requested by any Agent, any Lender or any such Indemnified Person, resist and defend such action, suit or proceeding or cause the same to be resisted and defended by counsel reasonably satisfactory to the Person or Persons indemnified or intended to be indemnified. Each Indemnified Person shall, unless an Agent, a Lender or other Indemnified Person has made the request described in the preceding sentence and such request has been complied with, have the right to employ its own counsel (or (but not as well as) staff counsel) to investigate and control the defense of any matter covered by such indemnity and the reasonable fees and expenses of such counsel shall be at the expense of the indemnifying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any one action or separate but similar or related actions in the same jurisdiction arising out of the same general allegations or circumstances, the Credit Parties shall not be liable for fees and expenses of more than one counsel (in addition to any local counsel), which counsel shall be designated by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each Indemnified Person shall have the right to employ separate counsel in any such inquiry, action, claim or proceeding and to control the defense thereof, and the reasonable fees and expenses of such counsel shall be at the expense of the Credit Parties to the extent that (i) Crown Holdings or any other Credit Party shall have agreed in writing to pay such fees and expenses or (ii) such Indemnified Person shall have notified Crown Holdings that it has been advised by counsel that there may be one or more legal defenses available to such Indemnified Person that are different from or additional to those available to the other Indemnified Persons and that such common representation would adversely impact the adequacy of the proposed representation.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83" w:name="page284"/>
    <w:bookmarkEnd w:id="283"/>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Any and all amounts so expended by any Agent shall be repaid to it by the Credit Parties promptly upon such Agent’s demand therefor, with interest at the Default Rate in effect from time to time during the period including the date so expended by such Agent to the date of repayment. To the extent that the undertaking to indemnify, pay or hold harmless any Indemnified Person as set forth in this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may be unenforceable because it is violative of any law or public policy, the Credit Parties shall make the maximum contribution to the payment and satisfaction of each of the indemnified liabilities which is permissible under applicable law. The obligations of the Credit Parties under this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shall survive the termination of this Agreement and the discharge of the Credit Party’s other Obligations hereunder.</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12.4.3. </w:t>
      </w:r>
      <w:r>
        <w:rPr>
          <w:rFonts w:ascii="Times New Roman" w:cs="Times New Roman" w:eastAsia="Times New Roman" w:hAnsi="Times New Roman"/>
          <w:sz w:val="20"/>
          <w:szCs w:val="20"/>
          <w:u w:val="single" w:color="auto"/>
          <w:color w:val="auto"/>
        </w:rPr>
        <w:t>Foreign Exchange Indemnity</w:t>
      </w:r>
      <w:r>
        <w:rPr>
          <w:rFonts w:ascii="Times New Roman" w:cs="Times New Roman" w:eastAsia="Times New Roman" w:hAnsi="Times New Roman"/>
          <w:sz w:val="20"/>
          <w:szCs w:val="20"/>
          <w:color w:val="auto"/>
        </w:rPr>
        <w:t>. If any sum due from any Credit Party or any of its Subsidiaries under this Agreement or any order or judgment given or made in relation hereto has to be converted from the currency (the “</w:t>
      </w:r>
      <w:r>
        <w:rPr>
          <w:rFonts w:ascii="Times New Roman" w:cs="Times New Roman" w:eastAsia="Times New Roman" w:hAnsi="Times New Roman"/>
          <w:sz w:val="20"/>
          <w:szCs w:val="20"/>
          <w:u w:val="single" w:color="auto"/>
          <w:color w:val="auto"/>
        </w:rPr>
        <w:t>First Currency</w:t>
      </w:r>
      <w:r>
        <w:rPr>
          <w:rFonts w:ascii="Times New Roman" w:cs="Times New Roman" w:eastAsia="Times New Roman" w:hAnsi="Times New Roman"/>
          <w:sz w:val="20"/>
          <w:szCs w:val="20"/>
          <w:color w:val="auto"/>
        </w:rPr>
        <w:t>”) in which the same is payable hereunder or under such order or judgment into another currency (the “</w:t>
      </w:r>
      <w:r>
        <w:rPr>
          <w:rFonts w:ascii="Times New Roman" w:cs="Times New Roman" w:eastAsia="Times New Roman" w:hAnsi="Times New Roman"/>
          <w:sz w:val="20"/>
          <w:szCs w:val="20"/>
          <w:u w:val="single" w:color="auto"/>
          <w:color w:val="auto"/>
        </w:rPr>
        <w:t>Second Currency</w:t>
      </w:r>
      <w:r>
        <w:rPr>
          <w:rFonts w:ascii="Times New Roman" w:cs="Times New Roman" w:eastAsia="Times New Roman" w:hAnsi="Times New Roman"/>
          <w:sz w:val="20"/>
          <w:szCs w:val="20"/>
          <w:color w:val="auto"/>
        </w:rPr>
        <w:t>”) for the purpose of (i) making or filing a claim or proof against any Credit Party with any Governmental Authority or in any court or tribunal, or (ii) enforcing any order or judgment given or made in relation hereto, such Credit Party shall indemnify and hold harmless each of the Persons to whom such sum is due from and against any loss actually suffered as a result of any discrepancy between (a) the rate of exchange used to convert the amount in question from the First Currency into the Second Currency, and (b) the rate or rates of exchange at which such Person, acting in good faith in a commercially reasonable manner, purchased the First Currency with the Second Currency after receipt of a sum paid to it in the Second Currency in satisfaction, in whole or in part, of any such order, judgment, claim or proof. The foregoing indemnity shall constitute a separate obligation of each Credit Party distinct from its other obligations hereunder and shall survive the giving or making of any judgment or order in relation to all or any of such other obligations.</w:t>
      </w:r>
    </w:p>
    <w:p>
      <w:pPr>
        <w:spacing w:after="0" w:line="20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12.4.4. To the extent permitted by applicable law, no party hereto, no Indemnified Person, and no Credit Party or any Affiliate of any Credit Party, shall assert, and each hereby waive, any claim against any party hereto, Indemnified Person, or Credit Party or any Affiliate of any Credit Party, on any theory of liability, for indirect, special, exemplary, incidental, punitive or consequential damages (including, without limitation, any loss of profits, business or anticipated savings) (as opposed to direct or actual damages) (whether or not the claim therefor is based on contract, tort or duty imposed by any applicable legal requirement) arising out of, in connection with, or as a result of, this Agreement, any other Loan Document or any agreement or instrument contemplated hereby, the transactions contemplated hereby or thereby (including the Transactions), or any Loan or Letter of Credit, or, in each case, the use of the proceeds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contained in this sentence shall limit the Credit Parties’ indemnification obligations to the extent set forth above to the extent such indirect, special, exemplary, incidental, punitive or consequential damages (including, without limitation, any loss of profits, business or anticipated savings) are included in any third party claim in connection with which such Indemnified Person is entitled to indemnification hereunder.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12.5. Confirmations. Each Borrower and each holder of any portion of the Obligations agrees from time to time, upon written request received by it from the other, to confirm to the other in writing (with a copy of each such confirmation to Administrative Agent) the aggregate unpaid principal amount of the Loan or Loans and other Obligations then outstanding.</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color w:val="auto"/>
        </w:rPr>
        <w:t>Adjustment; Setoff.</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12.6.1. If any lender (a “</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shall at any time receive any payment of all or part of its Loans, or interest thereon, or receive any collateral in respect thereof (whether voluntarily or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84" w:name="page285"/>
    <w:bookmarkEnd w:id="284"/>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involuntarily, by setoff, pursuant to events or proceedings of the nature referred to in </w:t>
      </w:r>
      <w:r>
        <w:rPr>
          <w:rFonts w:ascii="Times New Roman" w:cs="Times New Roman" w:eastAsia="Times New Roman" w:hAnsi="Times New Roman"/>
          <w:sz w:val="20"/>
          <w:szCs w:val="20"/>
          <w:u w:val="single" w:color="auto"/>
          <w:color w:val="auto"/>
        </w:rPr>
        <w:t>Section 10.1(i)</w:t>
      </w:r>
      <w:r>
        <w:rPr>
          <w:rFonts w:ascii="Times New Roman" w:cs="Times New Roman" w:eastAsia="Times New Roman" w:hAnsi="Times New Roman"/>
          <w:sz w:val="20"/>
          <w:szCs w:val="20"/>
          <w:color w:val="auto"/>
        </w:rPr>
        <w:t xml:space="preserve"> hereof, or otherwise) in a greater proportion than any such payment to and collateral received by any other Lender in respect of such other Lender’s Loans or interest thereon, such Benefited Lender shall (i) notify Administrative Agent of that fact and (ii) purchase for cash at face value from the other Lenders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with each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(x) if all or any portion of such excess payment or benefits is thereafter recovered from such Benefited Lender, such purchase shall be rescinded, and the purchase price and benefits returned, to the extent of such recovery, but without interest and (y) this </w:t>
      </w:r>
      <w:r>
        <w:rPr>
          <w:rFonts w:ascii="Times New Roman" w:cs="Times New Roman" w:eastAsia="Times New Roman" w:hAnsi="Times New Roman"/>
          <w:sz w:val="20"/>
          <w:szCs w:val="20"/>
          <w:u w:val="single" w:color="auto"/>
          <w:color w:val="auto"/>
        </w:rPr>
        <w:t>Section 12.6(a)</w:t>
      </w:r>
      <w:r>
        <w:rPr>
          <w:rFonts w:ascii="Times New Roman" w:cs="Times New Roman" w:eastAsia="Times New Roman" w:hAnsi="Times New Roman"/>
          <w:sz w:val="20"/>
          <w:szCs w:val="20"/>
          <w:color w:val="auto"/>
        </w:rPr>
        <w:t xml:space="preserve"> shall not apply to (1) any payment made by a Credit Party pursuant to and in accordance with the express terms of this Agreement or (2) any payment obtained by a Lender as consideration for the assignment or sale of a participation to any assignee or participant, other than to any Credit Party or any Subsidiary thereof. Each Credit Party agrees that each Lender so purchasing a portion of another Lender’s Loans may exercise all rights of payment (including, without limitation, rights of setoff) with respect to such portion as fully as if such Lender were the direct holder of such portion.</w:t>
      </w:r>
    </w:p>
    <w:p>
      <w:pPr>
        <w:spacing w:after="0" w:line="17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12.6.2. In addition to any rights and remedies of the Lenders provided by law, each Lender and its Affiliates shall have the right, without prior notice to any Credit Party or any of its Subsidiaries, any such notice being expressly waived by Crown Holdings, on behalf of itself and its Subsidiaries, upon the occurrence and during the continuance of an Event of Default, to setoff and apply against any Obligations, whether matured or unmatured, of Crown Holdings or any Credit Party to such Lender, any amount owing from such Lender to Crown Holdings or any of its Subsidiaries, at or at any time after, the happening of any of the above-mentioned events, and the aforesaid right of setoff may be exercised by such Lender against Crown Holdings or any Credit Party or against any trustee in bankruptcy, debtor in possession, assignee for the benefit of creditors, Receivers, administrator, administrative Receiver, court appointed monitor or other similar official, or execution, judgment or attachment creditor of Crown Holdings or any Credit Party, or against anyone else claiming through or against, Crown Holdings or any Credit Party or such trustee in bankruptcy, debtor in possession, assignee for the benefit of creditors, Receivers, administrator, administrative receiver, court appointed monitor or other similar official, or execution, judgment or attachment creditor, notwithstanding the fact that such right of setoff shall not have been exercised by such Lender prior to the making, filing or issuance, or service upon such Lender of, or of notice of, any such petition, assignment for the benefit of creditors, appointment or application for the appointment of a Receiver, administrator, administrative receiver, court appointed monitor or other similar official, or issuance of execution, subpoena, order or warrant. Each Lender agrees promptly to notify Crown Holdings and Administrative Agent after any such setoff and application made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 In the event that any Defaulting Lender exercises any such right of setoff, (x) all amounts so set off will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and, pending such payment, will be segregated by such Defaulting Lender from its other funds and deemed held in trust for the benefit of the Administrative Agent, the applicable Facing Agent, the Swing Line Lender and the Lenders and (y) the Defaulting Lender will provide promptly to the Administrative Agent a statement describing in reasonable detail the Obligations owing to such Defaulting Lender as to which it exercised such right of setoff.</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12.6.3. Crown Holdings expressly agrees, on behalf of itself and its Subsidiaries, that to the extent Crown Holdings or any other Credit Party makes a payment or payments and such payment or payments, or any part thereof, are subsequently invalidated, declared to be fraudulent or preferential, set aside or are required to be repaid to a trustee, Receiver, administrator, administrative receiver, court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85" w:name="page286"/>
    <w:bookmarkEnd w:id="285"/>
    <w:p>
      <w:pPr>
        <w:jc w:val="both"/>
        <w:spacing w:after="0" w:line="261" w:lineRule="auto"/>
        <w:rPr>
          <w:sz w:val="20"/>
          <w:szCs w:val="20"/>
          <w:color w:val="auto"/>
        </w:rPr>
      </w:pPr>
      <w:r>
        <w:rPr>
          <w:rFonts w:ascii="Times New Roman" w:cs="Times New Roman" w:eastAsia="Times New Roman" w:hAnsi="Times New Roman"/>
          <w:sz w:val="20"/>
          <w:szCs w:val="20"/>
          <w:color w:val="auto"/>
        </w:rPr>
        <w:t>appointed monitor or other similar official, or any other party under any bankruptcy act, state, provincial or federal law, common law or equitable cause in any jurisdiction, then to the extent of such payment or repayment, the Indebtedness to the Lenders or part thereof intended to be satisfied shall be revived and continued in full force and effect as if said payment or payments had not been made.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9"/>
          <w:szCs w:val="19"/>
          <w:color w:val="auto"/>
        </w:rPr>
        <w:t>Execution in Counterparts; Electronic Execution</w:t>
      </w:r>
    </w:p>
    <w:p>
      <w:pPr>
        <w:spacing w:after="0" w:line="216" w:lineRule="exact"/>
        <w:rPr>
          <w:sz w:val="20"/>
          <w:szCs w:val="20"/>
          <w:color w:val="auto"/>
        </w:rPr>
      </w:pPr>
    </w:p>
    <w:p>
      <w:pPr>
        <w:jc w:val="both"/>
        <w:ind w:firstLine="656"/>
        <w:spacing w:after="0" w:line="251" w:lineRule="auto"/>
        <w:tabs>
          <w:tab w:leader="none" w:pos="7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amendments, modifications,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Requirement of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12.8.</w:t>
      </w:r>
      <w:r>
        <w:rPr>
          <w:sz w:val="20"/>
          <w:szCs w:val="20"/>
          <w:color w:val="auto"/>
        </w:rPr>
        <w:tab/>
      </w:r>
      <w:r>
        <w:rPr>
          <w:rFonts w:ascii="Times New Roman" w:cs="Times New Roman" w:eastAsia="Times New Roman" w:hAnsi="Times New Roman"/>
          <w:sz w:val="19"/>
          <w:szCs w:val="19"/>
          <w:color w:val="auto"/>
        </w:rPr>
        <w:t>Binding Effect; Assignment; Addition and Substitution of Lenders.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12.8.1. This Agreement shall be binding upon, and inure to the benefit of, Crown Holdings, U.S. Borrower, European Borrower, Canadian Borrower and each other Credit Party hereto</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Agents, the Lenders, all future holders of the Notes and their respective successors and assigns;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none of Crown Holdings, U.S. Borrower, European Borrower, Canadian Borrower or any other Credit Party may assign its rights or obligations hereunder or in connection herewith or any interest herein (voluntarily, by operation of law or otherwise) without the prior written consent of Administrative Agent and all of the Lenders.</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12.8.2. Each Lender may at any time sell to one or more banks or other financial institutions (other than any Disqualified Institutions) (“</w:t>
      </w:r>
      <w:r>
        <w:rPr>
          <w:rFonts w:ascii="Times New Roman" w:cs="Times New Roman" w:eastAsia="Times New Roman" w:hAnsi="Times New Roman"/>
          <w:sz w:val="20"/>
          <w:szCs w:val="20"/>
          <w:u w:val="single" w:color="auto"/>
          <w:color w:val="auto"/>
        </w:rPr>
        <w:t>Participants</w:t>
      </w:r>
      <w:r>
        <w:rPr>
          <w:rFonts w:ascii="Times New Roman" w:cs="Times New Roman" w:eastAsia="Times New Roman" w:hAnsi="Times New Roman"/>
          <w:sz w:val="20"/>
          <w:szCs w:val="20"/>
          <w:color w:val="auto"/>
        </w:rPr>
        <w:t>”) participating interests in all or any portion of its Commitment and Loans or participation in Letters of Credit or any other interest of such Lender hereunder (in respect of any Lender, its “</w:t>
      </w:r>
      <w:r>
        <w:rPr>
          <w:rFonts w:ascii="Times New Roman" w:cs="Times New Roman" w:eastAsia="Times New Roman" w:hAnsi="Times New Roman"/>
          <w:sz w:val="20"/>
          <w:szCs w:val="20"/>
          <w:u w:val="single" w:color="auto"/>
          <w:color w:val="auto"/>
        </w:rPr>
        <w:t>Credit Exposure</w:t>
      </w:r>
      <w:r>
        <w:rPr>
          <w:rFonts w:ascii="Times New Roman" w:cs="Times New Roman" w:eastAsia="Times New Roman" w:hAnsi="Times New Roman"/>
          <w:sz w:val="20"/>
          <w:szCs w:val="20"/>
          <w:color w:val="auto"/>
        </w:rPr>
        <w:t>”). In the event of any such sale by a Lender of participating interests to a Participant, such Lender’s obligations under this Agreement shall remain unchanged, such Lender shall remain solely responsible for the performance thereof, and the Credit Parties and Administrative Agents shall continue to deal solely and directly with such Lender in connection with such Lender’s rights and obligations under this Agreement. Crown Holdings, U.S. Borrower, European Borrower and each other Credit Party hereto agrees that if amounts outstanding under this Agreement or any of the Loan Documents are due or unpaid, or shall have been declared or shall have become due and payable upon the occurrence and during the continuance of an Event of Default, each Participant shall be deemed to have the right of setoff in respect of its participating interest in amounts owing under this Agreement and the Loan Documents to the same extent as if the amount of its participating interest were owing directly to it as a Lender under this Agreement or any other Loan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86" w:name="page287"/>
    <w:bookmarkEnd w:id="286"/>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right of setoff shall be subject to the obligation of such Participant to share with the Lenders, and the Lenders agree to share with such Participant, as provided in </w:t>
      </w:r>
      <w:r>
        <w:rPr>
          <w:rFonts w:ascii="Times New Roman" w:cs="Times New Roman" w:eastAsia="Times New Roman" w:hAnsi="Times New Roman"/>
          <w:sz w:val="20"/>
          <w:szCs w:val="20"/>
          <w:u w:val="single" w:color="auto"/>
          <w:color w:val="auto"/>
        </w:rPr>
        <w:t>Section 12.6</w:t>
      </w:r>
      <w:r>
        <w:rPr>
          <w:rFonts w:ascii="Times New Roman" w:cs="Times New Roman" w:eastAsia="Times New Roman" w:hAnsi="Times New Roman"/>
          <w:sz w:val="20"/>
          <w:szCs w:val="20"/>
          <w:color w:val="auto"/>
        </w:rPr>
        <w:t xml:space="preserve">. Crown Holdings, U.S. Borrower, European Borrower and each other Credit Party hereto also agrees that each Participant shall be entitled to the benefits of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(subject to the requirements and limitations of such Sections and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including the requirements of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xml:space="preserve">, it being understood that any forms required to be provided by any Participant pursuant to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xml:space="preserve"> shall be provided solely to the applicable Lender) with respect to its participation in the Loans outstanding from time to time, as if such Participant becomes a Lender on the date it acquired an interest pursuant to this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participant shall not be entitled to receive any greater payment, under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than the participating Lender would have been entitled to receive under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with respect to the participation sold to such Participant, except to the extent such entitlement to a greater payment results from a change in any law after the sale of the participation takes place. Each Lender agrees that any agreement between such Lender and any such Participant in respect of such participating interest shall not restrict such Lender’s right to approve or agree to any amendment, restatement, supplement or other modification to, waiver of, or consent under, this Agreement or any of the Loan Documents except to the extent that any of the forgoing would (i) extend the final scheduled maturity of any Loan or Note in which such Participant is participating (it being understood that amending the definition of any Scheduled Term Repayment (other than any Term Maturity Date), shall not constitute an extension of the final scheduled maturity of any Loan or Note) or extend the stated maturity of any Letter of Credit in which such Participant is participating beyond the Revolver Termination Date for the Multicurrency Revolving Facility or the Canadian Revolver Termination Date, as applicable, or reduce the rate or extend the time of payment of interest or fees on any such Loan, Note or Letter of Credit (except in connection with a waiver of applicability of any post-default increase in interest rates) or reduce the principal amount thereof, or increase the amount of the Participant’s participation over the amount thereof then in effect (it being understood that waivers or modifications of conditions precedent, covenants, representations, warranties, Events of Default or Unmatured Events of Default or of a mandatory reduction in Commitments shall not constitute a change in the terms of such participation, and that an increase in any Commitment or Loan shall be permitted without the consent of any Participant if the Participant’s participation is not increased as a result thereof), (ii) consent to the assignment or transfer by any Borrower or any other Credit Party of any of its rights and obligations under this Agreement or (iii) release all or substantially all of the Collateral under all of the Security Documents (except as expressly provided in the Loan Documents) supporting the Loans and/or Letters of Credit hereunder in which such Participant is participating. Notwithstanding the foregoing, prior to any CAM Exchange, no Lender shall sell participations of Canadian Revolving Loans or Canadian Revolving Commitments to any Person that is not a resident of Canada for purpose of the ITA or is not deemed to be resident in Canada for the purposes of Part XIII of the ITA.</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 xml:space="preserve">Each Lender that sells a participation to a Participant pursuant to this </w:t>
      </w:r>
      <w:r>
        <w:rPr>
          <w:rFonts w:ascii="Times New Roman" w:cs="Times New Roman" w:eastAsia="Times New Roman" w:hAnsi="Times New Roman"/>
          <w:sz w:val="19"/>
          <w:szCs w:val="19"/>
          <w:u w:val="single" w:color="auto"/>
          <w:color w:val="auto"/>
        </w:rPr>
        <w:t>Section 12.8(b)</w:t>
      </w:r>
      <w:r>
        <w:rPr>
          <w:rFonts w:ascii="Times New Roman" w:cs="Times New Roman" w:eastAsia="Times New Roman" w:hAnsi="Times New Roman"/>
          <w:sz w:val="19"/>
          <w:szCs w:val="19"/>
          <w:color w:val="auto"/>
        </w:rPr>
        <w:t xml:space="preserve"> shall, acting solely for this purpose as a non-fiduciary agent of the Borrowers, maintain a register on which it enters the name and address of each Participant and the principal amounts (and interest amounts) of each Participant’s interest in the Loans or other obligations under the Loan Documents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Section 5f.103-1(c) of</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87" w:name="page288"/>
    <w:bookmarkEnd w:id="287"/>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the United States Treasury Regulations. This </w:t>
      </w:r>
      <w:r>
        <w:rPr>
          <w:rFonts w:ascii="Times New Roman" w:cs="Times New Roman" w:eastAsia="Times New Roman" w:hAnsi="Times New Roman"/>
          <w:sz w:val="20"/>
          <w:szCs w:val="20"/>
          <w:u w:val="single" w:color="auto"/>
          <w:color w:val="auto"/>
        </w:rPr>
        <w:t>Section 12.8(b)</w:t>
      </w:r>
      <w:r>
        <w:rPr>
          <w:rFonts w:ascii="Times New Roman" w:cs="Times New Roman" w:eastAsia="Times New Roman" w:hAnsi="Times New Roman"/>
          <w:sz w:val="20"/>
          <w:szCs w:val="20"/>
          <w:color w:val="auto"/>
        </w:rPr>
        <w:t xml:space="preserve"> shall be construed so that the participations are at all times maintained in “registered form” within the meaning of Sections 163(f), 871(h)(2) and 881(c)(2) of the Code.</w:t>
      </w:r>
    </w:p>
    <w:p>
      <w:pPr>
        <w:spacing w:after="0" w:line="146"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9"/>
          <w:szCs w:val="19"/>
          <w:color w:val="auto"/>
        </w:rPr>
        <w:t xml:space="preserve">12.8.3. Notwithstanding anything in this </w:t>
      </w:r>
      <w:r>
        <w:rPr>
          <w:rFonts w:ascii="Times New Roman" w:cs="Times New Roman" w:eastAsia="Times New Roman" w:hAnsi="Times New Roman"/>
          <w:sz w:val="19"/>
          <w:szCs w:val="19"/>
          <w:u w:val="single" w:color="auto"/>
          <w:color w:val="auto"/>
        </w:rPr>
        <w:t>Section 12.8</w:t>
      </w:r>
      <w:r>
        <w:rPr>
          <w:rFonts w:ascii="Times New Roman" w:cs="Times New Roman" w:eastAsia="Times New Roman" w:hAnsi="Times New Roman"/>
          <w:sz w:val="19"/>
          <w:szCs w:val="19"/>
          <w:color w:val="auto"/>
        </w:rPr>
        <w:t xml:space="preserve"> to the contrary, any Participant that is a Farm Credit Lender that (i) has purchased a participation in a minimum amount of $5,000,000.00 (ii) has been designated as a voting Participant (a “</w:t>
      </w:r>
      <w:r>
        <w:rPr>
          <w:rFonts w:ascii="Times New Roman" w:cs="Times New Roman" w:eastAsia="Times New Roman" w:hAnsi="Times New Roman"/>
          <w:sz w:val="19"/>
          <w:szCs w:val="19"/>
          <w:u w:val="single" w:color="auto"/>
          <w:color w:val="auto"/>
        </w:rPr>
        <w:t>Voting Participant</w:t>
      </w:r>
      <w:r>
        <w:rPr>
          <w:rFonts w:ascii="Times New Roman" w:cs="Times New Roman" w:eastAsia="Times New Roman" w:hAnsi="Times New Roman"/>
          <w:sz w:val="19"/>
          <w:szCs w:val="19"/>
          <w:color w:val="auto"/>
        </w:rPr>
        <w:t>”) in a notice (a “</w:t>
      </w:r>
      <w:r>
        <w:rPr>
          <w:rFonts w:ascii="Times New Roman" w:cs="Times New Roman" w:eastAsia="Times New Roman" w:hAnsi="Times New Roman"/>
          <w:sz w:val="19"/>
          <w:szCs w:val="19"/>
          <w:u w:val="single" w:color="auto"/>
          <w:color w:val="auto"/>
        </w:rPr>
        <w:t>Voting Participant Notice</w:t>
      </w:r>
      <w:r>
        <w:rPr>
          <w:rFonts w:ascii="Times New Roman" w:cs="Times New Roman" w:eastAsia="Times New Roman" w:hAnsi="Times New Roman"/>
          <w:sz w:val="19"/>
          <w:szCs w:val="19"/>
          <w:color w:val="auto"/>
        </w:rPr>
        <w:t>”) sent by the relevant Lender (including any existing Voting Participant) to the Administrative Agent and</w:t>
      </w:r>
    </w:p>
    <w:p>
      <w:pPr>
        <w:spacing w:after="0" w:line="2" w:lineRule="exact"/>
        <w:rPr>
          <w:sz w:val="20"/>
          <w:szCs w:val="20"/>
          <w:color w:val="auto"/>
        </w:rPr>
      </w:pPr>
    </w:p>
    <w:p>
      <w:pPr>
        <w:jc w:val="both"/>
        <w:ind w:firstLine="8"/>
        <w:spacing w:after="0" w:line="249" w:lineRule="auto"/>
        <w:tabs>
          <w:tab w:leader="none" w:pos="35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receives, prior to becoming a Voting Participant, the consent of the Administrative Agent (such consent to be required only to the extent and under the circumstances it would be required if such Voting Participant were to become a Lender pursuant to an assignment in accordance with this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xml:space="preserve"> and such consent is not required for an assignment to an existing Voting Participant), shall be entitled to vote as if such Voting Participant were a Lender on all matters subject to a vote by Lenders, and the voting rights of the selling Lender (including any existing Voting Participant) shall be correspondingly reduced, on a dollar-for-dollar basis. Each Voting Participant Notice shall include, with respect to each Voting Participant, the information that would be included by a prospective Lender in an Assignment and Assumption Agreement. The selling Lender (including any existing Voting Participant) and the purchasing Voting Participant shall notify the Administrative Agent within three (3) Business Days of any termination, reduction or increase of the amount of, such participation. The Administrative Agent shall be entitled to conclusively rely on information contained in Voting Participant Notices and all other notices delivered pursuant hereto. The voting rights of each Voting Participant are solely for the benefit of such Voting Participant and shall not inure to any assignee or participant of such Voting Participant that is not a Farm Credit Lender.</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12.8.4. Any Lender may at any time assign to one or more Eligible Assignees, including an Affiliate thereof (each an “</w:t>
      </w:r>
      <w:r>
        <w:rPr>
          <w:rFonts w:ascii="Times New Roman" w:cs="Times New Roman" w:eastAsia="Times New Roman" w:hAnsi="Times New Roman"/>
          <w:sz w:val="20"/>
          <w:szCs w:val="20"/>
          <w:u w:val="single" w:color="auto"/>
          <w:color w:val="auto"/>
        </w:rPr>
        <w:t>Assignee</w:t>
      </w:r>
      <w:r>
        <w:rPr>
          <w:rFonts w:ascii="Times New Roman" w:cs="Times New Roman" w:eastAsia="Times New Roman" w:hAnsi="Times New Roman"/>
          <w:sz w:val="20"/>
          <w:szCs w:val="20"/>
          <w:color w:val="auto"/>
        </w:rPr>
        <w:t xml:space="preserve">”), all or any part of its Credit Exposure pursuant to an Assignment and Assumption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assignment of all or any portion of any Lender’s Credit Exposure to an Assignee other than an Affiliate of such Lender or another Lender, or in the case of a Lender that is a Fund, any Related Fund of any Lender (i) shall be an assignment of its Credit Exposure in an amount not less than $5,000,000 for the Dollar Revolving Facility, Multicurrency Revolving Facility or Canadian Revolving Facility and $1,000,000 for the Term Facilities (treating any Fund and its Related Funds as a single Eligible Assignee) (or if less the entire amount of Lender’s Credit Exposure with respect to such Facility), and (ii) shall require the prior written consent of an Administrative Agent (not to be unreasonably withheld)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no Event of Default pursuant to </w:t>
      </w:r>
      <w:r>
        <w:rPr>
          <w:rFonts w:ascii="Times New Roman" w:cs="Times New Roman" w:eastAsia="Times New Roman" w:hAnsi="Times New Roman"/>
          <w:sz w:val="20"/>
          <w:szCs w:val="20"/>
          <w:u w:val="single" w:color="auto"/>
          <w:color w:val="auto"/>
        </w:rPr>
        <w:t>Sections 10.1(a)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then exists and is continuing, the applicable Borrower (the consent of such Borrower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Borrower shall be deemed to have consented to any such assignment unless it shall object thereto by written notice to the Administrative Agent within 10 Business Days after having received notice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notwithstanding the foregoing limitations, any Lender may at any time assign all or any part of its Credit Exposure to any Affiliate of such Lender or to any other Lender (or in the case of a Lender which is a Fund, to any Related Fund of such Lender). In addition to the foregoing, the consent of the applicable Facing Agent (such consent not to be unreasonably withheld or delayed) shall be required for any assignment that increases the obligation of the assignee to participate in exposure under one or more Letters of Credit (whether or not then outstanding). Upon execution of an Assignment and Assumption Agreement and the payment of a nonrefundable assignment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fee shall be payable upon assignments by any Lender which is a Fund to one or more Related Funds and that the Administrative Agent may, in its sole discretion, elect to waive such processing and recordation fee in the case of any assignment) in immediately available funds to such Administrative Agent at its Payment Office in connection with each such assignment, written notice thereof by such transferor Lender to Administrative Agent and the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88" w:name="page289"/>
    <w:bookmarkEnd w:id="288"/>
    <w:p>
      <w:pPr>
        <w:jc w:val="both"/>
        <w:spacing w:after="0" w:line="248" w:lineRule="auto"/>
        <w:rPr>
          <w:sz w:val="20"/>
          <w:szCs w:val="20"/>
          <w:color w:val="auto"/>
        </w:rPr>
      </w:pPr>
      <w:r>
        <w:rPr>
          <w:rFonts w:ascii="Times New Roman" w:cs="Times New Roman" w:eastAsia="Times New Roman" w:hAnsi="Times New Roman"/>
          <w:sz w:val="20"/>
          <w:szCs w:val="20"/>
          <w:color w:val="auto"/>
        </w:rPr>
        <w:t>recording by such Administrative Agent or Canadian Administrative Agent of such assignment and the resulting effect upon the Loans and Dollar Revolving Commitment, Multicurrency Revolving Commitment and Canadian Revolving Commitment of the assigning Lender and the Assignee, the Assignee shall have, to the extent of such assignment, the same rights, benefits and obligations as it would have if it were a Lender hereunder and the holder of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Borrower, each other Credit Party hereto, Canadian Administrative Agent and Administrative Agent shall be entitled to continue to deal solely and directly with the assignor Lender in connection with the interests so assigned to the Assignee until written notice of such assignment, together with payment instructions, addresses and related information with respect to the Assignee, shall have been given to the applicable Borrower, Canadian Administrative Agent and Administrative Agent by the assignor Lender and the Assignee) and, if the Assignee has expressly assumed, for the benefit of any Borrower or any other Credit Party hereto, some or all of the transferor Lender’s obligations hereunder, such transferor Lender shall be relieved of its obligations hereunder to the extent of such assignment and assumption, and except as described above, no further consent or action by any Borrower, the Lenders, Canadian Administrative Agent or Administrative Agent shall be required. At the time of each assignment pursuant to this </w:t>
      </w:r>
      <w:r>
        <w:rPr>
          <w:rFonts w:ascii="Times New Roman" w:cs="Times New Roman" w:eastAsia="Times New Roman" w:hAnsi="Times New Roman"/>
          <w:sz w:val="20"/>
          <w:szCs w:val="20"/>
          <w:u w:val="single" w:color="auto"/>
          <w:color w:val="auto"/>
        </w:rPr>
        <w:t>Section 12.8(d)</w:t>
      </w:r>
      <w:r>
        <w:rPr>
          <w:rFonts w:ascii="Times New Roman" w:cs="Times New Roman" w:eastAsia="Times New Roman" w:hAnsi="Times New Roman"/>
          <w:sz w:val="20"/>
          <w:szCs w:val="20"/>
          <w:color w:val="auto"/>
        </w:rPr>
        <w:t xml:space="preserve"> to a Person which is not already a Lender hereunder, the respective Assignee shall provide to the applicable and Administrative Agents the appropriate forms, certificates and information as provided in </w:t>
      </w:r>
      <w:r>
        <w:rPr>
          <w:rFonts w:ascii="Times New Roman" w:cs="Times New Roman" w:eastAsia="Times New Roman" w:hAnsi="Times New Roman"/>
          <w:sz w:val="20"/>
          <w:szCs w:val="20"/>
          <w:u w:val="single" w:color="auto"/>
          <w:color w:val="auto"/>
        </w:rPr>
        <w:t>Section 4.7(d)</w:t>
      </w:r>
      <w:r>
        <w:rPr>
          <w:rFonts w:ascii="Times New Roman" w:cs="Times New Roman" w:eastAsia="Times New Roman" w:hAnsi="Times New Roman"/>
          <w:sz w:val="20"/>
          <w:szCs w:val="20"/>
          <w:color w:val="auto"/>
        </w:rPr>
        <w:t xml:space="preserve">, if applicable. Each Assignee shall take such Credit Exposure subject to the provisions of this Agreement and to any request made, waiver or consent given or other action taken hereunder, prior to the receipt by Administrative Agents and the applicable Borrower of written notice of such transfer, by each previous holder of such Credit Exposure. Such Assignment and Assumption Agreement shall be deemed to amend this Agreement and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hereto (or, with respect to Term Loans, the Register), to the extent, and only to the extent, necessary to reflect the addition of such Assignee as a Lender and the resulting adjustment of all or a portion of the rights and obligations of such transferor Lender under this Agreement, the Maximum Commitment, the determination of its Term Pro Rata Share, Canadian Revolver Pro Rata Share or Revolver Pro Rata Share, as the case may be (in each case, rounded to twelve decimal places), the Loans, any outstanding Letters of Credit and any new Notes, if requested, to be issued, at the applicable Borrower’s expense, to such Assignee, and no further consent or action by any Credit Party or the Lenders shall be required to effect such amendments.</w:t>
      </w:r>
    </w:p>
    <w:p>
      <w:pPr>
        <w:spacing w:after="0" w:line="21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12.8.5. No such assignment will be made to any Defaulting Lender or any of its Subsidiaries, or any Person who, upon becoming a Lender hereunder, would constitute any of the foregoing Persons described in this clause.</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In connection with any assignment of rights and obligations of any Defaulting Lender hereunder, no such assignment will be effective unless and until, in addition to the other conditions 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each Facing Agent, the Swing Line Lender and each other Lender hereunder (and interest accrued thereon), and (y) acquire (and fund as appropriate) its full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of all Loans and participations in Letters of Credit and Swing Line Loans in accordance with its applicable Revolving Commitments. Any assignment or transfer by a Lender of rights or obligations under this Agreement that does not comply with this paragraph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89" w:name="page290"/>
    <w:bookmarkEnd w:id="289"/>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12.8.6. Crown Holdings and each Borrower authorize each Lender to disclose to any Participant or Assignee (each, a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xml:space="preserve">”) and any prospective Transferee any and all financial information in such Lender’s possession concerning Crown Holdings, such Borrower and any of their Subsidiaries which has been delivered to such Lender by Crown Holdings or any Borrower pursuant to this Agreement or which has been delivered to such Lender by Crown Holdings or any Borrower in connection with such Lender’s credit evaluation of Crown Holdings or any Borrower prior to entering into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Transferee or prospective Transferee agrees to treat any such information which is not public as confidential in accordance with the terms of </w:t>
      </w:r>
      <w:r>
        <w:rPr>
          <w:rFonts w:ascii="Times New Roman" w:cs="Times New Roman" w:eastAsia="Times New Roman" w:hAnsi="Times New Roman"/>
          <w:sz w:val="20"/>
          <w:szCs w:val="20"/>
          <w:u w:val="single" w:color="auto"/>
          <w:color w:val="auto"/>
        </w:rPr>
        <w:t>Section 12.16</w:t>
      </w:r>
      <w:r>
        <w:rPr>
          <w:rFonts w:ascii="Times New Roman" w:cs="Times New Roman" w:eastAsia="Times New Roman" w:hAnsi="Times New Roman"/>
          <w:sz w:val="20"/>
          <w:szCs w:val="20"/>
          <w:color w:val="auto"/>
        </w:rPr>
        <w:t xml:space="preserve"> hereof.</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12.8.7. Each Lender with a Multicurrency Revolving Commitment hereby represents that it is a professional market party (</w:t>
      </w:r>
      <w:r>
        <w:rPr>
          <w:rFonts w:ascii="Times New Roman" w:cs="Times New Roman" w:eastAsia="Times New Roman" w:hAnsi="Times New Roman"/>
          <w:sz w:val="20"/>
          <w:szCs w:val="20"/>
          <w:i w:val="1"/>
          <w:iCs w:val="1"/>
          <w:color w:val="auto"/>
        </w:rPr>
        <w:t>professionele marktpartij</w:t>
      </w:r>
      <w:r>
        <w:rPr>
          <w:rFonts w:ascii="Times New Roman" w:cs="Times New Roman" w:eastAsia="Times New Roman" w:hAnsi="Times New Roman"/>
          <w:sz w:val="20"/>
          <w:szCs w:val="20"/>
          <w:color w:val="auto"/>
        </w:rPr>
        <w:t>) within the meaning of the Dutch Financial Supervision Act (</w:t>
      </w:r>
      <w:r>
        <w:rPr>
          <w:rFonts w:ascii="Times New Roman" w:cs="Times New Roman" w:eastAsia="Times New Roman" w:hAnsi="Times New Roman"/>
          <w:sz w:val="20"/>
          <w:szCs w:val="20"/>
          <w:i w:val="1"/>
          <w:iCs w:val="1"/>
          <w:color w:val="auto"/>
        </w:rPr>
        <w:t>Wet op het financieel toezicht</w:t>
      </w:r>
      <w:r>
        <w:rPr>
          <w:rFonts w:ascii="Times New Roman" w:cs="Times New Roman" w:eastAsia="Times New Roman" w:hAnsi="Times New Roman"/>
          <w:sz w:val="20"/>
          <w:szCs w:val="20"/>
          <w:color w:val="auto"/>
        </w:rPr>
        <w:t>) at the Incremental Amendment No. 3 and Fifth Amendment Effective Date or, in the case of any Person that becomes a Lender with a Multicurrency Revolving Commitment pursuant to the Agreement, at the date it becomes a Lender. If an assignment or transfer does not include an amount outstanding from each Borrower which is a Dutch Borrower of at least €100,000 (or its equivalent in other currencies) (or such other amount as may be required from time to time under the Dutch Financial Supervision Act (</w:t>
      </w:r>
      <w:r>
        <w:rPr>
          <w:rFonts w:ascii="Times New Roman" w:cs="Times New Roman" w:eastAsia="Times New Roman" w:hAnsi="Times New Roman"/>
          <w:sz w:val="20"/>
          <w:szCs w:val="20"/>
          <w:i w:val="1"/>
          <w:iCs w:val="1"/>
          <w:color w:val="auto"/>
        </w:rPr>
        <w:t>Wet op het financieel toezicht</w:t>
      </w:r>
      <w:r>
        <w:rPr>
          <w:rFonts w:ascii="Times New Roman" w:cs="Times New Roman" w:eastAsia="Times New Roman" w:hAnsi="Times New Roman"/>
          <w:sz w:val="20"/>
          <w:szCs w:val="20"/>
          <w:color w:val="auto"/>
        </w:rPr>
        <w:t>)), the Transferee shall confirm in the relevant assignment or transfer agreement to each such Borrower that it is a professional market party (</w:t>
      </w:r>
      <w:r>
        <w:rPr>
          <w:rFonts w:ascii="Times New Roman" w:cs="Times New Roman" w:eastAsia="Times New Roman" w:hAnsi="Times New Roman"/>
          <w:sz w:val="20"/>
          <w:szCs w:val="20"/>
          <w:i w:val="1"/>
          <w:iCs w:val="1"/>
          <w:color w:val="auto"/>
        </w:rPr>
        <w:t>professionele marktpartij</w:t>
      </w:r>
      <w:r>
        <w:rPr>
          <w:rFonts w:ascii="Times New Roman" w:cs="Times New Roman" w:eastAsia="Times New Roman" w:hAnsi="Times New Roman"/>
          <w:sz w:val="20"/>
          <w:szCs w:val="20"/>
          <w:color w:val="auto"/>
        </w:rPr>
        <w:t>) within the meaning of the Dutch Financial Supervisions Act.</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12.8.8. Notwithstanding any other provision set forth in this Agreement, any Lender may at any time pledge or assign all or any portion of its rights under this Agreement and the other Loan Documents to secure its obligations (including, without limitation, the Notes held by it), including any pledge or assignment to secure obligations to any Federal Reserve Bank or other central banking authority in accordance with Regulation A of the Federal Reserve Board, without notice to, or the consent of, any Credit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under this </w:t>
      </w:r>
      <w:r>
        <w:rPr>
          <w:rFonts w:ascii="Times New Roman" w:cs="Times New Roman" w:eastAsia="Times New Roman" w:hAnsi="Times New Roman"/>
          <w:sz w:val="20"/>
          <w:szCs w:val="20"/>
          <w:u w:val="single" w:color="auto"/>
          <w:color w:val="auto"/>
        </w:rPr>
        <w:t>Section 12.8(h)</w:t>
      </w:r>
      <w:r>
        <w:rPr>
          <w:rFonts w:ascii="Times New Roman" w:cs="Times New Roman" w:eastAsia="Times New Roman" w:hAnsi="Times New Roman"/>
          <w:sz w:val="20"/>
          <w:szCs w:val="20"/>
          <w:color w:val="auto"/>
        </w:rPr>
        <w:t xml:space="preserve"> shall release a Lender from any obligations hereunder or substitute any such pledgee or assignee for such Lender as a party hereto. Any Lender which is a fund may pledge all or any portion of its Notes or Loans to any holders of obligations owed or securities issued by such Lender including any to its trustee for or representative of such holders. No such pledge or assignment shall release the transferor Lender from its obligations hereunder.</w:t>
      </w:r>
    </w:p>
    <w:p>
      <w:pPr>
        <w:spacing w:after="0" w:line="1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12.9.</w:t>
      </w:r>
      <w:r>
        <w:rPr>
          <w:sz w:val="20"/>
          <w:szCs w:val="20"/>
          <w:color w:val="auto"/>
        </w:rPr>
        <w:tab/>
      </w:r>
      <w:r>
        <w:rPr>
          <w:rFonts w:ascii="Times New Roman" w:cs="Times New Roman" w:eastAsia="Times New Roman" w:hAnsi="Times New Roman"/>
          <w:sz w:val="19"/>
          <w:szCs w:val="19"/>
          <w:color w:val="auto"/>
        </w:rPr>
        <w:t>CONSENT TO JURISDICTION; MUTUAL WAIVER OF JURY TRIAL; SERVICE OF PROCESS.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12.9.1. ANY LEGAL ACTION OR PROCEEDING WITH RESPECT TO THIS AGREEMENT OR ANY OTHER LOAN DOCUMENT MAY BE BROUGHT IN THE COURTS OF THE STATE OF NEW YORK SITTING IN NEW YORK, NEW YORK OR COURTS OF THE UNITED STATES FOR THE SOUTHERN DISTRICT OF NEW YORK, AND, BY EXECUTION AND DELIVERY OF THIS AGREEMENT, EACH CREDIT PARTY HEREBY IRREVOCABLY ACCEPTS FOR ITSELF AND IN RESPECT OF ITS PROPERTY, GENERALLY AND UNCONDITIONALLY, THE NON-EXCLUSIVE JURISDICTION OF THE AFORESAID COURTS. EACH CREDIT PARTY HEREBY IRREVOCABLY DESIGNATES, APPOINTS AND EMPOWERS CT CORPORATION SYSTEM WITH OFFICES ON THE ORIGINAL CLOSING DATE AT 111 EIGHTH AVENUE, NEW YORK, NEW YORK 10011 AS ITS DESIGNEE, APPOINTEE AND ADMINISTRATIVE AGENT TO RECEIVE, ACCEPT AND ACKNOWLEDGE FOR AND ON ITS BEHALF, AND IN RESPECT OF ITS PROPERTY, SERVICE OF ANY AND ALL LEGAL PROCESS, SUMMONS, NOTICES AND DOCUMENTS WHICH MAY BE SERVED IN ANY SUCH ACTION OR PROCEEDING. IF FOR ANY REASON SUCH DESIGNEE, APPOINTEE AND ADMINISTRATIVE AGENT SHALL CEASE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236</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90" w:name="page291"/>
    <w:bookmarkEnd w:id="290"/>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TO BE AVAILABLE TO ACT AS SUCH, EACH CREDIT PARTY AGREES TO DESIGNATE A NEW DESIGNEE, APPOINTEE AND ADMINISTRATIVE AGENT IN NEW YORK CITY ON THE TERMS AND FOR THE PURPOSES OF THIS PROVISION REASONABLY SATISFACTORY TO ADMINISTRATIVE AGENT UNDER THIS AGREEMENT. EACH CREDIT PARTY FURTHER IRREVOCABLY CONSENTS TO THE SERVICE OF PROCESS OUT OF ANY OF THE AFOREMENTIONED COURTS IN ANY SUCH ACTION OR PROCEEDING BY THE MAILING OF COPIES THEREOF BY REGISTERED OR CERTIFIED MAIL, POSTAGE PREPAID, TO SUCH CREDIT PARTY, AT ITS ADDRESS SET FORTH IN AND IN ACCORDANCE WITH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SUCH SERVICE TO BECOME EFFECTIVE THIRTY (30) DAYS AFTER SUCH MAILING. NOTHING HEREIN SHALL AFFECT THE RIGHT OF ADMINISTRATIVE AGENT UNDER THIS AGREEMENT, ANY LENDER OR THE HOLDER OF ANY NOTE TO SERVE PROCESS IN ANY OTHER MANNER PERMITTED BY LAW OR TO COMMENCE LEGAL PROCEEDINGS OR OTHERWISE PROCEED AGAINST EACH CREDIT PARTY IN ANY OTHER JURISDICTION.</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12.9.2. EACH CREDIT PARTY HEREBY IRREVOCABLY WAIVES ANY OBJECTION WHICH IT MAY NOW OR HEREAFTER HAVE TO THE LAYING OF VENUE OF ANY OF THE AFORESAID ACTIONS OR PROCEEDINGS ARISING OUT OF OR IN CONNECTION WITH THIS AGREEMENT OR ANY OTHER LOAN DOCUMENT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12.9.3. EACH OF THE PARTIES TO THIS AGREEMENT HEREBY IRREVOCABLY WAIVES ANY RIGHT IT MAY HAVE TO TRIAL BY JURY IN ANY COURT OR JURISDICTION, INCLUDING WITHOUT LIMITATION THOSE REFERRED TO IN CLAUSE (A) ABOVE, IN RESPECT OF ANY MATTER ARISING OUT OF OR RELATING TO THIS AGREEMENT AND THE OTHER LOAN DOCUMENTS OR THE TRANSACTIONS CONTEMPLATED HEREBY OR THEREBY.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12.9.4. THIS AGREEMENT AND EACH NOTE SHALL BE DEEMED TO BE A CONTRACT MADE UNDER THE LAWS OF THE STATE OF NEW YORK, AND FOR ALL PURPOSES SHALL BE CONSTRUED IN ACCORDANCE WITH THE INTERNAL LAWS AND DECISIONS OF SAID STATE, INCLUDING SECTIONS 5-1401 AND 5-1402 OF THE NEW YORK GENERAL OBLIGATIONS LAW BUT EXCLUDING ALL OTHER CHOICE OF LAW AND CONFLICTS OF LAWS RULES.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12.9.5. EACH PARTY TO THIS AGREEMENT IRREVOCABLY CONSENTS TO SERVICE OF PROCESS IN THE MANNER PROVIDED FOR NOTICES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SUBJECT TO SUCH OTHER FORM OF NOTICE AS MAY BE REQUIRED UNDER APPLICABLE LAW WITH RESPECT TO THE GERMAN BORROWERS. NOTHING IN THIS AGREEMENT OR ANY OTHER LOAN DOCUMENT WILL AFFECT THE RIGHT OF ANY PARTY TO THIS AGREEMENT TO SERVE PROCESS IN ANY OTHER MANNER PERMITTED BY LAW.</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12.9.6. BY THE EXECUTION AND DELIVERY OF THIS AGREEMENT, EUROPEAN BORROWER AND EACH SUBSIDIARY BORROWER ACKNOWLEDGES THAT IT HAS BY SEPARATE WRITTEN INSTRUMENT, DESIGNATED AND APPOINTED CROWN HOLDINGS, INC., ONE CROWN WAY, PHILADELPHIA, PA 19154, ATTN: SENIOR VICE PRESIDENT - FINANCE (AND ANY SUCCESSOR ENTITY), AS ITS AUTHORIZED AGENT UPON WHICH PROCESS MAY BE SERVED IN ANY SUIT OR PROCEEDING ARISING OUT OF OR RELATING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91" w:name="page292"/>
    <w:bookmarkEnd w:id="291"/>
    <w:p>
      <w:pPr>
        <w:jc w:val="both"/>
        <w:spacing w:after="0" w:line="283" w:lineRule="auto"/>
        <w:rPr>
          <w:sz w:val="20"/>
          <w:szCs w:val="20"/>
          <w:color w:val="auto"/>
        </w:rPr>
      </w:pPr>
      <w:r>
        <w:rPr>
          <w:rFonts w:ascii="Times New Roman" w:cs="Times New Roman" w:eastAsia="Times New Roman" w:hAnsi="Times New Roman"/>
          <w:sz w:val="20"/>
          <w:szCs w:val="20"/>
          <w:color w:val="auto"/>
        </w:rPr>
        <w:t>TO THIS AGREEMENT OR THE LOAN DOCUMENTS THAT MAY BE INSTITUTED IN ANY FEDERAL OR STATE COURT IN THE STATE OF NEW YORK.</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12.9.7. EUROPEAN BORROWER AND EACH SUBSIDIARY BORROWER, TO THE EXTENT THAT IT HAS OR HEREAFTER MAY ACQUIRE ANY IMMUNITY (SOVEREIGN OR OTHERWISE) FROM ANY LEGAL ACTION, SUIT OR PROCEEDING, FROM JURISDICTION OF ANY COURT OR FROM SETOFF OR ANY LEGAL PROCESS (WHETHER SERVICE OF NOTICE, ATTACHMENT PRIOR TO JUDGMENT, ATTACHMENT IN AID OF EXECUTION OF JUDGMENT, EXECUTION OF JUDGMENT OR OTHERWISE) WITH RESPECT TO ITSELF OR ANY OF ITS PROPERTY OR ASSETS, HEREBY WAIVES AND AGREES NOT TO PLEAD OR CLAIM SUCH IMMUNITY IN RESPECT OF ITS OBLIGATIONS UNDER THIS AGREEMENT AND THE OTHER LOAN DOCUMENTS (IT BEING UNDERSTOOD THAT THE WAIVERS CONTAINED IN THIS PARAGRAPH (E) SHALL HAVE THE FULLEST EXTENT PERMITTED UNDER THE FOREIGN SOVEREIGN IMMUNITIES ACT OF 1976, AS AMENDED, AND ARE INTENDED TO BE IRREVOCABLE AND NOT SUBJECT TO WITHDRAWAL FOR THE PURPOSES OF SUCH ACT).</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12.9.8. EUROPEAN BORROWER AND CROWN DEVELOPPEMENT EACH, ON BEHALF OF ITSELF AND THEIR RESPECTIVE SUBSIDIARIES, HEREBY WAIVE THE BENEFIT OF THE PROVISIONS OF ARTICLE 14 AND ARTICLE 15 OF THE FRENCH CIVIL CODE.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12.10. Severability of Provisions.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12.11. Transfers of Notes. In the event that the holder of any Note (including any Lender) shall transfer such Note, it shall immediately advise Administrative Agent and the applicable Borrower of such transfer, and Agents and Borrowers shall be entitled conclusively to assume that no transfer of any Note has been made by any holder (including any Lender) unless and until Administrative Agent and the applicable Borrower shall have received written notice to the contrary. Except as otherwise provided in this Agreement or as otherwise expressly agreed in writing by all of the other parties hereto, no Lender shall, by reason of the transfer of a Note or otherwise, be relieved of any of its obligations hereunder. Each transferee of any Note shall take such Note subject to the provisions of this Agreement and to any request made, waiver or consent given or other action taken hereunder, prior to the receipt by Administrative Agent and the applicable Borrower of written notice of such transfer, by each previous holder of such Note, and, except as expressly otherwise provided in such transfer, Agents and Borrowers shall be entitled conclusively to assume that the transferee named in such notice shall hereafter be vested with all rights and powers under this Agreement with respect to the Pro Rata Share of the Loans of the Lender named as the payee of the Note which is the subject of such transfer.</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12.12. Registry. Borrowers hereby designate Administrative Agent to serve as Borrowers’ agent, solely for purposes of this </w:t>
      </w:r>
      <w:r>
        <w:rPr>
          <w:rFonts w:ascii="Times New Roman" w:cs="Times New Roman" w:eastAsia="Times New Roman" w:hAnsi="Times New Roman"/>
          <w:sz w:val="20"/>
          <w:szCs w:val="20"/>
          <w:u w:val="single" w:color="auto"/>
          <w:color w:val="auto"/>
        </w:rPr>
        <w:t>Section 12.12</w:t>
      </w:r>
      <w:r>
        <w:rPr>
          <w:rFonts w:ascii="Times New Roman" w:cs="Times New Roman" w:eastAsia="Times New Roman" w:hAnsi="Times New Roman"/>
          <w:sz w:val="20"/>
          <w:szCs w:val="20"/>
          <w:color w:val="auto"/>
        </w:rPr>
        <w:t xml:space="preserve"> to maintain a register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on which it will record the Commitment from time to time of each of the Lenders, the Loans made by each of the Lenders and each repayment in respect of the principal amount (and interest amounts) of the Loans of each Lender. Failure to make any such recordation, or any error in such recordation shall not affect any Credit Party’s obligations in respect of such Loans. With respect to any Lender, the transfer of the Commitments of such Lender and the rights to the principal of, and interest on, any Loan made pursuant to such Commitment shall not be effective until such transfer is recorded on the Register maintained by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92" w:name="page293"/>
    <w:bookmarkEnd w:id="292"/>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Administrative Agents with respect to ownership of such Commitment and Loans and prior to such recordation all amounts owing to the transferor with respect to such Commitments and Loans shall remain owing to the transferor. The registration of assignment or transfer of all or part of any Commitment and Loans shall be recorded by Administrative Agents on the Register only upon the acceptance by such Administrative Agents of a properly executed and delivered Assignment and Assumption Agreement pursuant to </w:t>
      </w:r>
      <w:r>
        <w:rPr>
          <w:rFonts w:ascii="Times New Roman" w:cs="Times New Roman" w:eastAsia="Times New Roman" w:hAnsi="Times New Roman"/>
          <w:sz w:val="20"/>
          <w:szCs w:val="20"/>
          <w:u w:val="single" w:color="auto"/>
          <w:color w:val="auto"/>
        </w:rPr>
        <w:t>Section 12.8</w:t>
      </w:r>
      <w:r>
        <w:rPr>
          <w:rFonts w:ascii="Times New Roman" w:cs="Times New Roman" w:eastAsia="Times New Roman" w:hAnsi="Times New Roman"/>
          <w:sz w:val="20"/>
          <w:szCs w:val="20"/>
          <w:color w:val="auto"/>
        </w:rPr>
        <w:t>. The entries in the Register shall be conclusive absent manifest error, and the Credit Parties, the Agents and the Lenders shall treat each person whose name is recorded in the Register pursuant to the terms hereof as a Lender hereunder for all purposes of this Agreement, notwithstanding any notice to the contrary. Coincident with the delivery of such an Assignment and Assumption Agreement to such Administrative Agents for acceptance and registration of assignment or transfer of all or part of a Loan, or as soon thereafter as practicable, the assigning or transferor Lender shall surrender any Note evidencing such Loan, and thereupon, if requested by the assigning or transferor Lender or new Lender, one or more new Notes in the same aggregate principal amount then owing to such assignor or transferor Lender shall be issued to the assigning or transferor Lender and/or the new Lender.</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12.13. USA PATRIOT Act and Beneficial Ownership Certificate Notice. Each Lender and the Administrative Agent (for itself and not on behalf of any Lender) hereby notifies Crown Holdings and each Borrower that pursuant to the requirements of the Patriot Act and the Beneficial Ownership Regulation, it is required to obtain, verify and record information that identifies Crown Holdings and each Borrower, which information includes the name and address of Crown Holdings and each Borrower, a Beneficial Ownership Certification (if any Borrower qualifies as a “legal entity customer” under the Beneficial Ownership Regulation) and other information that will allow such Lender or the Administrative Agent, as applicable, to identify Crown Holdings and each Borrower in accordance with the Patriot Act and the Beneficial Ownership Regulation. Crown Holdings and each Borrower shall, promptly following a request by any Lender or the Administrative Agent, provide all documentation and other information that such Lender reasonably requests in order to comply with its ongoing obligations under applicable “know your customer” and anti-money laundering rules and regulations, including the Patriot Act and the Beneficial Ownership Regulation.</w:t>
      </w:r>
    </w:p>
    <w:p>
      <w:pPr>
        <w:spacing w:after="0" w:line="18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12.14. Headings. The Table of Contents and Article and Section headings used in this Agreement are for convenience of reference only and shall not affect the construction of this Agreement.</w:t>
      </w:r>
    </w:p>
    <w:p>
      <w:pPr>
        <w:spacing w:after="0" w:line="16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12.15. Termination of Agreement. This Agreement shall terminate when the Commitment of each Lender has terminated and all outstanding Obligations (other than any obligations and liabilities under Bank Related Debt as to which arrangements reasonably satisfactory to the applicable Hedge Bank shall have been made) and Loans have been paid in full and all Letters of Credit have expired or been terminated (unless cash collateralized or otherwise backstopped on terms reasonably acceptable to the Facing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rights and remedies of each Agent and each Lender with respect to any representation and warranty made by any Credit Party pursuant to this Agreement or any other Loan Document, and the indemnification and expense reimbursement provisions contained in this Agreement and any other Loan Document, shall be continuing and shall survive any termination of this Agreement or any other Loan Document.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12.16. Treatment of Certain Information; Confidentiality. Each of the Agents, the Lenders, the Sustainability Coordinators and each Facing Agent agrees to maintain the confidentiality of the Information (as defined below) in accordance with its customary practices and procedures for handling such information and in a prudent fashion, except that information may be disclosed (a) to its and its Affiliates’ directors, officers, employees, agents, including accountants, legal counsel and other advisors, insurers, insurance brokers and service providers (it being understood that the Persons to whom such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93" w:name="page294"/>
    <w:bookmarkEnd w:id="293"/>
    <w:p>
      <w:pPr>
        <w:jc w:val="both"/>
        <w:spacing w:after="0" w:line="264" w:lineRule="auto"/>
        <w:rPr>
          <w:sz w:val="20"/>
          <w:szCs w:val="20"/>
          <w:color w:val="auto"/>
        </w:rPr>
      </w:pPr>
      <w:r>
        <w:rPr>
          <w:rFonts w:ascii="Times New Roman" w:cs="Times New Roman" w:eastAsia="Times New Roman" w:hAnsi="Times New Roman"/>
          <w:sz w:val="19"/>
          <w:szCs w:val="19"/>
          <w:color w:val="auto"/>
        </w:rPr>
        <w:t>disclosure is made will be informed of the confidential nature of such information and instructed to keep such information confidential), (b) to the extent requested by any governmental or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the enforcement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of its agents or professional advisers), or any prospective assignee of or Participant in, any of its rights and obligations under this Agreement, (ii) any actual or prospective counterparty (or its advisors) to any swap or derivative transaction relating to the Crown Holdings or any other Credit Party and its obligations or (iii) any rating agency, market data collector or direct or indirect provider of credit protection (or its brokers) to it or its Affiliates, (g) with the consent of Crown Holdings or (h) to the extent such information (x) becomes publicly available other than as a result of a breach of this Section or (y) becomes available to any Agent, any Lender or any Facing Agent or any of their respective Affiliates on a nonconfidential basis from a source other than Crown Holdings. Nothing in this provision shall imply that any party has waived any privilege that it may have with respect to advice it has received.</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Crown Holdings or any of its Subsidiaries relating to Crown Holdings or any of its Subsidiaries or any of their respective businesses in the context of this Agreement and any other Loan Document, other than any such information that is available to Administrative Agent, any Lender or any Facing Agent on a nonconfidential basis prior to disclosure by Crown Holdings or any of its Subsidiaries. In addition,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but not the Schedules hereto), it being understood that the Person to whom such disclosure is made will be informed of the confidential nature of information and instructed to make available in the course of its business of assigning identification numbers. Nothing in any Loan Document shall prevent disclosure of any confidential information or other matter to the extent that preventing that disclosure would otherwise cause any transaction contemplated by the Loan Documents, or any transaction carried out in connection with any transaction contemplated thereby, to become an arrangement described in Directive 2011/16/EU.</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12.17.  Concerning the Collateral and the Loan Documents.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12.17.1.</w:t>
      </w: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Each Lender and each other Secured Creditor hereby irrevocably (for itself and its assignees, Participants and successors) authorizes Administrative Agent to enter into the Receivables Intercreditor Agreements and any amendments thereto (including, if applicable, additional Receivables Intercreditor Agreements in connection with a Permitted Receivables or Factoring Financing and any amendments thereto) and any amendments thereto and each U.S. Security Document on behalf of and for the benefit of that Lender or other Secured Creditor and its assignees, Participants and successors, and agrees to be bound by the terms of the Receivables Intercreditor Agreements and each U.S. Security Document. Each Lender and each other Secured Creditor agrees irrevocably (for itself and its assignees, Participants and successors) that it and its assignees, Participants and successors shall not have any right individually to seek to realize upon the security granted by any U.S. Security Document, it being understood and agreed that such rights and remedies may be exercised by the U.S. Collateral Agent for the benefit of Administrative Agent, the Lenders and the other Secured Creditors upon the terms of the U.S. Security Documents.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240</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94" w:name="page295"/>
    <w:bookmarkEnd w:id="294"/>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12.17.2.Each Canadian Revolving Lender, Multicurrency Revolving Lender and each Term Lender with Loans outstanding to European Borrower (for itself and its assignees, Participants and successors) hereby authorizes irrevocably U.K. Administrative Agent and Euro Collateral Agent to enter into the Receivables Intercreditor Agreements and any amendments thereto (including, if applicable, additional Receivables Intercreditor Agreements in connection with a Permitted Receivables or Factoring Financing and any amendments thereto) and any amendments thereto and the Euro Security Documents on behalf of and for the benefit of that Lender and its assignees, Participants and successors, and agrees to be bound by the terms of the Receivables Intercreditor Agreements and the Euro Security Documents. Each Lender agrees that U.K. Administrative Agent, Canadian Administrative Agent and Euro Collateral Agent shall not enter into or consent to any amendment, modification, termination or waiver of any provision contained in the Euro Security Documents without the prior consent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release of all or substantially all of the Euro Collateral shall require the prior consent of each Lender. Each Lender irrevocably (for itself and its assignees, Participants and successors) agrees that it and its assignees, Participants and successors shall not have any right individually to seek to realize upon the security granted by any Euro Security Document, it being understood and agreed that such rights and remedies may be exercised by Euro Collateral Agent for the benefit of each Multicurrency Revolving Lender, each Canadian Revolving Lender and each Term Lender with Loans outstanding to European Borrower upon the terms of the Euro Security Documents.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12.17.3.Notwithstanding any other provision contained in this Agreement or any other Loan Document, if a “secured creditor” (as that term is defined under the BIA) is determined by a court of competent jurisdiction not to include a Person to whom obligations are owed on a joint or joint and several basis, then the Canadian Borrower’s and any Canadian Credit Party’s Canadian Obligations, to the extent such Obligations are secured, only shall be several obligations and not joint or joint and several obligations.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12.17.4.[Reserved].</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12.17.5.Each Lender and each other Secured Creditor agrees that any action taken by Administrative Agents or the Required Lenders (or, where required by the express terms, hereof, a different proportion of the Lenders) in accordance with the provisions hereof or of the other Loan Documents, and the exercise by any Agent, any Collateral Agent or the Required Lenders (or, where so required, such different proportion) of the powers set forth herein or therein, together with such other powers as are reasonably incidental thereto, shall be authorized and binding upon all of the Lenders and each other Secured Creditor. Without limiting the generality of the foregoing, Administrative Agent and Collateral Agents shall have the sole and exclusive right and authority to (i) act as the disbursing and collecting agent for the Lenders and each other Secured Creditor with respect to all payments and collections arising in connection herewith and with the Loan Documents relating to the Collateral; (ii) execute and deliver each Loan Document relating to the Collateral and accept delivery of each such agreement delivered by Crown Holdings or any of its Subsidiaries, (iii) act as collateral trustee for the Lenders and each other Secured Creditor for purposes stated therein to the extent such action is provided for under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Administrative Agent hereby appoints, authorizes and directs each Lender and each other Secured Creditor to act as collateral sub-agent for Administrative Agent and the Lenders for purposes of the perfection of all security interests and Liens with respect to Crown Holdings’ and its Subsidiaries’ respective deposit accounts maintained with, and Cash and Cash Equivalents held by, such Lender and each other Secured Creditor; (iv) manage, supervise and otherwise deal with the Collateral; (v) take such action as is necessary or desirable to maintain the perfection and priority of the security interests and liens created or purported to be created by the Loan Documents, and (vi) except as may be otherwise specifically restricted by the terms hereof or of any other Loan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95" w:name="page296"/>
    <w:bookmarkEnd w:id="295"/>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Document, exercise all remedies given to any Agent or the Lenders and each other Secured Creditor with respect to the Collateral under the Loan Documents relating thereto, applicable law or otherwise.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12.18.  U.K. Administrative Agent and Euro Collateral Agent as Joint Creditors. Each of the Credit Parties and each Lender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 agree that each of U.K. Administrative Agent and Euro Collateral Agent shall be:</w:t>
      </w:r>
    </w:p>
    <w:p>
      <w:pPr>
        <w:spacing w:after="0" w:line="20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12.18.1.a joint creditor (together with the relevant Lender or Agent) of the Euro Obligations and the Canadian Obligations of European Borrower, Subsidiary Borrowers, and Canadian Borrower toward each Lender or Agent under or in connection with the Loan Documents;</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12.18.2.a joint creditor (together with the relevant Agent, Lender, Affiliate thereof, or any other person permitted under the Credit Agreement at the time such Bank Related Debt was entered into) of the Bank Related Debt to the extent such Bank Related Debt is owed to entities which are bound by the terms of this Section and to the extent such obligations are incurred by European Borrower, Canadian Borrower or another Non-U.S. Subsidiary; and</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12.18.3.a joint creditor (together with the relevant Lender or Agent) of each and every obligation under the Loan Documents to the extent such obligations are incurred by European Borrower, Canadian Borrower or another Non-U.S. Subsidiary;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and that accordingly U.K. Administrative Agent and Euro Collateral Agent will have its own independent right to demand performance by such obligors of those obligations. However, any discharge of any such obligation to U.K. Administrative Agent, Euro Collateral Agent or any other relevant creditor referred to above, shall, to the same extent, discharge the corresponding obligation owing to the others.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12.19.  Dutch Parallel Debt. Solely for purposes of this </w:t>
      </w:r>
      <w:r>
        <w:rPr>
          <w:rFonts w:ascii="Times New Roman" w:cs="Times New Roman" w:eastAsia="Times New Roman" w:hAnsi="Times New Roman"/>
          <w:sz w:val="20"/>
          <w:szCs w:val="20"/>
          <w:u w:val="single" w:color="auto"/>
          <w:color w:val="auto"/>
        </w:rPr>
        <w:t>Section 12.19</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Dutch Parallel Debt</w:t>
      </w:r>
      <w:r>
        <w:rPr>
          <w:rFonts w:ascii="Times New Roman" w:cs="Times New Roman" w:eastAsia="Times New Roman" w:hAnsi="Times New Roman"/>
          <w:sz w:val="20"/>
          <w:szCs w:val="20"/>
          <w:color w:val="auto"/>
        </w:rPr>
        <w:t>” means, in relation to an Underlying Debt, an obligation to pay to the Euro Collateral Agent an amount equal to (and in the same currency as) the amount of that Underlying Debt.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Obligor</w:t>
      </w:r>
      <w:r>
        <w:rPr>
          <w:rFonts w:ascii="Times New Roman" w:cs="Times New Roman" w:eastAsia="Times New Roman" w:hAnsi="Times New Roman"/>
          <w:sz w:val="20"/>
          <w:szCs w:val="20"/>
          <w:color w:val="auto"/>
        </w:rPr>
        <w:t>” means the European Borrower, the Canadian Borrower, any Subsidiary Borrower or a Non-U.S. Subsidiary.</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Underlying Debt</w:t>
      </w:r>
      <w:r>
        <w:rPr>
          <w:rFonts w:ascii="Times New Roman" w:cs="Times New Roman" w:eastAsia="Times New Roman" w:hAnsi="Times New Roman"/>
          <w:sz w:val="20"/>
          <w:szCs w:val="20"/>
          <w:color w:val="auto"/>
        </w:rPr>
        <w:t xml:space="preserve">” means, in relation to a Obligor, and at any given time, each obligation (whether present or future, actual or contingent) owing by any Obligor to a relevant Lender or Agent under </w:t>
      </w:r>
      <w:r>
        <w:rPr>
          <w:rFonts w:ascii="Times New Roman" w:cs="Times New Roman" w:eastAsia="Times New Roman" w:hAnsi="Times New Roman"/>
          <w:sz w:val="20"/>
          <w:szCs w:val="20"/>
          <w:u w:val="single" w:color="auto"/>
          <w:color w:val="auto"/>
        </w:rPr>
        <w:t>Section 12.18</w:t>
      </w:r>
      <w:r>
        <w:rPr>
          <w:rFonts w:ascii="Times New Roman" w:cs="Times New Roman" w:eastAsia="Times New Roman" w:hAnsi="Times New Roman"/>
          <w:sz w:val="20"/>
          <w:szCs w:val="20"/>
          <w:color w:val="auto"/>
        </w:rPr>
        <w:t xml:space="preserve"> (including, for the avoidance of doubt, any change or increase in those obligations pursuant to or in connection with any amendment or supplement or restatement or novation of any Loan Document, in each case whether or not anticipated as of the date of this Agreement) excluding that Obligor’s Dutch Parallel Debts.</w:t>
      </w:r>
    </w:p>
    <w:p>
      <w:pPr>
        <w:spacing w:after="0" w:line="168" w:lineRule="exact"/>
        <w:rPr>
          <w:sz w:val="20"/>
          <w:szCs w:val="20"/>
          <w:color w:val="auto"/>
        </w:rPr>
      </w:pPr>
    </w:p>
    <w:p>
      <w:pPr>
        <w:jc w:val="both"/>
        <w:ind w:right="20" w:firstLine="656"/>
        <w:spacing w:after="0" w:line="261" w:lineRule="auto"/>
        <w:tabs>
          <w:tab w:leader="none" w:pos="1126"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Obligor undertakes with the Euro Collateral Agent to pay to the Euro Collateral Agent its Dutch Parallel Debts for the purpose of ensuring the validity and effect of any Collateral governed by Dutch law and granted or to be granted by any Obligor pursuant to the Loan Documents and without prejudice to the other provisions of the Loan Documents.</w:t>
      </w:r>
    </w:p>
    <w:p>
      <w:pPr>
        <w:spacing w:after="0" w:line="181" w:lineRule="exact"/>
        <w:rPr>
          <w:rFonts w:ascii="Times New Roman" w:cs="Times New Roman" w:eastAsia="Times New Roman" w:hAnsi="Times New Roman"/>
          <w:sz w:val="20"/>
          <w:szCs w:val="20"/>
          <w:color w:val="auto"/>
        </w:rPr>
      </w:pPr>
    </w:p>
    <w:p>
      <w:pPr>
        <w:ind w:right="20" w:firstLine="656"/>
        <w:spacing w:after="0" w:line="283" w:lineRule="auto"/>
        <w:tabs>
          <w:tab w:leader="none" w:pos="112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Dutch Parallel Debt is a separate and independent obligation and shall not constitute the Euro Collateral Agent and any Lender as joint creditors of any Underlying Debt.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242</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96" w:name="page297"/>
    <w:bookmarkEnd w:id="296"/>
    <w:p>
      <w:pPr>
        <w:ind w:firstLine="656"/>
        <w:spacing w:after="0" w:line="283" w:lineRule="auto"/>
        <w:tabs>
          <w:tab w:leader="none" w:pos="117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Obligor may pay any Dutch Parallel Debt other than at the instruction of, and in the manner determined by, the Euro Collateral Agent.</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4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prejudice to </w:t>
      </w:r>
      <w:r>
        <w:rPr>
          <w:rFonts w:ascii="Times New Roman" w:cs="Times New Roman" w:eastAsia="Times New Roman" w:hAnsi="Times New Roman"/>
          <w:sz w:val="20"/>
          <w:szCs w:val="20"/>
          <w:u w:val="single" w:color="auto"/>
          <w:color w:val="auto"/>
        </w:rPr>
        <w:t>Section 12.19(c)</w:t>
      </w:r>
      <w:r>
        <w:rPr>
          <w:rFonts w:ascii="Times New Roman" w:cs="Times New Roman" w:eastAsia="Times New Roman" w:hAnsi="Times New Roman"/>
          <w:sz w:val="20"/>
          <w:szCs w:val="20"/>
          <w:color w:val="auto"/>
        </w:rPr>
        <w:t>, no Obligor shall be obliged to pay any Dutch Parallel Debt before the corresponding Underlying Debt has fallen due.</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13"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or amount recovered, in respect of an Obligor’s Dutch Parallel Debts shall reduce the Underlying Debts owed to any Lender by the amount which that Lender is entitled to receive out of that payment or recovery under the Loan Documents.</w:t>
      </w:r>
    </w:p>
    <w:p>
      <w:pPr>
        <w:spacing w:after="0" w:line="159" w:lineRule="exact"/>
        <w:rPr>
          <w:rFonts w:ascii="Times New Roman" w:cs="Times New Roman" w:eastAsia="Times New Roman" w:hAnsi="Times New Roman"/>
          <w:sz w:val="20"/>
          <w:szCs w:val="20"/>
          <w:color w:val="auto"/>
        </w:rPr>
      </w:pPr>
    </w:p>
    <w:p>
      <w:pPr>
        <w:jc w:val="both"/>
        <w:ind w:firstLine="656"/>
        <w:spacing w:after="0" w:line="281" w:lineRule="auto"/>
        <w:tabs>
          <w:tab w:leader="none" w:pos="1050"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Euro Collateral Agent resigns, each Obligor shall execute such documents and take all such other action as is necessary or (in the opinion of the Euro Collateral Agent) desirable in connection with the substitution, in accordance with applicable law, of the successor Euro Collateral Agent as creditor of the Dutch Parallel Debts and as beneficiary of any Euro Collateral securing the Dutch Parallel Debts.</w:t>
      </w:r>
    </w:p>
    <w:p>
      <w:pPr>
        <w:spacing w:after="0" w:line="150" w:lineRule="exact"/>
        <w:rPr>
          <w:rFonts w:ascii="Times New Roman" w:cs="Times New Roman" w:eastAsia="Times New Roman" w:hAnsi="Times New Roman"/>
          <w:sz w:val="19"/>
          <w:szCs w:val="19"/>
          <w:color w:val="auto"/>
        </w:rPr>
      </w:pPr>
    </w:p>
    <w:p>
      <w:pPr>
        <w:jc w:val="both"/>
        <w:ind w:firstLine="656"/>
        <w:spacing w:after="0" w:line="258" w:lineRule="auto"/>
        <w:tabs>
          <w:tab w:leader="none" w:pos="108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in any Loan Document, in relation to the Dutch Parallel Debts and any Collateral governed by Dutch law: (i) the Euro Collateral Agent shall act in its own name and not as agent of any Lender (but always for the benefit of the Lenders in accordance with the provisions of the Loan Documents), and (ii) the rights, powers and authorities vested in the Euro Collateral Agent pursuant to the Loan Documents are subject to any restrictions imposed by mandatory Dutch law.</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12.20.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12.20.1.the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12.20.2.the effects of any Bail-in Action on any such liability, including, if applicable:</w:t>
      </w:r>
    </w:p>
    <w:p>
      <w:pPr>
        <w:spacing w:after="0" w:line="216" w:lineRule="exact"/>
        <w:rPr>
          <w:sz w:val="20"/>
          <w:szCs w:val="20"/>
          <w:color w:val="auto"/>
        </w:rPr>
      </w:pPr>
    </w:p>
    <w:p>
      <w:pPr>
        <w:ind w:left="1560"/>
        <w:spacing w:after="0"/>
        <w:tabs>
          <w:tab w:leader="none" w:pos="2580" w:val="left"/>
        </w:tabs>
        <w:rPr>
          <w:sz w:val="20"/>
          <w:szCs w:val="20"/>
          <w:color w:val="auto"/>
        </w:rPr>
      </w:pPr>
      <w:r>
        <w:rPr>
          <w:rFonts w:ascii="Times New Roman" w:cs="Times New Roman" w:eastAsia="Times New Roman" w:hAnsi="Times New Roman"/>
          <w:sz w:val="20"/>
          <w:szCs w:val="20"/>
          <w:color w:val="auto"/>
        </w:rPr>
        <w:t>12.20.2.1.</w:t>
      </w:r>
      <w:r>
        <w:rPr>
          <w:sz w:val="20"/>
          <w:szCs w:val="20"/>
          <w:color w:val="auto"/>
        </w:rPr>
        <w:tab/>
      </w:r>
      <w:r>
        <w:rPr>
          <w:rFonts w:ascii="Times New Roman" w:cs="Times New Roman" w:eastAsia="Times New Roman" w:hAnsi="Times New Roman"/>
          <w:sz w:val="19"/>
          <w:szCs w:val="19"/>
          <w:color w:val="auto"/>
        </w:rPr>
        <w:t>a reduction in full or in part or cancellation of any such liability;</w:t>
      </w:r>
    </w:p>
    <w:p>
      <w:pPr>
        <w:spacing w:after="0" w:line="229" w:lineRule="exact"/>
        <w:rPr>
          <w:sz w:val="20"/>
          <w:szCs w:val="20"/>
          <w:color w:val="auto"/>
        </w:rPr>
      </w:pPr>
    </w:p>
    <w:p>
      <w:pPr>
        <w:jc w:val="both"/>
        <w:ind w:left="660" w:firstLine="907"/>
        <w:spacing w:after="0" w:line="258" w:lineRule="auto"/>
        <w:rPr>
          <w:sz w:val="20"/>
          <w:szCs w:val="20"/>
          <w:color w:val="auto"/>
        </w:rPr>
      </w:pPr>
      <w:r>
        <w:rPr>
          <w:rFonts w:ascii="Times New Roman" w:cs="Times New Roman" w:eastAsia="Times New Roman" w:hAnsi="Times New Roman"/>
          <w:sz w:val="20"/>
          <w:szCs w:val="20"/>
          <w:color w:val="auto"/>
        </w:rPr>
        <w:t>12.20.2.2.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2" w:lineRule="exact"/>
        <w:rPr>
          <w:sz w:val="20"/>
          <w:szCs w:val="20"/>
          <w:color w:val="auto"/>
        </w:rPr>
      </w:pPr>
    </w:p>
    <w:p>
      <w:pPr>
        <w:jc w:val="both"/>
        <w:ind w:left="660" w:firstLine="907"/>
        <w:spacing w:after="0" w:line="283" w:lineRule="auto"/>
        <w:rPr>
          <w:sz w:val="20"/>
          <w:szCs w:val="20"/>
          <w:color w:val="auto"/>
        </w:rPr>
      </w:pPr>
      <w:r>
        <w:rPr>
          <w:rFonts w:ascii="Times New Roman" w:cs="Times New Roman" w:eastAsia="Times New Roman" w:hAnsi="Times New Roman"/>
          <w:sz w:val="20"/>
          <w:szCs w:val="20"/>
          <w:color w:val="auto"/>
        </w:rPr>
        <w:t>12.20.2.3. the variation of the terms of such liability in connection with the exercise of the write-down and conversion powers of the applicable Resolution Authority.</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12.21. Redesignation of Unrestricted Entities as Subsidiaries. Any Unrestricted Entity that would be a Subsidiary but for the last sentence of the definition of “Subsidiary” may be redesignated by Crown Holdings as a Subsidiary (with such redesignation being deemed to be an Acquisition by Crown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20"/>
          <w:szCs w:val="20"/>
          <w:color w:val="auto"/>
        </w:rPr>
        <w:t xml:space="preserve">Holdings of such Subsidiary which shall be deemed to constitute a Permitted Acquisition for purposes of </w:t>
      </w:r>
      <w:r>
        <w:rPr>
          <w:rFonts w:ascii="Times New Roman" w:cs="Times New Roman" w:eastAsia="Times New Roman" w:hAnsi="Times New Roman"/>
          <w:sz w:val="20"/>
          <w:szCs w:val="20"/>
          <w:u w:val="single" w:color="auto"/>
          <w:color w:val="auto"/>
        </w:rPr>
        <w:t>Section 8.4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8" w:lineRule="exact"/>
        <w:rPr>
          <w:sz w:val="20"/>
          <w:szCs w:val="20"/>
          <w:color w:val="auto"/>
        </w:rPr>
      </w:pPr>
    </w:p>
    <w:p>
      <w:pPr>
        <w:jc w:val="both"/>
        <w:ind w:firstLine="8"/>
        <w:spacing w:after="0" w:line="248" w:lineRule="auto"/>
        <w:tabs>
          <w:tab w:leader="none" w:pos="25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Crown Holdings shall have delivered to the Administrative Agent (not less than 30 days prior to the date Crown Holdings desires such redesignation to be effective) a notice signed by a Responsible Officer identifying such Unrestricted Entity to be redesignated and providing such other information as the Administrative Agent may reasonably request, (ii) immediately before and immediately after the effectiveness of such redesignation, no Unmatured Event of Default or Event of Default exists or will exist (including, without limitation, the permissibility of any Investment, Indebtedness, Liens or other obligations existing at such Subsidiaries), (iii) Crown Holdings has complied, to the extent applicable, with the provisions of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and the applicable Subsidiaries, on the effective date of such redesignation or such later date as agreed to by the Administrative Agent but in no event later than 120 days after such date, are in compliance with the terms and conditions of all applicable Security Documents, (iv) after giving effect to such redesignation, Crown Holdings shall be in compliance with the financial covenant set forth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(calculated on a Pro Forma Basis) as of the end of the most recent Test Period, (v) the Administrative Agent has received such other documents, instruments and opinions as it may reasonably request in connection with such redesignation, and all such instruments, documents and opinions shall be reasonably satisfactory in form and substance to the Administrative Agent and (vi) on the desired effective date of such redesignation, Crown Holdings shall deliver a certificate from a Responsible Officer confirming clauses (ii) through (v) above and that the representations and warranties contained in this Agreement and the other Loan Documents are true and correct in all material respects on the date of, and after giving effect to, such redesignation as though made on such date (except to the extent such representations and warranties are expressly made of a specified date in which event they shall be true as of such date).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12.22. No Fiduciary Responsibility. Each Credit Party hereby acknowledges that (i) none of the Agents nor any Lender has any fiduciary relationship with or duty to the Credit Parties arising out of or in connection with this Agreement or any of the other Loan Documents, and the relationship between Borrowers and the Credit Parties, on one hand, and the Agents and Lenders, on the other hand, in connection herewith or therewith is solely that of debtor and creditor and (ii) each Agent, Lender and their Affiliates may have economic interests that conflict with those of the Credit Parties, their stockholders and/or their Affiliates.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12.23.  Joint and Several Liability.</w:t>
      </w:r>
    </w:p>
    <w:p>
      <w:pPr>
        <w:spacing w:after="0" w:line="229" w:lineRule="exact"/>
        <w:rPr>
          <w:sz w:val="20"/>
          <w:szCs w:val="20"/>
          <w:color w:val="auto"/>
        </w:rPr>
      </w:pPr>
    </w:p>
    <w:p>
      <w:pPr>
        <w:jc w:val="both"/>
        <w:ind w:firstLine="656"/>
        <w:spacing w:after="0" w:line="249" w:lineRule="auto"/>
        <w:tabs>
          <w:tab w:leader="none" w:pos="93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any U.S. Borrower hereunder and under the other Loan Documents to which each U.S. Borrower is a party shall be joint and several and, as such, each U.S. Borrower shall be liable for all of such obligations of each other U.S. Borrower under this Agreement and the other Loan Documents to which any U.S. Borrower is a party. To the fullest extent permitted by law, the liability of each U.S. Borrower for the obligations under this Agreement and the other Loan Documents of the other applicable U.S. Borrowers with whom it has joint and several liability shall be absolute, unconditional and irrevocable, without regard to (i) the validity or enforceability of this Agreement or any other Loan Document, any of the obligations hereunder or thereunder or any other collateral security therefor or guarantee or right of offset with respect thereto at any time or from time to time held by any applicable Secured Creditor, (ii) any defense, set-off or counterclaim which may at any time be available to or be asserted by such other applicable U.S. Borrower or any other Person against any Secured Creditor or (iii) any other circumstance whatsoever (with or without notice to or knowledge of such other applicable U.S. Borrower or such U.S. Borrower) which constitutes, or might be construed to constitute, an equitable or legal discharge of such other applicable U.S. Borrower for the obligations hereunder or under any other Loan Document, or of such U.S. Borrower under this </w:t>
      </w:r>
      <w:r>
        <w:rPr>
          <w:rFonts w:ascii="Times New Roman" w:cs="Times New Roman" w:eastAsia="Times New Roman" w:hAnsi="Times New Roman"/>
          <w:sz w:val="20"/>
          <w:szCs w:val="20"/>
          <w:u w:val="single" w:color="auto"/>
          <w:color w:val="auto"/>
        </w:rPr>
        <w:t>Section 12.23</w:t>
      </w:r>
      <w:r>
        <w:rPr>
          <w:rFonts w:ascii="Times New Roman" w:cs="Times New Roman" w:eastAsia="Times New Roman" w:hAnsi="Times New Roman"/>
          <w:sz w:val="20"/>
          <w:szCs w:val="20"/>
          <w:color w:val="auto"/>
        </w:rPr>
        <w:t>, in bankruptcy or in any other instance, in each case of the foregoing clauses (i) through (iii), other than a defense of payment 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98" w:name="page299"/>
    <w:bookmarkEnd w:id="298"/>
    <w:p>
      <w:pPr>
        <w:spacing w:after="0" w:line="283" w:lineRule="auto"/>
        <w:rPr>
          <w:sz w:val="20"/>
          <w:szCs w:val="20"/>
          <w:color w:val="auto"/>
        </w:rPr>
      </w:pPr>
      <w:r>
        <w:rPr>
          <w:rFonts w:ascii="Times New Roman" w:cs="Times New Roman" w:eastAsia="Times New Roman" w:hAnsi="Times New Roman"/>
          <w:sz w:val="20"/>
          <w:szCs w:val="20"/>
          <w:color w:val="auto"/>
        </w:rPr>
        <w:t xml:space="preserve">performance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U.S. Borrower hereby waives any suit for breach of a contractual provision of any of the Loan Documents.</w:t>
      </w:r>
    </w:p>
    <w:p>
      <w:pPr>
        <w:spacing w:after="0" w:line="146" w:lineRule="exact"/>
        <w:rPr>
          <w:sz w:val="20"/>
          <w:szCs w:val="20"/>
          <w:color w:val="auto"/>
        </w:rPr>
      </w:pPr>
    </w:p>
    <w:p>
      <w:pPr>
        <w:jc w:val="both"/>
        <w:ind w:firstLine="656"/>
        <w:spacing w:after="0" w:line="251" w:lineRule="auto"/>
        <w:tabs>
          <w:tab w:leader="none" w:pos="110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U.S. Borrower agrees that it will not exercise any rights which it may acquire by way of rights of subrogation under this Agreement, by any payments made hereunder or otherwise, until the prior payment in full in cash of all of the obligations hereunder and under any other Loan Document, the termination or expiration of all Letters of Credit and the permanent termination of all Commitments. Any amount paid to any U.S. Borrower on account of any such subrogation rights prior to the payment in full in cash of all of the obligations hereunder and under any other Loan Document, the termination or expiration of all Letters of Credit and the permanent termination of all Commitments shall be held in trust for the benefit of the applicable Lenders and shall immediately be paid to the Administrative Agent for the benefit of the applicable Lenders and credited and applied against the obligations of the applicable U.S. Borrower pursuant to </w:t>
      </w:r>
      <w:r>
        <w:rPr>
          <w:rFonts w:ascii="Times New Roman" w:cs="Times New Roman" w:eastAsia="Times New Roman" w:hAnsi="Times New Roman"/>
          <w:sz w:val="20"/>
          <w:szCs w:val="20"/>
          <w:u w:val="single" w:color="auto"/>
          <w:color w:val="auto"/>
        </w:rPr>
        <w:t>Section 2.2(c)</w:t>
      </w:r>
      <w:r>
        <w:rPr>
          <w:rFonts w:ascii="Times New Roman" w:cs="Times New Roman" w:eastAsia="Times New Roman" w:hAnsi="Times New Roman"/>
          <w:sz w:val="20"/>
          <w:szCs w:val="20"/>
          <w:color w:val="auto"/>
        </w:rPr>
        <w:t>. In furtherance of the foregoing, for so long as any obligations of the U.S. Borrowers hereunder, any Letters of Credit or any Commitments remain outstanding, each U.S. Borrower shall refrain from taking any action or commencing any proceeding against any other U.S. Borrower (or any of its successors or assigns, whether in connection with a bankruptcy proceeding or otherwise) to recover any amounts in respect of payments made in respect of the obligations hereunder or under any other Loan Document of such other U.S. Borrower to any Secured Creditor.</w:t>
      </w:r>
    </w:p>
    <w:p>
      <w:pPr>
        <w:spacing w:after="0" w:line="17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12.24. Acknowledgement Regarding Any Supported QFCs. To the extent that the Loan Documents provide support, through a guarantee or otherwise, for any Hedging Agreement or any other agreement or instrument that is a QFC (such support, “</w:t>
      </w:r>
      <w:r>
        <w:rPr>
          <w:rFonts w:ascii="Times New Roman" w:cs="Times New Roman" w:eastAsia="Times New Roman" w:hAnsi="Times New Roman"/>
          <w:sz w:val="20"/>
          <w:szCs w:val="20"/>
          <w:u w:val="single" w:color="auto"/>
          <w:color w:val="auto"/>
        </w:rPr>
        <w:t>QFC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12.24.1.In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12.24.2.As used in this </w:t>
      </w:r>
      <w:r>
        <w:rPr>
          <w:rFonts w:ascii="Times New Roman" w:cs="Times New Roman" w:eastAsia="Times New Roman" w:hAnsi="Times New Roman"/>
          <w:sz w:val="20"/>
          <w:szCs w:val="20"/>
          <w:u w:val="single" w:color="auto"/>
          <w:color w:val="auto"/>
        </w:rPr>
        <w:t>Section 12.24</w:t>
      </w:r>
      <w:r>
        <w:rPr>
          <w:rFonts w:ascii="Times New Roman" w:cs="Times New Roman" w:eastAsia="Times New Roman" w:hAnsi="Times New Roman"/>
          <w:sz w:val="20"/>
          <w:szCs w:val="20"/>
          <w:color w:val="auto"/>
        </w:rPr>
        <w:t>,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299" w:name="page300"/>
    <w:bookmarkEnd w:id="299"/>
    <w:p>
      <w:pPr>
        <w:jc w:val="both"/>
        <w:ind w:left="660" w:right="20" w:firstLine="907"/>
        <w:spacing w:after="0" w:line="283" w:lineRule="auto"/>
        <w:rPr>
          <w:sz w:val="20"/>
          <w:szCs w:val="20"/>
          <w:color w:val="auto"/>
        </w:rPr>
      </w:pPr>
      <w:r>
        <w:rPr>
          <w:rFonts w:ascii="Times New Roman" w:cs="Times New Roman" w:eastAsia="Times New Roman" w:hAnsi="Times New Roman"/>
          <w:sz w:val="20"/>
          <w:szCs w:val="20"/>
          <w:color w:val="auto"/>
        </w:rPr>
        <w:t>12.24.2.1. “</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46"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12.24.2.2. “</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1" w:lineRule="exact"/>
        <w:rPr>
          <w:sz w:val="20"/>
          <w:szCs w:val="20"/>
          <w:color w:val="auto"/>
        </w:rPr>
      </w:pPr>
    </w:p>
    <w:p>
      <w:pPr>
        <w:jc w:val="both"/>
        <w:ind w:left="660" w:right="20" w:firstLine="907"/>
        <w:spacing w:after="0" w:line="283" w:lineRule="auto"/>
        <w:rPr>
          <w:sz w:val="20"/>
          <w:szCs w:val="20"/>
          <w:color w:val="auto"/>
        </w:rPr>
      </w:pPr>
      <w:r>
        <w:rPr>
          <w:rFonts w:ascii="Times New Roman" w:cs="Times New Roman" w:eastAsia="Times New Roman" w:hAnsi="Times New Roman"/>
          <w:sz w:val="20"/>
          <w:szCs w:val="20"/>
          <w:color w:val="auto"/>
        </w:rPr>
        <w:t>12.24.2.3. “</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42" w:lineRule="exact"/>
        <w:rPr>
          <w:sz w:val="20"/>
          <w:szCs w:val="20"/>
          <w:color w:val="auto"/>
        </w:rPr>
      </w:pPr>
    </w:p>
    <w:p>
      <w:pPr>
        <w:jc w:val="both"/>
        <w:ind w:left="660" w:firstLine="907"/>
        <w:spacing w:after="0" w:line="287" w:lineRule="auto"/>
        <w:rPr>
          <w:sz w:val="20"/>
          <w:szCs w:val="20"/>
          <w:color w:val="auto"/>
        </w:rPr>
      </w:pPr>
      <w:r>
        <w:rPr>
          <w:rFonts w:ascii="Times New Roman" w:cs="Times New Roman" w:eastAsia="Times New Roman" w:hAnsi="Times New Roman"/>
          <w:sz w:val="20"/>
          <w:szCs w:val="20"/>
          <w:color w:val="auto"/>
        </w:rPr>
        <w:t xml:space="preserve">12.24.2.4.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12.25.  Certain ERISA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12.25.1.Each Lender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the Borrowers or any other Credit Party, that at least one of the following is and will be true:</w:t>
      </w:r>
    </w:p>
    <w:p>
      <w:pPr>
        <w:spacing w:after="0" w:line="172" w:lineRule="exact"/>
        <w:rPr>
          <w:sz w:val="20"/>
          <w:szCs w:val="20"/>
          <w:color w:val="auto"/>
        </w:rPr>
      </w:pPr>
    </w:p>
    <w:p>
      <w:pPr>
        <w:jc w:val="both"/>
        <w:ind w:left="660" w:firstLine="907"/>
        <w:spacing w:after="0" w:line="268" w:lineRule="auto"/>
        <w:rPr>
          <w:sz w:val="20"/>
          <w:szCs w:val="20"/>
          <w:color w:val="auto"/>
        </w:rPr>
      </w:pPr>
      <w:r>
        <w:rPr>
          <w:rFonts w:ascii="Times New Roman" w:cs="Times New Roman" w:eastAsia="Times New Roman" w:hAnsi="Times New Roman"/>
          <w:sz w:val="20"/>
          <w:szCs w:val="20"/>
          <w:color w:val="auto"/>
        </w:rPr>
        <w:t>12.25.1.1.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61" w:lineRule="exact"/>
        <w:rPr>
          <w:sz w:val="20"/>
          <w:szCs w:val="20"/>
          <w:color w:val="auto"/>
        </w:rPr>
      </w:pPr>
    </w:p>
    <w:p>
      <w:pPr>
        <w:jc w:val="both"/>
        <w:ind w:left="660" w:firstLine="907"/>
        <w:spacing w:after="0" w:line="253" w:lineRule="auto"/>
        <w:rPr>
          <w:sz w:val="20"/>
          <w:szCs w:val="20"/>
          <w:color w:val="auto"/>
        </w:rPr>
      </w:pPr>
      <w:r>
        <w:rPr>
          <w:rFonts w:ascii="Times New Roman" w:cs="Times New Roman" w:eastAsia="Times New Roman" w:hAnsi="Times New Roman"/>
          <w:sz w:val="20"/>
          <w:szCs w:val="20"/>
          <w:color w:val="auto"/>
        </w:rPr>
        <w:t>12.25.1.2.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and covers, such Lender’s entrance into, participation in, administration of and performance of the Loans, the Letters of Credit, the Commitments and this Agreement,</w:t>
      </w:r>
    </w:p>
    <w:p>
      <w:pPr>
        <w:spacing w:after="0" w:line="179" w:lineRule="exact"/>
        <w:rPr>
          <w:sz w:val="20"/>
          <w:szCs w:val="20"/>
          <w:color w:val="auto"/>
        </w:rPr>
      </w:pPr>
    </w:p>
    <w:p>
      <w:pPr>
        <w:jc w:val="both"/>
        <w:ind w:left="660" w:firstLine="907"/>
        <w:spacing w:after="0" w:line="254" w:lineRule="auto"/>
        <w:rPr>
          <w:sz w:val="20"/>
          <w:szCs w:val="20"/>
          <w:color w:val="auto"/>
        </w:rPr>
      </w:pPr>
      <w:r>
        <w:rPr>
          <w:rFonts w:ascii="Times New Roman" w:cs="Times New Roman" w:eastAsia="Times New Roman" w:hAnsi="Times New Roman"/>
          <w:sz w:val="20"/>
          <w:szCs w:val="20"/>
          <w:color w:val="auto"/>
        </w:rPr>
        <w:t>12.25.1.3.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w:t>
      </w:r>
    </w:p>
    <w:p>
      <w:pPr>
        <w:spacing w:after="0" w:line="1" w:lineRule="exact"/>
        <w:rPr>
          <w:sz w:val="20"/>
          <w:szCs w:val="20"/>
          <w:color w:val="auto"/>
        </w:rPr>
      </w:pPr>
    </w:p>
    <w:p>
      <w:pPr>
        <w:jc w:val="both"/>
        <w:ind w:left="660" w:hanging="4"/>
        <w:spacing w:after="0" w:line="253" w:lineRule="auto"/>
        <w:tabs>
          <w:tab w:leader="none" w:pos="98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246</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00" w:name="page301"/>
    <w:bookmarkEnd w:id="300"/>
    <w:p>
      <w:pPr>
        <w:ind w:left="660" w:firstLine="907"/>
        <w:spacing w:after="0" w:line="283" w:lineRule="auto"/>
        <w:rPr>
          <w:sz w:val="20"/>
          <w:szCs w:val="20"/>
          <w:color w:val="auto"/>
        </w:rPr>
      </w:pPr>
      <w:r>
        <w:rPr>
          <w:rFonts w:ascii="Times New Roman" w:cs="Times New Roman" w:eastAsia="Times New Roman" w:hAnsi="Times New Roman"/>
          <w:sz w:val="20"/>
          <w:szCs w:val="20"/>
          <w:color w:val="auto"/>
        </w:rPr>
        <w:t>12.25.1.4. such other representation, warranty and covenant as may be agreed in writing between the Agents, in their sole discretion, and such Lender.</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12.25.2.In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no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Agents under this Agreement, any Loan Document or any documents related hereto or thereto).</w:t>
      </w:r>
    </w:p>
    <w:p>
      <w:pPr>
        <w:spacing w:after="0" w:line="19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13.</w:t>
      </w:r>
    </w:p>
    <w:p>
      <w:pPr>
        <w:spacing w:after="0" w:line="3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COLLECTION ACTION MECHANISM</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the extent permitted by applicable law and regulation: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color w:val="auto"/>
        </w:rPr>
        <w:t>Implementation of CAM.</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13.1.1. (i) On the CAM Exchange Date, to the extent not otherwise prohibited by a Requirement of Law or otherwise, each Multicurrency Revolving Lender shall immediately be deemed to have acquired (and shall promptly make payment therefor to Swing Line Lender in accordance with </w:t>
      </w:r>
      <w:r>
        <w:rPr>
          <w:rFonts w:ascii="Times New Roman" w:cs="Times New Roman" w:eastAsia="Times New Roman" w:hAnsi="Times New Roman"/>
          <w:sz w:val="20"/>
          <w:szCs w:val="20"/>
          <w:u w:val="single" w:color="auto"/>
          <w:color w:val="auto"/>
        </w:rPr>
        <w:t>Section 2.1(c)(iii)</w:t>
      </w:r>
      <w:r>
        <w:rPr>
          <w:rFonts w:ascii="Times New Roman" w:cs="Times New Roman" w:eastAsia="Times New Roman" w:hAnsi="Times New Roman"/>
          <w:sz w:val="20"/>
          <w:szCs w:val="20"/>
          <w:color w:val="auto"/>
        </w:rPr>
        <w:t>) participations in the Swing Line Loans in an amount equal to such Multicurrency Revolving Lender’s Multicurrency Revolver Pro Rata Share of each Swing Line Loan outstanding on such date and (ii) on the CAM Exchange Date, all Loans outstanding in any currency other than Dollars (“</w:t>
      </w:r>
      <w:r>
        <w:rPr>
          <w:rFonts w:ascii="Times New Roman" w:cs="Times New Roman" w:eastAsia="Times New Roman" w:hAnsi="Times New Roman"/>
          <w:sz w:val="20"/>
          <w:szCs w:val="20"/>
          <w:u w:val="single" w:color="auto"/>
          <w:color w:val="auto"/>
        </w:rPr>
        <w:t>Loans to be Converted</w:t>
      </w:r>
      <w:r>
        <w:rPr>
          <w:rFonts w:ascii="Times New Roman" w:cs="Times New Roman" w:eastAsia="Times New Roman" w:hAnsi="Times New Roman"/>
          <w:sz w:val="20"/>
          <w:szCs w:val="20"/>
          <w:color w:val="auto"/>
        </w:rPr>
        <w:t>”) shall be converted into Dollars (calculated on the basis of the relevant Exchange Rates as of the Business Day immediately preceding the CAM Exchange Date) (“</w:t>
      </w:r>
      <w:r>
        <w:rPr>
          <w:rFonts w:ascii="Times New Roman" w:cs="Times New Roman" w:eastAsia="Times New Roman" w:hAnsi="Times New Roman"/>
          <w:sz w:val="20"/>
          <w:szCs w:val="20"/>
          <w:u w:val="single" w:color="auto"/>
          <w:color w:val="auto"/>
        </w:rPr>
        <w:t>Converted Loans</w:t>
      </w:r>
      <w:r>
        <w:rPr>
          <w:rFonts w:ascii="Times New Roman" w:cs="Times New Roman" w:eastAsia="Times New Roman" w:hAnsi="Times New Roman"/>
          <w:sz w:val="20"/>
          <w:szCs w:val="20"/>
          <w:color w:val="auto"/>
        </w:rPr>
        <w:t>”), (iii) on each date on or after the CAM Exchange Date on which any B/As or B/A Equivalent Loans shall mature such B/As or B/A Equivalent Loans (“</w:t>
      </w:r>
      <w:r>
        <w:rPr>
          <w:rFonts w:ascii="Times New Roman" w:cs="Times New Roman" w:eastAsia="Times New Roman" w:hAnsi="Times New Roman"/>
          <w:sz w:val="20"/>
          <w:szCs w:val="20"/>
          <w:u w:val="single" w:color="auto"/>
          <w:color w:val="auto"/>
        </w:rPr>
        <w:t>Acceptances to be Converted</w:t>
      </w:r>
      <w:r>
        <w:rPr>
          <w:rFonts w:ascii="Times New Roman" w:cs="Times New Roman" w:eastAsia="Times New Roman" w:hAnsi="Times New Roman"/>
          <w:sz w:val="20"/>
          <w:szCs w:val="20"/>
          <w:color w:val="auto"/>
        </w:rPr>
        <w:t>”) shall be converted into Canadian Revolving Loans denominated in Dollars (calculated on the basis of the Exchange Rate as of the Business Day immediately preceding such maturity date) (“</w:t>
      </w:r>
      <w:r>
        <w:rPr>
          <w:rFonts w:ascii="Times New Roman" w:cs="Times New Roman" w:eastAsia="Times New Roman" w:hAnsi="Times New Roman"/>
          <w:sz w:val="20"/>
          <w:szCs w:val="20"/>
          <w:u w:val="single" w:color="auto"/>
          <w:color w:val="auto"/>
        </w:rPr>
        <w:t>Converted Acceptances</w:t>
      </w:r>
      <w:r>
        <w:rPr>
          <w:rFonts w:ascii="Times New Roman" w:cs="Times New Roman" w:eastAsia="Times New Roman" w:hAnsi="Times New Roman"/>
          <w:sz w:val="20"/>
          <w:szCs w:val="20"/>
          <w:color w:val="auto"/>
        </w:rPr>
        <w:t>”), (iv) on the CAM Exchange Date (with respect to Loans described in the foregoing clause (ii)), and on the respective maturity date (with respect to B/As and B/A Equivalent Loans described in the foregoing clause (iii)) to the extent necessary to cause the fraction for each Lender described in the definitions of Dollar Revolver Pro Rata Share, Multicurrency Revolver Pro Rata Share, each Term Pro Rata Share and Canadian Revolver Pro Rata Share to be equal for each Facility for such Lender after giving effect to the purchase and sale of participating interests under this clause, each Lender severally, unconditionally and irrevocably agrees that it shall purchase or sell in U.S. Dollars a participating interest in the Loans (including such Converted Loans) and Converted Acceptances in an amount equal to its CAM Percentage of (x) the outstanding principal amount of the Loans (including Converted Loans) and (y) the face amount of matured B/As and B/A Equivalent Loans, as applicable. All Converted Loans and Converted Acceptances (which shall have been converted into Canadian Revolving Loans denominated in Dollars) shall bear interest at the rate which would otherwise be applicable to Base Rate Loans and (v) on the CAM Exchange Date, all Commitments shall be automatically deemed terminated. Each Lender and each Borrower hereby consents and agrees to the CAM Exchange, and each Lender agrees that the CAM Exchange shall be binding upon its successors and assigns and any person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247</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01" w:name="page302"/>
    <w:bookmarkEnd w:id="301"/>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that acquires a participation in its interests in any Facility. Each Borrower agrees from time to time to execute and deliver to Agents all instruments and documents as any such Agent shall reasonably request to evidence and confirm the respective interests of the Lenders after giving effect to the CAM Exchange.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13.1.2. If, for any reason, the Loans to be Converted or Acceptances to be Converted, as the case may be, may not be converted into Dollars in the manner contemplated by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(i) Administrative Agent shall determine the Dollar Equivalent of the Loans to be Converted or Acceptances to be Converted, as the case may be (calculated on the basis of the Exchange Rate as of the Business Day immediately preceding the date on which such conversion would otherwise occur pursuant to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and (ii) effective on such CAM Exchange Date, each Lender severally, unconditionally and irrevocably agrees that it shall purchase in Dollars a participating interest in such Loans to be Converted or Acceptances to be Converted, as the case may be, in an amount equal to its CAM Percentage of such Loans to be Converted or Acceptances to be converted, as the case may be. Each Lender will immediately transfer to the appropriate Agent, in immediately available funds, the amount(s) of its participation(s) and the proceeds of such participation(s) shall be distributed by such Agent to each relevant Lender in the amount(s) provided for in the preceding sentence.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13.1.3. To the extent any Taxes are required to be withheld from any amounts payable by a Lender (the “</w:t>
      </w:r>
      <w:r>
        <w:rPr>
          <w:rFonts w:ascii="Times New Roman" w:cs="Times New Roman" w:eastAsia="Times New Roman" w:hAnsi="Times New Roman"/>
          <w:sz w:val="20"/>
          <w:szCs w:val="20"/>
          <w:u w:val="single" w:color="auto"/>
          <w:color w:val="auto"/>
        </w:rPr>
        <w:t>First Lender</w:t>
      </w:r>
      <w:r>
        <w:rPr>
          <w:rFonts w:ascii="Times New Roman" w:cs="Times New Roman" w:eastAsia="Times New Roman" w:hAnsi="Times New Roman"/>
          <w:sz w:val="20"/>
          <w:szCs w:val="20"/>
          <w:color w:val="auto"/>
        </w:rPr>
        <w:t>”) to another Lender (the “</w:t>
      </w:r>
      <w:r>
        <w:rPr>
          <w:rFonts w:ascii="Times New Roman" w:cs="Times New Roman" w:eastAsia="Times New Roman" w:hAnsi="Times New Roman"/>
          <w:sz w:val="20"/>
          <w:szCs w:val="20"/>
          <w:u w:val="single" w:color="auto"/>
          <w:color w:val="auto"/>
        </w:rPr>
        <w:t>Other Lender</w:t>
      </w:r>
      <w:r>
        <w:rPr>
          <w:rFonts w:ascii="Times New Roman" w:cs="Times New Roman" w:eastAsia="Times New Roman" w:hAnsi="Times New Roman"/>
          <w:sz w:val="20"/>
          <w:szCs w:val="20"/>
          <w:color w:val="auto"/>
        </w:rPr>
        <w:t xml:space="preserve">”) in connection with its participating interest in any Loan or Converted Acceptance, each Borrower, with respect to the relevant Loans made to it, shall be required to pay additional amounts to the Other Lender receiving such payments from the First Lender to the same extent they would be required under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if such Borrower were making payments with respect to the participating interest directly to the Other Lender.</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13.1.4. As a result of the CAM Exchange, upon and after the CAM Exchange Date, each payment received by Administrative Agent, Canadian Administrative Agent or Collateral Agent pursuant to any Loan Document in respect of the Obligations, and each distribution made by Collateral Agent pursuant to any Security Document in respect of the Obligations, shall be distributed to the Lenders based upon their Pro Rata Share of the Facilities pro rata in accordance with their respective CAM Percentages. Any direct payment received by a Lender upon or after the CAM Exchange Date, including by way of setoff, in respect of an Obligation shall be paid over to Administrative Agent for distribution to the Lenders in accordance herewith.</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13.2.</w:t>
      </w:r>
      <w:r>
        <w:rPr>
          <w:sz w:val="20"/>
          <w:szCs w:val="20"/>
          <w:color w:val="auto"/>
        </w:rPr>
        <w:tab/>
      </w:r>
      <w:r>
        <w:rPr>
          <w:rFonts w:ascii="Times New Roman" w:cs="Times New Roman" w:eastAsia="Times New Roman" w:hAnsi="Times New Roman"/>
          <w:sz w:val="19"/>
          <w:szCs w:val="19"/>
          <w:color w:val="auto"/>
        </w:rPr>
        <w:t>Letters of Credit.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13.2.1. In the event that on the CAM Exchange Date any Letter of Credit shall be outstanding and undrawn in whole or in part, or any amount drawn under a Letter of Credit shall not have been reimbursed either by Borrowers or with the proceeds of a Revolving Loan or a Canadian Revolving Loan, as the case may be, each Multicurrency Revolving Lender with respect to Multicurrency Letters of Credit, each Dollar Revolving Lender with respect to Dollar Letters of Credit and each Canadian Revolving Lender with respect to each Canadian Letter of Credit shall promptly pay over to Administrative Agent, in immediately available funds in the same currency as such Letter of Credit, as the case may be, in the case of any undrawn amount, and in Dollars, in the case of any unreimbursed amount, an amount equal to such Multicurrency Revolving Lender’s or Canadian Revolving Lender’s applicable Pro Rata Share of such undrawn face amount or (to the extent it has not already done so) such unreimbursed drawing, as the case may be, together with interest thereon from the CAM Exchange Date to the date on which such amount shall be paid to Administrative Agent at the rate that would be applicable at the time to a Base Rate Revolving Loan in a principal amount equal to such amount. Administrative Agent shall establish a separate interest bearing account or accounts for each Lender (each, an “</w:t>
      </w:r>
      <w:r>
        <w:rPr>
          <w:rFonts w:ascii="Times New Roman" w:cs="Times New Roman" w:eastAsia="Times New Roman" w:hAnsi="Times New Roman"/>
          <w:sz w:val="20"/>
          <w:szCs w:val="20"/>
          <w:u w:val="single" w:color="auto"/>
          <w:color w:val="auto"/>
        </w:rPr>
        <w:t>LC Reserve Account</w:t>
      </w:r>
      <w:r>
        <w:rPr>
          <w:rFonts w:ascii="Times New Roman" w:cs="Times New Roman" w:eastAsia="Times New Roman" w:hAnsi="Times New Roman"/>
          <w:sz w:val="20"/>
          <w:szCs w:val="20"/>
          <w:color w:val="auto"/>
        </w:rPr>
        <w:t>”) for the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248</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02" w:name="page303"/>
    <w:bookmarkEnd w:id="302"/>
    <w:p>
      <w:pPr>
        <w:jc w:val="both"/>
        <w:spacing w:after="0" w:line="265" w:lineRule="auto"/>
        <w:rPr>
          <w:sz w:val="20"/>
          <w:szCs w:val="20"/>
          <w:color w:val="auto"/>
        </w:rPr>
      </w:pPr>
      <w:r>
        <w:rPr>
          <w:rFonts w:ascii="Times New Roman" w:cs="Times New Roman" w:eastAsia="Times New Roman" w:hAnsi="Times New Roman"/>
          <w:sz w:val="19"/>
          <w:szCs w:val="19"/>
          <w:color w:val="auto"/>
        </w:rPr>
        <w:t>amounts received with respect to each such Letter of Credit pursuant to the preceding sentence. Administrative Agent shall deposit in each Lender’s LC Reserve Account such Lender’s CAM Percentage of the amounts received from the Revolving Lenders and the Canadian Revolving Lenders as provided above. Administrative Agent shall have sole dominion and control over each LC Reserve Account, and the amounts deposited in each LC Reserve Account shall be held in such LC Reserve Account until withdrawn as provided in paragraph (b), (c),</w:t>
      </w:r>
    </w:p>
    <w:p>
      <w:pPr>
        <w:spacing w:after="0" w:line="2" w:lineRule="exact"/>
        <w:rPr>
          <w:sz w:val="20"/>
          <w:szCs w:val="20"/>
          <w:color w:val="auto"/>
        </w:rPr>
      </w:pPr>
    </w:p>
    <w:p>
      <w:pPr>
        <w:jc w:val="both"/>
        <w:ind w:firstLine="8"/>
        <w:spacing w:after="0" w:line="249" w:lineRule="auto"/>
        <w:tabs>
          <w:tab w:leader="none" w:pos="29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or (e) below. Administrative Agent shall maintain records enabling it to determine the amounts paid over to it and deposited in the LC Reserve Accounts in respect of each Letter of Credit and the amounts on deposit and shall establish a sub-account within each Lender’s LC Reserve Account in respect of each Letter of Credit attributable to each Lender’s CAM Percentage. The amounts held in each Lender’s LC Reserve Account shall be held as a reserve against the outstanding LC Obligations, shall be the property of such Lender, shall not constitute Loans to or give rise to any claim of or against any Credit Party and shall not give rise to any obligation on the part of any Borrower to pay interest to such Lender, it being agreed that the reimbursement obligations in respect of Letters of Credit shall arise only at such times as drawings are made thereunder, as provided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13.2.2. In the event that after the CAM Exchange Date any drawing shall be made in respect of a Letter of Credit, Administrative Agent shall, at the request of Facing Agent, withdraw from the LC Reserve Account of each Lender any amounts, up to the amount of such Lender’s CAM Percentage (but not in excess of the amount allocated to the sub-account for such Letter of Credit) of such drawing, deposited in respect of such Letter of Credit and remaining on deposit and deliver such amounts to Facing Agent in satisfaction of the reimbursement obligations of the applicable Revolving Lenders or Canadian Revolving Lenders, as applicable, under </w:t>
      </w:r>
      <w:r>
        <w:rPr>
          <w:rFonts w:ascii="Times New Roman" w:cs="Times New Roman" w:eastAsia="Times New Roman" w:hAnsi="Times New Roman"/>
          <w:sz w:val="19"/>
          <w:szCs w:val="19"/>
          <w:u w:val="single" w:color="auto"/>
          <w:color w:val="auto"/>
        </w:rPr>
        <w:t>subsection (f)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In the event any Revolving Lender shall default on its obligation to pay over any amount to Administrative Agent in respect of any Letter of Credit as provided in this </w:t>
      </w:r>
      <w:r>
        <w:rPr>
          <w:rFonts w:ascii="Times New Roman" w:cs="Times New Roman" w:eastAsia="Times New Roman" w:hAnsi="Times New Roman"/>
          <w:sz w:val="19"/>
          <w:szCs w:val="19"/>
          <w:u w:val="single" w:color="auto"/>
          <w:color w:val="auto"/>
        </w:rPr>
        <w:t>Section 13.2</w:t>
      </w:r>
      <w:r>
        <w:rPr>
          <w:rFonts w:ascii="Times New Roman" w:cs="Times New Roman" w:eastAsia="Times New Roman" w:hAnsi="Times New Roman"/>
          <w:sz w:val="19"/>
          <w:szCs w:val="19"/>
          <w:color w:val="auto"/>
        </w:rPr>
        <w:t xml:space="preserve">, Facing Agent shall, in the event of a drawing thereunder, have a claim against such Revolving Lender to the same extent as if such Lender had defaulted on its obligations under </w:t>
      </w:r>
      <w:r>
        <w:rPr>
          <w:rFonts w:ascii="Times New Roman" w:cs="Times New Roman" w:eastAsia="Times New Roman" w:hAnsi="Times New Roman"/>
          <w:sz w:val="19"/>
          <w:szCs w:val="19"/>
          <w:u w:val="single" w:color="auto"/>
          <w:color w:val="auto"/>
        </w:rPr>
        <w:t>subsection (f)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but shall have no claim against any other Lender in respect of such defaulted amount, notwithstanding the exchange of interests in Borrowers’ reimbursement obligations pursuant to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Each other Lender shall have a claim against such defaulting Revolving Lender for any damages sustained by it as a result of such default, including, in the event such Letter of Credit shall expire undrawn, its CAM Percentage of the defaulted amount.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13.2.3. In the event that after the CAM Exchange Date any Letter of Credit shall expire undrawn, Administrative Agent shall withdraw from the LC Reserve Account of each applicable Lender the amount remaining on deposit therein in respect of such Letter of Credit and distribute such amount to such Lender.</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13.2.4. With the prior written approval of Administrative Agent and Facing Agent (not to be unreasonably withheld), any Lender may withdraw the amount held in its LC Reserve Account in respect of the undrawn amount of any Letter of Credit. Any Lender making such a withdrawal shall be unconditionally obligated, in the event there shall subsequently be a drawing under such Letter of Credit, to pay over to Administrative Agent, for the account of Facing Agent, on demand, its CAM Percentage of such drawing.</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13.2.5. Pending the withdrawal by any Lender of any amounts from its LC Reserve Account as contemplated by the above paragraphs, Administrative Agent will, at the direction of such Lender and subject to such rules as such Administrative Agent may prescribe for the avoidance of inconvenience, invest such amounts in Cash and Cash Equivalents. Each Lender which has not withdrawn its CAM Percentage of amounts in its LC Reserve Account as provided in paragraph (d) above shall have the right,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249</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03" w:name="page304"/>
    <w:bookmarkEnd w:id="303"/>
    <w:p>
      <w:pPr>
        <w:jc w:val="both"/>
        <w:spacing w:after="0" w:line="283" w:lineRule="auto"/>
        <w:rPr>
          <w:sz w:val="20"/>
          <w:szCs w:val="20"/>
          <w:color w:val="auto"/>
        </w:rPr>
      </w:pPr>
      <w:r>
        <w:rPr>
          <w:rFonts w:ascii="Times New Roman" w:cs="Times New Roman" w:eastAsia="Times New Roman" w:hAnsi="Times New Roman"/>
          <w:sz w:val="20"/>
          <w:szCs w:val="20"/>
          <w:color w:val="auto"/>
        </w:rPr>
        <w:t>at intervals reasonably specified by any Administrative Agent, to withdraw the earnings on investments so made by such Administrative Agent with amounts in its LC Reserve Account and to retain such earnings for its own account.</w:t>
      </w:r>
    </w:p>
    <w:p>
      <w:pPr>
        <w:spacing w:after="0" w:line="1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14.</w:t>
      </w:r>
    </w:p>
    <w:p>
      <w:pPr>
        <w:spacing w:after="0" w:line="3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color w:val="auto"/>
        </w:rPr>
        <w:t>GUARANTY</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14.1. Guarantee of Each of the Parent Guarantors. In order to induce Administrative Agent, the Facing Agents and the Lenders to execute and deliver this Agreement and to make or maintain the Loans and to issue Letters of Credit hereunder, and in consideration thereof, each Parent Guarantor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of the Parent Guarantors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shall remain in full force and effect until all Letters of Credit have terminated, the Obligations are paid in full and the Commitments are terminated.</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Each Parent Guarantor agrees that whenever, at any time, or from time to time, it shall make any payment to any Agent, any Facing Agent or any Lender on account of its liability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it will notify such Agent, the applicable Facing Agent and such Lender in writing that such payment is made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Parent Guarantor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which, notwithstanding any such payment or payments, shall remain liable for the unpaid and outstanding Obligations until,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the Obligations are paid in full and the Commitments are terminated.</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14.2. Guarantee of European Borrower. In order to induce U.K. Administrative Agent and the Multicurrency Revolving Lenders and Canadian Administrative Agent and the Canadian Revolving Lenders to execute and deliver this Agreement and to make or maintain the Multicurrency Revolving Loans and Canadian Revolving Loans hereunder, and in consideration thereof, European Borrower hereby unconditionally and irrevocably guarantees, as primary obligor and not merely as surety, to the Agents, for the ratable benefit of the Term Euro Lenders, Multicurrency Revolving Lenders and Canadian Revolving Lenders, the prompt and complete payment and performance by each Subsidiary Borrower and Canadian Borrower when due (whether at stated maturity, by acceleration or otherwise) of the Subsidiary Borrower Obligations, the Canadian Obligations, and all Bank Related Debt (but excluding any Excluded Swap Obligations), and European Borrower further agrees to pay any and all reasonable expenses (including, without limitation, all reasonable fees, charges and disbursements of counsel) which may be paid or incurred by the Agents or any Multicurrency Revolving Lender or Canadian Revolving Lender in enforcing any of their rights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shall remain in full force and effect until all Subsidiary Borrower Obligations and Canadian Obligations are paid in full and the Commitments are terminated.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250</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04" w:name="page305"/>
    <w:bookmarkEnd w:id="304"/>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European Borrower agrees that whenever, at any time, or from time to time, it shall make any payment to any Agent or any Multicurrency Revolving Lender or Canadian Revolving Lender on account of its liability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it will notify such Agent or such Multicurrency Revolving Lender or Canadian Revolving Lender in writing that such payment is made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for such purpose. No payment or payments made by any Subsidiary Borrower, Canadian Borrower or any other Person or received or collected by any Agent or any Multicurrency Revolving Lender from any Subsidiary Borrower or any Canadian Revolving Lender from Canadian Borrower or any other Person by virtue of any action or proceeding or any setoff or appropriation or application, at any time or from time to time, in reduction of or in payment of the Subsidiary Borrower Obligations or Canadian Obligations shall be deemed to modify, reduce, release or otherwise affect the liability of European Borrower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which, notwithstanding any such payment or payments, shall remain liable for the unpaid and outstanding Subsidiary Borrower Obligations and Canadian Obligations until,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the Subsidiary Borrower Obligations and Canadian Obligations are paid in full and the Commitments are terminated.</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14.3. Guarantee of Crown Finance. In order to induce Administrative Agent, the Facing Agents and the Lenders to execute and deliver this Agreement and to make or maintain the Loans and to issue Letters of Credit hereunder, and in consideration thereof, Crown Finance hereby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excluding any Excluded Swap Obligations), and Crown Finance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shall remain in full force and effect until all Letters of Credit have terminated, the Obligations are paid in full and the Commitments are terminated.</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Crown Finance agrees that whenever, at any time, or from time to time, it shall make any payment to any Agent, any Facing Agent or any Lender on account of its liability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it will notify such Agent, the applicable Facing Agent and such Lender in writing that such payment is made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for such purpose. No payment or payments made by any Borrower or any other Person or received or collected by any Agent, any Facing Agent or any 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Crown Finance under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XIV</w:t>
      </w:r>
      <w:r>
        <w:rPr>
          <w:rFonts w:ascii="Times New Roman" w:cs="Times New Roman" w:eastAsia="Times New Roman" w:hAnsi="Times New Roman"/>
          <w:sz w:val="20"/>
          <w:szCs w:val="20"/>
          <w:color w:val="auto"/>
        </w:rPr>
        <w:t xml:space="preserve">, which, notwithstanding any such payment or payments, shall remain liable for the unpaid and outstanding Obligations until,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the Obligations are paid in full and the Commitments are terminated.</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14.4. Amendments, etc. with Respect to the Applicable Obligations. Each Guarantor shall remain obligated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notwithstanding that, without any reservation of rights against such Guarantor, and without notice to or further assent by such Guarantor, any demand for payment of or reduction in the principal amount of any of the applicable Obligations made by the Agents, any Facing Agent or any Lender may be rescinded by the Agents, any Facing Agent or such Lender, and any of the applicable Obligations continued, and the applicable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Agents, any Facing Agent or 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251</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05" w:name="page306"/>
    <w:bookmarkEnd w:id="30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Lender, and this Agreement and any other documents executed and delivered in connection herewith may be amended, modified, supplemented or terminated, in whole or in part, as the Lenders (or the Required Lenders, as the case may be) may deem advisable from time to time, and any collateral security, guarantee or right of offset at any time held by the Agents, any Facing Agent or any Lender for the payment of the applicable Obligations may be sold, exchanged, waived, surrendered or released. None of the Agents, any Facing Agent nor any Lender shall have any obligation to protect, secure, perfect or insure any lien at any time held by it as security for the applicable Obligations or for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or any property subject thereto.</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 xml:space="preserve">14.5. Guarantee Absolute and Unconditional. Each Guarantor waives any and all notice of the creation, renewal, extension or accrual of any of the applicable Obligations and notice of or proof of reliance by the Agents, any Facing Agent or any Lender upon the guarantee contained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or acceptance of the guarantee contained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the applicable Obligations, and any of them, shall conclusively be deemed to have been created, contracted or incurred, or renewed, extended, amended or waived, in reliance upon the guarantee contained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and all dealings between each Guarantor, on the one hand, and the Agents, the Facing Agents and the Lenders, on the other, shall likewise be conclusively presumed to have been had or consummated in reliance upon the guarantee contained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The Agents will, to the extent permitted by applicable law, request payment of any applicable Obligation from the applicable Borrower before making any claim against the applicable Guarantor under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but will have no further obligation to proceed against a Borrower or to defer for any period a claim against the applicable Guarantor hereunder. Except as expressly provided in the preceding sentence, each Guarantor waives diligence, presentment, protest, demand for payment and notice of default or nonpayment to or upon such Guarantor or any Borrower with respect to the applicable Obligations. Each guarantee contained in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shall be construed as a continuing, absolute and unconditional guarantee of payment without regard to (a) the validity or enforceability of this Agreement or any other Loan Document, any of the applicable Obligations or any collateral security therefor or guarantee or right of offset with respect thereto at any time or from time to time held by any Agent, any Facing Agent or any Lender, (b) the legality under applicable laws of repayment by the relevant Borrower of any applicable Obligations or the adoption of any applicable laws purporting to render any applicable Obligations null and void, (c) any defense, setoff or counterclaim (other than a defense of payment or performance) which may at any time be available to or be asserted by any Guarantor or the applicable Borrower against the Agents, any Facing Agent or any Lender, or</w:t>
      </w:r>
    </w:p>
    <w:p>
      <w:pPr>
        <w:spacing w:after="0" w:line="13" w:lineRule="exact"/>
        <w:rPr>
          <w:sz w:val="20"/>
          <w:szCs w:val="20"/>
          <w:color w:val="auto"/>
        </w:rPr>
      </w:pPr>
    </w:p>
    <w:p>
      <w:pPr>
        <w:jc w:val="both"/>
        <w:ind w:firstLine="8"/>
        <w:spacing w:after="0" w:line="249" w:lineRule="auto"/>
        <w:tabs>
          <w:tab w:leader="none" w:pos="30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circumstance whatsoever (with or without notice to or knowledge of any Guarantor or any Borrower) which constitutes, or might be construed to constitute, an equitable or legal discharge of any Borrower for any applicable Obligations, or of any Guarantor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in bankruptcy or in any other instance. When any Agent, any Facing Agent or any Lender is pursuing its rights and remedies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against any Guarantor, such Agent, such Facing Agent or any Lender may, but shall be under no obligation to, pursue such rights and remedies as it may have against any Borrower or any other Person or against any collateral security or guarantee for the applicable Obligations or any right of offset with respect thereto, and any failure by any Agent, any Facing Agent or any Lender to pursue such other rights or remedies or to collect any payments from any Borrower or any such other Person or to realize upon any such collateral security or guarantee or to exercise any such right of offset, or any release of any Borrower or any such other Person or of any such collateral security, guarantee or right of offset, shall not relieve any Guarantor of any liability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and shall not impair or affect the rights and remedies, whether express, implied or available as a matter of law, of the Agents, the Facing Agents and the Lenders against any Guarantor.</w:t>
      </w:r>
    </w:p>
    <w:p>
      <w:pPr>
        <w:spacing w:after="0" w:line="182"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14.6. Reinstatement. Each of the guarantees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shall continue to be effective, or be reinstated, as the case may be, if at any time payment, or any part thereof, of any of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252</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06" w:name="page307"/>
    <w:bookmarkEnd w:id="306"/>
    <w:p>
      <w:pPr>
        <w:jc w:val="both"/>
        <w:spacing w:after="0" w:line="258" w:lineRule="auto"/>
        <w:rPr>
          <w:sz w:val="20"/>
          <w:szCs w:val="20"/>
          <w:color w:val="auto"/>
        </w:rPr>
      </w:pPr>
      <w:r>
        <w:rPr>
          <w:rFonts w:ascii="Times New Roman" w:cs="Times New Roman" w:eastAsia="Times New Roman" w:hAnsi="Times New Roman"/>
          <w:sz w:val="20"/>
          <w:szCs w:val="20"/>
          <w:color w:val="auto"/>
        </w:rPr>
        <w:t>applicable Obligations is rescinded or must otherwise be restored or returned by any Agent, any Facing Agent or any Lender upon the insolvency, bankruptcy, dissolution, liquidation or reorganization of any Borrower or upon or as a result of the appointment of a Receiver, intervenor or conservator of, or trustee or similar officer for, any Borrower or any substantial part of its property, or otherwise, all as though such payments had not been made.</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14.7. Payments. Each Guarantor hereby agrees that any payments in respect of the applicable Obligations pursuant to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XIV</w:t>
      </w:r>
      <w:r>
        <w:rPr>
          <w:rFonts w:ascii="Times New Roman" w:cs="Times New Roman" w:eastAsia="Times New Roman" w:hAnsi="Times New Roman"/>
          <w:sz w:val="20"/>
          <w:szCs w:val="20"/>
          <w:color w:val="auto"/>
        </w:rPr>
        <w:t xml:space="preserve"> will be paid without setoff (including, for the purposes of Luxembourg law, legal set-off) or counterclaim, at the option of the relevant Facing Agent(s) or the relevant Lender(s), in the currency in which the applicable Loans are denominated at the Notice Address of the applicable Agent.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14.8. Independent Obligations. The obligations of each Guarantor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are independent of the obligations of each Borrower, and a separate action or actions may be brought and prosecuted against any Guarantor whether or not the relevant Borrower is joined in any such action or actions. Each Guarantor waives, to the full extent permitted by law, the benefit of any statute of limitations affecting its liability hereunder or the enforcement thereof. Any payment by the relevant Borrower or other circumstance which operates to toll any statute of limitations as to such Borrower shall operate to toll the statute of limitations as to the relevant Guarantor.</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14.9. Guarantee Limitations for French Guarantees. The Obligations of any Guarantor incorporated under the laws of France under the Loan Documents (a) will not include any obligation or liability which if incurred would cause the infringement of the provision of financial assistance within the meaning of Article L. 225-216 of the French Commercial Code and/or would constitute a “misuse of corporate assets or powers” within the meaning of Article L. 241-3 or L. 242-6 of the French Commercial Code (such articles are applicable to </w:t>
      </w:r>
      <w:r>
        <w:rPr>
          <w:rFonts w:ascii="Times New Roman" w:cs="Times New Roman" w:eastAsia="Times New Roman" w:hAnsi="Times New Roman"/>
          <w:sz w:val="19"/>
          <w:szCs w:val="19"/>
          <w:i w:val="1"/>
          <w:iCs w:val="1"/>
          <w:color w:val="auto"/>
        </w:rPr>
        <w:t>societés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par actions simplifiées </w:t>
      </w:r>
      <w:r>
        <w:rPr>
          <w:rFonts w:ascii="Times New Roman" w:cs="Times New Roman" w:eastAsia="Times New Roman" w:hAnsi="Times New Roman"/>
          <w:sz w:val="19"/>
          <w:szCs w:val="19"/>
          <w:color w:val="auto"/>
        </w:rPr>
        <w:t>pursuant to Article L. 244-1 of the French Commercial Code); and (b) shall be limited to the extent required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applicable law to the maximum amount any such Guarantor can pay without exceeding its financial capacity or otherwise resulting in insolvency of such Guarantor, as of the date the French guarantee is executed or, if later further amended, restated or reaffirmed, as of such later date, and that the guarantee given by any Guarantor incorporated under the laws of France will in addition be limited to an amount that represents either (i) the amount of such proceeds made available to such Guarantor via intragroup loans or otherwise or (ii) the equivalent in Euros of the portion of the proceeds of the Loans used directly or indirectly to repay or refinance obligations of or obligations guaranteed (to the extent permitted under French law) by, such Guarantor, or to fund or refinance (directly or indirectly) advances or loans to Guarantor.</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14.10. Guarantee Limitations for Luxembourg Guarantees. Notwithstanding any provision to the contrary in this Agreement, the liability of any Guarantor incorporated under the laws of Luxembourg (a “</w:t>
      </w:r>
      <w:r>
        <w:rPr>
          <w:rFonts w:ascii="Times New Roman" w:cs="Times New Roman" w:eastAsia="Times New Roman" w:hAnsi="Times New Roman"/>
          <w:sz w:val="20"/>
          <w:szCs w:val="20"/>
          <w:u w:val="single" w:color="auto"/>
          <w:color w:val="auto"/>
        </w:rPr>
        <w:t>Luxembourg Guarantor</w:t>
      </w:r>
      <w:r>
        <w:rPr>
          <w:rFonts w:ascii="Times New Roman" w:cs="Times New Roman" w:eastAsia="Times New Roman" w:hAnsi="Times New Roman"/>
          <w:sz w:val="20"/>
          <w:szCs w:val="20"/>
          <w:color w:val="auto"/>
        </w:rPr>
        <w:t xml:space="preserve">”)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Guaranty</w:t>
      </w:r>
      <w:r>
        <w:rPr>
          <w:rFonts w:ascii="Times New Roman" w:cs="Times New Roman" w:eastAsia="Times New Roman" w:hAnsi="Times New Roman"/>
          <w:sz w:val="20"/>
          <w:szCs w:val="20"/>
          <w:color w:val="auto"/>
        </w:rPr>
        <w:t>) for the obligations of any Credit Party, which is not a direct or indirect subsidiary of that Luxembourg Guarantor, may not exceed, in aggregate, the Maximum Amount (as defined below).</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14.10.1.The “</w:t>
      </w:r>
      <w:r>
        <w:rPr>
          <w:rFonts w:ascii="Times New Roman" w:cs="Times New Roman" w:eastAsia="Times New Roman" w:hAnsi="Times New Roman"/>
          <w:sz w:val="20"/>
          <w:szCs w:val="20"/>
          <w:u w:val="single" w:color="auto"/>
          <w:color w:val="auto"/>
        </w:rPr>
        <w:t>Maximum Amount</w:t>
      </w:r>
      <w:r>
        <w:rPr>
          <w:rFonts w:ascii="Times New Roman" w:cs="Times New Roman" w:eastAsia="Times New Roman" w:hAnsi="Times New Roman"/>
          <w:sz w:val="20"/>
          <w:szCs w:val="20"/>
          <w:color w:val="auto"/>
        </w:rPr>
        <w:t>”, in relation to a Luxembourg Guarantor, means an amount equal to the aggregate (without double counting) of:</w:t>
      </w:r>
    </w:p>
    <w:p>
      <w:pPr>
        <w:spacing w:after="0" w:line="146" w:lineRule="exact"/>
        <w:rPr>
          <w:sz w:val="20"/>
          <w:szCs w:val="20"/>
          <w:color w:val="auto"/>
        </w:rPr>
      </w:pPr>
    </w:p>
    <w:p>
      <w:pPr>
        <w:ind w:left="660" w:right="20" w:firstLine="907"/>
        <w:spacing w:after="0" w:line="283" w:lineRule="auto"/>
        <w:rPr>
          <w:sz w:val="20"/>
          <w:szCs w:val="20"/>
          <w:color w:val="auto"/>
        </w:rPr>
      </w:pPr>
      <w:r>
        <w:rPr>
          <w:rFonts w:ascii="Times New Roman" w:cs="Times New Roman" w:eastAsia="Times New Roman" w:hAnsi="Times New Roman"/>
          <w:sz w:val="20"/>
          <w:szCs w:val="20"/>
          <w:color w:val="auto"/>
        </w:rPr>
        <w:t>14.10.1.1. all moneys received by that Luxembourg Guarantor or its direct and indirect subsidiaries as a borrower under this Agreement;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253</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07" w:name="page308"/>
    <w:bookmarkEnd w:id="307"/>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14.10.1.2. the aggregate amount of any outstanding intercompany or shareholder loans or debt funding (in any form whatsoever) made available to that Luxembourg Guarantor or any of its direct or indirect subsidiaries by any other member of its group which has been directly or indirectly funded by a borrowing under this Agreement; and</w:t>
      </w:r>
    </w:p>
    <w:p>
      <w:pPr>
        <w:spacing w:after="0" w:line="177" w:lineRule="exact"/>
        <w:rPr>
          <w:sz w:val="20"/>
          <w:szCs w:val="20"/>
          <w:color w:val="auto"/>
        </w:rPr>
      </w:pPr>
    </w:p>
    <w:p>
      <w:pPr>
        <w:ind w:left="1560"/>
        <w:spacing w:after="0"/>
        <w:tabs>
          <w:tab w:leader="none" w:pos="2580" w:val="left"/>
        </w:tabs>
        <w:rPr>
          <w:sz w:val="20"/>
          <w:szCs w:val="20"/>
          <w:color w:val="auto"/>
        </w:rPr>
      </w:pPr>
      <w:r>
        <w:rPr>
          <w:rFonts w:ascii="Times New Roman" w:cs="Times New Roman" w:eastAsia="Times New Roman" w:hAnsi="Times New Roman"/>
          <w:sz w:val="20"/>
          <w:szCs w:val="20"/>
          <w:color w:val="auto"/>
        </w:rPr>
        <w:t>14.10.1.3.</w:t>
      </w:r>
      <w:r>
        <w:rPr>
          <w:sz w:val="20"/>
          <w:szCs w:val="20"/>
          <w:color w:val="auto"/>
        </w:rPr>
        <w:tab/>
      </w:r>
      <w:r>
        <w:rPr>
          <w:rFonts w:ascii="Times New Roman" w:cs="Times New Roman" w:eastAsia="Times New Roman" w:hAnsi="Times New Roman"/>
          <w:sz w:val="19"/>
          <w:szCs w:val="19"/>
          <w:color w:val="auto"/>
        </w:rPr>
        <w:t xml:space="preserve">an amount equal to one hundred </w:t>
      </w:r>
      <w:r>
        <w:rPr>
          <w:rFonts w:ascii="Times New Roman" w:cs="Times New Roman" w:eastAsia="Times New Roman" w:hAnsi="Times New Roman"/>
          <w:sz w:val="19"/>
          <w:szCs w:val="19"/>
          <w:i w:val="1"/>
          <w:iCs w:val="1"/>
          <w:color w:val="auto"/>
        </w:rPr>
        <w:t>per</w:t>
      </w:r>
      <w:r>
        <w:rPr>
          <w:rFonts w:ascii="Times New Roman" w:cs="Times New Roman" w:eastAsia="Times New Roman" w:hAnsi="Times New Roman"/>
          <w:sz w:val="19"/>
          <w:szCs w:val="19"/>
          <w:color w:val="auto"/>
        </w:rPr>
        <w:t xml:space="preserve"> cent 100% of the greater of:</w:t>
      </w:r>
    </w:p>
    <w:p>
      <w:pPr>
        <w:spacing w:after="0" w:line="216"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20"/>
          <w:szCs w:val="20"/>
          <w:color w:val="auto"/>
        </w:rPr>
        <w:t>14.10.1.3.1. eighty per cent. (80%) of the sum of (i) the Luxembourg Guarantor’s own funds (</w:t>
      </w:r>
      <w:r>
        <w:rPr>
          <w:rFonts w:ascii="Times New Roman" w:cs="Times New Roman" w:eastAsia="Times New Roman" w:hAnsi="Times New Roman"/>
          <w:sz w:val="20"/>
          <w:szCs w:val="20"/>
          <w:i w:val="1"/>
          <w:iCs w:val="1"/>
          <w:color w:val="auto"/>
        </w:rPr>
        <w:t>capitaux propres</w:t>
      </w:r>
      <w:r>
        <w:rPr>
          <w:rFonts w:ascii="Times New Roman" w:cs="Times New Roman" w:eastAsia="Times New Roman" w:hAnsi="Times New Roman"/>
          <w:sz w:val="20"/>
          <w:szCs w:val="20"/>
          <w:color w:val="auto"/>
        </w:rPr>
        <w:t>) (as referred to in Annex I to the Grand-Ducal Regulation dated 18 December 2015 setting out the form and content of the presentation of the balance sheet and profit and loss account), enforcing the Luxembourg act of 19 December 2002 on the trade and companies register and the accounting and annual accounts of undertakings, as amended (the “</w:t>
      </w:r>
      <w:r>
        <w:rPr>
          <w:rFonts w:ascii="Times New Roman" w:cs="Times New Roman" w:eastAsia="Times New Roman" w:hAnsi="Times New Roman"/>
          <w:sz w:val="20"/>
          <w:szCs w:val="20"/>
          <w:u w:val="single" w:color="auto"/>
          <w:color w:val="auto"/>
        </w:rPr>
        <w:t>Own Funds</w:t>
      </w:r>
      <w:r>
        <w:rPr>
          <w:rFonts w:ascii="Times New Roman" w:cs="Times New Roman" w:eastAsia="Times New Roman" w:hAnsi="Times New Roman"/>
          <w:sz w:val="20"/>
          <w:szCs w:val="20"/>
          <w:color w:val="auto"/>
        </w:rPr>
        <w:t>”) and</w:t>
      </w:r>
    </w:p>
    <w:p>
      <w:pPr>
        <w:jc w:val="both"/>
        <w:ind w:left="1300" w:firstLine="4"/>
        <w:spacing w:after="0" w:line="253" w:lineRule="auto"/>
        <w:tabs>
          <w:tab w:leader="none" w:pos="1607"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Luxembourg Guarantor’s debt which is subordinated in right of payment (whether generally or specifically) to any claim of any Lender under any of the Loan Documents (the “</w:t>
      </w:r>
      <w:r>
        <w:rPr>
          <w:rFonts w:ascii="Times New Roman" w:cs="Times New Roman" w:eastAsia="Times New Roman" w:hAnsi="Times New Roman"/>
          <w:sz w:val="20"/>
          <w:szCs w:val="20"/>
          <w:u w:val="single" w:color="auto"/>
          <w:color w:val="auto"/>
        </w:rPr>
        <w:t>Subordinated Debt</w:t>
      </w:r>
      <w:r>
        <w:rPr>
          <w:rFonts w:ascii="Times New Roman" w:cs="Times New Roman" w:eastAsia="Times New Roman" w:hAnsi="Times New Roman"/>
          <w:sz w:val="20"/>
          <w:szCs w:val="20"/>
          <w:color w:val="auto"/>
        </w:rPr>
        <w:t>”), in each case as determined on the basis of the then latest available annual accounts of the Luxembourg Guarantor duly established in accordance with applicable accounting rules, as at the date of this Agreement; and</w:t>
      </w:r>
    </w:p>
    <w:p>
      <w:pPr>
        <w:spacing w:after="0" w:line="17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20"/>
          <w:szCs w:val="20"/>
          <w:color w:val="auto"/>
        </w:rPr>
        <w:t xml:space="preserve">14.10.1.3.2. eighty per cent. (80%) of the sum of (i) the Own Funds and (ii) the Subordinated Debt, in each case as determined on the basis of the then latest available annual accounts of the Luxembourg Guarantor duly established in accordance with applicable accounting rules, as at the date on which the guarantee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is called.</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14.10.2.Where, for the purpose of the above determinations, (i) no duly established annual accounts are available for the relevant reference period (which will include a situation where, in respect of the determinations to be made above, no final annual accounts have been established in due time in respect of the then most recently ended financial year) or (ii) the relevant annual accounts do not adequately reflect the status of the Subordinated Debt or Own Funds as envisaged above or (iii) the Luxembourg Guarantor has taken corporate or contractual actions having resulted in the increase of its Own Funds or its Subordinated Debt since the close of its last financial year, the Administrative Agent (acting in good faith) shall make the determination of the relevant Own Funds and Subordinated Debt amounts based on such available elements and facts as deemed relevant by it at such time. Any costs and expenses incurred by the Administrative Agent pursuant to this paragraph will be paid in accordance with the relevant provisions relating to costs and expenses under this Agreement.</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14.10.3.Each Credit Party incorporated under the laws of Luxembourg hereby expressly accepts and confirms, if applicable, for the purposes of articles 1278 and 1281 of the Luxembourg civil code, respectively, that notwithstanding any assignment, transfer and/or novation permitted under, and made in accordance with the provisions of this Agreement, any Security granted by a Credit Party incorporated under the laws of Luxembourg and any guaranty granted by a Luxembourg Guarantor given under any Loan Document shall be preserved for the benefit of any New Lender.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14.10.4.The obligations of any Luxembourg Guarantor shall not extend to the guaranteeing or securing of any amount which would breach the prohibitions on financial assistance as set out in the Luxembourg law of 10 August 1915 on commercial companies, as amended (the “</w:t>
      </w:r>
      <w:r>
        <w:rPr>
          <w:rFonts w:ascii="Times New Roman" w:cs="Times New Roman" w:eastAsia="Times New Roman" w:hAnsi="Times New Roman"/>
          <w:sz w:val="20"/>
          <w:szCs w:val="20"/>
          <w:u w:val="single" w:color="auto"/>
          <w:color w:val="auto"/>
        </w:rPr>
        <w:t>Luxembourg Law of 1915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254</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08" w:name="page309"/>
    <w:bookmarkEnd w:id="30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14.10.5.Notwithstanding anything to the contrary herein, the obligations and liabilities of any Luxembourg Guarantor under this Agreement or under any Loan Document shall not include any obligation or liability to the extent that, if so included, would constitute an abuse of assets as defined under article 1500-11 of the Luxembourg Law of 1915.</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14.11. Guarantee Limitations for Spanish Guarantees and Security. In respect of the obligations of any Subsidiary Credit Party incorporated under the laws of Spain under the Loan Documents, a Spanish guarantee and/or security shall not include and shall not extend (in the case of Spanish guarantors/providers of security incorporated as </w:t>
      </w:r>
      <w:r>
        <w:rPr>
          <w:rFonts w:ascii="Times New Roman" w:cs="Times New Roman" w:eastAsia="Times New Roman" w:hAnsi="Times New Roman"/>
          <w:sz w:val="20"/>
          <w:szCs w:val="20"/>
          <w:i w:val="1"/>
          <w:iCs w:val="1"/>
          <w:color w:val="auto"/>
        </w:rPr>
        <w:t>sociedad anónima</w:t>
      </w:r>
      <w:r>
        <w:rPr>
          <w:rFonts w:ascii="Times New Roman" w:cs="Times New Roman" w:eastAsia="Times New Roman" w:hAnsi="Times New Roman"/>
          <w:sz w:val="20"/>
          <w:szCs w:val="20"/>
          <w:color w:val="auto"/>
        </w:rPr>
        <w:t xml:space="preserve">)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that amounts to financial assistance in accordance with section 150 of the Spanish Capital Companies Act, or (in the case of Spanish guarantors/providers of security incorporated as </w:t>
      </w:r>
      <w:r>
        <w:rPr>
          <w:rFonts w:ascii="Times New Roman" w:cs="Times New Roman" w:eastAsia="Times New Roman" w:hAnsi="Times New Roman"/>
          <w:sz w:val="20"/>
          <w:szCs w:val="20"/>
          <w:i w:val="1"/>
          <w:iCs w:val="1"/>
          <w:color w:val="auto"/>
        </w:rPr>
        <w:t>sociedades de responsabilidad limitada</w:t>
      </w:r>
      <w:r>
        <w:rPr>
          <w:rFonts w:ascii="Times New Roman" w:cs="Times New Roman" w:eastAsia="Times New Roman" w:hAnsi="Times New Roman"/>
          <w:sz w:val="20"/>
          <w:szCs w:val="20"/>
          <w:color w:val="auto"/>
        </w:rPr>
        <w:t>), as the case may be, shall not extend to any Obligation related in any manner whatsoever to, and/or any amount utilised to fund (or refinance the indebtedness incurred by any party for) the acquisition of the shares in the Spanish guarantor/provider of security and/or the acquisition of the shares of its controlling corporation or any company of the group of the Spanish guarantor/provider of security or that amounts to financial assistance in accordance with section 143.2 of the Spanish Capital Companies Act.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14.12.  Guarantee Limitations for German Guarantees and Security.</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14.12.1.If the enforcement of the guarantee given by any Guarantor incorporated under the laws of Germany by the Administrative Agent would cause, in breach of sections 30 and 31 of the German Limited Liability Companies Act (</w:t>
      </w:r>
      <w:r>
        <w:rPr>
          <w:rFonts w:ascii="Times New Roman" w:cs="Times New Roman" w:eastAsia="Times New Roman" w:hAnsi="Times New Roman"/>
          <w:sz w:val="20"/>
          <w:szCs w:val="20"/>
          <w:i w:val="1"/>
          <w:iCs w:val="1"/>
          <w:color w:val="auto"/>
        </w:rPr>
        <w:t>Gesetz betreffend die Gesellschaften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mit beschränkter Haftung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GmbHG</w:t>
      </w:r>
      <w:r>
        <w:rPr>
          <w:rFonts w:ascii="Times New Roman" w:cs="Times New Roman" w:eastAsia="Times New Roman" w:hAnsi="Times New Roman"/>
          <w:sz w:val="20"/>
          <w:szCs w:val="20"/>
          <w:color w:val="auto"/>
        </w:rPr>
        <w:t>”)), the net assets (</w:t>
      </w:r>
      <w:r>
        <w:rPr>
          <w:rFonts w:ascii="Times New Roman" w:cs="Times New Roman" w:eastAsia="Times New Roman" w:hAnsi="Times New Roman"/>
          <w:sz w:val="20"/>
          <w:szCs w:val="20"/>
          <w:i w:val="1"/>
          <w:iCs w:val="1"/>
          <w:color w:val="auto"/>
        </w:rPr>
        <w:t xml:space="preserve">Reinvermögen </w:t>
      </w:r>
      <w:r>
        <w:rPr>
          <w:rFonts w:ascii="Times New Roman" w:cs="Times New Roman" w:eastAsia="Times New Roman" w:hAnsi="Times New Roman"/>
          <w:sz w:val="20"/>
          <w:szCs w:val="20"/>
          <w:color w:val="auto"/>
        </w:rPr>
        <w:t>– being the total assets less liabilities) of the relevant Guarantor to fall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below the amount of its nominal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the Administrative Agent may not enforce the guarantee to the extent enforcement would require payment by the relevant Guarantor out of assets necessary to preserve its nominal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For the purposes of the calculation, whether the net assets of the relevant Guarantor would fall below the amount of the nominal share capital (</w:t>
      </w:r>
      <w:r>
        <w:rPr>
          <w:rFonts w:ascii="Times New Roman" w:cs="Times New Roman" w:eastAsia="Times New Roman" w:hAnsi="Times New Roman"/>
          <w:sz w:val="20"/>
          <w:szCs w:val="20"/>
          <w:i w:val="1"/>
          <w:iCs w:val="1"/>
          <w:color w:val="auto"/>
        </w:rPr>
        <w:t>Stammkapital</w:t>
      </w:r>
      <w:r>
        <w:rPr>
          <w:rFonts w:ascii="Times New Roman" w:cs="Times New Roman" w:eastAsia="Times New Roman" w:hAnsi="Times New Roman"/>
          <w:sz w:val="20"/>
          <w:szCs w:val="20"/>
          <w:color w:val="auto"/>
        </w:rPr>
        <w:t>) (if any), the following balance sheet items shall be adjusted as follows:</w:t>
      </w:r>
    </w:p>
    <w:p>
      <w:pPr>
        <w:spacing w:after="0" w:line="193" w:lineRule="exact"/>
        <w:rPr>
          <w:sz w:val="20"/>
          <w:szCs w:val="20"/>
          <w:color w:val="auto"/>
        </w:rPr>
      </w:pPr>
    </w:p>
    <w:p>
      <w:pPr>
        <w:jc w:val="both"/>
        <w:ind w:left="660" w:firstLine="907"/>
        <w:spacing w:after="0" w:line="283" w:lineRule="auto"/>
        <w:rPr>
          <w:sz w:val="20"/>
          <w:szCs w:val="20"/>
          <w:color w:val="auto"/>
        </w:rPr>
      </w:pPr>
      <w:r>
        <w:rPr>
          <w:rFonts w:ascii="Times New Roman" w:cs="Times New Roman" w:eastAsia="Times New Roman" w:hAnsi="Times New Roman"/>
          <w:sz w:val="20"/>
          <w:szCs w:val="20"/>
          <w:color w:val="auto"/>
        </w:rPr>
        <w:t>14.12.1.1. the amount of any increase in the nominal share capital which was carried out after the date hereof without the prior written consent of the Administrative Agent shall be deducted from the nominal share capital,</w:t>
      </w:r>
    </w:p>
    <w:p>
      <w:pPr>
        <w:spacing w:after="0" w:line="146"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14.12.1.2. loans provided to the relevant Guarantor by any third party, as far as such loans are (or would in insolvency proceedings be) subordinated pursuant to Section 39 para. 1 no. 5 or para. 2 of the German Insolvency Code (</w:t>
      </w:r>
      <w:r>
        <w:rPr>
          <w:rFonts w:ascii="Times New Roman" w:cs="Times New Roman" w:eastAsia="Times New Roman" w:hAnsi="Times New Roman"/>
          <w:sz w:val="20"/>
          <w:szCs w:val="20"/>
          <w:i w:val="1"/>
          <w:iCs w:val="1"/>
          <w:color w:val="auto"/>
        </w:rPr>
        <w:t>Insolvenzverordnung</w:t>
      </w:r>
      <w:r>
        <w:rPr>
          <w:rFonts w:ascii="Times New Roman" w:cs="Times New Roman" w:eastAsia="Times New Roman" w:hAnsi="Times New Roman"/>
          <w:sz w:val="20"/>
          <w:szCs w:val="20"/>
          <w:color w:val="auto"/>
        </w:rPr>
        <w:t>), and</w:t>
      </w:r>
    </w:p>
    <w:p>
      <w:pPr>
        <w:spacing w:after="0" w:line="181" w:lineRule="exact"/>
        <w:rPr>
          <w:sz w:val="20"/>
          <w:szCs w:val="20"/>
          <w:color w:val="auto"/>
        </w:rPr>
      </w:pPr>
    </w:p>
    <w:p>
      <w:pPr>
        <w:jc w:val="both"/>
        <w:ind w:left="660" w:firstLine="907"/>
        <w:spacing w:after="0" w:line="283" w:lineRule="auto"/>
        <w:rPr>
          <w:sz w:val="20"/>
          <w:szCs w:val="20"/>
          <w:color w:val="auto"/>
        </w:rPr>
      </w:pPr>
      <w:r>
        <w:rPr>
          <w:rFonts w:ascii="Times New Roman" w:cs="Times New Roman" w:eastAsia="Times New Roman" w:hAnsi="Times New Roman"/>
          <w:sz w:val="20"/>
          <w:szCs w:val="20"/>
          <w:color w:val="auto"/>
        </w:rPr>
        <w:t>14.12.1.3. funds borrowed by any Borrower under the Credit Agreement which have been on lent to the relevant Guarantor shall be disregarded.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14.12.2.In addition, the relevant Guarantor, if and to the extent legally permissible, shall</w:t>
      </w:r>
    </w:p>
    <w:p>
      <w:pPr>
        <w:spacing w:after="0" w:line="229"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14.12.2.1. in a situation where enforcement of the guarantee is limited pursuant to the paragraph (a) above, sell any and all of its assets that are reflected on its balance sheet with a book value that is significantly lower than the market value of the asset if such asset is not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255</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09" w:name="page310"/>
    <w:bookmarkEnd w:id="309"/>
    <w:p>
      <w:pPr>
        <w:jc w:val="both"/>
        <w:ind w:left="660" w:right="20"/>
        <w:spacing w:after="0" w:line="287" w:lineRule="auto"/>
        <w:rPr>
          <w:sz w:val="20"/>
          <w:szCs w:val="20"/>
          <w:color w:val="auto"/>
        </w:rPr>
      </w:pPr>
      <w:r>
        <w:rPr>
          <w:rFonts w:ascii="Times New Roman" w:cs="Times New Roman" w:eastAsia="Times New Roman" w:hAnsi="Times New Roman"/>
          <w:sz w:val="20"/>
          <w:szCs w:val="20"/>
          <w:color w:val="auto"/>
        </w:rPr>
        <w:t>essential for the conduct of business (</w:t>
      </w:r>
      <w:r>
        <w:rPr>
          <w:rFonts w:ascii="Times New Roman" w:cs="Times New Roman" w:eastAsia="Times New Roman" w:hAnsi="Times New Roman"/>
          <w:sz w:val="20"/>
          <w:szCs w:val="20"/>
          <w:i w:val="1"/>
          <w:iCs w:val="1"/>
          <w:color w:val="auto"/>
        </w:rPr>
        <w:t>nicht betriebsnotwendig</w:t>
      </w:r>
      <w:r>
        <w:rPr>
          <w:rFonts w:ascii="Times New Roman" w:cs="Times New Roman" w:eastAsia="Times New Roman" w:hAnsi="Times New Roman"/>
          <w:sz w:val="20"/>
          <w:szCs w:val="20"/>
          <w:color w:val="auto"/>
        </w:rPr>
        <w:t>) and if through such realization, the amount which may be enforced pursuant to paragraph (a) above, can be increased, and,</w:t>
      </w:r>
    </w:p>
    <w:p>
      <w:pPr>
        <w:spacing w:after="0" w:line="142" w:lineRule="exact"/>
        <w:rPr>
          <w:sz w:val="20"/>
          <w:szCs w:val="20"/>
          <w:color w:val="auto"/>
        </w:rPr>
      </w:pPr>
    </w:p>
    <w:p>
      <w:pPr>
        <w:jc w:val="both"/>
        <w:ind w:left="660" w:firstLine="907"/>
        <w:spacing w:after="0" w:line="261" w:lineRule="auto"/>
        <w:rPr>
          <w:sz w:val="20"/>
          <w:szCs w:val="20"/>
          <w:color w:val="auto"/>
        </w:rPr>
      </w:pPr>
      <w:r>
        <w:rPr>
          <w:rFonts w:ascii="Times New Roman" w:cs="Times New Roman" w:eastAsia="Times New Roman" w:hAnsi="Times New Roman"/>
          <w:sz w:val="20"/>
          <w:szCs w:val="20"/>
          <w:color w:val="auto"/>
        </w:rPr>
        <w:t>14.12.2.2. take any other measures (including, without limitation, set-off of claims) to ensure that the enforcement of the guarantee does not cause its remaining net assets to be reduced below the amount of its stated share capital which is protected by sections 30 and 31 GmbHG.</w:t>
      </w:r>
    </w:p>
    <w:p>
      <w:pPr>
        <w:spacing w:after="0" w:line="18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 xml:space="preserve">14.13. Keepwell. Each Credit Party incorporated in the United States that is a Qualified ECP Guarantor at the time the Guarantee Obligations or the grant of the security interest under the Loan Documents, in each case, by any Specified Credit Party, becomes effective with respect to any Swap Obligation, hereby jointly and severally, absolutely, unconditionally and irrevocably undertakes to provide such funds or other support to each Specified Credit Party with respect to such Swap Obligation as may be needed by such Specified Credit Party from time to time to honor all of its obligations under its Guarantee Obligations and the other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9"/>
          <w:szCs w:val="19"/>
          <w:u w:val="single" w:color="auto"/>
          <w:color w:val="auto"/>
        </w:rPr>
        <w:t>Article XIV</w:t>
      </w:r>
      <w:r>
        <w:rPr>
          <w:rFonts w:ascii="Times New Roman" w:cs="Times New Roman" w:eastAsia="Times New Roman" w:hAnsi="Times New Roman"/>
          <w:sz w:val="19"/>
          <w:szCs w:val="19"/>
          <w:color w:val="auto"/>
        </w:rPr>
        <w:t xml:space="preserve">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Specified Credit Party for all purposes of the Commodity Exchange Act.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14.14.  Executive Proceedings.</w:t>
      </w:r>
    </w:p>
    <w:p>
      <w:pPr>
        <w:spacing w:after="0" w:line="21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0"/>
          <w:szCs w:val="20"/>
          <w:color w:val="auto"/>
        </w:rPr>
        <w:t>14.14.1.This Agreement and any other Loan Documents which a Spanish Obligor is a guarantor or provider of security to, at the discretion of the Collateral Agent, as well as any amendments hereto or thereto, shall be formalised in a Spanish Public Document, so that it may have the status of a notarial document of loan for all purposes contemplated in Article 517, number 4 of the Spanish Civil Procedural Law (Law 1/2000 of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January) (“</w:t>
      </w:r>
      <w:r>
        <w:rPr>
          <w:rFonts w:ascii="Times New Roman" w:cs="Times New Roman" w:eastAsia="Times New Roman" w:hAnsi="Times New Roman"/>
          <w:sz w:val="20"/>
          <w:szCs w:val="20"/>
          <w:i w:val="1"/>
          <w:iCs w:val="1"/>
          <w:color w:val="auto"/>
        </w:rPr>
        <w:t>Ley de Ejuiciamiento Civil</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Civil Procedural Law</w:t>
      </w:r>
      <w:r>
        <w:rPr>
          <w:rFonts w:ascii="Times New Roman" w:cs="Times New Roman" w:eastAsia="Times New Roman" w:hAnsi="Times New Roman"/>
          <w:sz w:val="20"/>
          <w:szCs w:val="20"/>
          <w:color w:val="auto"/>
        </w:rPr>
        <w:t>”).</w:t>
      </w:r>
    </w:p>
    <w:p>
      <w:pPr>
        <w:spacing w:after="0" w:line="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14.14.2.Upon enforcement, the sum payable by any Spanish Obligor shall be the total aggregate amount of the balance of the accounts maintained by the Administrative Agent (or the relevant Lender, as the case may be). For the purposes of Articles 517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of the Civil Procedural Law, the Credit Parties expressly agree that such balances shall be considered as due, liquid and payable and may be claimed pursuant to the same provisions of such law.</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14.14.3.For the purpose of the provisions of Art, 571,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of the Civil Procedural Law, it is expressly agreed by the Credit Parties that the determination of the debt to be claimed through the executive proceedings shall be effected by the Administrative Agent (or the relevant Lender, as the case may be) by means of the appropriate certificate evidencing the balances shown in the relevant account(s) referred to in paragraph (b) above. By virtue of the foregoing, to exercise executive action by the Collateral Agent or any of the Lenders it will be sufficient to present:</w:t>
      </w:r>
    </w:p>
    <w:p>
      <w:pPr>
        <w:spacing w:after="0" w:line="192" w:lineRule="exact"/>
        <w:rPr>
          <w:sz w:val="20"/>
          <w:szCs w:val="20"/>
          <w:color w:val="auto"/>
        </w:rPr>
      </w:pPr>
    </w:p>
    <w:p>
      <w:pPr>
        <w:ind w:left="1560"/>
        <w:spacing w:after="0"/>
        <w:tabs>
          <w:tab w:leader="none" w:pos="2580" w:val="left"/>
        </w:tabs>
        <w:rPr>
          <w:sz w:val="20"/>
          <w:szCs w:val="20"/>
          <w:color w:val="auto"/>
        </w:rPr>
      </w:pPr>
      <w:r>
        <w:rPr>
          <w:rFonts w:ascii="Times New Roman" w:cs="Times New Roman" w:eastAsia="Times New Roman" w:hAnsi="Times New Roman"/>
          <w:sz w:val="20"/>
          <w:szCs w:val="20"/>
          <w:color w:val="auto"/>
        </w:rPr>
        <w:t>14.14.3.1.</w:t>
      </w:r>
      <w:r>
        <w:rPr>
          <w:sz w:val="20"/>
          <w:szCs w:val="20"/>
          <w:color w:val="auto"/>
        </w:rPr>
        <w:tab/>
      </w:r>
      <w:r>
        <w:rPr>
          <w:rFonts w:ascii="Times New Roman" w:cs="Times New Roman" w:eastAsia="Times New Roman" w:hAnsi="Times New Roman"/>
          <w:sz w:val="19"/>
          <w:szCs w:val="19"/>
          <w:color w:val="auto"/>
        </w:rPr>
        <w:t>an original notarial first or authentic copy of this Agreement;</w:t>
      </w:r>
    </w:p>
    <w:p>
      <w:pPr>
        <w:spacing w:after="0" w:line="216" w:lineRule="exact"/>
        <w:rPr>
          <w:sz w:val="20"/>
          <w:szCs w:val="20"/>
          <w:color w:val="auto"/>
        </w:rPr>
      </w:pPr>
    </w:p>
    <w:p>
      <w:pPr>
        <w:ind w:left="1560"/>
        <w:spacing w:after="0"/>
        <w:tabs>
          <w:tab w:leader="none" w:pos="2580" w:val="left"/>
        </w:tabs>
        <w:rPr>
          <w:sz w:val="20"/>
          <w:szCs w:val="20"/>
          <w:color w:val="auto"/>
        </w:rPr>
      </w:pPr>
      <w:r>
        <w:rPr>
          <w:rFonts w:ascii="Times New Roman" w:cs="Times New Roman" w:eastAsia="Times New Roman" w:hAnsi="Times New Roman"/>
          <w:sz w:val="20"/>
          <w:szCs w:val="20"/>
          <w:color w:val="auto"/>
        </w:rPr>
        <w:t>14.14.3.2.</w:t>
      </w:r>
      <w:r>
        <w:rPr>
          <w:sz w:val="20"/>
          <w:szCs w:val="20"/>
          <w:color w:val="auto"/>
        </w:rPr>
        <w:tab/>
      </w:r>
      <w:r>
        <w:rPr>
          <w:rFonts w:ascii="Times New Roman" w:cs="Times New Roman" w:eastAsia="Times New Roman" w:hAnsi="Times New Roman"/>
          <w:sz w:val="19"/>
          <w:szCs w:val="19"/>
          <w:color w:val="auto"/>
        </w:rPr>
        <w:t>a notarial certificate, if necessary, for the purposes described in paragraph (d)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256</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09" w:right="339" w:bottom="1440" w:gutter="0" w:footer="0" w:header="0"/>
        </w:sectPr>
      </w:pPr>
    </w:p>
    <w:bookmarkStart w:id="310" w:name="page311"/>
    <w:bookmarkEnd w:id="310"/>
    <w:p>
      <w:pPr>
        <w:jc w:val="both"/>
        <w:ind w:left="660" w:firstLine="907"/>
        <w:spacing w:after="0" w:line="254" w:lineRule="auto"/>
        <w:rPr>
          <w:sz w:val="20"/>
          <w:szCs w:val="20"/>
          <w:color w:val="auto"/>
        </w:rPr>
      </w:pPr>
      <w:r>
        <w:rPr>
          <w:rFonts w:ascii="Times New Roman" w:cs="Times New Roman" w:eastAsia="Times New Roman" w:hAnsi="Times New Roman"/>
          <w:sz w:val="20"/>
          <w:szCs w:val="20"/>
          <w:color w:val="auto"/>
        </w:rPr>
        <w:t>14.14.3.3. the notarial document (</w:t>
      </w:r>
      <w:r>
        <w:rPr>
          <w:rFonts w:ascii="Times New Roman" w:cs="Times New Roman" w:eastAsia="Times New Roman" w:hAnsi="Times New Roman"/>
          <w:sz w:val="20"/>
          <w:szCs w:val="20"/>
          <w:i w:val="1"/>
          <w:iCs w:val="1"/>
          <w:color w:val="auto"/>
        </w:rPr>
        <w:t>acta notarial</w:t>
      </w:r>
      <w:r>
        <w:rPr>
          <w:rFonts w:ascii="Times New Roman" w:cs="Times New Roman" w:eastAsia="Times New Roman" w:hAnsi="Times New Roman"/>
          <w:sz w:val="20"/>
          <w:szCs w:val="20"/>
          <w:color w:val="auto"/>
        </w:rPr>
        <w:t>) which incorporates the certificate issued by the Administrative Agent (or the relevant Lender, as the case may be) of the amount due by the Spanish Obligor including an excerpt of the credits and debits (including the interest applied) which appear in the relevant account(s) referred to in paragraph (b) above, evidencing that the determination of the amounts due and payable by the Spanish Obligor have been calculated as agreed in this Agreement and that such amounts coincide with the balance of such accounts; and</w:t>
      </w:r>
    </w:p>
    <w:p>
      <w:pPr>
        <w:spacing w:after="0" w:line="187" w:lineRule="exact"/>
        <w:rPr>
          <w:sz w:val="20"/>
          <w:szCs w:val="20"/>
          <w:color w:val="auto"/>
        </w:rPr>
      </w:pPr>
    </w:p>
    <w:p>
      <w:pPr>
        <w:jc w:val="both"/>
        <w:ind w:left="660" w:firstLine="907"/>
        <w:spacing w:after="0" w:line="287" w:lineRule="auto"/>
        <w:rPr>
          <w:sz w:val="20"/>
          <w:szCs w:val="20"/>
          <w:color w:val="auto"/>
        </w:rPr>
      </w:pPr>
      <w:r>
        <w:rPr>
          <w:rFonts w:ascii="Times New Roman" w:cs="Times New Roman" w:eastAsia="Times New Roman" w:hAnsi="Times New Roman"/>
          <w:sz w:val="20"/>
          <w:szCs w:val="20"/>
          <w:color w:val="auto"/>
        </w:rPr>
        <w:t>14.14.3.4. a notarial document (</w:t>
      </w:r>
      <w:r>
        <w:rPr>
          <w:rFonts w:ascii="Times New Roman" w:cs="Times New Roman" w:eastAsia="Times New Roman" w:hAnsi="Times New Roman"/>
          <w:sz w:val="20"/>
          <w:szCs w:val="20"/>
          <w:i w:val="1"/>
          <w:iCs w:val="1"/>
          <w:color w:val="auto"/>
        </w:rPr>
        <w:t>acta notarial</w:t>
      </w:r>
      <w:r>
        <w:rPr>
          <w:rFonts w:ascii="Times New Roman" w:cs="Times New Roman" w:eastAsia="Times New Roman" w:hAnsi="Times New Roman"/>
          <w:sz w:val="20"/>
          <w:szCs w:val="20"/>
          <w:color w:val="auto"/>
        </w:rPr>
        <w:t>) evidencing that the Spanish Obligor has been served notice of the amount that is due and payable.</w:t>
      </w:r>
    </w:p>
    <w:p>
      <w:pPr>
        <w:spacing w:after="0" w:line="14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14.14.4.Paragraph (c) above is also applicable to any Lender with regard to its Commitment. Such Lender may issue the appropriate certification of the balances of the relevant account(s) referred to in paragraph (b) above and the certification of the balances of such accounts may be legalised by a notary.</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14.14.5.The amount of the balances so established shall be notified to the Spanish Obligor in an attestable manner at least three (3) days in advance of exercising the executive action set out in paragraph (c) above.</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14.14.6.The Spanish Obligor hereby expressly authorises the Administrative Agent and the Collateral Agent (and each Lender, as appropriate) to request and obtain certificates and documents issued by the notary who has formalised this Agreement in order to evidence its compliance with the entries of his registry-book and the relevant entry date for the purpose of number 4 of Article 517, of the Civil Procedural Law. The cost of such certificate and documents will be for the account of the Spanish Obligor in the manner provided under this Agreement.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14.15. Spanish Public Document. Upon demand by the Administrative Agent or the Collateral Agents, each Spanish Obligor agrees to participate in the raising of this Agreement to the status of a Spanish Public Document (</w:t>
      </w:r>
      <w:r>
        <w:rPr>
          <w:rFonts w:ascii="Times New Roman" w:cs="Times New Roman" w:eastAsia="Times New Roman" w:hAnsi="Times New Roman"/>
          <w:sz w:val="20"/>
          <w:szCs w:val="20"/>
          <w:i w:val="1"/>
          <w:iCs w:val="1"/>
          <w:color w:val="auto"/>
        </w:rPr>
        <w:t>elevación a público</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14.16. Guarantee of Each U.S. Borrower. In order to induce Administrative Agent, the Facing Agents and the Lenders to execute and deliver this Agreement and to make or maintain the Loans and to issue Letters of Credit hereunder, and in consideration thereof, each U.S. Borrower hereby, jointly and severally, unconditionally and irrevocably guarantees, as primary obligor and not merely as surety, to the Agents, for the ratable benefit of the Facing Agents and the Lenders, the prompt and complete payment and performance by each Borrower when due (whether at stated maturity, by acceleration or otherwise) of the Obligations and all Bank Related Debt (but not any Excluded Swap Obligations), and each U.S. Borrower further agrees to pay any and all reasonable expenses (including, without limitation, all reasonable fees, charges and disbursements of counsel) which may be paid or incurred by the Agents, the Facing Agents or any Lender in enforcing any of their rights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shall remain in full force and effect until all Letters of Credit have terminated, the Obligations are paid in full and the Commitments are terminated.</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Each U.S. Borrower agrees that whenever, at any time, or from time to time, it shall make any payment to any Agent, any Facing Agent or any Lender on account of its liability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it will notify such Agent, the applicable Facing Agent and such Lender in writing that such payment is made under the guarantee contained in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for such purpose. No payment or payments made by any Borrower or any other Person or received or collected by any Agent, any Facing Agent or 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257</w:t>
      </w:r>
    </w:p>
    <w:p>
      <w:pPr>
        <w:spacing w:after="0" w:line="8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09" w:right="339" w:bottom="1440" w:gutter="0" w:footer="0" w:header="0"/>
        </w:sectPr>
      </w:pPr>
    </w:p>
    <w:bookmarkStart w:id="311" w:name="page312"/>
    <w:bookmarkEnd w:id="311"/>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Lender from any Borrower or any other Person by virtue of any action or proceeding or any setoff or appropriation or application, at any time or from time to time, in reduction of or in payment of the Obligations shall be deemed to modify, reduce, release or otherwise affect the liability of each U.S. Borrower under this </w:t>
      </w:r>
      <w:r>
        <w:rPr>
          <w:rFonts w:ascii="Times New Roman" w:cs="Times New Roman" w:eastAsia="Times New Roman" w:hAnsi="Times New Roman"/>
          <w:sz w:val="20"/>
          <w:szCs w:val="20"/>
          <w:u w:val="single" w:color="auto"/>
          <w:color w:val="auto"/>
        </w:rPr>
        <w:t>Article XIV</w:t>
      </w:r>
      <w:r>
        <w:rPr>
          <w:rFonts w:ascii="Times New Roman" w:cs="Times New Roman" w:eastAsia="Times New Roman" w:hAnsi="Times New Roman"/>
          <w:sz w:val="20"/>
          <w:szCs w:val="20"/>
          <w:color w:val="auto"/>
        </w:rPr>
        <w:t xml:space="preserve">, which, notwithstanding any such payment or payments, shall remain liable for the unpaid and outstanding Obligations until, subject to </w:t>
      </w:r>
      <w:r>
        <w:rPr>
          <w:rFonts w:ascii="Times New Roman" w:cs="Times New Roman" w:eastAsia="Times New Roman" w:hAnsi="Times New Roman"/>
          <w:sz w:val="20"/>
          <w:szCs w:val="20"/>
          <w:u w:val="single" w:color="auto"/>
          <w:color w:val="auto"/>
        </w:rPr>
        <w:t>Section 14.6</w:t>
      </w:r>
      <w:r>
        <w:rPr>
          <w:rFonts w:ascii="Times New Roman" w:cs="Times New Roman" w:eastAsia="Times New Roman" w:hAnsi="Times New Roman"/>
          <w:sz w:val="20"/>
          <w:szCs w:val="20"/>
          <w:color w:val="auto"/>
        </w:rPr>
        <w:t>, the Obligations are paid in full and the Commitments are terminated.</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258</w:t>
      </w:r>
    </w:p>
    <w:p>
      <w:pPr>
        <w:spacing w:after="0" w:line="6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12" w:name="page313"/>
    <w:bookmarkEnd w:id="312"/>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by their respective officers thereunto duly authorized, as of the date first above written.</w:t>
      </w:r>
    </w:p>
    <w:p>
      <w:pPr>
        <w:spacing w:after="0" w:line="1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CROWN AMERICAS LLC</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CROWN EUROPEAN HOLDINGS S.A.</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CROWN HOLDINGS, INC.</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CROWN INTERNATIONAL HOLDINGS, INC.</w:t>
      </w:r>
    </w:p>
    <w:p>
      <w:pPr>
        <w:spacing w:after="0" w:line="200" w:lineRule="exact"/>
        <w:rPr>
          <w:sz w:val="20"/>
          <w:szCs w:val="20"/>
          <w:color w:val="auto"/>
        </w:rPr>
      </w:pPr>
    </w:p>
    <w:p>
      <w:pPr>
        <w:spacing w:after="0" w:line="2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CROWN CORK &amp; SEAL COMPANY,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2514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11240"/>
          </w:cols>
          <w:pgMar w:left="320" w:top="1413" w:right="339" w:bottom="1440" w:gutter="0" w:footer="0" w:header="0"/>
        </w:sectPr>
      </w:pPr>
    </w:p>
    <w:bookmarkStart w:id="313" w:name="page314"/>
    <w:bookmarkEnd w:id="313"/>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METAL PACKAGING CANADA LP</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 xml:space="preserve">by its general partner, </w:t>
      </w:r>
      <w:r>
        <w:rPr>
          <w:rFonts w:ascii="Times New Roman" w:cs="Times New Roman" w:eastAsia="Times New Roman" w:hAnsi="Times New Roman"/>
          <w:sz w:val="19"/>
          <w:szCs w:val="19"/>
          <w:b w:val="1"/>
          <w:bCs w:val="1"/>
          <w:color w:val="auto"/>
        </w:rPr>
        <w:t>CROWN METAL PACKAGING CANADA INC.</w:t>
      </w:r>
    </w:p>
    <w:p>
      <w:pPr>
        <w:spacing w:after="0" w:line="200" w:lineRule="exact"/>
        <w:rPr>
          <w:sz w:val="20"/>
          <w:szCs w:val="20"/>
          <w:color w:val="auto"/>
        </w:rPr>
      </w:pPr>
    </w:p>
    <w:p>
      <w:pPr>
        <w:spacing w:after="0" w:line="2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9019"/>
          </w:cols>
          <w:pgMar w:left="1440" w:top="1440" w:right="1440" w:bottom="1440" w:gutter="0" w:footer="0" w:header="0"/>
        </w:sectPr>
      </w:pPr>
    </w:p>
    <w:bookmarkStart w:id="314" w:name="page315"/>
    <w:bookmarkEnd w:id="314"/>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CROWN UK HOLDINGS LIMITED</w:t>
      </w: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2"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20"/>
          <w:szCs w:val="20"/>
          <w:b w:val="1"/>
          <w:bCs w:val="1"/>
          <w:color w:val="auto"/>
        </w:rPr>
        <w:t>CROWN CORK &amp; SEAL DEUTSCHLAND HOLDINGS GMBH</w:t>
      </w: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CROWN VERPAKKING NEDERLAND B.V.</w:t>
      </w:r>
    </w:p>
    <w:p>
      <w:pPr>
        <w:spacing w:after="0" w:line="200" w:lineRule="exact"/>
        <w:rPr>
          <w:sz w:val="20"/>
          <w:szCs w:val="20"/>
          <w:color w:val="auto"/>
        </w:rPr>
      </w:pP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9019"/>
          </w:cols>
          <w:pgMar w:left="1440" w:top="1440" w:right="1440" w:bottom="1440" w:gutter="0" w:footer="0" w:header="0"/>
        </w:sectPr>
      </w:pPr>
    </w:p>
    <w:bookmarkStart w:id="315" w:name="page316"/>
    <w:bookmarkEnd w:id="315"/>
    <w:p>
      <w:pPr>
        <w:ind w:left="2780"/>
        <w:spacing w:after="0" w:line="287" w:lineRule="auto"/>
        <w:rPr>
          <w:sz w:val="20"/>
          <w:szCs w:val="20"/>
          <w:color w:val="auto"/>
        </w:rPr>
      </w:pPr>
      <w:r>
        <w:rPr>
          <w:rFonts w:ascii="Times New Roman" w:cs="Times New Roman" w:eastAsia="Times New Roman" w:hAnsi="Times New Roman"/>
          <w:sz w:val="20"/>
          <w:szCs w:val="20"/>
          <w:b w:val="1"/>
          <w:bCs w:val="1"/>
          <w:color w:val="auto"/>
        </w:rPr>
        <w:t>DEUTSCHE BANK AG NEW YORK BRANCH</w:t>
      </w:r>
      <w:r>
        <w:rPr>
          <w:rFonts w:ascii="Times New Roman" w:cs="Times New Roman" w:eastAsia="Times New Roman" w:hAnsi="Times New Roman"/>
          <w:sz w:val="20"/>
          <w:szCs w:val="20"/>
          <w:color w:val="auto"/>
        </w:rPr>
        <w:t>, in its individual capacity and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U.S. Collateral Agent and Euro Collateral Agent</w:t>
      </w:r>
    </w:p>
    <w:p>
      <w:pPr>
        <w:spacing w:after="0" w:line="3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DEUTSCHE BANK AG LONDON BRANCH</w:t>
      </w:r>
      <w:r>
        <w:rPr>
          <w:rFonts w:ascii="Times New Roman" w:cs="Times New Roman" w:eastAsia="Times New Roman" w:hAnsi="Times New Roman"/>
          <w:sz w:val="20"/>
          <w:szCs w:val="20"/>
          <w:color w:val="auto"/>
        </w:rPr>
        <w:t>, as U.K. Administrative Agent</w:t>
      </w:r>
    </w:p>
    <w:p>
      <w:pPr>
        <w:spacing w:after="0" w:line="200" w:lineRule="exact"/>
        <w:rPr>
          <w:sz w:val="20"/>
          <w:szCs w:val="20"/>
          <w:color w:val="auto"/>
        </w:rPr>
      </w:pPr>
    </w:p>
    <w:p>
      <w:pPr>
        <w:spacing w:after="0" w:line="23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9500"/>
          </w:cols>
          <w:pgMar w:left="1440" w:top="1409" w:right="959" w:bottom="1440" w:gutter="0" w:footer="0" w:header="0"/>
        </w:sectPr>
      </w:pPr>
    </w:p>
    <w:bookmarkStart w:id="316" w:name="page317"/>
    <w:bookmarkEnd w:id="316"/>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DEUTSCHE BANK AG CANADA BRANCH</w:t>
      </w:r>
      <w:r>
        <w:rPr>
          <w:rFonts w:ascii="Times New Roman" w:cs="Times New Roman" w:eastAsia="Times New Roman" w:hAnsi="Times New Roman"/>
          <w:sz w:val="20"/>
          <w:szCs w:val="20"/>
          <w:color w:val="auto"/>
        </w:rPr>
        <w:t>, as Canadian Administrative Agent</w:t>
      </w:r>
    </w:p>
    <w:p>
      <w:pPr>
        <w:spacing w:after="0" w:line="200" w:lineRule="exact"/>
        <w:rPr>
          <w:sz w:val="20"/>
          <w:szCs w:val="20"/>
          <w:color w:val="auto"/>
        </w:rPr>
      </w:pPr>
    </w:p>
    <w:p>
      <w:pPr>
        <w:spacing w:after="0" w:line="2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-10795</wp:posOffset>
            </wp:positionV>
            <wp:extent cx="2514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BUSINESS.31606820.2</w:t>
      </w:r>
    </w:p>
    <w:p>
      <w:pPr>
        <w:sectPr>
          <w:pgSz w:w="11900" w:h="16838" w:orient="portrait"/>
          <w:cols w:equalWidth="0" w:num="1">
            <w:col w:w="9480"/>
          </w:cols>
          <w:pgMar w:left="1440" w:top="1440" w:right="979" w:bottom="1440" w:gutter="0" w:footer="0" w:header="0"/>
        </w:sectPr>
      </w:pPr>
    </w:p>
    <w:bookmarkStart w:id="317" w:name="page318"/>
    <w:bookmarkEnd w:id="317"/>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Exhibit 22 - List of Guarantor Subsidiaries</w:t>
      </w:r>
    </w:p>
    <w:p>
      <w:pPr>
        <w:spacing w:after="0" w:line="25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20"/>
          <w:szCs w:val="20"/>
          <w:color w:val="auto"/>
        </w:rPr>
        <w:t>The following subsidiaries of Crown Holdings, Inc. (the "Company") were, as of June 30, 2024,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The following subsidiaries of the Company were, as of June 30, 2024,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9"/>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20"/>
                <w:szCs w:val="20"/>
                <w:b w:val="1"/>
                <w:bCs w:val="1"/>
                <w:color w:val="auto"/>
                <w:w w:val="98"/>
              </w:rPr>
              <w:t>INCORPORATION OR</w:t>
            </w:r>
          </w:p>
        </w:tc>
        <w:tc>
          <w:tcPr>
            <w:tcW w:w="0" w:type="dxa"/>
            <w:vAlign w:val="bottom"/>
          </w:tcPr>
          <w:p>
            <w:pPr>
              <w:spacing w:after="0"/>
              <w:rPr>
                <w:sz w:val="1"/>
                <w:szCs w:val="1"/>
                <w:color w:val="auto"/>
              </w:rPr>
            </w:pPr>
          </w:p>
        </w:tc>
      </w:tr>
      <w:tr>
        <w:trPr>
          <w:trHeight w:val="216"/>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6" w:lineRule="exact"/>
              <w:rPr>
                <w:sz w:val="20"/>
                <w:szCs w:val="20"/>
                <w:color w:val="auto"/>
              </w:rPr>
            </w:pPr>
            <w:r>
              <w:rPr>
                <w:rFonts w:ascii="Times New Roman" w:cs="Times New Roman" w:eastAsia="Times New Roman" w:hAnsi="Times New Roman"/>
                <w:sz w:val="20"/>
                <w:szCs w:val="20"/>
                <w:b w:val="1"/>
                <w:bCs w:val="1"/>
                <w:color w:val="auto"/>
                <w:w w:val="98"/>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Financial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CR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Michigan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9"/>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Times New Roman" w:cs="Times New Roman" w:eastAsia="Times New Roman" w:hAnsi="Times New Roman"/>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0" w:right="419" w:bottom="1440" w:gutter="0" w:footer="0" w:header="0"/>
        </w:sectPr>
      </w:pPr>
    </w:p>
    <w:bookmarkStart w:id="318" w:name="page319"/>
    <w:bookmarkEnd w:id="318"/>
    <w:p>
      <w:pPr>
        <w:ind w:left="9720"/>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100" w:hanging="332"/>
        <w:spacing w:after="0" w:line="268" w:lineRule="auto"/>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7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100" w:hanging="324"/>
        <w:spacing w:after="0" w:line="268" w:lineRule="auto"/>
        <w:tabs>
          <w:tab w:leader="none" w:pos="96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80" w:hanging="324"/>
        <w:spacing w:after="0" w:line="268" w:lineRule="auto"/>
        <w:tabs>
          <w:tab w:leader="none" w:pos="97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80" w:hanging="332"/>
        <w:spacing w:after="0" w:line="268" w:lineRule="auto"/>
        <w:tabs>
          <w:tab w:leader="none" w:pos="3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80" w:hanging="324"/>
        <w:spacing w:after="0" w:line="268" w:lineRule="auto"/>
        <w:tabs>
          <w:tab w:leader="none" w:pos="89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4" w:lineRule="auto"/>
        <w:tabs>
          <w:tab w:leader="none" w:pos="115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tbl>
      <w:tblPr>
        <w:tblLayout w:type="fixed"/>
        <w:tblInd w:w="4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29, 2024</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J. Donahue</w:t>
            </w:r>
          </w:p>
        </w:tc>
      </w:tr>
      <w:tr>
        <w:trPr>
          <w:trHeight w:val="218"/>
        </w:trPr>
        <w:tc>
          <w:tcPr>
            <w:tcW w:w="5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Timothy J. Donahue</w:t>
            </w:r>
          </w:p>
        </w:tc>
      </w:tr>
      <w:tr>
        <w:trPr>
          <w:trHeight w:val="234"/>
        </w:trPr>
        <w:tc>
          <w:tcPr>
            <w:tcW w:w="5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ectPr>
          <w:pgSz w:w="11900" w:h="16838" w:orient="portrait"/>
          <w:cols w:equalWidth="0" w:num="1">
            <w:col w:w="10920"/>
          </w:cols>
          <w:pgMar w:left="320" w:top="1133" w:right="65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340" w:right="420" w:hanging="332"/>
        <w:spacing w:after="0" w:line="268" w:lineRule="auto"/>
        <w:tabs>
          <w:tab w:leader="none" w:pos="3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7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7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980" w:right="420" w:hanging="324"/>
        <w:spacing w:after="0" w:line="268" w:lineRule="auto"/>
        <w:tabs>
          <w:tab w:leader="none" w:pos="96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980" w:right="400" w:hanging="324"/>
        <w:spacing w:after="0" w:line="268" w:lineRule="auto"/>
        <w:tabs>
          <w:tab w:leader="none" w:pos="978" w:val="left"/>
        </w:tabs>
        <w:numPr>
          <w:ilvl w:val="1"/>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340" w:right="400" w:hanging="332"/>
        <w:spacing w:after="0" w:line="268" w:lineRule="auto"/>
        <w:tabs>
          <w:tab w:leader="none" w:pos="32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980" w:right="400" w:hanging="324"/>
        <w:spacing w:after="0" w:line="268" w:lineRule="auto"/>
        <w:tabs>
          <w:tab w:leader="none" w:pos="89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400" w:hanging="324"/>
        <w:spacing w:after="0" w:line="287" w:lineRule="auto"/>
        <w:tabs>
          <w:tab w:leader="none" w:pos="113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July 29, 2024</w:t>
            </w: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C. Clothier</w:t>
            </w:r>
          </w:p>
        </w:tc>
      </w:tr>
      <w:tr>
        <w:trPr>
          <w:trHeight w:val="218"/>
        </w:trPr>
        <w:tc>
          <w:tcPr>
            <w:tcW w:w="6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C. Clothier</w:t>
            </w:r>
          </w:p>
        </w:tc>
      </w:tr>
      <w:tr>
        <w:trPr>
          <w:trHeight w:val="234"/>
        </w:trPr>
        <w:tc>
          <w:tcPr>
            <w:tcW w:w="6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320" w:name="page321"/>
    <w:bookmarkEnd w:id="320"/>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70"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17"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June 30, 2024 (the “Report”), each of the undersigned officers certify, pursuant to 18 U.S.C. § 1350, as adopted pursuant to § 906 of the Sarbanes-Oxley Act of 2002, that:</w:t>
      </w:r>
    </w:p>
    <w:p>
      <w:pPr>
        <w:spacing w:after="0" w:line="200" w:lineRule="exact"/>
        <w:rPr>
          <w:sz w:val="20"/>
          <w:szCs w:val="20"/>
          <w:color w:val="auto"/>
        </w:rPr>
      </w:pPr>
    </w:p>
    <w:p>
      <w:pPr>
        <w:ind w:firstLine="8"/>
        <w:spacing w:after="0" w:line="285" w:lineRule="auto"/>
        <w:tabs>
          <w:tab w:leader="none" w:pos="6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68" w:lineRule="exact"/>
        <w:rPr>
          <w:rFonts w:ascii="Arial" w:cs="Arial" w:eastAsia="Arial" w:hAnsi="Arial"/>
          <w:sz w:val="22"/>
          <w:szCs w:val="22"/>
          <w:color w:val="auto"/>
        </w:rPr>
      </w:pPr>
    </w:p>
    <w:p>
      <w:pPr>
        <w:ind w:firstLine="8"/>
        <w:spacing w:after="0" w:line="272" w:lineRule="auto"/>
        <w:tabs>
          <w:tab w:leader="none" w:pos="51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July 29, 2024</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Timothy J. Donahue</w:t>
            </w:r>
          </w:p>
        </w:tc>
      </w:tr>
      <w:tr>
        <w:trPr>
          <w:trHeight w:val="250"/>
        </w:trPr>
        <w:tc>
          <w:tcPr>
            <w:tcW w:w="6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4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Timothy J. Donahue</w:t>
            </w:r>
          </w:p>
        </w:tc>
      </w:tr>
      <w:tr>
        <w:trPr>
          <w:trHeight w:val="282"/>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Chairman, President and Chief Executive Officer</w:t>
            </w:r>
          </w:p>
        </w:tc>
      </w:tr>
      <w:tr>
        <w:trPr>
          <w:trHeight w:val="541"/>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1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July 29, 2024</w:t>
            </w:r>
          </w:p>
        </w:tc>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Kevin C. Clothier</w:t>
            </w:r>
          </w:p>
        </w:tc>
      </w:tr>
      <w:tr>
        <w:trPr>
          <w:trHeight w:val="250"/>
        </w:trPr>
        <w:tc>
          <w:tcPr>
            <w:tcW w:w="6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64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Kevin C. Clothier</w:t>
            </w:r>
          </w:p>
        </w:tc>
      </w:tr>
      <w:tr>
        <w:trPr>
          <w:trHeight w:val="282"/>
        </w:trPr>
        <w:tc>
          <w:tcPr>
            <w:tcW w:w="6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Senior Vice President and Chief Financial Officer</w:t>
            </w:r>
          </w:p>
        </w:tc>
      </w:tr>
    </w:tbl>
    <w:p>
      <w:pPr>
        <w:spacing w:after="0" w:line="32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1."/>
      <w:numFmt w:val="upperLetter"/>
      <w:start w:val="1"/>
    </w:lvl>
  </w:abstractNum>
  <w:abstractNum w:abstractNumId="3">
    <w:nsid w:val="613EFDC5"/>
    <w:multiLevelType w:val="hybridMultilevel"/>
    <w:lvl w:ilvl="0">
      <w:lvlJc w:val="left"/>
      <w:lvlText w:val="%1."/>
      <w:numFmt w:val="upperLetter"/>
      <w:start w:val="2"/>
    </w:lvl>
  </w:abstractNum>
  <w:abstractNum w:abstractNumId="4">
    <w:nsid w:val="BF72B14"/>
    <w:multiLevelType w:val="hybridMultilevel"/>
    <w:lvl w:ilvl="0">
      <w:lvlJc w:val="left"/>
      <w:lvlText w:val="%1."/>
      <w:numFmt w:val="upperLetter"/>
      <w:start w:val="3"/>
    </w:lvl>
  </w:abstractNum>
  <w:abstractNum w:abstractNumId="5">
    <w:nsid w:val="11447B73"/>
    <w:multiLevelType w:val="hybridMultilevel"/>
    <w:lvl w:ilvl="0">
      <w:lvlJc w:val="left"/>
      <w:lvlText w:val="%1."/>
      <w:numFmt w:val="upperLetter"/>
      <w:start w:val="6"/>
    </w:lvl>
  </w:abstractNum>
  <w:abstractNum w:abstractNumId="6">
    <w:nsid w:val="42963E5A"/>
    <w:multiLevelType w:val="hybridMultilevel"/>
    <w:lvl w:ilvl="0">
      <w:lvlJc w:val="left"/>
      <w:lvlText w:val="%1."/>
      <w:numFmt w:val="upperLetter"/>
      <w:start w:val="7"/>
    </w:lvl>
  </w:abstractNum>
  <w:abstractNum w:abstractNumId="7">
    <w:nsid w:val="A0382C5"/>
    <w:multiLevelType w:val="hybridMultilevel"/>
    <w:lvl w:ilvl="0">
      <w:lvlJc w:val="left"/>
      <w:lvlText w:val="%1."/>
      <w:numFmt w:val="upperLetter"/>
      <w:start w:val="8"/>
    </w:lvl>
  </w:abstractNum>
  <w:abstractNum w:abstractNumId="8">
    <w:nsid w:val="8F2B15E"/>
    <w:multiLevelType w:val="hybridMultilevel"/>
    <w:lvl w:ilvl="0">
      <w:lvlJc w:val="left"/>
      <w:lvlText w:val="%1."/>
      <w:numFmt w:val="upperLetter"/>
      <w:start w:val="9"/>
    </w:lvl>
  </w:abstractNum>
  <w:abstractNum w:abstractNumId="9">
    <w:nsid w:val="1A32234B"/>
    <w:multiLevelType w:val="hybridMultilevel"/>
    <w:lvl w:ilvl="0">
      <w:lvlJc w:val="left"/>
      <w:lvlText w:val="%1."/>
      <w:numFmt w:val="upperLetter"/>
      <w:start w:val="10"/>
    </w:lvl>
  </w:abstractNum>
  <w:abstractNum w:abstractNumId="10">
    <w:nsid w:val="3B0FD379"/>
    <w:multiLevelType w:val="hybridMultilevel"/>
    <w:lvl w:ilvl="0">
      <w:lvlJc w:val="left"/>
      <w:lvlText w:val="%1."/>
      <w:numFmt w:val="upperLetter"/>
      <w:start w:val="11"/>
    </w:lvl>
  </w:abstractNum>
  <w:abstractNum w:abstractNumId="11">
    <w:nsid w:val="68EB2F63"/>
    <w:multiLevelType w:val="hybridMultilevel"/>
    <w:lvl w:ilvl="0">
      <w:lvlJc w:val="left"/>
      <w:lvlText w:val="%1."/>
      <w:numFmt w:val="upperLetter"/>
      <w:start w:val="12"/>
    </w:lvl>
  </w:abstractNum>
  <w:abstractNum w:abstractNumId="12">
    <w:nsid w:val="4962813B"/>
    <w:multiLevelType w:val="hybridMultilevel"/>
    <w:lvl w:ilvl="0">
      <w:lvlJc w:val="left"/>
      <w:lvlText w:val="%1."/>
      <w:numFmt w:val="upperLetter"/>
      <w:start w:val="13"/>
    </w:lvl>
  </w:abstractNum>
  <w:abstractNum w:abstractNumId="13">
    <w:nsid w:val="60B6DF70"/>
    <w:multiLevelType w:val="hybridMultilevel"/>
    <w:lvl w:ilvl="0">
      <w:lvlJc w:val="left"/>
      <w:lvlText w:val="%1."/>
      <w:numFmt w:val="upperLetter"/>
      <w:start w:val="14"/>
    </w:lvl>
  </w:abstractNum>
  <w:abstractNum w:abstractNumId="14">
    <w:nsid w:val="6A5EE64"/>
    <w:multiLevelType w:val="hybridMultilevel"/>
    <w:lvl w:ilvl="0">
      <w:lvlJc w:val="left"/>
      <w:lvlText w:val="%1."/>
      <w:numFmt w:val="upperLetter"/>
      <w:start w:val="15"/>
    </w:lvl>
  </w:abstractNum>
  <w:abstractNum w:abstractNumId="15">
    <w:nsid w:val="14330624"/>
    <w:multiLevelType w:val="hybridMultilevel"/>
    <w:lvl w:ilvl="0">
      <w:lvlJc w:val="left"/>
      <w:lvlText w:val="%1."/>
      <w:numFmt w:val="upperLetter"/>
      <w:start w:val="18"/>
    </w:lvl>
  </w:abstractNum>
  <w:abstractNum w:abstractNumId="16">
    <w:nsid w:val="7FFFCA11"/>
    <w:multiLevelType w:val="hybridMultilevel"/>
    <w:lvl w:ilvl="0">
      <w:lvlJc w:val="left"/>
      <w:lvlText w:val="(%1)"/>
      <w:numFmt w:val="decimal"/>
      <w:start w:val="1"/>
    </w:lvl>
  </w:abstractNum>
  <w:abstractNum w:abstractNumId="17">
    <w:nsid w:val="1A27709E"/>
    <w:multiLevelType w:val="hybridMultilevel"/>
    <w:lvl w:ilvl="0">
      <w:lvlJc w:val="left"/>
      <w:lvlText w:val="(%1)"/>
      <w:numFmt w:val="decimal"/>
      <w:start w:val="1"/>
    </w:lvl>
  </w:abstractNum>
  <w:abstractNum w:abstractNumId="18">
    <w:nsid w:val="71EA1109"/>
    <w:multiLevelType w:val="hybridMultilevel"/>
    <w:lvl w:ilvl="0">
      <w:lvlJc w:val="left"/>
      <w:lvlText w:val="%1"/>
      <w:numFmt w:val="decimal"/>
      <w:start w:val="22"/>
    </w:lvl>
  </w:abstractNum>
  <w:abstractNum w:abstractNumId="19">
    <w:nsid w:val="100F59DC"/>
    <w:multiLevelType w:val="hybridMultilevel"/>
    <w:lvl w:ilvl="0">
      <w:lvlJc w:val="left"/>
      <w:lvlText w:val="%1"/>
      <w:numFmt w:val="decimal"/>
      <w:start w:val="32"/>
    </w:lvl>
  </w:abstractNum>
  <w:abstractNum w:abstractNumId="20">
    <w:nsid w:val="7FB7E0AA"/>
    <w:multiLevelType w:val="hybridMultilevel"/>
    <w:lvl w:ilvl="0">
      <w:lvlJc w:val="left"/>
      <w:lvlText w:val="%1"/>
      <w:numFmt w:val="decimal"/>
      <w:start w:val="101"/>
    </w:lvl>
    <w:lvl w:ilvl="1">
      <w:lvlJc w:val="left"/>
      <w:lvlText w:val="(%2)"/>
      <w:numFmt w:val="lowerRoman"/>
      <w:start w:val="1"/>
    </w:lvl>
  </w:abstractNum>
  <w:abstractNum w:abstractNumId="21">
    <w:nsid w:val="6EB5BD4"/>
    <w:multiLevelType w:val="hybridMultilevel"/>
    <w:lvl w:ilvl="0">
      <w:lvlJc w:val="left"/>
      <w:lvlText w:val="(%1)"/>
      <w:numFmt w:val="lowerLetter"/>
      <w:start w:val="1"/>
    </w:lvl>
  </w:abstractNum>
  <w:abstractNum w:abstractNumId="22">
    <w:nsid w:val="6F6DD9AC"/>
    <w:multiLevelType w:val="hybridMultilevel"/>
    <w:lvl w:ilvl="0">
      <w:lvlJc w:val="left"/>
      <w:lvlText w:val="(%1)"/>
      <w:numFmt w:val="lowerLetter"/>
      <w:start w:val="1"/>
    </w:lvl>
  </w:abstractNum>
  <w:abstractNum w:abstractNumId="23">
    <w:nsid w:val="94211F2"/>
    <w:multiLevelType w:val="hybridMultilevel"/>
    <w:lvl w:ilvl="0">
      <w:lvlJc w:val="left"/>
      <w:lvlText w:val="(%1)"/>
      <w:numFmt w:val="lowerLetter"/>
      <w:start w:val="3"/>
    </w:lvl>
  </w:abstractNum>
  <w:abstractNum w:abstractNumId="24">
    <w:nsid w:val="885E1B"/>
    <w:multiLevelType w:val="hybridMultilevel"/>
    <w:lvl w:ilvl="0">
      <w:lvlJc w:val="left"/>
      <w:lvlText w:val="(%1)"/>
      <w:numFmt w:val="lowerRoman"/>
      <w:start w:val="2"/>
    </w:lvl>
  </w:abstractNum>
  <w:abstractNum w:abstractNumId="25">
    <w:nsid w:val="76272110"/>
    <w:multiLevelType w:val="hybridMultilevel"/>
    <w:lvl w:ilvl="0">
      <w:lvlJc w:val="left"/>
      <w:lvlText w:val="(%1)"/>
      <w:numFmt w:val="lowerLetter"/>
      <w:start w:val="2"/>
    </w:lvl>
  </w:abstractNum>
  <w:abstractNum w:abstractNumId="26">
    <w:nsid w:val="4C04A8AF"/>
    <w:multiLevelType w:val="hybridMultilevel"/>
    <w:lvl w:ilvl="0">
      <w:lvlJc w:val="left"/>
      <w:lvlText w:val="(%1)"/>
      <w:numFmt w:val="lowerLetter"/>
      <w:start w:val="1"/>
    </w:lvl>
  </w:abstractNum>
  <w:abstractNum w:abstractNumId="27">
    <w:nsid w:val="1716703B"/>
    <w:multiLevelType w:val="hybridMultilevel"/>
    <w:lvl w:ilvl="0">
      <w:lvlJc w:val="left"/>
      <w:lvlText w:val="(%1)"/>
      <w:numFmt w:val="lowerLetter"/>
      <w:start w:val="2"/>
    </w:lvl>
  </w:abstractNum>
  <w:abstractNum w:abstractNumId="28">
    <w:nsid w:val="14E17E33"/>
    <w:multiLevelType w:val="hybridMultilevel"/>
    <w:lvl w:ilvl="0">
      <w:lvlJc w:val="left"/>
      <w:lvlText w:val="(%1)"/>
      <w:numFmt w:val="lowerRoman"/>
      <w:start w:val="2"/>
    </w:lvl>
  </w:abstractNum>
  <w:abstractNum w:abstractNumId="29">
    <w:nsid w:val="3222E7CD"/>
    <w:multiLevelType w:val="hybridMultilevel"/>
    <w:lvl w:ilvl="0">
      <w:lvlJc w:val="left"/>
      <w:lvlText w:val="&amp;"/>
      <w:numFmt w:val="bullet"/>
      <w:start w:val="1"/>
    </w:lvl>
  </w:abstractNum>
  <w:abstractNum w:abstractNumId="30">
    <w:nsid w:val="74DE0EE3"/>
    <w:multiLevelType w:val="hybridMultilevel"/>
    <w:lvl w:ilvl="0">
      <w:lvlJc w:val="left"/>
      <w:lvlText w:val="(%1)"/>
      <w:numFmt w:val="lowerRoman"/>
      <w:start w:val="1"/>
    </w:lvl>
  </w:abstractNum>
  <w:abstractNum w:abstractNumId="31">
    <w:nsid w:val="68EBC550"/>
    <w:multiLevelType w:val="hybridMultilevel"/>
    <w:lvl w:ilvl="0">
      <w:lvlJc w:val="left"/>
      <w:lvlText w:val="(%1)"/>
      <w:numFmt w:val="lowerLetter"/>
      <w:start w:val="2"/>
    </w:lvl>
  </w:abstractNum>
  <w:abstractNum w:abstractNumId="32">
    <w:nsid w:val="2DF6D648"/>
    <w:multiLevelType w:val="hybridMultilevel"/>
    <w:lvl w:ilvl="0">
      <w:lvlJc w:val="left"/>
      <w:lvlText w:val="(%1)"/>
      <w:numFmt w:val="decimal"/>
      <w:start w:val="1"/>
    </w:lvl>
  </w:abstractNum>
  <w:abstractNum w:abstractNumId="33">
    <w:nsid w:val="46B7D447"/>
    <w:multiLevelType w:val="hybridMultilevel"/>
    <w:lvl w:ilvl="0">
      <w:lvlJc w:val="left"/>
      <w:lvlText w:val="(%1)"/>
      <w:numFmt w:val="decimal"/>
      <w:start w:val="1"/>
    </w:lvl>
  </w:abstractNum>
  <w:abstractNum w:abstractNumId="34">
    <w:nsid w:val="4A2AC315"/>
    <w:multiLevelType w:val="hybridMultilevel"/>
    <w:lvl w:ilvl="0">
      <w:lvlJc w:val="left"/>
      <w:lvlText w:val="%1"/>
      <w:numFmt w:val="upperLetter"/>
      <w:start w:val="1"/>
    </w:lvl>
    <w:lvl w:ilvl="1">
      <w:lvlJc w:val="left"/>
      <w:lvlText w:val="(%2)"/>
      <w:numFmt w:val="decimal"/>
      <w:start w:val="1"/>
    </w:lvl>
  </w:abstractNum>
  <w:abstractNum w:abstractNumId="35">
    <w:nsid w:val="39EE015C"/>
    <w:multiLevelType w:val="hybridMultilevel"/>
    <w:lvl w:ilvl="0">
      <w:lvlJc w:val="left"/>
      <w:lvlText w:val="(%1)"/>
      <w:numFmt w:val="upperLetter"/>
      <w:start w:val="2"/>
    </w:lvl>
    <w:lvl w:ilvl="1">
      <w:lvlJc w:val="left"/>
      <w:lvlText w:val="%2"/>
      <w:numFmt w:val="decimal"/>
      <w:start w:val="1"/>
    </w:lvl>
  </w:abstractNum>
  <w:abstractNum w:abstractNumId="36">
    <w:nsid w:val="57FC4FBB"/>
    <w:multiLevelType w:val="hybridMultilevel"/>
    <w:lvl w:ilvl="0">
      <w:lvlJc w:val="left"/>
      <w:lvlText w:val="(%1)"/>
      <w:numFmt w:val="decimal"/>
      <w:start w:val="3"/>
    </w:lvl>
  </w:abstractNum>
  <w:abstractNum w:abstractNumId="37">
    <w:nsid w:val="CC1016F"/>
    <w:multiLevelType w:val="hybridMultilevel"/>
    <w:lvl w:ilvl="0">
      <w:lvlJc w:val="left"/>
      <w:lvlText w:val="(%1)"/>
      <w:numFmt w:val="decimal"/>
      <w:start w:val="1"/>
    </w:lvl>
  </w:abstractNum>
  <w:abstractNum w:abstractNumId="38">
    <w:nsid w:val="43F18422"/>
    <w:multiLevelType w:val="hybridMultilevel"/>
    <w:lvl w:ilvl="0">
      <w:lvlJc w:val="left"/>
      <w:lvlText w:val="(%1)"/>
      <w:numFmt w:val="decimal"/>
      <w:start w:val="1"/>
    </w:lvl>
  </w:abstractNum>
  <w:abstractNum w:abstractNumId="39">
    <w:nsid w:val="60EF0119"/>
    <w:multiLevelType w:val="hybridMultilevel"/>
    <w:lvl w:ilvl="0">
      <w:lvlJc w:val="left"/>
      <w:lvlText w:val="(%1)"/>
      <w:numFmt w:val="decimal"/>
      <w:start w:val="1"/>
    </w:lvl>
  </w:abstractNum>
  <w:abstractNum w:abstractNumId="40">
    <w:nsid w:val="26F324BA"/>
    <w:multiLevelType w:val="hybridMultilevel"/>
    <w:lvl w:ilvl="0">
      <w:lvlJc w:val="left"/>
      <w:lvlText w:val="(%1)"/>
      <w:numFmt w:val="decimal"/>
      <w:start w:val="5"/>
    </w:lvl>
  </w:abstractNum>
  <w:abstractNum w:abstractNumId="41">
    <w:nsid w:val="7F01579B"/>
    <w:multiLevelType w:val="hybridMultilevel"/>
    <w:lvl w:ilvl="0">
      <w:lvlJc w:val="left"/>
      <w:lvlText w:val="(%1)"/>
      <w:numFmt w:val="lowerLetter"/>
      <w:start w:val="2"/>
    </w:lvl>
  </w:abstractNum>
  <w:abstractNum w:abstractNumId="42">
    <w:nsid w:val="49DA307D"/>
    <w:multiLevelType w:val="hybridMultilevel"/>
    <w:lvl w:ilvl="0">
      <w:lvlJc w:val="left"/>
      <w:lvlText w:val="(%1)"/>
      <w:numFmt w:val="lowerLetter"/>
      <w:start w:val="1"/>
    </w:lvl>
  </w:abstractNum>
  <w:abstractNum w:abstractNumId="43">
    <w:nsid w:val="7055A5F5"/>
    <w:multiLevelType w:val="hybridMultilevel"/>
    <w:lvl w:ilvl="0">
      <w:lvlJc w:val="left"/>
      <w:lvlText w:val="(%1)"/>
      <w:numFmt w:val="lowerLetter"/>
      <w:start w:val="3"/>
    </w:lvl>
  </w:abstractNum>
  <w:abstractNum w:abstractNumId="44">
    <w:nsid w:val="5FB8370B"/>
    <w:multiLevelType w:val="hybridMultilevel"/>
    <w:lvl w:ilvl="0">
      <w:lvlJc w:val="left"/>
      <w:lvlText w:val="(%1)"/>
      <w:numFmt w:val="decimal"/>
      <w:start w:val="1"/>
    </w:lvl>
  </w:abstractNum>
  <w:abstractNum w:abstractNumId="45">
    <w:nsid w:val="50801EE1"/>
    <w:multiLevelType w:val="hybridMultilevel"/>
    <w:lvl w:ilvl="0">
      <w:lvlJc w:val="left"/>
      <w:lvlText w:val="%1"/>
      <w:numFmt w:val="lowerLetter"/>
      <w:start w:val="1"/>
    </w:lvl>
    <w:lvl w:ilvl="1">
      <w:lvlJc w:val="left"/>
      <w:lvlText w:val="(%2)"/>
      <w:numFmt w:val="decimal"/>
      <w:start w:val="5"/>
    </w:lvl>
  </w:abstractNum>
  <w:abstractNum w:abstractNumId="46">
    <w:nsid w:val="488AC1A"/>
    <w:multiLevelType w:val="hybridMultilevel"/>
    <w:lvl w:ilvl="0">
      <w:lvlJc w:val="left"/>
      <w:lvlText w:val="(%1)"/>
      <w:numFmt w:val="lowerLetter"/>
      <w:start w:val="25"/>
    </w:lvl>
    <w:lvl w:ilvl="1">
      <w:lvlJc w:val="left"/>
      <w:lvlText w:val="%2"/>
      <w:numFmt w:val="decimal"/>
      <w:start w:val="1"/>
    </w:lvl>
  </w:abstractNum>
  <w:abstractNum w:abstractNumId="47">
    <w:nsid w:val="5FB8011C"/>
    <w:multiLevelType w:val="hybridMultilevel"/>
    <w:lvl w:ilvl="0">
      <w:lvlJc w:val="left"/>
      <w:lvlText w:val="(%1)"/>
      <w:numFmt w:val="decimal"/>
      <w:start w:val="1"/>
    </w:lvl>
  </w:abstractNum>
  <w:abstractNum w:abstractNumId="48">
    <w:nsid w:val="6AA78F7F"/>
    <w:multiLevelType w:val="hybridMultilevel"/>
    <w:lvl w:ilvl="0">
      <w:lvlJc w:val="left"/>
      <w:lvlText w:val="(%1)"/>
      <w:numFmt w:val="lowerRoman"/>
      <w:start w:val="3"/>
    </w:lvl>
  </w:abstractNum>
  <w:abstractNum w:abstractNumId="49">
    <w:nsid w:val="7672BD23"/>
    <w:multiLevelType w:val="hybridMultilevel"/>
    <w:lvl w:ilvl="0">
      <w:lvlJc w:val="left"/>
      <w:lvlText w:val="(%1)"/>
      <w:numFmt w:val="lowerRoman"/>
      <w:start w:val="6"/>
    </w:lvl>
  </w:abstractNum>
  <w:abstractNum w:abstractNumId="50">
    <w:nsid w:val="6FC75AF8"/>
    <w:multiLevelType w:val="hybridMultilevel"/>
    <w:lvl w:ilvl="0">
      <w:lvlJc w:val="left"/>
      <w:lvlText w:val="(%1)"/>
      <w:numFmt w:val="decimal"/>
      <w:start w:val="1"/>
    </w:lvl>
  </w:abstractNum>
  <w:abstractNum w:abstractNumId="51">
    <w:nsid w:val="6A5F7029"/>
    <w:multiLevelType w:val="hybridMultilevel"/>
    <w:lvl w:ilvl="0">
      <w:lvlJc w:val="left"/>
      <w:lvlText w:val="(%1)"/>
      <w:numFmt w:val="lowerRoman"/>
      <w:start w:val="5"/>
    </w:lvl>
  </w:abstractNum>
  <w:abstractNum w:abstractNumId="52">
    <w:nsid w:val="7D5E18F8"/>
    <w:multiLevelType w:val="hybridMultilevel"/>
    <w:lvl w:ilvl="0">
      <w:lvlJc w:val="left"/>
      <w:lvlText w:val="(%1)"/>
      <w:numFmt w:val="decimal"/>
      <w:start w:val="1"/>
    </w:lvl>
  </w:abstractNum>
  <w:abstractNum w:abstractNumId="53">
    <w:nsid w:val="5F3534A4"/>
    <w:multiLevelType w:val="hybridMultilevel"/>
    <w:lvl w:ilvl="0">
      <w:lvlJc w:val="left"/>
      <w:lvlText w:val="(%1)"/>
      <w:numFmt w:val="lowerRoman"/>
      <w:start w:val="10"/>
    </w:lvl>
  </w:abstractNum>
  <w:abstractNum w:abstractNumId="54">
    <w:nsid w:val="73A1821B"/>
    <w:multiLevelType w:val="hybridMultilevel"/>
    <w:lvl w:ilvl="0">
      <w:lvlJc w:val="left"/>
      <w:lvlText w:val="(%1)"/>
      <w:numFmt w:val="lowerRoman"/>
      <w:start w:val="8"/>
    </w:lvl>
  </w:abstractNum>
  <w:abstractNum w:abstractNumId="55">
    <w:nsid w:val="7DE67713"/>
    <w:multiLevelType w:val="hybridMultilevel"/>
    <w:lvl w:ilvl="0">
      <w:lvlJc w:val="left"/>
      <w:lvlText w:val="(%1)"/>
      <w:numFmt w:val="lowerRoman"/>
      <w:start w:val="1"/>
    </w:lvl>
  </w:abstractNum>
  <w:abstractNum w:abstractNumId="56">
    <w:nsid w:val="555C55B5"/>
    <w:multiLevelType w:val="hybridMultilevel"/>
    <w:lvl w:ilvl="0">
      <w:lvlJc w:val="left"/>
      <w:lvlText w:val="(%1)"/>
      <w:numFmt w:val="lowerRoman"/>
      <w:start w:val="2"/>
    </w:lvl>
    <w:lvl w:ilvl="1">
      <w:lvlJc w:val="left"/>
      <w:lvlText w:val="(%2)"/>
      <w:numFmt w:val="decimal"/>
      <w:start w:val="1"/>
    </w:lvl>
  </w:abstractNum>
  <w:abstractNum w:abstractNumId="57">
    <w:nsid w:val="3FA62ACA"/>
    <w:multiLevelType w:val="hybridMultilevel"/>
    <w:lvl w:ilvl="0">
      <w:lvlJc w:val="left"/>
      <w:lvlText w:val="(%1)"/>
      <w:numFmt w:val="decimal"/>
      <w:start w:val="1"/>
    </w:lvl>
  </w:abstractNum>
  <w:abstractNum w:abstractNumId="58">
    <w:nsid w:val="14FCE74E"/>
    <w:multiLevelType w:val="hybridMultilevel"/>
    <w:lvl w:ilvl="0">
      <w:lvlJc w:val="left"/>
      <w:lvlText w:val="(%1)"/>
      <w:numFmt w:val="decimal"/>
      <w:start w:val="2"/>
    </w:lvl>
  </w:abstractNum>
  <w:abstractNum w:abstractNumId="59">
    <w:nsid w:val="6A3DD3E8"/>
    <w:multiLevelType w:val="hybridMultilevel"/>
    <w:lvl w:ilvl="0">
      <w:lvlJc w:val="left"/>
      <w:lvlText w:val="(%1)"/>
      <w:numFmt w:val="lowerRoman"/>
      <w:start w:val="3"/>
    </w:lvl>
  </w:abstractNum>
  <w:abstractNum w:abstractNumId="60">
    <w:nsid w:val="71C91298"/>
    <w:multiLevelType w:val="hybridMultilevel"/>
    <w:lvl w:ilvl="0">
      <w:lvlJc w:val="left"/>
      <w:lvlText w:val="(%1)"/>
      <w:numFmt w:val="lowerRoman"/>
      <w:start w:val="10"/>
    </w:lvl>
  </w:abstractNum>
  <w:abstractNum w:abstractNumId="61">
    <w:nsid w:val="9DAF632"/>
    <w:multiLevelType w:val="hybridMultilevel"/>
    <w:lvl w:ilvl="0">
      <w:lvlJc w:val="left"/>
      <w:lvlText w:val="(%1)"/>
      <w:numFmt w:val="lowerLetter"/>
      <w:start w:val="1"/>
    </w:lvl>
  </w:abstractNum>
  <w:abstractNum w:abstractNumId="62">
    <w:nsid w:val="53299938"/>
    <w:multiLevelType w:val="hybridMultilevel"/>
    <w:lvl w:ilvl="0">
      <w:lvlJc w:val="left"/>
      <w:lvlText w:val="(%1)"/>
      <w:numFmt w:val="lowerRoman"/>
      <w:start w:val="2"/>
    </w:lvl>
  </w:abstractNum>
  <w:abstractNum w:abstractNumId="63">
    <w:nsid w:val="1FBFE8E0"/>
    <w:multiLevelType w:val="hybridMultilevel"/>
    <w:lvl w:ilvl="0">
      <w:lvlJc w:val="left"/>
      <w:lvlText w:val="(%1)"/>
      <w:numFmt w:val="lowerLetter"/>
      <w:start w:val="1"/>
    </w:lvl>
  </w:abstractNum>
  <w:abstractNum w:abstractNumId="64">
    <w:nsid w:val="5092CA79"/>
    <w:multiLevelType w:val="hybridMultilevel"/>
    <w:lvl w:ilvl="0">
      <w:lvlJc w:val="left"/>
      <w:lvlText w:val="(%1)"/>
      <w:numFmt w:val="lowerRoman"/>
      <w:start w:val="3"/>
    </w:lvl>
  </w:abstractNum>
  <w:abstractNum w:abstractNumId="65">
    <w:nsid w:val="1D545C4D"/>
    <w:multiLevelType w:val="hybridMultilevel"/>
    <w:lvl w:ilvl="0">
      <w:lvlJc w:val="left"/>
      <w:lvlText w:val="(%1)"/>
      <w:numFmt w:val="lowerRoman"/>
      <w:start w:val="2"/>
    </w:lvl>
  </w:abstractNum>
  <w:abstractNum w:abstractNumId="66">
    <w:nsid w:val="59ADEA3D"/>
    <w:multiLevelType w:val="hybridMultilevel"/>
    <w:lvl w:ilvl="0">
      <w:lvlJc w:val="left"/>
      <w:lvlText w:val="(%1)"/>
      <w:numFmt w:val="lowerRoman"/>
      <w:start w:val="1"/>
    </w:lvl>
  </w:abstractNum>
  <w:abstractNum w:abstractNumId="67">
    <w:nsid w:val="288F1A34"/>
    <w:multiLevelType w:val="hybridMultilevel"/>
    <w:lvl w:ilvl="0">
      <w:lvlJc w:val="left"/>
      <w:lvlText w:val="(%1)"/>
      <w:numFmt w:val="upperLetter"/>
      <w:start w:val="2"/>
    </w:lvl>
  </w:abstractNum>
  <w:abstractNum w:abstractNumId="68">
    <w:nsid w:val="2A155DBC"/>
    <w:multiLevelType w:val="hybridMultilevel"/>
    <w:lvl w:ilvl="0">
      <w:lvlJc w:val="left"/>
      <w:lvlText w:val="(%1)"/>
      <w:numFmt w:val="lowerRoman"/>
      <w:start w:val="2"/>
    </w:lvl>
  </w:abstractNum>
  <w:abstractNum w:abstractNumId="69">
    <w:nsid w:val="1D9F6E5F"/>
    <w:multiLevelType w:val="hybridMultilevel"/>
    <w:lvl w:ilvl="0">
      <w:lvlJc w:val="left"/>
      <w:lvlText w:val="(%1)"/>
      <w:numFmt w:val="lowerRoman"/>
      <w:start w:val="4"/>
    </w:lvl>
  </w:abstractNum>
  <w:abstractNum w:abstractNumId="70">
    <w:nsid w:val="97E1B4E"/>
    <w:multiLevelType w:val="hybridMultilevel"/>
    <w:lvl w:ilvl="0">
      <w:lvlJc w:val="left"/>
      <w:lvlText w:val="(%1)"/>
      <w:numFmt w:val="lowerRoman"/>
      <w:start w:val="10"/>
    </w:lvl>
  </w:abstractNum>
  <w:abstractNum w:abstractNumId="71">
    <w:nsid w:val="51088277"/>
    <w:multiLevelType w:val="hybridMultilevel"/>
    <w:lvl w:ilvl="0">
      <w:lvlJc w:val="left"/>
      <w:lvlText w:val="(%1)"/>
      <w:numFmt w:val="upperLetter"/>
      <w:start w:val="2"/>
    </w:lvl>
  </w:abstractNum>
  <w:abstractNum w:abstractNumId="72">
    <w:nsid w:val="1CA0C5FA"/>
    <w:multiLevelType w:val="hybridMultilevel"/>
    <w:lvl w:ilvl="0">
      <w:lvlJc w:val="left"/>
      <w:lvlText w:val="(%1)"/>
      <w:numFmt w:val="lowerRoman"/>
      <w:start w:val="1"/>
    </w:lvl>
  </w:abstractNum>
  <w:abstractNum w:abstractNumId="73">
    <w:nsid w:val="53584BCB"/>
    <w:multiLevelType w:val="hybridMultilevel"/>
    <w:lvl w:ilvl="0">
      <w:lvlJc w:val="left"/>
      <w:lvlText w:val="(%1)"/>
      <w:numFmt w:val="lowerLetter"/>
      <w:start w:val="1"/>
    </w:lvl>
  </w:abstractNum>
  <w:abstractNum w:abstractNumId="74">
    <w:nsid w:val="415E286C"/>
    <w:multiLevelType w:val="hybridMultilevel"/>
    <w:lvl w:ilvl="0">
      <w:lvlJc w:val="left"/>
      <w:lvlText w:val="(%1)"/>
      <w:numFmt w:val="lowerLetter"/>
      <w:start w:val="1"/>
    </w:lvl>
  </w:abstractNum>
  <w:abstractNum w:abstractNumId="75">
    <w:nsid w:val="7C58FD05"/>
    <w:multiLevelType w:val="hybridMultilevel"/>
    <w:lvl w:ilvl="0">
      <w:lvlJc w:val="left"/>
      <w:lvlText w:val="%1"/>
      <w:numFmt w:val="lowerLetter"/>
      <w:start w:val="1"/>
    </w:lvl>
    <w:lvl w:ilvl="1">
      <w:lvlJc w:val="left"/>
      <w:lvlText w:val="(%2)"/>
      <w:numFmt w:val="lowerRoman"/>
      <w:start w:val="1"/>
    </w:lvl>
  </w:abstractNum>
  <w:abstractNum w:abstractNumId="76">
    <w:nsid w:val="23D86AAC"/>
    <w:multiLevelType w:val="hybridMultilevel"/>
    <w:lvl w:ilvl="0">
      <w:lvlJc w:val="left"/>
      <w:lvlText w:val="(%1)"/>
      <w:numFmt w:val="lowerLetter"/>
      <w:start w:val="3"/>
    </w:lvl>
    <w:lvl w:ilvl="1">
      <w:lvlJc w:val="left"/>
      <w:lvlText w:val="%2"/>
      <w:numFmt w:val="lowerRoman"/>
      <w:start w:val="1"/>
    </w:lvl>
  </w:abstractNum>
  <w:abstractNum w:abstractNumId="77">
    <w:nsid w:val="45E6D486"/>
    <w:multiLevelType w:val="hybridMultilevel"/>
    <w:lvl w:ilvl="0">
      <w:lvlJc w:val="left"/>
      <w:lvlText w:val="(%1)"/>
      <w:numFmt w:val="lowerLetter"/>
      <w:start w:val="4"/>
    </w:lvl>
  </w:abstractNum>
  <w:abstractNum w:abstractNumId="78">
    <w:nsid w:val="5C10FE21"/>
    <w:multiLevelType w:val="hybridMultilevel"/>
    <w:lvl w:ilvl="0">
      <w:lvlJc w:val="left"/>
      <w:lvlText w:val="(%1)"/>
      <w:numFmt w:val="lowerLetter"/>
      <w:start w:val="9"/>
    </w:lvl>
  </w:abstractNum>
  <w:abstractNum w:abstractNumId="79">
    <w:nsid w:val="E7FFA2B"/>
    <w:multiLevelType w:val="hybridMultilevel"/>
    <w:lvl w:ilvl="0">
      <w:lvlJc w:val="left"/>
      <w:lvlText w:val="(%1)"/>
      <w:numFmt w:val="lowerRoman"/>
      <w:start w:val="3"/>
    </w:lvl>
  </w:abstractNum>
  <w:abstractNum w:abstractNumId="80">
    <w:nsid w:val="3C5991AA"/>
    <w:multiLevelType w:val="hybridMultilevel"/>
    <w:lvl w:ilvl="0">
      <w:lvlJc w:val="left"/>
      <w:lvlText w:val="(%1)"/>
      <w:numFmt w:val="lowerRoman"/>
      <w:start w:val="2"/>
    </w:lvl>
  </w:abstractNum>
  <w:abstractNum w:abstractNumId="81">
    <w:nsid w:val="4BD8591A"/>
    <w:multiLevelType w:val="hybridMultilevel"/>
    <w:lvl w:ilvl="0">
      <w:lvlJc w:val="left"/>
      <w:lvlText w:val="(%1)"/>
      <w:numFmt w:val="lowerLetter"/>
      <w:start w:val="2"/>
    </w:lvl>
  </w:abstractNum>
  <w:abstractNum w:abstractNumId="82">
    <w:nsid w:val="78DF6A55"/>
    <w:multiLevelType w:val="hybridMultilevel"/>
    <w:lvl w:ilvl="0">
      <w:lvlJc w:val="left"/>
      <w:lvlText w:val="(%1)"/>
      <w:numFmt w:val="upperLetter"/>
      <w:start w:val="3"/>
    </w:lvl>
  </w:abstractNum>
  <w:abstractNum w:abstractNumId="83">
    <w:nsid w:val="39B7AAA2"/>
    <w:multiLevelType w:val="hybridMultilevel"/>
    <w:lvl w:ilvl="0">
      <w:lvlJc w:val="left"/>
      <w:lvlText w:val="(%1)"/>
      <w:numFmt w:val="lowerRoman"/>
      <w:start w:val="2"/>
    </w:lvl>
  </w:abstractNum>
  <w:abstractNum w:abstractNumId="84">
    <w:nsid w:val="2B0D8DBE"/>
    <w:multiLevelType w:val="hybridMultilevel"/>
    <w:lvl w:ilvl="0">
      <w:lvlJc w:val="left"/>
      <w:lvlText w:val="%1"/>
      <w:numFmt w:val="upperLetter"/>
      <w:start w:val="1"/>
    </w:lvl>
    <w:lvl w:ilvl="1">
      <w:lvlJc w:val="left"/>
      <w:lvlText w:val="(%2)"/>
      <w:numFmt w:val="upperLetter"/>
      <w:start w:val="9"/>
    </w:lvl>
  </w:abstractNum>
  <w:abstractNum w:abstractNumId="85">
    <w:nsid w:val="6C80EC70"/>
    <w:multiLevelType w:val="hybridMultilevel"/>
    <w:lvl w:ilvl="0">
      <w:lvlJc w:val="left"/>
      <w:lvlText w:val="(%1)"/>
      <w:numFmt w:val="upperLetter"/>
      <w:start w:val="35"/>
    </w:lvl>
    <w:lvl w:ilvl="1">
      <w:lvlJc w:val="left"/>
      <w:lvlText w:val="%2"/>
      <w:numFmt w:val="upperLetter"/>
      <w:start w:val="1"/>
    </w:lvl>
  </w:abstractNum>
  <w:abstractNum w:abstractNumId="86">
    <w:nsid w:val="379E21B5"/>
    <w:multiLevelType w:val="hybridMultilevel"/>
    <w:lvl w:ilvl="0">
      <w:lvlJc w:val="left"/>
      <w:lvlText w:val="(%1)"/>
      <w:numFmt w:val="upperLetter"/>
      <w:start w:val="61"/>
    </w:lvl>
  </w:abstractNum>
  <w:abstractNum w:abstractNumId="87">
    <w:nsid w:val="69E373"/>
    <w:multiLevelType w:val="hybridMultilevel"/>
    <w:lvl w:ilvl="0">
      <w:lvlJc w:val="left"/>
      <w:lvlText w:val="(%1)"/>
      <w:numFmt w:val="upperLetter"/>
      <w:start w:val="22"/>
    </w:lvl>
  </w:abstractNum>
  <w:abstractNum w:abstractNumId="88">
    <w:nsid w:val="2C27173B"/>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4"/>
    </w:lvl>
    <w:lvl w:ilvl="3">
      <w:lvlJc w:val="left"/>
      <w:lvlText w:val="(%4)"/>
      <w:numFmt w:val="upperLetter"/>
      <w:start w:val="1"/>
    </w:lvl>
  </w:abstractNum>
  <w:abstractNum w:abstractNumId="89">
    <w:nsid w:val="4C9B0904"/>
    <w:multiLevelType w:val="hybridMultilevel"/>
    <w:lvl w:ilvl="0">
      <w:lvlJc w:val="left"/>
      <w:lvlText w:val="&amp;"/>
      <w:numFmt w:val="bullet"/>
      <w:start w:val="1"/>
    </w:lvl>
    <w:lvl w:ilvl="1">
      <w:lvlJc w:val="left"/>
      <w:lvlText w:val="%2"/>
      <w:numFmt w:val="upperLetter"/>
      <w:start w:val="1"/>
    </w:lvl>
    <w:lvl w:ilvl="2">
      <w:lvlJc w:val="left"/>
      <w:lvlText w:val="%3"/>
      <w:numFmt w:val="upperLetter"/>
      <w:start w:val="1"/>
    </w:lvl>
    <w:lvl w:ilvl="3">
      <w:lvlJc w:val="left"/>
      <w:lvlText w:val="%4"/>
      <w:numFmt w:val="upperLetter"/>
      <w:start w:val="1"/>
    </w:lvl>
    <w:lvl w:ilvl="4">
      <w:lvlJc w:val="left"/>
      <w:lvlText w:val="(%5)"/>
      <w:numFmt w:val="upperLetter"/>
      <w:start w:val="1"/>
    </w:lvl>
  </w:abstractNum>
  <w:abstractNum w:abstractNumId="90">
    <w:nsid w:val="6AA7B75C"/>
    <w:multiLevelType w:val="hybridMultilevel"/>
    <w:lvl w:ilvl="0">
      <w:lvlJc w:val="left"/>
      <w:lvlText w:val="&amp;"/>
      <w:numFmt w:val="bullet"/>
      <w:start w:val="1"/>
    </w:lvl>
    <w:lvl w:ilvl="1">
      <w:lvlJc w:val="left"/>
      <w:lvlText w:val="(%2)"/>
      <w:numFmt w:val="upperLetter"/>
      <w:start w:val="9"/>
    </w:lvl>
    <w:lvl w:ilvl="2">
      <w:lvlJc w:val="left"/>
      <w:lvlText w:val="(%3)"/>
      <w:numFmt w:val="upperLetter"/>
      <w:start w:val="8"/>
    </w:lvl>
    <w:lvl w:ilvl="3">
      <w:lvlJc w:val="left"/>
      <w:lvlText w:val="(%4)"/>
      <w:numFmt w:val="upperLetter"/>
      <w:start w:val="35"/>
    </w:lvl>
    <w:lvl w:ilvl="4">
      <w:lvlJc w:val="left"/>
      <w:lvlText w:val="(%5)"/>
      <w:numFmt w:val="upperLetter"/>
      <w:start w:val="2"/>
    </w:lvl>
  </w:abstractNum>
  <w:abstractNum w:abstractNumId="91">
    <w:nsid w:val="1DF029D3"/>
    <w:multiLevelType w:val="hybridMultilevel"/>
    <w:lvl w:ilvl="0">
      <w:lvlJc w:val="left"/>
      <w:lvlText w:val="(%1)"/>
      <w:numFmt w:val="upperLetter"/>
      <w:start w:val="35"/>
    </w:lvl>
  </w:abstractNum>
  <w:abstractNum w:abstractNumId="92">
    <w:nsid w:val="5675FF36"/>
    <w:multiLevelType w:val="hybridMultilevel"/>
    <w:lvl w:ilvl="0">
      <w:lvlJc w:val="left"/>
      <w:lvlText w:val="%1"/>
      <w:numFmt w:val="upperLetter"/>
      <w:start w:val="1"/>
    </w:lvl>
    <w:lvl w:ilvl="1">
      <w:lvlJc w:val="left"/>
      <w:lvlText w:val="(%2)"/>
      <w:numFmt w:val="upperLetter"/>
      <w:start w:val="1"/>
    </w:lvl>
  </w:abstractNum>
  <w:abstractNum w:abstractNumId="93">
    <w:nsid w:val="3DD15094"/>
    <w:multiLevelType w:val="hybridMultilevel"/>
    <w:lvl w:ilvl="0">
      <w:lvlJc w:val="left"/>
      <w:lvlText w:val="(%1)"/>
      <w:numFmt w:val="upperLetter"/>
      <w:start w:val="9"/>
    </w:lvl>
    <w:lvl w:ilvl="1">
      <w:lvlJc w:val="left"/>
      <w:lvlText w:val="%2"/>
      <w:numFmt w:val="upperLetter"/>
      <w:start w:val="1"/>
    </w:lvl>
  </w:abstractNum>
  <w:abstractNum w:abstractNumId="94">
    <w:nsid w:val="3DB012B3"/>
    <w:multiLevelType w:val="hybridMultilevel"/>
    <w:lvl w:ilvl="0">
      <w:lvlJc w:val="left"/>
      <w:lvlText w:val="(%1)"/>
      <w:numFmt w:val="decimal"/>
      <w:start w:val="1"/>
    </w:lvl>
  </w:abstractNum>
  <w:abstractNum w:abstractNumId="95">
    <w:nsid w:val="2708C9AF"/>
    <w:multiLevelType w:val="hybridMultilevel"/>
    <w:lvl w:ilvl="0">
      <w:lvlJc w:val="left"/>
      <w:lvlText w:val="%1"/>
      <w:numFmt w:val="upperLetter"/>
      <w:start w:val="1"/>
    </w:lvl>
    <w:lvl w:ilvl="1">
      <w:lvlJc w:val="left"/>
      <w:lvlText w:val="(%2)"/>
      <w:numFmt w:val="decimal"/>
      <w:start w:val="2"/>
    </w:lvl>
  </w:abstractNum>
  <w:abstractNum w:abstractNumId="96">
    <w:nsid w:val="5B25ACE2"/>
    <w:multiLevelType w:val="hybridMultilevel"/>
    <w:lvl w:ilvl="0">
      <w:lvlJc w:val="left"/>
      <w:lvlText w:val="(%1)"/>
      <w:numFmt w:val="upperLetter"/>
      <w:start w:val="35"/>
    </w:lvl>
    <w:lvl w:ilvl="1">
      <w:lvlJc w:val="left"/>
      <w:lvlText w:val="(%2)"/>
      <w:numFmt w:val="decimal"/>
      <w:start w:val="1"/>
    </w:lvl>
  </w:abstractNum>
  <w:abstractNum w:abstractNumId="97">
    <w:nsid w:val="175DFCF0"/>
    <w:multiLevelType w:val="hybridMultilevel"/>
    <w:lvl w:ilvl="0">
      <w:lvlJc w:val="left"/>
      <w:lvlText w:val="(%1)"/>
      <w:numFmt w:val="lowerLetter"/>
      <w:start w:val="1"/>
    </w:lvl>
  </w:abstractNum>
  <w:abstractNum w:abstractNumId="98">
    <w:nsid w:val="4F97E3E4"/>
    <w:multiLevelType w:val="hybridMultilevel"/>
    <w:lvl w:ilvl="0">
      <w:lvlJc w:val="left"/>
      <w:lvlText w:val="%1"/>
      <w:numFmt w:val="upperLetter"/>
      <w:start w:val="1"/>
    </w:lvl>
    <w:lvl w:ilvl="1">
      <w:lvlJc w:val="left"/>
      <w:lvlText w:val="(%2)"/>
      <w:numFmt w:val="decimal"/>
      <w:start w:val="3"/>
    </w:lvl>
  </w:abstractNum>
  <w:abstractNum w:abstractNumId="99">
    <w:nsid w:val="53B0A9E"/>
    <w:multiLevelType w:val="hybridMultilevel"/>
    <w:lvl w:ilvl="0">
      <w:lvlJc w:val="left"/>
      <w:lvlText w:val="(%1)"/>
      <w:numFmt w:val="upperLetter"/>
      <w:start w:val="61"/>
    </w:lvl>
    <w:lvl w:ilvl="1">
      <w:lvlJc w:val="left"/>
      <w:lvlText w:val="%2"/>
      <w:numFmt w:val="decimal"/>
      <w:start w:val="1"/>
    </w:lvl>
  </w:abstractNum>
  <w:abstractNum w:abstractNumId="100">
    <w:nsid w:val="34FD6B4F"/>
    <w:multiLevelType w:val="hybridMultilevel"/>
    <w:lvl w:ilvl="0">
      <w:lvlJc w:val="left"/>
      <w:lvlText w:val="(%1)"/>
      <w:numFmt w:val="upperLetter"/>
      <w:start w:val="2"/>
    </w:lvl>
  </w:abstractNum>
  <w:abstractNum w:abstractNumId="101">
    <w:nsid w:val="5915FF32"/>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102">
    <w:nsid w:val="56438D15"/>
    <w:multiLevelType w:val="hybridMultilevel"/>
    <w:lvl w:ilvl="0">
      <w:lvlJc w:val="left"/>
      <w:lvlText w:val="(%1)"/>
      <w:numFmt w:val="upperLetter"/>
      <w:start w:val="9"/>
    </w:lvl>
    <w:lvl w:ilvl="1">
      <w:lvlJc w:val="left"/>
      <w:lvlText w:val="(%2)"/>
      <w:numFmt w:val="upperLetter"/>
      <w:start w:val="35"/>
    </w:lvl>
    <w:lvl w:ilvl="2">
      <w:lvlJc w:val="left"/>
      <w:lvlText w:val="%3"/>
      <w:numFmt w:val="upperLetter"/>
      <w:start w:val="1"/>
    </w:lvl>
  </w:abstractNum>
  <w:abstractNum w:abstractNumId="103">
    <w:nsid w:val="519E3149"/>
    <w:multiLevelType w:val="hybridMultilevel"/>
    <w:lvl w:ilvl="0">
      <w:lvlJc w:val="left"/>
      <w:lvlText w:val="(%1)"/>
      <w:numFmt w:val="upperLetter"/>
      <w:start w:val="3"/>
    </w:lvl>
  </w:abstractNum>
  <w:abstractNum w:abstractNumId="104">
    <w:nsid w:val="2C6E4AFD"/>
    <w:multiLevelType w:val="hybridMultilevel"/>
    <w:lvl w:ilvl="0">
      <w:lvlJc w:val="left"/>
      <w:lvlText w:val="(%1)"/>
      <w:numFmt w:val="upperLetter"/>
      <w:start w:val="1"/>
    </w:lvl>
  </w:abstractNum>
  <w:abstractNum w:abstractNumId="105">
    <w:nsid w:val="17A1B582"/>
    <w:multiLevelType w:val="hybridMultilevel"/>
    <w:lvl w:ilvl="0">
      <w:lvlJc w:val="left"/>
      <w:lvlText w:val="(%1)"/>
      <w:numFmt w:val="upperLetter"/>
      <w:start w:val="1"/>
    </w:lvl>
  </w:abstractNum>
  <w:abstractNum w:abstractNumId="106">
    <w:nsid w:val="4DF72E4E"/>
    <w:multiLevelType w:val="hybridMultilevel"/>
    <w:lvl w:ilvl="0">
      <w:lvlJc w:val="left"/>
      <w:lvlText w:val="(%1)"/>
      <w:numFmt w:val="upperLetter"/>
      <w:start w:val="9"/>
    </w:lvl>
    <w:lvl w:ilvl="1">
      <w:lvlJc w:val="left"/>
      <w:lvlText w:val="(%2)"/>
      <w:numFmt w:val="upperLetter"/>
      <w:start w:val="35"/>
    </w:lvl>
    <w:lvl w:ilvl="2">
      <w:lvlJc w:val="left"/>
      <w:lvlText w:val="(%3)"/>
      <w:numFmt w:val="decimal"/>
      <w:start w:val="1"/>
    </w:lvl>
  </w:abstractNum>
  <w:abstractNum w:abstractNumId="107">
    <w:nsid w:val="5046B5A9"/>
    <w:multiLevelType w:val="hybridMultilevel"/>
    <w:lvl w:ilvl="0">
      <w:lvlJc w:val="left"/>
      <w:lvlText w:val="(%1)"/>
      <w:numFmt w:val="upperLetter"/>
      <w:start w:val="61"/>
    </w:lvl>
    <w:lvl w:ilvl="1">
      <w:lvlJc w:val="left"/>
      <w:lvlText w:val="(%2)"/>
      <w:numFmt w:val="decimal"/>
      <w:start w:val="1"/>
    </w:lvl>
  </w:abstractNum>
  <w:abstractNum w:abstractNumId="108">
    <w:nsid w:val="5D888A08"/>
    <w:multiLevelType w:val="hybridMultilevel"/>
    <w:lvl w:ilvl="0">
      <w:lvlJc w:val="left"/>
      <w:lvlText w:val="(%1)"/>
      <w:numFmt w:val="upperLetter"/>
      <w:start w:val="35"/>
    </w:lvl>
    <w:lvl w:ilvl="1">
      <w:lvlJc w:val="left"/>
      <w:lvlText w:val="(%2)"/>
      <w:numFmt w:val="decimal"/>
      <w:start w:val="2"/>
    </w:lvl>
  </w:abstractNum>
  <w:abstractNum w:abstractNumId="109">
    <w:nsid w:val="2A082C70"/>
    <w:multiLevelType w:val="hybridMultilevel"/>
    <w:lvl w:ilvl="0">
      <w:lvlJc w:val="left"/>
      <w:lvlText w:val="(%1)"/>
      <w:numFmt w:val="decimal"/>
      <w:start w:val="2"/>
    </w:lvl>
  </w:abstractNum>
  <w:abstractNum w:abstractNumId="110">
    <w:nsid w:val="5EC6AFD4"/>
    <w:multiLevelType w:val="hybridMultilevel"/>
    <w:lvl w:ilvl="0">
      <w:lvlJc w:val="left"/>
      <w:lvlText w:val="(%1)"/>
      <w:numFmt w:val="upperLetter"/>
      <w:start w:val="9"/>
    </w:lvl>
  </w:abstractNum>
  <w:abstractNum w:abstractNumId="111">
    <w:nsid w:val="19E21BB2"/>
    <w:multiLevelType w:val="hybridMultilevel"/>
    <w:lvl w:ilvl="0">
      <w:lvlJc w:val="left"/>
      <w:lvlText w:val="(%1)"/>
      <w:numFmt w:val="decimal"/>
      <w:start w:val="1"/>
    </w:lvl>
  </w:abstractNum>
  <w:abstractNum w:abstractNumId="112">
    <w:nsid w:val="75E0858A"/>
    <w:multiLevelType w:val="hybridMultilevel"/>
    <w:lvl w:ilvl="0">
      <w:lvlJc w:val="left"/>
      <w:lvlText w:val="(%1)"/>
      <w:numFmt w:val="upperLetter"/>
      <w:start w:val="35"/>
    </w:lvl>
    <w:lvl w:ilvl="1">
      <w:lvlJc w:val="left"/>
      <w:lvlText w:val="(%2)"/>
      <w:numFmt w:val="decimal"/>
      <w:start w:val="1"/>
    </w:lvl>
  </w:abstractNum>
  <w:abstractNum w:abstractNumId="113">
    <w:nsid w:val="57A61A29"/>
    <w:multiLevelType w:val="hybridMultilevel"/>
    <w:lvl w:ilvl="0">
      <w:lvlJc w:val="left"/>
      <w:lvlText w:val="(%1)"/>
      <w:numFmt w:val="lowerRoman"/>
      <w:start w:val="4"/>
    </w:lvl>
  </w:abstractNum>
  <w:abstractNum w:abstractNumId="114">
    <w:nsid w:val="5399C654"/>
    <w:multiLevelType w:val="hybridMultilevel"/>
    <w:lvl w:ilvl="0">
      <w:lvlJc w:val="left"/>
      <w:lvlText w:val="(%1)"/>
      <w:numFmt w:val="lowerRoman"/>
      <w:start w:val="2"/>
    </w:lvl>
  </w:abstractNum>
  <w:abstractNum w:abstractNumId="115">
    <w:nsid w:val="20EE1348"/>
    <w:multiLevelType w:val="hybridMultilevel"/>
    <w:lvl w:ilvl="0">
      <w:lvlJc w:val="left"/>
      <w:lvlText w:val="(%1)"/>
      <w:numFmt w:val="lowerRoman"/>
      <w:start w:val="1"/>
    </w:lvl>
  </w:abstractNum>
  <w:abstractNum w:abstractNumId="116">
    <w:nsid w:val="4427069A"/>
    <w:multiLevelType w:val="hybridMultilevel"/>
    <w:lvl w:ilvl="0">
      <w:lvlJc w:val="left"/>
      <w:lvlText w:val="(%1)"/>
      <w:numFmt w:val="lowerRoman"/>
      <w:start w:val="1"/>
    </w:lvl>
  </w:abstractNum>
  <w:abstractNum w:abstractNumId="117">
    <w:nsid w:val="B37E80A"/>
    <w:multiLevelType w:val="hybridMultilevel"/>
    <w:lvl w:ilvl="0">
      <w:lvlJc w:val="left"/>
      <w:lvlText w:val="(%1)"/>
      <w:numFmt w:val="decimal"/>
      <w:start w:val="2"/>
    </w:lvl>
  </w:abstractNum>
  <w:abstractNum w:abstractNumId="118">
    <w:nsid w:val="2157F6BC"/>
    <w:multiLevelType w:val="hybridMultilevel"/>
    <w:lvl w:ilvl="0">
      <w:lvlJc w:val="left"/>
      <w:lvlText w:val="(%1)"/>
      <w:numFmt w:val="lowerRoman"/>
      <w:start w:val="1"/>
    </w:lvl>
  </w:abstractNum>
  <w:abstractNum w:abstractNumId="119">
    <w:nsid w:val="704E1DD5"/>
    <w:multiLevelType w:val="hybridMultilevel"/>
    <w:lvl w:ilvl="0">
      <w:lvlJc w:val="left"/>
      <w:lvlText w:val="(%1)"/>
      <w:numFmt w:val="upperLetter"/>
      <w:start w:val="2"/>
    </w:lvl>
  </w:abstractNum>
  <w:abstractNum w:abstractNumId="120">
    <w:nsid w:val="57D2F10E"/>
    <w:multiLevelType w:val="hybridMultilevel"/>
    <w:lvl w:ilvl="0">
      <w:lvlJc w:val="left"/>
      <w:lvlText w:val="(%1)"/>
      <w:numFmt w:val="decimal"/>
      <w:start w:val="1"/>
    </w:lvl>
  </w:abstractNum>
  <w:abstractNum w:abstractNumId="121">
    <w:nsid w:val="BFFAE18"/>
    <w:multiLevelType w:val="hybridMultilevel"/>
    <w:lvl w:ilvl="0">
      <w:lvlJc w:val="left"/>
      <w:lvlText w:val="(%1)"/>
      <w:numFmt w:val="decimal"/>
      <w:start w:val="3"/>
    </w:lvl>
  </w:abstractNum>
  <w:abstractNum w:abstractNumId="122">
    <w:nsid w:val="E3E47A8"/>
    <w:multiLevelType w:val="hybridMultilevel"/>
    <w:lvl w:ilvl="0">
      <w:lvlJc w:val="left"/>
      <w:lvlText w:val="(%1)"/>
      <w:numFmt w:val="lowerRoman"/>
      <w:start w:val="2"/>
    </w:lvl>
  </w:abstractNum>
  <w:abstractNum w:abstractNumId="123">
    <w:nsid w:val="2E48F044"/>
    <w:multiLevelType w:val="hybridMultilevel"/>
    <w:lvl w:ilvl="0">
      <w:lvlJc w:val="left"/>
      <w:lvlText w:val="(%1)"/>
      <w:numFmt w:val="lowerLetter"/>
      <w:start w:val="2"/>
    </w:lvl>
  </w:abstractNum>
  <w:abstractNum w:abstractNumId="124">
    <w:nsid w:val="49D0FEAC"/>
    <w:multiLevelType w:val="hybridMultilevel"/>
    <w:lvl w:ilvl="0">
      <w:lvlJc w:val="left"/>
      <w:lvlText w:val="(%1)"/>
      <w:numFmt w:val="lowerLetter"/>
      <w:start w:val="24"/>
    </w:lvl>
  </w:abstractNum>
  <w:abstractNum w:abstractNumId="125">
    <w:nsid w:val="4BEE5A5B"/>
    <w:multiLevelType w:val="hybridMultilevel"/>
    <w:lvl w:ilvl="0">
      <w:lvlJc w:val="left"/>
      <w:lvlText w:val="(%1)"/>
      <w:numFmt w:val="lowerRoman"/>
      <w:start w:val="2"/>
    </w:lvl>
  </w:abstractNum>
  <w:abstractNum w:abstractNumId="126">
    <w:nsid w:val="5551B9F3"/>
    <w:multiLevelType w:val="hybridMultilevel"/>
    <w:lvl w:ilvl="0">
      <w:lvlJc w:val="left"/>
      <w:lvlText w:val="(%1)"/>
      <w:numFmt w:val="lowerLetter"/>
      <w:start w:val="1"/>
    </w:lvl>
  </w:abstractNum>
  <w:abstractNum w:abstractNumId="127">
    <w:nsid w:val="24F6AB8E"/>
    <w:multiLevelType w:val="hybridMultilevel"/>
    <w:lvl w:ilvl="0">
      <w:lvlJc w:val="left"/>
      <w:lvlText w:val="(%1)"/>
      <w:numFmt w:val="decimal"/>
      <w:start w:val="60"/>
    </w:lvl>
  </w:abstractNum>
  <w:abstractNum w:abstractNumId="128">
    <w:nsid w:val="634C574C"/>
    <w:multiLevelType w:val="hybridMultilevel"/>
    <w:lvl w:ilvl="0">
      <w:lvlJc w:val="left"/>
      <w:lvlText w:val="(%1)"/>
      <w:numFmt w:val="lowerLetter"/>
      <w:start w:val="22"/>
    </w:lvl>
  </w:abstractNum>
  <w:abstractNum w:abstractNumId="129">
    <w:nsid w:val="24E99DD7"/>
    <w:multiLevelType w:val="hybridMultilevel"/>
    <w:lvl w:ilvl="0">
      <w:lvlJc w:val="left"/>
      <w:lvlText w:val="(%1)"/>
      <w:numFmt w:val="lowerLetter"/>
      <w:start w:val="1"/>
    </w:lvl>
  </w:abstractNum>
  <w:abstractNum w:abstractNumId="130">
    <w:nsid w:val="2A31B62D"/>
    <w:multiLevelType w:val="hybridMultilevel"/>
    <w:lvl w:ilvl="0">
      <w:lvlJc w:val="left"/>
      <w:lvlText w:val="(%1)"/>
      <w:numFmt w:val="lowerRoman"/>
      <w:start w:val="4"/>
    </w:lvl>
  </w:abstractNum>
  <w:abstractNum w:abstractNumId="131">
    <w:nsid w:val="1849C29B"/>
    <w:multiLevelType w:val="hybridMultilevel"/>
    <w:lvl w:ilvl="0">
      <w:lvlJc w:val="left"/>
      <w:lvlText w:val="(%1)"/>
      <w:numFmt w:val="lowerLetter"/>
      <w:start w:val="25"/>
    </w:lvl>
  </w:abstractNum>
  <w:abstractNum w:abstractNumId="132">
    <w:nsid w:val="7DFF9D09"/>
    <w:multiLevelType w:val="hybridMultilevel"/>
    <w:lvl w:ilvl="0">
      <w:lvlJc w:val="left"/>
      <w:lvlText w:val="(%1)"/>
      <w:numFmt w:val="upperLetter"/>
      <w:start w:val="1"/>
    </w:lvl>
  </w:abstractNum>
  <w:abstractNum w:abstractNumId="133">
    <w:nsid w:val="754342"/>
    <w:multiLevelType w:val="hybridMultilevel"/>
    <w:lvl w:ilvl="0">
      <w:lvlJc w:val="left"/>
      <w:lvlText w:val="(%1)"/>
      <w:numFmt w:val="lowerRoman"/>
      <w:start w:val="5"/>
    </w:lvl>
  </w:abstractNum>
  <w:abstractNum w:abstractNumId="134">
    <w:nsid w:val="69E7F3E5"/>
    <w:multiLevelType w:val="hybridMultilevel"/>
    <w:lvl w:ilvl="0">
      <w:lvlJc w:val="left"/>
      <w:lvlText w:val="."/>
      <w:numFmt w:val="bullet"/>
      <w:start w:val="1"/>
    </w:lvl>
  </w:abstractNum>
  <w:abstractNum w:abstractNumId="135">
    <w:nsid w:val="2A6DE806"/>
    <w:multiLevelType w:val="hybridMultilevel"/>
    <w:lvl w:ilvl="0">
      <w:lvlJc w:val="left"/>
      <w:lvlText w:val="(%1)"/>
      <w:numFmt w:val="lowerRoman"/>
      <w:start w:val="3"/>
    </w:lvl>
  </w:abstractNum>
  <w:abstractNum w:abstractNumId="136">
    <w:nsid w:val="1816F8C4"/>
    <w:multiLevelType w:val="hybridMultilevel"/>
    <w:lvl w:ilvl="0">
      <w:lvlJc w:val="left"/>
      <w:lvlText w:val="(%1)"/>
      <w:numFmt w:val="lowerLetter"/>
      <w:start w:val="1"/>
    </w:lvl>
  </w:abstractNum>
  <w:abstractNum w:abstractNumId="137">
    <w:nsid w:val="37DF2233"/>
    <w:multiLevelType w:val="hybridMultilevel"/>
    <w:lvl w:ilvl="0">
      <w:lvlJc w:val="left"/>
      <w:lvlText w:val="(%1)"/>
      <w:numFmt w:val="lowerLetter"/>
      <w:start w:val="3"/>
    </w:lvl>
  </w:abstractNum>
  <w:abstractNum w:abstractNumId="138">
    <w:nsid w:val="7AB49DAF"/>
    <w:multiLevelType w:val="hybridMultilevel"/>
    <w:lvl w:ilvl="0">
      <w:lvlJc w:val="left"/>
      <w:lvlText w:val="(%1)"/>
      <w:numFmt w:val="lowerRoman"/>
      <w:start w:val="1"/>
    </w:lvl>
  </w:abstractNum>
  <w:abstractNum w:abstractNumId="139">
    <w:nsid w:val="759F82CD"/>
    <w:multiLevelType w:val="hybridMultilevel"/>
    <w:lvl w:ilvl="0">
      <w:lvlJc w:val="left"/>
      <w:lvlText w:val="(%1)"/>
      <w:numFmt w:val="lowerLetter"/>
      <w:start w:val="1"/>
    </w:lvl>
  </w:abstractNum>
  <w:abstractNum w:abstractNumId="140">
    <w:nsid w:val="61E74EA3"/>
    <w:multiLevelType w:val="hybridMultilevel"/>
    <w:lvl w:ilvl="0">
      <w:lvlJc w:val="left"/>
      <w:lvlText w:val="(%1)"/>
      <w:numFmt w:val="lowerLetter"/>
      <w:start w:val="2"/>
    </w:lvl>
  </w:abstractNum>
  <w:abstractNum w:abstractNumId="141">
    <w:nsid w:val="597B4D84"/>
    <w:multiLevelType w:val="hybridMultilevel"/>
    <w:lvl w:ilvl="0">
      <w:lvlJc w:val="left"/>
      <w:lvlText w:val="(%1)"/>
      <w:numFmt w:val="upperLetter"/>
      <w:start w:val="3"/>
    </w:lvl>
  </w:abstractNum>
  <w:abstractNum w:abstractNumId="142">
    <w:nsid w:val="F819E7F"/>
    <w:multiLevelType w:val="hybridMultilevel"/>
    <w:lvl w:ilvl="0">
      <w:lvlJc w:val="left"/>
      <w:lvlText w:val="(%1)"/>
      <w:numFmt w:val="lowerLetter"/>
      <w:start w:val="4"/>
    </w:lvl>
  </w:abstractNum>
  <w:abstractNum w:abstractNumId="143">
    <w:nsid w:val="57C7D42D"/>
    <w:multiLevelType w:val="hybridMultilevel"/>
    <w:lvl w:ilvl="0">
      <w:lvlJc w:val="left"/>
      <w:lvlText w:val="(%1)"/>
      <w:numFmt w:val="lowerLetter"/>
      <w:start w:val="4"/>
    </w:lvl>
  </w:abstractNum>
  <w:abstractNum w:abstractNumId="144">
    <w:nsid w:val="312167AD"/>
    <w:multiLevelType w:val="hybridMultilevel"/>
    <w:lvl w:ilvl="0">
      <w:lvlJc w:val="left"/>
      <w:lvlText w:val="(%1)"/>
      <w:numFmt w:val="lowerRoman"/>
      <w:start w:val="2"/>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lvl w:ilvl="1">
      <w:lvlJc w:val="left"/>
      <w:lvlText w:val="%2)"/>
      <w:numFmt w:val="lowerLetter"/>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48" Type="http://schemas.openxmlformats.org/officeDocument/2006/relationships/hyperlink" Target="https://www.sec.gov/Archives/edgar/data/1219601/000121960105000069/ex3a2004.htm" TargetMode="External"/><Relationship Id="rId49" Type="http://schemas.openxmlformats.org/officeDocument/2006/relationships/hyperlink" Target="https://www.sec.gov/ix?doc=/Archives/edgar/data/1219601/000095015924000119/crown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2024-07-29T16:34:03Z</dcterms:created>
  <dcterms:modified xsi:type="dcterms:W3CDTF">2024-07-29T16:34:03Z</dcterms:modified>
</cp:coreProperties>
</file>