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December 14, 2018</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333-228692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TO</w:t>
      </w:r>
    </w:p>
    <w:p>
      <w:pPr>
        <w:jc w:val="center"/>
        <w:ind w:right="-199"/>
        <w:spacing w:after="0" w:line="237" w:lineRule="auto"/>
        <w:rPr>
          <w:sz w:val="20"/>
          <w:szCs w:val="20"/>
          <w:color w:val="auto"/>
        </w:rPr>
      </w:pPr>
      <w:r>
        <w:rPr>
          <w:rFonts w:ascii="Arial" w:cs="Arial" w:eastAsia="Arial" w:hAnsi="Arial"/>
          <w:sz w:val="32"/>
          <w:szCs w:val="32"/>
          <w:b w:val="1"/>
          <w:bCs w:val="1"/>
          <w:color w:val="auto"/>
        </w:rPr>
        <w:t>FORM S-4</w:t>
      </w:r>
    </w:p>
    <w:p>
      <w:pPr>
        <w:jc w:val="center"/>
        <w:ind w:right="-199"/>
        <w:spacing w:after="0"/>
        <w:rPr>
          <w:sz w:val="20"/>
          <w:szCs w:val="20"/>
          <w:color w:val="auto"/>
        </w:rPr>
      </w:pPr>
      <w:r>
        <w:rPr>
          <w:rFonts w:ascii="Arial" w:cs="Arial" w:eastAsia="Arial" w:hAnsi="Arial"/>
          <w:sz w:val="32"/>
          <w:szCs w:val="32"/>
          <w:b w:val="1"/>
          <w:bCs w:val="1"/>
          <w:color w:val="auto"/>
        </w:rPr>
        <w:t>REGISTRATION STATEMENT</w:t>
      </w:r>
    </w:p>
    <w:p>
      <w:pPr>
        <w:jc w:val="center"/>
        <w:ind w:right="-1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Registrants as specified in their charter)</w:t>
      </w:r>
    </w:p>
    <w:p>
      <w:pPr>
        <w:spacing w:after="0" w:line="111"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000" w:type="dxa"/>
            <w:vAlign w:val="bottom"/>
          </w:tcPr>
          <w:p>
            <w:pPr>
              <w:jc w:val="center"/>
              <w:ind w:right="822"/>
              <w:spacing w:after="0"/>
              <w:rPr>
                <w:sz w:val="20"/>
                <w:szCs w:val="20"/>
                <w:color w:val="auto"/>
              </w:rPr>
            </w:pPr>
            <w:r>
              <w:rPr>
                <w:rFonts w:ascii="Arial" w:cs="Arial" w:eastAsia="Arial" w:hAnsi="Arial"/>
                <w:sz w:val="18"/>
                <w:szCs w:val="18"/>
                <w:b w:val="1"/>
                <w:bCs w:val="1"/>
                <w:color w:val="auto"/>
                <w:w w:val="88"/>
              </w:rPr>
              <w:t>Pennsylvania</w:t>
            </w:r>
          </w:p>
        </w:tc>
        <w:tc>
          <w:tcPr>
            <w:tcW w:w="3800" w:type="dxa"/>
            <w:vAlign w:val="bottom"/>
          </w:tcPr>
          <w:p>
            <w:pPr>
              <w:jc w:val="center"/>
              <w:ind w:right="102"/>
              <w:spacing w:after="0"/>
              <w:rPr>
                <w:sz w:val="20"/>
                <w:szCs w:val="20"/>
                <w:color w:val="auto"/>
              </w:rPr>
            </w:pPr>
            <w:r>
              <w:rPr>
                <w:rFonts w:ascii="Arial" w:cs="Arial" w:eastAsia="Arial" w:hAnsi="Arial"/>
                <w:sz w:val="18"/>
                <w:szCs w:val="18"/>
                <w:b w:val="1"/>
                <w:bCs w:val="1"/>
                <w:color w:val="auto"/>
                <w:w w:val="84"/>
              </w:rPr>
              <w:t>3411</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300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822"/>
              <w:spacing w:after="0"/>
              <w:rPr>
                <w:sz w:val="20"/>
                <w:szCs w:val="20"/>
                <w:color w:val="auto"/>
              </w:rPr>
            </w:pPr>
            <w:r>
              <w:rPr>
                <w:rFonts w:ascii="Arial" w:cs="Arial" w:eastAsia="Arial" w:hAnsi="Arial"/>
                <w:sz w:val="14"/>
                <w:szCs w:val="14"/>
                <w:b w:val="1"/>
                <w:bCs w:val="1"/>
                <w:color w:val="auto"/>
                <w:w w:val="95"/>
              </w:rPr>
              <w:t>of Incorporation or Organization)</w:t>
            </w:r>
          </w:p>
        </w:tc>
        <w:tc>
          <w:tcPr>
            <w:tcW w:w="3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LLC</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000" w:type="dxa"/>
            <w:vAlign w:val="bottom"/>
          </w:tcPr>
          <w:p>
            <w:pPr>
              <w:jc w:val="center"/>
              <w:ind w:right="822"/>
              <w:spacing w:after="0"/>
              <w:rPr>
                <w:sz w:val="20"/>
                <w:szCs w:val="20"/>
                <w:color w:val="auto"/>
              </w:rPr>
            </w:pPr>
            <w:r>
              <w:rPr>
                <w:rFonts w:ascii="Arial" w:cs="Arial" w:eastAsia="Arial" w:hAnsi="Arial"/>
                <w:sz w:val="18"/>
                <w:szCs w:val="18"/>
                <w:b w:val="1"/>
                <w:bCs w:val="1"/>
                <w:color w:val="auto"/>
                <w:w w:val="88"/>
              </w:rPr>
              <w:t>Pennsylvania</w:t>
            </w:r>
          </w:p>
        </w:tc>
        <w:tc>
          <w:tcPr>
            <w:tcW w:w="3800" w:type="dxa"/>
            <w:vAlign w:val="bottom"/>
          </w:tcPr>
          <w:p>
            <w:pPr>
              <w:jc w:val="center"/>
              <w:ind w:right="102"/>
              <w:spacing w:after="0"/>
              <w:rPr>
                <w:sz w:val="20"/>
                <w:szCs w:val="20"/>
                <w:color w:val="auto"/>
              </w:rPr>
            </w:pPr>
            <w:r>
              <w:rPr>
                <w:rFonts w:ascii="Arial" w:cs="Arial" w:eastAsia="Arial" w:hAnsi="Arial"/>
                <w:sz w:val="18"/>
                <w:szCs w:val="18"/>
                <w:b w:val="1"/>
                <w:bCs w:val="1"/>
                <w:color w:val="auto"/>
                <w:w w:val="84"/>
              </w:rPr>
              <w:t>3411</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23-1526444</w:t>
            </w:r>
          </w:p>
        </w:tc>
      </w:tr>
      <w:tr>
        <w:trPr>
          <w:trHeight w:val="149"/>
        </w:trPr>
        <w:tc>
          <w:tcPr>
            <w:tcW w:w="300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822"/>
              <w:spacing w:after="0"/>
              <w:rPr>
                <w:sz w:val="20"/>
                <w:szCs w:val="20"/>
                <w:color w:val="auto"/>
              </w:rPr>
            </w:pPr>
            <w:r>
              <w:rPr>
                <w:rFonts w:ascii="Arial" w:cs="Arial" w:eastAsia="Arial" w:hAnsi="Arial"/>
                <w:sz w:val="14"/>
                <w:szCs w:val="14"/>
                <w:b w:val="1"/>
                <w:bCs w:val="1"/>
                <w:color w:val="auto"/>
                <w:w w:val="95"/>
              </w:rPr>
              <w:t>of Incorporation or Organization)</w:t>
            </w:r>
          </w:p>
        </w:tc>
        <w:tc>
          <w:tcPr>
            <w:tcW w:w="3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144780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Crown Holdings,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2" w:lineRule="exact"/>
        <w:rPr>
          <w:sz w:val="24"/>
          <w:szCs w:val="24"/>
          <w:color w:val="auto"/>
        </w:rPr>
      </w:pPr>
    </w:p>
    <w:p>
      <w:pPr>
        <w:ind w:left="1620"/>
        <w:spacing w:after="0"/>
        <w:rPr>
          <w:sz w:val="20"/>
          <w:szCs w:val="20"/>
          <w:color w:val="auto"/>
        </w:rPr>
      </w:pPr>
      <w:r>
        <w:rPr>
          <w:rFonts w:ascii="Arial" w:cs="Arial" w:eastAsia="Arial" w:hAnsi="Arial"/>
          <w:sz w:val="43"/>
          <w:szCs w:val="43"/>
          <w:b w:val="1"/>
          <w:bCs w:val="1"/>
          <w:color w:val="auto"/>
        </w:rPr>
        <w:t>CROWN AMERICAS CAPITAL CORP. VI</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000" w:type="dxa"/>
            <w:vAlign w:val="bottom"/>
          </w:tcPr>
          <w:p>
            <w:pPr>
              <w:jc w:val="center"/>
              <w:ind w:right="802"/>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right="102"/>
              <w:spacing w:after="0"/>
              <w:rPr>
                <w:sz w:val="20"/>
                <w:szCs w:val="20"/>
                <w:color w:val="auto"/>
              </w:rPr>
            </w:pPr>
            <w:r>
              <w:rPr>
                <w:rFonts w:ascii="Arial" w:cs="Arial" w:eastAsia="Arial" w:hAnsi="Arial"/>
                <w:sz w:val="18"/>
                <w:szCs w:val="18"/>
                <w:b w:val="1"/>
                <w:bCs w:val="1"/>
                <w:color w:val="auto"/>
                <w:w w:val="84"/>
              </w:rPr>
              <w:t>3411</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82-4071546</w:t>
            </w:r>
          </w:p>
        </w:tc>
      </w:tr>
      <w:tr>
        <w:trPr>
          <w:trHeight w:val="149"/>
        </w:trPr>
        <w:tc>
          <w:tcPr>
            <w:tcW w:w="300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822"/>
              <w:spacing w:after="0"/>
              <w:rPr>
                <w:sz w:val="20"/>
                <w:szCs w:val="20"/>
                <w:color w:val="auto"/>
              </w:rPr>
            </w:pPr>
            <w:r>
              <w:rPr>
                <w:rFonts w:ascii="Arial" w:cs="Arial" w:eastAsia="Arial" w:hAnsi="Arial"/>
                <w:sz w:val="14"/>
                <w:szCs w:val="14"/>
                <w:b w:val="1"/>
                <w:bCs w:val="1"/>
                <w:color w:val="auto"/>
                <w:w w:val="95"/>
              </w:rPr>
              <w:t>of Incorporation or Organization)</w:t>
            </w:r>
          </w:p>
        </w:tc>
        <w:tc>
          <w:tcPr>
            <w:tcW w:w="3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153670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Crown Holdings,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William T. Gallagher, Esquire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Table of Additional Registrants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172085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G. Lawlor, Esquire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Ian A. Hartman, Esquire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Cira Centre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2929 Arch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 994-4000</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Approximate date of commencement of proposed sale to public: As soon as practicable after this Registration Statement becomes effective.</w:t>
      </w:r>
    </w:p>
    <w:p>
      <w:pPr>
        <w:spacing w:after="0" w:line="129" w:lineRule="exact"/>
        <w:rPr>
          <w:sz w:val="20"/>
          <w:szCs w:val="20"/>
          <w:color w:val="auto"/>
        </w:rPr>
      </w:pPr>
    </w:p>
    <w:p>
      <w:pPr>
        <w:ind w:right="260" w:firstLine="441"/>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80" w:firstLine="441"/>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0"/>
          <w:szCs w:val="20"/>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8"/>
          <w:szCs w:val="18"/>
          <w:color w:val="auto"/>
        </w:rPr>
        <w: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ectPr>
          <w:pgSz w:w="11900" w:h="16838" w:orient="portrait"/>
          <w:cols w:equalWidth="0" w:num="1">
            <w:col w:w="11020"/>
          </w:cols>
          <w:pgMar w:left="440" w:top="121" w:right="439" w:bottom="1440" w:gutter="0" w:footer="0" w:header="0"/>
        </w:sectPr>
      </w:pPr>
    </w:p>
    <w:p>
      <w:pPr>
        <w:spacing w:after="0" w:line="13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Exchange Act Rule 13e-4(i) (Cross-Border Issuer Tender Offer)</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Exchange Act 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88900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0"/>
          <w:szCs w:val="20"/>
          <w:color w:val="auto"/>
        </w:rPr>
      </w:pPr>
    </w:p>
    <w:p>
      <w:pPr>
        <w:sectPr>
          <w:pgSz w:w="11900" w:h="16838" w:orient="portrait"/>
          <w:cols w:equalWidth="0" w:num="2">
            <w:col w:w="8380" w:space="720"/>
            <w:col w:w="1920"/>
          </w:cols>
          <w:pgMar w:left="440" w:top="121" w:right="439" w:bottom="1440" w:gutter="0" w:footer="0" w:header="0"/>
          <w:type w:val="continuous"/>
        </w:sectPr>
      </w:pPr>
    </w:p>
    <w:p>
      <w:pPr>
        <w:spacing w:after="0" w:line="43"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Additional Registrants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w:t>
            </w:r>
          </w:p>
        </w:tc>
        <w:tc>
          <w:tcPr>
            <w:tcW w:w="0" w:type="dxa"/>
            <w:vAlign w:val="bottom"/>
          </w:tcPr>
          <w:p>
            <w:pPr>
              <w:spacing w:after="0"/>
              <w:rPr>
                <w:sz w:val="1"/>
                <w:szCs w:val="1"/>
                <w:color w:val="auto"/>
              </w:rPr>
            </w:pPr>
          </w:p>
        </w:tc>
      </w:tr>
      <w:tr>
        <w:trPr>
          <w:trHeight w:val="149"/>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Exact Name of Additional Registrants</w:t>
            </w:r>
          </w:p>
        </w:tc>
        <w:tc>
          <w:tcPr>
            <w:tcW w:w="114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Identification</w:t>
            </w:r>
          </w:p>
        </w:tc>
        <w:tc>
          <w:tcPr>
            <w:tcW w:w="0" w:type="dxa"/>
            <w:vAlign w:val="bottom"/>
          </w:tcPr>
          <w:p>
            <w:pPr>
              <w:spacing w:after="0"/>
              <w:rPr>
                <w:sz w:val="1"/>
                <w:szCs w:val="1"/>
                <w:color w:val="auto"/>
              </w:rPr>
            </w:pPr>
          </w:p>
        </w:tc>
      </w:tr>
      <w:tr>
        <w:trPr>
          <w:trHeight w:val="178"/>
        </w:trPr>
        <w:tc>
          <w:tcPr>
            <w:tcW w:w="8700" w:type="dxa"/>
            <w:vAlign w:val="bottom"/>
            <w:gridSpan w:val="2"/>
            <w:vMerge w:val="continue"/>
          </w:tcPr>
          <w:p>
            <w:pPr>
              <w:spacing w:after="0"/>
              <w:rPr>
                <w:sz w:val="15"/>
                <w:szCs w:val="15"/>
                <w:color w:val="auto"/>
              </w:rPr>
            </w:pPr>
          </w:p>
        </w:tc>
        <w:tc>
          <w:tcPr>
            <w:tcW w:w="11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9"/>
        </w:trPr>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CROWN Beverage Packaging</w:t>
            </w:r>
          </w:p>
        </w:tc>
        <w:tc>
          <w:tcPr>
            <w:tcW w:w="6360" w:type="dxa"/>
            <w:vAlign w:val="bottom"/>
          </w:tcPr>
          <w:p>
            <w:pPr>
              <w:spacing w:after="0" w:line="189" w:lineRule="exact"/>
              <w:rPr>
                <w:sz w:val="20"/>
                <w:szCs w:val="20"/>
                <w:color w:val="auto"/>
              </w:rPr>
            </w:pPr>
            <w:r>
              <w:rPr>
                <w:rFonts w:ascii="Arial" w:cs="Arial" w:eastAsia="Arial" w:hAnsi="Arial"/>
                <w:sz w:val="18"/>
                <w:szCs w:val="18"/>
                <w:color w:val="auto"/>
              </w:rPr>
              <w:t>Puerto Rico, Inc.</w:t>
            </w: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Delaware</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Consultants,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23-2846356</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Cork &amp; Seal Company (DE),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Cork &amp; Seal Company,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23-1526444</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Financial Corporation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23-1603914</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International Holdings,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75-3099512</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Packaging Technology,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52-2006645</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Foreign Manufacturers Finance Corporation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51-0099971</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Cork &amp; Seal USA,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52-2006645</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 USA,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23-2162641</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Beverage Packaging,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13-2853410</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Kiwiplan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Ohio</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31-1610069</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Package Design and Manufacturing,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Michigan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45-5465698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Industrial Group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80-0935607</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Pickling Holding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US IP Holdings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46-5417288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Industrial Group US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46-5152538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Industrial Group Holdings US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46-5152404</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International IP Holdings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32-0453191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color w:val="auto"/>
        </w:rPr>
        <w:t>The address for service of each of the additional registrants is c/o Crown Holdings, Inc., 770 Township Line Road, Yardley, Pennsylvania, telephone (215) 698-5100. The primary industrial classifications number for each of the additional registrants is 3411.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This Amendment No. 1 to the Registration Statement on Form S-4 (File No. 333-228692) is being filed to incorporate additional documents filed by Crown Holdings, Inc. by reference pursuant to Item 11 of Part I of Form S-4.</w:t>
      </w:r>
    </w:p>
    <w:p>
      <w:pPr>
        <w:sectPr>
          <w:pgSz w:w="11900" w:h="16838" w:orient="portrait"/>
          <w:cols w:equalWidth="0" w:num="1">
            <w:col w:w="10900"/>
          </w:cols>
          <w:pgMar w:left="240" w:top="459" w:right="7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FF4338"/>
              </w:rPr>
              <w:t>, 2018</w:t>
            </w:r>
          </w:p>
        </w:tc>
      </w:tr>
    </w:tbl>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94615</wp:posOffset>
            </wp:positionV>
            <wp:extent cx="2752725"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LLC</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Capital Corp. VI</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175260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$875,000,000 4.750% Senior Notes due 2026 and related Guarantees for all outstanding</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4.750%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offer expires at 5:00 p.m., New York City time, on , 2019, unless extended. Crown Americas LLC (“Crown Americas”) and Crown Americas Capital Corp. VI (“Crown Americas Capital VI” and, together with Crown Americas, the “Issuers”) will exchange all old notes that are validly tendered and not validly withdrawn prior to the expiration of the exchange offer. You may withdraw tenders of old notes at any time before the exchange offer expires.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form and terms of the new notes will be identical in all material respects to the form and terms of the old notes, except that the new notes:</w:t>
      </w:r>
    </w:p>
    <w:p>
      <w:pPr>
        <w:spacing w:after="0" w:line="154" w:lineRule="exact"/>
        <w:rPr>
          <w:sz w:val="20"/>
          <w:szCs w:val="20"/>
          <w:color w:val="auto"/>
        </w:rPr>
      </w:pPr>
    </w:p>
    <w:p>
      <w:pPr>
        <w:ind w:left="1060" w:hanging="31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have been registered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bear restrictive legends restricting their transfer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 entitled to the registration rights that apply to the old notes;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contain provisions relating to increased interest rates in connection with the old notes under circumstances related to the timing of the exchange offer.</w:t>
      </w:r>
    </w:p>
    <w:p>
      <w:pPr>
        <w:spacing w:after="0" w:line="62" w:lineRule="exact"/>
        <w:rPr>
          <w:sz w:val="20"/>
          <w:szCs w:val="20"/>
          <w:color w:val="auto"/>
        </w:rPr>
      </w:pPr>
    </w:p>
    <w:p>
      <w:pPr>
        <w:jc w:val="both"/>
        <w:ind w:left="200" w:right="40" w:firstLine="441"/>
        <w:spacing w:after="0" w:line="291" w:lineRule="auto"/>
        <w:rPr>
          <w:sz w:val="20"/>
          <w:szCs w:val="20"/>
          <w:color w:val="auto"/>
        </w:rPr>
      </w:pPr>
      <w:r>
        <w:rPr>
          <w:rFonts w:ascii="Arial" w:cs="Arial" w:eastAsia="Arial" w:hAnsi="Arial"/>
          <w:sz w:val="16"/>
          <w:szCs w:val="16"/>
          <w:color w:val="auto"/>
        </w:rPr>
        <w:t>The new notes will be senior obligations of the issuers and initially will be guaranteed on a senior basis by their indirect parent, Crown Holdings, Inc. (“we” or “Crown”), and each of Crown’s U.S. subsidiaries (other than Crown Americas, Crown Americas Capital Corp., Crown Americas Capital Corp. II, Crown Americas Capital Corp. III, Crown Americas Capital Corp. IV, Crown Americas Capital Corp. V and Crown Americas Capital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issuers and the guarantors to the extent of the value of the assets securing such indebtedness and will be junior in right of payment to all indebtedness of Crown’s non-guarantor subsidiaries.</w:t>
      </w:r>
    </w:p>
    <w:p>
      <w:pPr>
        <w:spacing w:after="0" w:line="5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63" w:lineRule="exact"/>
        <w:rPr>
          <w:sz w:val="20"/>
          <w:szCs w:val="20"/>
          <w:color w:val="auto"/>
        </w:rPr>
      </w:pPr>
    </w:p>
    <w:p>
      <w:pPr>
        <w:ind w:left="200" w:right="680" w:firstLine="441"/>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2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 for a discussion of risks that should be considered by holders prior to tendering their old notes.</w:t>
      </w:r>
    </w:p>
    <w:p>
      <w:pPr>
        <w:spacing w:after="0" w:line="68" w:lineRule="exact"/>
        <w:rPr>
          <w:sz w:val="20"/>
          <w:szCs w:val="20"/>
          <w:color w:val="auto"/>
        </w:rPr>
      </w:pPr>
    </w:p>
    <w:p>
      <w:pPr>
        <w:ind w:left="200" w:right="1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3"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2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160" w:type="dxa"/>
            <w:vAlign w:val="bottom"/>
            <w:gridSpan w:val="14"/>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68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Forward-Looking Statements</w:t>
              </w:r>
            </w:hyperlink>
          </w:p>
        </w:tc>
        <w:tc>
          <w:tcPr>
            <w:tcW w:w="2040" w:type="dxa"/>
            <w:vAlign w:val="bottom"/>
            <w:gridSpan w:val="5"/>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Use of Proceeds</w:t>
              </w:r>
            </w:hyperlink>
          </w:p>
        </w:tc>
        <w:tc>
          <w:tcPr>
            <w:tcW w:w="2980" w:type="dxa"/>
            <w:vAlign w:val="bottom"/>
            <w:gridSpan w:val="8"/>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Capitalization</w:t>
              </w:r>
            </w:hyperlink>
          </w:p>
        </w:tc>
        <w:tc>
          <w:tcPr>
            <w:tcW w:w="3140" w:type="dxa"/>
            <w:vAlign w:val="bottom"/>
            <w:gridSpan w:val="9"/>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Selected Historical Financial Data</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Certain Indebtedness</w:t>
              </w:r>
            </w:hyperlink>
          </w:p>
        </w:tc>
        <w:tc>
          <w:tcPr>
            <w:tcW w:w="1560" w:type="dxa"/>
            <w:vAlign w:val="bottom"/>
            <w:gridSpan w:val="3"/>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The Exchange Offer</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Description of the Notes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Certain Material U.S. Federal Income Tax Considerations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Plan of Distribution</w:t>
              </w:r>
            </w:hyperlink>
          </w:p>
        </w:tc>
        <w:tc>
          <w:tcPr>
            <w:tcW w:w="2700" w:type="dxa"/>
            <w:vAlign w:val="bottom"/>
            <w:gridSpan w:val="7"/>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Legal Matters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3160" w:type="dxa"/>
            <w:vAlign w:val="bottom"/>
            <w:gridSpan w:val="10"/>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Where You Can Find Additional Information</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24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Incorporation of Documents by Reference</w:t>
              </w:r>
            </w:hyperlink>
          </w:p>
        </w:tc>
        <w:tc>
          <w:tcPr>
            <w:tcW w:w="920" w:type="dxa"/>
            <w:vAlign w:val="bottom"/>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w:t>
      </w:r>
    </w:p>
    <w:p>
      <w:pPr>
        <w:spacing w:after="0" w:line="1" w:lineRule="exact"/>
        <w:rPr>
          <w:sz w:val="20"/>
          <w:szCs w:val="20"/>
          <w:color w:val="auto"/>
        </w:rPr>
      </w:pPr>
    </w:p>
    <w:p>
      <w:pPr>
        <w:ind w:left="200"/>
        <w:spacing w:after="0"/>
        <w:tabs>
          <w:tab w:leader="none" w:pos="6900" w:val="left"/>
        </w:tabs>
        <w:rPr>
          <w:sz w:val="20"/>
          <w:szCs w:val="20"/>
          <w:color w:val="auto"/>
        </w:rPr>
      </w:pPr>
      <w:r>
        <w:rPr>
          <w:rFonts w:ascii="Arial" w:cs="Arial" w:eastAsia="Arial" w:hAnsi="Arial"/>
          <w:sz w:val="18"/>
          <w:szCs w:val="18"/>
          <w:b w:val="1"/>
          <w:bCs w:val="1"/>
          <w:color w:val="auto"/>
        </w:rPr>
        <w:t>later than five business days before the expiration date. The expiration date is</w:t>
      </w:r>
      <w:r>
        <w:rPr>
          <w:sz w:val="20"/>
          <w:szCs w:val="20"/>
          <w:color w:val="auto"/>
        </w:rPr>
        <w:tab/>
      </w:r>
      <w:r>
        <w:rPr>
          <w:rFonts w:ascii="Arial" w:cs="Arial" w:eastAsia="Arial" w:hAnsi="Arial"/>
          <w:sz w:val="16"/>
          <w:szCs w:val="16"/>
          <w:b w:val="1"/>
          <w:bCs w:val="1"/>
          <w:color w:val="auto"/>
        </w:rPr>
        <w:t>, 2019. See “Incorporation of Documents by Reference.”</w:t>
      </w:r>
    </w:p>
    <w:p>
      <w:pPr>
        <w:spacing w:after="0" w:line="207" w:lineRule="exact"/>
        <w:rPr>
          <w:sz w:val="20"/>
          <w:szCs w:val="20"/>
          <w:color w:val="auto"/>
        </w:rPr>
      </w:pPr>
    </w:p>
    <w:p>
      <w:pPr>
        <w:ind w:left="200" w:right="40" w:firstLine="441"/>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Crown Americas, Crown Americas Capital VI nor Crown has authorized anyone to provide you with information that is different. If anyone provides you with different or inconsistent information, you should not rely on it. Neither Crown Americas, Crown Americas Capital VI nor Crown is making an offer to sell these securities in any jurisdiction where the offer or sale is not permitted, where the person making the offer is not qualified to do so, or to any person who cannot legally be offered the securities.</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distribution of this prospectus and the offer or sale of the new notes may be restricted by law in certain jurisdictions. Persons who possess this prospectus must inform themselves about, and observe, any such restrictions. See “Plan of Distribution.” None of Crown Americas, Crown Americas Capital VI, Crown 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none of Crown Americas, Crown Americas Capital VI, Crown or any of their respective representatives shall have any responsibility therefor.</w:t>
      </w:r>
    </w:p>
    <w:p>
      <w:pPr>
        <w:spacing w:after="0" w:line="19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MARKETS, RANKING AND OTHER DATA</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52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4952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100" w:firstLine="426"/>
        <w:spacing w:after="0" w:line="284" w:lineRule="auto"/>
        <w:rPr>
          <w:sz w:val="20"/>
          <w:szCs w:val="20"/>
          <w:color w:val="auto"/>
        </w:rPr>
      </w:pPr>
      <w:r>
        <w:rPr>
          <w:rFonts w:ascii="Arial" w:cs="Arial" w:eastAsia="Arial" w:hAnsi="Arial"/>
          <w:sz w:val="16"/>
          <w:szCs w:val="16"/>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“Crown Americas Capital VI” refers to Crown Americas Capital Corp. VI and not its subsidiaries; (vi) “Signode” refers collectively to Signode Industrial Group Holdings (Bermuda) Ltd. and its subsidiaries on a consolidated basis;</w:t>
      </w:r>
    </w:p>
    <w:p>
      <w:pPr>
        <w:spacing w:after="0" w:line="3" w:lineRule="exact"/>
        <w:rPr>
          <w:sz w:val="20"/>
          <w:szCs w:val="20"/>
          <w:color w:val="auto"/>
        </w:rPr>
      </w:pPr>
    </w:p>
    <w:p>
      <w:pPr>
        <w:ind w:left="380" w:right="140" w:firstLine="6"/>
        <w:spacing w:after="0" w:line="255" w:lineRule="auto"/>
        <w:tabs>
          <w:tab w:leader="none" w:pos="72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“old notes” refers to the $875 million aggregate principal amount of 4.750% Senior Notes due 2026 issued on January 26, 2018; (viii) “new notes” refers to the $875 million aggregate principal amount of 4.750% Senior Notes due 2026 offered in exchange for the old notes pursuant to this prospectus; and (ix) “notes” refers collectively to the old notes and the new notes.</w:t>
      </w: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Crown Holdings, Inc.</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Crown is a worldwide leader in the design, manufacture and sale of packaging products for consumer goods. Crown’s primary products include steel and aluminum cans for food, beverage, household and other consumer products, glass bottles for beverage products and metal vacuum closures and caps. These products are manufactured in Crown’s plants both within and outside the United States and are sold through Crown’s sales organization to the soft drink, food, citrus, brewing, household products, personal care and various other industries. At December 31, 2017, Crown operated 143 plants along with sales and service facilities throughout 36 countries and had approximately 24,000 employees. Consolidated net sales for Crown in 2017 were $8.7 billion with 78% derived from operations outside the U.S.</w:t>
      </w:r>
    </w:p>
    <w:p>
      <w:pPr>
        <w:spacing w:after="0" w:line="178"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 xml:space="preserve">Crown is a Pennsylvania corporation. Crown’s principal executive offices are located at 770 Township Line Road, Yardley, Pennsylvania, 19104, and its telephone number is (215) 698-5100. Crown Cork is a Pennsylvania corporation. Crown Americas (formerly known as Crown Americas, Inc.) is a Pennsylvania limited liability company. Crown Americas Capital VI is a Delaware corporation. Crown European Holdings (formerly known as CarnaudMetalbox SA)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 Each of Crown Americas, Crown Americas Capital VI and Crown European Holdings is an indirect, wholly-owned subsidiary of Crown, and Crown Cork is a direct, wholly-owned subsidiary of Crown.</w:t>
      </w:r>
    </w:p>
    <w:p>
      <w:pPr>
        <w:spacing w:after="0" w:line="193"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On April 3, 2018, Crown completed its acquisition of Signode Industrial Group Holdings (Bermuda) Ltd., a leading global provider of transit packaging systems and solutions. The net proceeds from the offering of the old notes were used, together with other available funds, to pay the cash consideration for this acquisition, refinance Signode’s existing indebtedness and pay costs and expenses related to the foregoing. See “Use of Proceeds.”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following chart shows a summary of Crown’s current organizational structure, as well as the applicable obligors under the notes, other outstanding notes, and Crown’s senior secured credit facilities as of the date of this prospectus. Crown may modify this corporate structure in the future, subject to the covenants in the indenture governing the notes and compliance with the agreements governing Crown’s other outstanding indebtedness. The new notes offered hereby in exchange for the old notes are unsecured and guaranteed by Crown and each of Crown’s U.S. subsidiaries that guarantees obligations under Crown’s senior secured credit facilities (other than Crown Americas, Crown Americas Capital Corp., Crown Americas Capital Corp. II, Crown Americas Capital Corp. III, Crown Americas Capital Corp. IV, Crown Americas Capital Corp. V and Crown Americas Capital VI).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0" w:hanging="41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Guarantor of outstanding debentures of Crown Cork.</w:t>
      </w:r>
    </w:p>
    <w:p>
      <w:pPr>
        <w:spacing w:after="0" w:line="23" w:lineRule="exact"/>
        <w:rPr>
          <w:rFonts w:ascii="Arial" w:cs="Arial" w:eastAsia="Arial" w:hAnsi="Arial"/>
          <w:sz w:val="18"/>
          <w:szCs w:val="18"/>
          <w:color w:val="auto"/>
        </w:rPr>
      </w:pPr>
    </w:p>
    <w:p>
      <w:pPr>
        <w:ind w:left="800" w:right="640" w:hanging="414"/>
        <w:spacing w:after="0" w:line="26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Guarantors of outstanding senior notes and senior secured credit facilities of Crown European Holdings and its subsidiaries, with the exception of certain of Signode’s subsidiaries organized under the laws of Spain and the Netherlands.</w:t>
      </w:r>
    </w:p>
    <w:p>
      <w:pPr>
        <w:ind w:left="800" w:right="300" w:hanging="414"/>
        <w:spacing w:after="0" w:line="25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Guarantors of the outstanding notes of Crown Americas LLC, Crown Americas Capital Corp. VI and the notes offered to be exchanged hereby, with the exception of the following U.S. subsidiaries: Crown Americas, Crown Americas Capital Corp., Crown Americas Capital Corp. II, Crown Americas Capital Corp. III, Crown Americas Capital Corp. IV, Crown Americas Capital Corp. V and Crown Americas Capital VI.</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836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836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hanging="414"/>
        <w:spacing w:after="0" w:line="25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Signode Industrial Group Holdings U.S. Inc., one of Signode’s U.S. subsidiaries and the direct parent entity of Signode Industrial Group US Inc., is a guarantor under all loans (both foreign and U.S.) under Crown’s credit agreement.</w:t>
      </w:r>
    </w:p>
    <w:p>
      <w:pPr>
        <w:spacing w:after="0" w:line="1" w:lineRule="exact"/>
        <w:rPr>
          <w:rFonts w:ascii="Arial" w:cs="Arial" w:eastAsia="Arial" w:hAnsi="Arial"/>
          <w:sz w:val="18"/>
          <w:szCs w:val="18"/>
          <w:color w:val="auto"/>
        </w:rPr>
      </w:pPr>
    </w:p>
    <w:p>
      <w:pPr>
        <w:ind w:left="800" w:hanging="41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 Metal Packaging Canada LP serves as the Canadian borrower.</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Guarantors of all loans (both foreign and U.S.) under Crown’s credit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240" w:top="459" w:right="7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380" w:right="460" w:firstLine="426"/>
        <w:spacing w:after="0" w:line="264" w:lineRule="auto"/>
        <w:rPr>
          <w:sz w:val="20"/>
          <w:szCs w:val="20"/>
          <w:color w:val="auto"/>
        </w:rPr>
      </w:pPr>
      <w:r>
        <w:rPr>
          <w:rFonts w:ascii="Arial" w:cs="Arial" w:eastAsia="Arial" w:hAnsi="Arial"/>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81" w:lineRule="exact"/>
        <w:rPr>
          <w:sz w:val="20"/>
          <w:szCs w:val="20"/>
          <w:color w:val="auto"/>
        </w:rPr>
      </w:pPr>
    </w:p>
    <w:p>
      <w:pPr>
        <w:ind w:left="380" w:right="320" w:firstLine="426"/>
        <w:spacing w:after="0" w:line="264" w:lineRule="auto"/>
        <w:rPr>
          <w:sz w:val="20"/>
          <w:szCs w:val="20"/>
          <w:color w:val="auto"/>
        </w:rPr>
      </w:pPr>
      <w:r>
        <w:rPr>
          <w:rFonts w:ascii="Arial" w:cs="Arial" w:eastAsia="Arial" w:hAnsi="Arial"/>
          <w:sz w:val="18"/>
          <w:szCs w:val="18"/>
          <w:color w:val="auto"/>
        </w:rPr>
        <w:t>On January 26, 2018, we issued and sold $875,000,000 of 4.750% Senior Notes due 2026. In connection with this sale, we entered into a separate registration rights agreement with the initial purchasers of the old notes in which we agreed to deliver this prospectus to you and to complete an exchange offer for the old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Notes Offered</w:t>
            </w:r>
          </w:p>
        </w:tc>
        <w:tc>
          <w:tcPr>
            <w:tcW w:w="6420" w:type="dxa"/>
            <w:vAlign w:val="bottom"/>
          </w:tcPr>
          <w:p>
            <w:pPr>
              <w:ind w:left="600"/>
              <w:spacing w:after="0"/>
              <w:rPr>
                <w:sz w:val="20"/>
                <w:szCs w:val="20"/>
                <w:color w:val="auto"/>
              </w:rPr>
            </w:pPr>
            <w:r>
              <w:rPr>
                <w:rFonts w:ascii="Arial" w:cs="Arial" w:eastAsia="Arial" w:hAnsi="Arial"/>
                <w:sz w:val="18"/>
                <w:szCs w:val="18"/>
                <w:color w:val="auto"/>
              </w:rPr>
              <w:t>$875,000,000 of 4.750% Senior Notes due 2026.</w:t>
            </w:r>
          </w:p>
        </w:tc>
        <w:tc>
          <w:tcPr>
            <w:tcW w:w="76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The issuance of the new notes will be registered under the Securities Act. The terms of the</w:t>
            </w:r>
          </w:p>
        </w:tc>
      </w:tr>
      <w:tr>
        <w:trPr>
          <w:trHeight w:val="216"/>
        </w:trPr>
        <w:tc>
          <w:tcPr>
            <w:tcW w:w="3440" w:type="dxa"/>
            <w:vAlign w:val="bottom"/>
          </w:tcPr>
          <w:p>
            <w:pPr>
              <w:spacing w:after="0"/>
              <w:rPr>
                <w:sz w:val="18"/>
                <w:szCs w:val="18"/>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w w:val="91"/>
              </w:rPr>
              <w:t>new notes and old notes are identical in all material respects, except for transfer</w:t>
            </w:r>
          </w:p>
        </w:tc>
        <w:tc>
          <w:tcPr>
            <w:tcW w:w="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4"/>
              </w:rPr>
              <w:t>restrictions, registration rights relating to the old notes and certain provisions relating to</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increased interest rates in connection with the old notes under circumstances related to the</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timing of the exchange offer. You are urged to read the discussions under the heading “The</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w w:val="95"/>
              </w:rPr>
              <w:t>New Notes” in this Summary for further information regarding the new notes.</w:t>
            </w:r>
          </w:p>
        </w:tc>
        <w:tc>
          <w:tcPr>
            <w:tcW w:w="76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The Exchange Offer</w:t>
            </w: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7"/>
              </w:rPr>
              <w:t>We are offering to exchange the new notes for up to $875 million aggregate principal</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rPr>
              <w:t>amount of the old notes.</w:t>
            </w:r>
          </w:p>
        </w:tc>
        <w:tc>
          <w:tcPr>
            <w:tcW w:w="760" w:type="dxa"/>
            <w:vAlign w:val="bottom"/>
          </w:tcPr>
          <w:p>
            <w:pPr>
              <w:spacing w:after="0"/>
              <w:rPr>
                <w:sz w:val="20"/>
                <w:szCs w:val="20"/>
                <w:color w:val="auto"/>
              </w:rPr>
            </w:pPr>
          </w:p>
        </w:tc>
      </w:tr>
      <w:tr>
        <w:trPr>
          <w:trHeight w:val="323"/>
        </w:trPr>
        <w:tc>
          <w:tcPr>
            <w:tcW w:w="3440" w:type="dxa"/>
            <w:vAlign w:val="bottom"/>
          </w:tcPr>
          <w:p>
            <w:pPr>
              <w:spacing w:after="0"/>
              <w:rPr>
                <w:sz w:val="24"/>
                <w:szCs w:val="24"/>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1"/>
              </w:rPr>
              <w:t>Old notes may be exchanged only in denominations of $2,000 and any integral multiple of</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2"/>
              </w:rPr>
              <w:t>$1,000 in excess thereof. In this prospectus, the term “exchange offer” means this offer to</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1"/>
              </w:rPr>
              <w:t>exchange new notes for old notes in accordance with the terms set forth in this prospectus</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1"/>
              </w:rPr>
              <w:t>and the accompanying letter of transmittal. You are entitled to exchange your old notes for</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rPr>
              <w:t>new notes.</w:t>
            </w:r>
          </w:p>
        </w:tc>
        <w:tc>
          <w:tcPr>
            <w:tcW w:w="76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Expiration Date; Withdrawal of Tender</w:t>
            </w:r>
          </w:p>
        </w:tc>
        <w:tc>
          <w:tcPr>
            <w:tcW w:w="6420" w:type="dxa"/>
            <w:vAlign w:val="bottom"/>
          </w:tcPr>
          <w:p>
            <w:pPr>
              <w:ind w:left="600"/>
              <w:spacing w:after="0"/>
              <w:rPr>
                <w:sz w:val="20"/>
                <w:szCs w:val="20"/>
                <w:color w:val="auto"/>
              </w:rPr>
            </w:pPr>
            <w:r>
              <w:rPr>
                <w:rFonts w:ascii="Arial" w:cs="Arial" w:eastAsia="Arial" w:hAnsi="Arial"/>
                <w:sz w:val="18"/>
                <w:szCs w:val="18"/>
                <w:color w:val="auto"/>
              </w:rPr>
              <w:t>The exchange offer will expire at 5:00 p.m., New York City time, on</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 2019, or</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8"/>
              </w:rPr>
              <w:t>such later date and time to which it may be extended by us. The tender of old notes</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pursuant to the exchange offer may be withdrawn at any time prior to the expiration date of</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9"/>
              </w:rPr>
              <w:t>the exchange offer. Any old notes not accepted for exchange for any reason will be</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4"/>
              </w:rPr>
              <w:t>returned without expense to the tendering holder thereof promptly after the expiration or</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rPr>
              <w:t>termination of the exchange offer.</w:t>
            </w:r>
          </w:p>
        </w:tc>
        <w:tc>
          <w:tcPr>
            <w:tcW w:w="76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Conditions to the Exchange Offer</w:t>
            </w: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Our obligation to accept for exchange, or to issue new notes in exchange for, any old notes</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4"/>
              </w:rPr>
              <w:t>is subject to customary conditions relating to compliance with any applicable law or any</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6"/>
              </w:rPr>
              <w:t>applicable interpretation by the staff of the Securities and Exchange Commission, the</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8"/>
              </w:rPr>
              <w:t>receipt of any applicable governmental approvals and the absence of any actions or</w:t>
            </w:r>
          </w:p>
        </w:tc>
      </w:tr>
      <w:tr>
        <w:trPr>
          <w:trHeight w:val="230"/>
        </w:trPr>
        <w:tc>
          <w:tcPr>
            <w:tcW w:w="3440" w:type="dxa"/>
            <w:vAlign w:val="bottom"/>
          </w:tcPr>
          <w:p>
            <w:pPr>
              <w:spacing w:after="0"/>
              <w:rPr>
                <w:sz w:val="20"/>
                <w:szCs w:val="20"/>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5"/>
              </w:rPr>
              <w:t>proceedings of any governmental agency or court which could materially impair Crown</w:t>
            </w:r>
          </w:p>
        </w:tc>
      </w:tr>
    </w:tbl>
    <w:p>
      <w:pPr>
        <w:ind w:left="4420" w:right="80"/>
        <w:spacing w:after="0" w:line="261" w:lineRule="auto"/>
        <w:rPr>
          <w:sz w:val="20"/>
          <w:szCs w:val="20"/>
          <w:color w:val="auto"/>
        </w:rPr>
      </w:pPr>
      <w:r>
        <w:rPr>
          <w:rFonts w:ascii="Arial" w:cs="Arial" w:eastAsia="Arial" w:hAnsi="Arial"/>
          <w:sz w:val="18"/>
          <w:szCs w:val="18"/>
          <w:color w:val="auto"/>
        </w:rPr>
        <w:t>Americas’ or Crown Americas Capital VI’s ability to consummate the exchange offer. See “The Exchange Offer—Conditions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 Old Notes</w:t>
            </w:r>
          </w:p>
        </w:tc>
        <w:tc>
          <w:tcPr>
            <w:tcW w:w="7400" w:type="dxa"/>
            <w:vAlign w:val="bottom"/>
            <w:tcBorders>
              <w:top w:val="single" w:sz="8" w:color="auto"/>
              <w:right w:val="single" w:sz="8" w:color="auto"/>
            </w:tcBorders>
            <w:gridSpan w:val="2"/>
          </w:tcPr>
          <w:p>
            <w:pPr>
              <w:ind w:left="580"/>
              <w:spacing w:after="0"/>
              <w:rPr>
                <w:sz w:val="20"/>
                <w:szCs w:val="20"/>
                <w:color w:val="auto"/>
              </w:rPr>
            </w:pPr>
            <w:r>
              <w:rPr>
                <w:rFonts w:ascii="Arial" w:cs="Arial" w:eastAsia="Arial" w:hAnsi="Arial"/>
                <w:sz w:val="18"/>
                <w:szCs w:val="18"/>
                <w:color w:val="auto"/>
              </w:rPr>
              <w:t>If you wish to accept the exchange offer and tender your old notes, you must either:</w:t>
            </w:r>
          </w:p>
        </w:tc>
      </w:tr>
      <w:tr>
        <w:trPr>
          <w:trHeight w:val="337"/>
        </w:trPr>
        <w:tc>
          <w:tcPr>
            <w:tcW w:w="3640" w:type="dxa"/>
            <w:vAlign w:val="bottom"/>
            <w:tcBorders>
              <w:left w:val="single" w:sz="8" w:color="auto"/>
            </w:tcBorders>
          </w:tcPr>
          <w:p>
            <w:pPr>
              <w:spacing w:after="0"/>
              <w:rPr>
                <w:sz w:val="24"/>
                <w:szCs w:val="24"/>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Transmittal, in accordance with its instructions and the instructions in this prospectus,</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and mail or otherwise deliver such Letter of Transmittal, or the facsimile, together</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with the old notes and any other required documentation, to the exchange agent at the</w:t>
            </w:r>
          </w:p>
        </w:tc>
      </w:tr>
      <w:tr>
        <w:trPr>
          <w:trHeight w:val="230"/>
        </w:trPr>
        <w:tc>
          <w:tcPr>
            <w:tcW w:w="36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address set forth herein; or</w:t>
            </w:r>
          </w:p>
        </w:tc>
      </w:tr>
      <w:tr>
        <w:trPr>
          <w:trHeight w:val="323"/>
        </w:trPr>
        <w:tc>
          <w:tcPr>
            <w:tcW w:w="3640" w:type="dxa"/>
            <w:vAlign w:val="bottom"/>
            <w:tcBorders>
              <w:left w:val="single" w:sz="8" w:color="auto"/>
            </w:tcBorders>
          </w:tcPr>
          <w:p>
            <w:pPr>
              <w:spacing w:after="0"/>
              <w:rPr>
                <w:sz w:val="24"/>
                <w:szCs w:val="24"/>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if old notes are tendered pursuant to book-entry procedures, the tendering holder must</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arrange with the Depository Trust Company, or DTC, to cause an agent’s message to</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be transmitted through DTC’s Automated Tender Offer Program System with the</w:t>
            </w:r>
          </w:p>
        </w:tc>
      </w:tr>
      <w:tr>
        <w:trPr>
          <w:trHeight w:val="230"/>
        </w:trPr>
        <w:tc>
          <w:tcPr>
            <w:tcW w:w="36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required information (including a book-entry confirmation) to the exchange agent.</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5"/>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6"/>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7"/>
              </w:rPr>
              <w:t>activities or other trading activities, must acknowledge that it will deliver a prospectus in</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We will not receive any proceeds from the exchange offer. See “Use of Proceeds.”</w:t>
            </w:r>
          </w:p>
        </w:tc>
      </w:tr>
      <w:tr>
        <w:trPr>
          <w:trHeight w:val="458"/>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7"/>
              </w:rPr>
              <w:t>U.S. Bank National Association is serving as the exchange agent in connection with the</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exchange offer.</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Federal Income Tax Consequences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6"/>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8"/>
              </w:rPr>
              <w:t>taxable event for U.S. federal income tax purposes. See “Certain Material U.S. Federal</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Income Tax Considerations.”</w:t>
            </w:r>
          </w:p>
        </w:tc>
      </w:tr>
      <w:tr>
        <w:trPr>
          <w:trHeight w:val="240"/>
        </w:trPr>
        <w:tc>
          <w:tcPr>
            <w:tcW w:w="364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460" w:type="dxa"/>
            <w:vAlign w:val="bottom"/>
            <w:tcBorders>
              <w:bottom w:val="single" w:sz="8" w:color="auto"/>
              <w:right w:val="single" w:sz="8" w:color="auto"/>
            </w:tcBorders>
          </w:tcPr>
          <w:p>
            <w:pPr>
              <w:spacing w:after="0"/>
              <w:rPr>
                <w:sz w:val="20"/>
                <w:szCs w:val="20"/>
                <w:color w:val="auto"/>
              </w:rPr>
            </w:pPr>
          </w:p>
        </w:tc>
      </w:tr>
      <w:tr>
        <w:trPr>
          <w:trHeight w:val="604"/>
        </w:trPr>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60" w:type="dxa"/>
            <w:vAlign w:val="bottom"/>
          </w:tcPr>
          <w:p>
            <w:pPr>
              <w:ind w:left="8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9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5509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Consequences of Exchanging Old Notes Pursuant to the Exchange Offer</w:t>
      </w:r>
    </w:p>
    <w:p>
      <w:pPr>
        <w:spacing w:after="0" w:line="229"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Based on certain interpretive letters issued by the staff of the Securities and Exchange Commission to third parties in unrelated transactions, Crown Americas and Crown Americas Capital VI are of the view that holders of old notes (other than any holder who is an “affiliate” of the issuers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provided that:</w:t>
      </w:r>
    </w:p>
    <w:p>
      <w:pPr>
        <w:spacing w:after="0" w:line="94" w:lineRule="exact"/>
        <w:rPr>
          <w:sz w:val="20"/>
          <w:szCs w:val="20"/>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notes are acquired in the ordinary course of the holders’ business;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holders have no arrangement or understanding with any person to participate in a distribution of the new notes;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89"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76" w:lineRule="exact"/>
        <w:rPr>
          <w:sz w:val="20"/>
          <w:szCs w:val="20"/>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is not permitted by applicable law or SEC policy,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is not completed within 360 days of the issue date of the old notes, or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the exchange offer:</w:t>
      </w:r>
    </w:p>
    <w:p>
      <w:pPr>
        <w:spacing w:after="0" w:line="130" w:lineRule="exact"/>
        <w:rPr>
          <w:rFonts w:ascii="Arial" w:cs="Arial" w:eastAsia="Arial" w:hAnsi="Arial"/>
          <w:sz w:val="18"/>
          <w:szCs w:val="18"/>
          <w:color w:val="auto"/>
        </w:rPr>
      </w:pPr>
    </w:p>
    <w:p>
      <w:pPr>
        <w:ind w:left="1740" w:right="200" w:hanging="408"/>
        <w:spacing w:after="0" w:line="277" w:lineRule="auto"/>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75" w:lineRule="exact"/>
        <w:rPr>
          <w:rFonts w:ascii="Arial" w:cs="Arial" w:eastAsia="Arial" w:hAnsi="Arial"/>
          <w:sz w:val="18"/>
          <w:szCs w:val="18"/>
          <w:color w:val="auto"/>
        </w:rPr>
      </w:pPr>
    </w:p>
    <w:p>
      <w:pPr>
        <w:ind w:left="1740" w:hanging="408"/>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the exchange offer; or</w:t>
      </w:r>
    </w:p>
    <w:p>
      <w:pPr>
        <w:spacing w:after="0" w:line="130" w:lineRule="exact"/>
        <w:rPr>
          <w:rFonts w:ascii="Arial" w:cs="Arial" w:eastAsia="Arial" w:hAnsi="Arial"/>
          <w:sz w:val="18"/>
          <w:szCs w:val="18"/>
          <w:color w:val="auto"/>
        </w:rPr>
      </w:pPr>
    </w:p>
    <w:p>
      <w:pPr>
        <w:ind w:left="1740" w:right="540" w:hanging="408"/>
        <w:spacing w:after="0" w:line="277" w:lineRule="auto"/>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initial purchaser of the old notes notifies us that it will not receive freely tradable new notes in exchange for old notes constituting any portion of an unsold allotment.</w:t>
      </w:r>
    </w:p>
    <w:p>
      <w:pPr>
        <w:spacing w:after="0" w:line="170" w:lineRule="exact"/>
        <w:rPr>
          <w:sz w:val="20"/>
          <w:szCs w:val="20"/>
          <w:color w:val="auto"/>
        </w:rPr>
      </w:pPr>
    </w:p>
    <w:p>
      <w:pPr>
        <w:jc w:val="both"/>
        <w:ind w:left="380" w:right="500" w:firstLine="426"/>
        <w:spacing w:after="0" w:line="264" w:lineRule="auto"/>
        <w:rPr>
          <w:sz w:val="20"/>
          <w:szCs w:val="20"/>
          <w:color w:val="auto"/>
        </w:rPr>
      </w:pPr>
      <w:r>
        <w:rPr>
          <w:rFonts w:ascii="Arial" w:cs="Arial" w:eastAsia="Arial" w:hAnsi="Arial"/>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New Notes</w:t>
      </w:r>
    </w:p>
    <w:p>
      <w:pPr>
        <w:spacing w:after="0" w:line="229" w:lineRule="exact"/>
        <w:rPr>
          <w:sz w:val="20"/>
          <w:szCs w:val="20"/>
          <w:color w:val="auto"/>
        </w:rPr>
      </w:pPr>
    </w:p>
    <w:p>
      <w:pPr>
        <w:jc w:val="both"/>
        <w:ind w:left="380" w:right="340" w:firstLine="426"/>
        <w:spacing w:after="0" w:line="264" w:lineRule="auto"/>
        <w:rPr>
          <w:sz w:val="20"/>
          <w:szCs w:val="20"/>
          <w:color w:val="auto"/>
        </w:rPr>
      </w:pPr>
      <w:r>
        <w:rPr>
          <w:rFonts w:ascii="Arial" w:cs="Arial" w:eastAsia="Arial" w:hAnsi="Arial"/>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Issuers</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7"/>
              </w:rPr>
              <w:t>Crown Americas LLC, a Pennsylvania limited liability company, and Crown Americas</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Capital Corp. VI, a Delaware corporation.</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Notes Offered</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$875,000,000 principal amount of 4.750% of Senior Notes due 2026.</w:t>
            </w:r>
          </w:p>
        </w:tc>
      </w:tr>
      <w:tr>
        <w:trPr>
          <w:trHeight w:val="473"/>
        </w:trPr>
        <w:tc>
          <w:tcPr>
            <w:tcW w:w="2920" w:type="dxa"/>
            <w:vAlign w:val="bottom"/>
          </w:tcPr>
          <w:p>
            <w:pPr>
              <w:spacing w:after="0"/>
              <w:rPr>
                <w:sz w:val="20"/>
                <w:szCs w:val="20"/>
                <w:color w:val="auto"/>
              </w:rPr>
            </w:pPr>
            <w:r>
              <w:rPr>
                <w:rFonts w:ascii="Arial" w:cs="Arial" w:eastAsia="Arial" w:hAnsi="Arial"/>
                <w:sz w:val="18"/>
                <w:szCs w:val="18"/>
                <w:color w:val="auto"/>
              </w:rPr>
              <w:t>Maturity</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February 1, 2026.</w:t>
            </w:r>
          </w:p>
        </w:tc>
      </w:tr>
      <w:tr>
        <w:trPr>
          <w:trHeight w:val="458"/>
        </w:trPr>
        <w:tc>
          <w:tcPr>
            <w:tcW w:w="2920" w:type="dxa"/>
            <w:vAlign w:val="bottom"/>
          </w:tcPr>
          <w:p>
            <w:pPr>
              <w:spacing w:after="0"/>
              <w:rPr>
                <w:sz w:val="20"/>
                <w:szCs w:val="20"/>
                <w:color w:val="auto"/>
              </w:rPr>
            </w:pPr>
            <w:r>
              <w:rPr>
                <w:rFonts w:ascii="Arial" w:cs="Arial" w:eastAsia="Arial" w:hAnsi="Arial"/>
                <w:sz w:val="18"/>
                <w:szCs w:val="18"/>
                <w:color w:val="auto"/>
              </w:rPr>
              <w:t>Interest</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0"/>
              </w:rPr>
              <w:t>Interest on the new notes will accrue from and including the issue date of the old notes and</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1"/>
              </w:rPr>
              <w:t>will be payable on February 1 and August 1 of each year commencing on August 1, 2018.</w:t>
            </w:r>
          </w:p>
        </w:tc>
      </w:tr>
      <w:tr>
        <w:trPr>
          <w:trHeight w:val="445"/>
        </w:trPr>
        <w:tc>
          <w:tcPr>
            <w:tcW w:w="2920" w:type="dxa"/>
            <w:vAlign w:val="bottom"/>
          </w:tcPr>
          <w:p>
            <w:pPr>
              <w:spacing w:after="0"/>
              <w:rPr>
                <w:sz w:val="20"/>
                <w:szCs w:val="20"/>
                <w:color w:val="auto"/>
              </w:rPr>
            </w:pPr>
            <w:r>
              <w:rPr>
                <w:rFonts w:ascii="Arial" w:cs="Arial" w:eastAsia="Arial" w:hAnsi="Arial"/>
                <w:sz w:val="18"/>
                <w:szCs w:val="18"/>
                <w:color w:val="auto"/>
              </w:rPr>
              <w:t>Ranking and Guarantees</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2"/>
              </w:rPr>
              <w:t>The new notes will be senior obligations of Crown Americas and Crown Americas Capital</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1"/>
              </w:rPr>
              <w:t>VI, ranking senior in right of payment to all subordinated indebtedness of Crown Americas</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3"/>
              </w:rPr>
              <w:t>and Crown Americas Capital VI, and will be unconditionally guaranteed on an unsecured</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89"/>
              </w:rPr>
              <w:t>senior basis by Crown and each of Crown’s present and future U.S. subsidiaries (other than</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9"/>
              </w:rPr>
              <w:t>Crown Americas, Crown Americas Capital Corp., Crown Americas Capital Corp. II,</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6"/>
              </w:rPr>
              <w:t>Crown Americas Capital Corp. III, Crown Americas Capital Corp. IV, Crown Americas</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2"/>
              </w:rPr>
              <w:t>Capital Corp. V and Crown Americas Capital VI) that from time to time are obligors under</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or guarantee Crown’s senior secured credit facilities.</w:t>
            </w:r>
          </w:p>
        </w:tc>
      </w:tr>
      <w:tr>
        <w:trPr>
          <w:trHeight w:val="323"/>
        </w:trPr>
        <w:tc>
          <w:tcPr>
            <w:tcW w:w="2920" w:type="dxa"/>
            <w:vAlign w:val="bottom"/>
          </w:tcPr>
          <w:p>
            <w:pPr>
              <w:spacing w:after="0"/>
              <w:rPr>
                <w:sz w:val="24"/>
                <w:szCs w:val="24"/>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0"/>
              </w:rPr>
              <w:t>The new notes and new note guarantees will be senior unsecured obligations of the issuers</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and the guarantors,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0"/>
              </w:rPr>
              <w:t>effectively subordinated to all existing and future secured indebtedness of the issuers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88"/>
              </w:rPr>
              <w:t>and the guarantors to the extent of the value of the assets securing such indebtedness,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including any borrowings under Crown’s senior secured credit facilities, to the extent</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of the value of the assets securing such indebtedness;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6"/>
              </w:rPr>
              <w:t>structurally subordinated to all indebtedness of subsidiaries of Crown that do not</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guarantee the notes offered hereby which include all of Crown’s foreign subsidiaries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and any U.S. subsidiaries that are neither obligors nor guarantors of Crown’s senior</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secured credit facilities;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2"/>
              </w:rPr>
              <w:t>ranking equal in right of payment to any existing or future senior indebtedness of the</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issuers and the guarantors; and</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rPr>
              <w:t>ranking senior in right of payment to all existing and future subordinated</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indebtedness of the issuers and the guarantors.</w:t>
            </w:r>
          </w:p>
        </w:tc>
      </w:tr>
    </w:tbl>
    <w:p>
      <w:pPr>
        <w:spacing w:after="0" w:line="107" w:lineRule="exact"/>
        <w:rPr>
          <w:sz w:val="20"/>
          <w:szCs w:val="20"/>
          <w:color w:val="auto"/>
        </w:rPr>
      </w:pPr>
    </w:p>
    <w:p>
      <w:pPr>
        <w:jc w:val="both"/>
        <w:ind w:left="4420" w:right="380"/>
        <w:spacing w:after="0" w:line="264" w:lineRule="auto"/>
        <w:rPr>
          <w:sz w:val="20"/>
          <w:szCs w:val="20"/>
          <w:color w:val="auto"/>
        </w:rPr>
      </w:pPr>
      <w:r>
        <w:rPr>
          <w:rFonts w:ascii="Arial" w:cs="Arial" w:eastAsia="Arial" w:hAnsi="Arial"/>
          <w:sz w:val="18"/>
          <w:szCs w:val="18"/>
          <w:color w:val="auto"/>
        </w:rPr>
        <w:t>Upon the release of any new note guarantor from its obligations under Crown’s senior secured credit facilities, unless there is existing a default or event of default under the indenture governing the new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94"/>
              </w:rPr>
              <w:t>notes, the guarantee of such new notes by such new note guarantor will also be released.</w:t>
            </w:r>
          </w:p>
        </w:tc>
      </w:tr>
      <w:tr>
        <w:trPr>
          <w:trHeight w:val="337"/>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As of September 30, 2018, Crown and its subsidiaries had approximately $9.2 billion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indebtedness, including $3.3 billion of secured indebtedness and $3.2 billion of additional</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indebtedness of non-guarantor subsidiaries.</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Indebtedness</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Crown and the Issuers may be able to incur additional debt in the future. Although Crown’s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senior secured credit facilities contain restrictions on Crown’s ability to incur indebtedness,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those restrictions are subject to a number of exceptions.</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Net Sales and Income from operations from</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The non-guarantor subsidiaries of Crown represented in the aggregate approximately 78%</w:t>
            </w:r>
          </w:p>
        </w:tc>
      </w:tr>
      <w:tr>
        <w:trPr>
          <w:trHeight w:val="216"/>
        </w:trPr>
        <w:tc>
          <w:tcPr>
            <w:tcW w:w="3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Non-Guarantors</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2"/>
              </w:rPr>
              <w:t>of consolidated net sales for each of the fiscal years ended December 31, 2017 and 74% for</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nine months ended September 30, 2018 (calculated using $6,767 million of net sales by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non-guarantor subsidiaries for the fiscal year ended December 31, 2017 and $6,251 for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nine months ended September 30, 2018, divided by Crown’s total consolidated net sales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$8,698 million for the fiscal year ended December 31, 2017 and $8,417 for the nine months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ended September 30, 2018).</w:t>
            </w:r>
          </w:p>
        </w:tc>
      </w:tr>
      <w:tr>
        <w:trPr>
          <w:trHeight w:val="323"/>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For the fiscal year ended December 31, 2017 and the nine months ended September 30,</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2018, the non-guarantor subsidiaries of Crown represented in the aggregate approximately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9"/>
              </w:rPr>
              <w:t>88% and 89%, respectively, of consolidated income from operations (calculated using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$898 million and $780 million of income from operations from non-guarantor subsidiaries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for the fiscal year ended December 31, 2017 and the nine months ended September 30,</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2018, respectively, divided by Crown’s total consolidated income from operations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$1,024 million for the fiscal year ended December 31, 2017 and $878 for the nine months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ended September 30, 2018).</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issuers may redeem some or all of the new notes at any time prior to February 1, 2021</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at a price equal to 100% of the principal amount of the notes redeemed, plus accrued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unpaid interest, if any, to the redemption date and a “make whole” premium, as described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 this prospectus. Thereafter, the issuers may redeem all or some of the notes at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redemption prices set forth in this prospectus. In addition, on or prior to February 1, 2021,</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issuers may redeem up to 35% of the notes with the net cash proceeds of certain equity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offerings of capital stock of Crown that are contributed as capital or are used to subscribe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9"/>
              </w:rPr>
              <w:t>for qualified capital stock of Crown Americas. See “Description of the Notes—Optional</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Redemption.”</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Change of Control</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8"/>
              </w:rPr>
              <w:t>Upon a “change of control repurchase event” of Crown or Crown Americas, as defined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under the caption “Description of the Notes—Repurchase at the Option of Holders,” you</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will have the right, as a holder of new notes, to require the issuers to repurchase all or part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of</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722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2722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right="20"/>
        <w:spacing w:after="0" w:line="276" w:lineRule="auto"/>
        <w:rPr>
          <w:sz w:val="20"/>
          <w:szCs w:val="20"/>
          <w:color w:val="auto"/>
        </w:rPr>
      </w:pPr>
      <w:r>
        <w:rPr>
          <w:rFonts w:ascii="Arial" w:cs="Arial" w:eastAsia="Arial" w:hAnsi="Arial"/>
          <w:sz w:val="17"/>
          <w:szCs w:val="17"/>
          <w:color w:val="auto"/>
        </w:rPr>
        <w:t>your new notes at a repurchase price equal to 101% of their principal amount, plus accrued and unpaid interest, if any, to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ectPr>
          <w:pgSz w:w="11900" w:h="16838" w:orient="portrait"/>
          <w:cols w:equalWidth="0" w:num="1">
            <w:col w:w="11000"/>
          </w:cols>
          <w:pgMar w:left="240" w:top="459" w:right="659" w:bottom="1440" w:gutter="0" w:footer="0" w:header="0"/>
        </w:sect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Restrictive Covenants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 governing the new notes will limit, among other things, Crown’s ability and the ability of certain of its subsidiaries (including the issuers) to incur secured indebtedness and engage in certain sale and leaseback transactions.</w:t>
      </w:r>
    </w:p>
    <w:p>
      <w:pPr>
        <w:spacing w:after="0" w:line="87"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4420" w:right="200"/>
        <w:spacing w:after="0" w:line="308" w:lineRule="auto"/>
        <w:rPr>
          <w:sz w:val="20"/>
          <w:szCs w:val="20"/>
          <w:color w:val="auto"/>
        </w:rPr>
      </w:pPr>
      <w:r>
        <w:rPr>
          <w:rFonts w:ascii="Arial" w:cs="Arial" w:eastAsia="Arial" w:hAnsi="Arial"/>
          <w:sz w:val="17"/>
          <w:szCs w:val="17"/>
          <w:color w:val="auto"/>
        </w:rPr>
        <w:t>These covenants are subject to a number of important exceptions and limitations that are described under the caption “Description of the Notes—Certain Covenants.”</w:t>
      </w:r>
    </w:p>
    <w:p>
      <w:pPr>
        <w:sectPr>
          <w:pgSz w:w="11900" w:h="16838" w:orient="portrait"/>
          <w:cols w:equalWidth="0" w:num="1">
            <w:col w:w="11000"/>
          </w:cols>
          <w:pgMar w:left="240" w:top="459" w:right="659" w:bottom="1440" w:gutter="0" w:footer="0" w:header="0"/>
          <w:type w:val="continuous"/>
        </w:sectPr>
      </w:pPr>
    </w:p>
    <w:p>
      <w:pPr>
        <w:spacing w:after="0" w:line="35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380" w:right="200" w:firstLine="426"/>
        <w:spacing w:after="0" w:line="277" w:lineRule="auto"/>
        <w:rPr>
          <w:sz w:val="20"/>
          <w:szCs w:val="20"/>
          <w:color w:val="auto"/>
        </w:rPr>
      </w:pPr>
      <w:r>
        <w:rPr>
          <w:rFonts w:ascii="Arial" w:cs="Arial" w:eastAsia="Arial" w:hAnsi="Arial"/>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240" w:top="459" w:right="6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29"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i w:val="1"/>
          <w:iCs w:val="1"/>
          <w:color w:val="auto"/>
        </w:rPr>
        <w:t>The following table sets forth summary historical consolidated financial data for Crown as of and for the periods presented. The summary of operations data for each of the years in the five-year period ended December 31, 2017, other financial data for each of the years in the three-year period ended December 31, 2017, and the balance sheet data as of December 31, 2017, 2016 and 2015 have been derived from Crown’s consolidated financial statements. The summary of operations data and other financial data for each of the nine-month periods ended September 30, 2018 and 2017 and the balance sheet data as of September 30, 2018 and 2017 have been derived from Crown’s unaudited interim consolidated financial statements. In the opinion of Crown’s management, all adjustments considered necessary for a fair presentation of the interim financial information have been included. You should read the following financial information in conjunction with “Management’s Discussion and Analysis of Financial Condition and Results of Operations” and Crown’s consolidated financial statements incorporated by reference in this prospectus.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2015</w:t>
            </w:r>
            <w:r>
              <w:rPr>
                <w:rFonts w:ascii="Arial" w:cs="Arial" w:eastAsia="Arial" w:hAnsi="Arial"/>
                <w:sz w:val="12"/>
                <w:szCs w:val="12"/>
                <w:b w:val="1"/>
                <w:bCs w:val="1"/>
                <w:color w:val="auto"/>
                <w:w w:val="95"/>
              </w:rPr>
              <w:t>(a)</w:t>
            </w:r>
          </w:p>
        </w:tc>
        <w:tc>
          <w:tcPr>
            <w:tcW w:w="8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2014</w:t>
            </w:r>
            <w:r>
              <w:rPr>
                <w:rFonts w:ascii="Arial" w:cs="Arial" w:eastAsia="Arial" w:hAnsi="Arial"/>
                <w:sz w:val="12"/>
                <w:szCs w:val="12"/>
                <w:b w:val="1"/>
                <w:bCs w:val="1"/>
                <w:color w:val="auto"/>
                <w:w w:val="98"/>
              </w:rPr>
              <w:t>(b)</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(c)</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Summary of Operations Data:</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8,698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8,284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9,097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8,656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8,417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6,530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7,006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7,529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7,168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6,804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5,235</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asbestos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1,024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before income taxes and equity earnings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Equity earnings in affiliates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Basic earnings per share</w:t>
            </w:r>
            <w:r>
              <w:rPr>
                <w:rFonts w:ascii="Arial" w:cs="Arial" w:eastAsia="Arial" w:hAnsi="Arial"/>
                <w:sz w:val="15"/>
                <w:szCs w:val="15"/>
                <w:color w:val="auto"/>
              </w:rPr>
              <w:t>(d)</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15"/>
                <w:szCs w:val="15"/>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00" w:hanging="41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5758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180" w:hanging="414"/>
        <w:spacing w:after="0" w:line="293"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Basic earnings per share excludes all potentially dilutive securities and is computed by dividing net income attributable to Crown Holdings by the weighted average number of common shares outstanding during the period. Diluted earnings per share includes the effect of stock options and restricted stock as calculated under the treasury stock method. See </w:t>
      </w:r>
      <w:r>
        <w:rPr>
          <w:rFonts w:ascii="Arial" w:cs="Arial" w:eastAsia="Arial" w:hAnsi="Arial"/>
          <w:sz w:val="16"/>
          <w:szCs w:val="16"/>
          <w:u w:val="single" w:color="auto"/>
          <w:color w:val="auto"/>
        </w:rPr>
        <w:t>Note S</w:t>
      </w:r>
      <w:r>
        <w:rPr>
          <w:rFonts w:ascii="Arial" w:cs="Arial" w:eastAsia="Arial" w:hAnsi="Arial"/>
          <w:sz w:val="16"/>
          <w:szCs w:val="16"/>
          <w:color w:val="auto"/>
        </w:rPr>
        <w:t xml:space="preserve"> to the audited consolidated financial statements in Crown’s Annual Report on Form 10-K for the year ended December 31, 2017, </w:t>
      </w:r>
      <w:r>
        <w:rPr>
          <w:rFonts w:ascii="Arial" w:cs="Arial" w:eastAsia="Arial" w:hAnsi="Arial"/>
          <w:sz w:val="16"/>
          <w:szCs w:val="16"/>
          <w:u w:val="single" w:color="auto"/>
          <w:color w:val="auto"/>
        </w:rPr>
        <w:t>Note Q</w:t>
      </w:r>
      <w:r>
        <w:rPr>
          <w:rFonts w:ascii="Arial" w:cs="Arial" w:eastAsia="Arial" w:hAnsi="Arial"/>
          <w:sz w:val="16"/>
          <w:szCs w:val="16"/>
          <w:color w:val="auto"/>
        </w:rPr>
        <w:t xml:space="preserve"> to the unaudited consolidated financial statements in Crown’s Quarterly Report on Form 10-Q for the quarter ended September 30, 2018, and </w:t>
      </w:r>
      <w:r>
        <w:rPr>
          <w:rFonts w:ascii="Arial" w:cs="Arial" w:eastAsia="Arial" w:hAnsi="Arial"/>
          <w:sz w:val="16"/>
          <w:szCs w:val="16"/>
          <w:u w:val="single" w:color="auto"/>
          <w:color w:val="auto"/>
        </w:rPr>
        <w:t>Note S</w:t>
      </w:r>
      <w:r>
        <w:rPr>
          <w:rFonts w:ascii="Arial" w:cs="Arial" w:eastAsia="Arial" w:hAnsi="Arial"/>
          <w:sz w:val="16"/>
          <w:szCs w:val="16"/>
          <w:color w:val="auto"/>
        </w:rPr>
        <w:t xml:space="preserve"> to the audited consolidated financial statements in Crown’s Form 8-K dated December 6, 2018, which are incorporated by reference in this prospectus.</w:t>
      </w:r>
    </w:p>
    <w:p>
      <w:pPr>
        <w:spacing w:after="0" w:line="165"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On January 1, 2018, Crown adopted new accounting guidance which outlined a single comprehensive model to use in accounting for revenue arising from contracts with customers. Under the new guidance, revenue is recognized when a customer obtains control of promised goods or services which is either at a point in time or over time. Crown adopted the new guidance using the modified retrospective method to those contracts which were outstanding as of January 1, 2018. Results for the nine months ended September 30, 2018 are presented under the new revenue standard, while prior period amounts have not been recast and continue to be reported in accordance with accounting standards in effect for those periods.</w:t>
      </w:r>
    </w:p>
    <w:p>
      <w:pPr>
        <w:spacing w:after="0" w:line="193" w:lineRule="exact"/>
        <w:rPr>
          <w:sz w:val="20"/>
          <w:szCs w:val="20"/>
          <w:color w:val="auto"/>
        </w:rPr>
      </w:pPr>
    </w:p>
    <w:p>
      <w:pPr>
        <w:ind w:left="380" w:right="80"/>
        <w:spacing w:after="0" w:line="257" w:lineRule="auto"/>
        <w:rPr>
          <w:sz w:val="20"/>
          <w:szCs w:val="20"/>
          <w:color w:val="auto"/>
        </w:rPr>
      </w:pPr>
      <w:r>
        <w:rPr>
          <w:rFonts w:ascii="Arial" w:cs="Arial" w:eastAsia="Arial" w:hAnsi="Arial"/>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Each of the years ended December 31, 2013 through December 31, 2017 and the nine months ended September 30, 2017 have been recast to conform to the current year presentation. The adoption of the new accounting guidance did not have an impact on net income or net income attributable to Crown Holdings.</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(dollars in millions)</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gridSpan w:val="13"/>
            <w:vMerge w:val="restart"/>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6"/>
          </w:tcPr>
          <w:p>
            <w:pPr>
              <w:ind w:left="20"/>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Financial Data:</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Net cash flows provided by/(used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 (251)</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91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8"/>
                <w:szCs w:val="18"/>
                <w:color w:val="auto"/>
              </w:rPr>
              <w:t>633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(3,719)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7"/>
              </w:rPr>
              <w:t>3,902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377"/>
        </w:trPr>
        <w:tc>
          <w:tcPr>
            <w:tcW w:w="5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9"/>
              </w:rPr>
              <w:t>(dollars in millions)</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w w:val="92"/>
              </w:rPr>
              <w:t>As of</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As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9"/>
          </w:tcPr>
          <w:p>
            <w:pPr>
              <w:jc w:val="center"/>
              <w:ind w:right="188"/>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left="297"/>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 (at end of period):</w:t>
            </w: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424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559</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60" w:type="dxa"/>
            <w:vAlign w:val="bottom"/>
            <w:gridSpan w:val="2"/>
          </w:tcPr>
          <w:p>
            <w:pPr>
              <w:jc w:val="right"/>
              <w:ind w:right="53"/>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10,663</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10,050</w:t>
            </w:r>
          </w:p>
        </w:tc>
        <w:tc>
          <w:tcPr>
            <w:tcW w:w="240" w:type="dxa"/>
            <w:vAlign w:val="bottom"/>
          </w:tcPr>
          <w:p>
            <w:pPr>
              <w:spacing w:after="0"/>
              <w:rPr>
                <w:sz w:val="18"/>
                <w:szCs w:val="18"/>
                <w:color w:val="auto"/>
              </w:rPr>
            </w:pPr>
          </w:p>
        </w:tc>
        <w:tc>
          <w:tcPr>
            <w:tcW w:w="720" w:type="dxa"/>
            <w:vAlign w:val="bottom"/>
            <w:gridSpan w:val="4"/>
          </w:tcPr>
          <w:p>
            <w:pPr>
              <w:jc w:val="right"/>
              <w:ind w:right="53"/>
              <w:spacing w:after="0"/>
              <w:rPr>
                <w:sz w:val="20"/>
                <w:szCs w:val="20"/>
                <w:color w:val="auto"/>
              </w:rPr>
            </w:pPr>
            <w:r>
              <w:rPr>
                <w:rFonts w:ascii="Arial" w:cs="Arial" w:eastAsia="Arial" w:hAnsi="Arial"/>
                <w:sz w:val="18"/>
                <w:szCs w:val="18"/>
                <w:color w:val="auto"/>
              </w:rPr>
              <w:t>15,335</w:t>
            </w:r>
          </w:p>
        </w:tc>
        <w:tc>
          <w:tcPr>
            <w:tcW w:w="38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5,343</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5,518</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9,070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consists of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973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973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7" w:lineRule="auto"/>
        <w:rPr>
          <w:sz w:val="20"/>
          <w:szCs w:val="20"/>
          <w:color w:val="auto"/>
        </w:rPr>
      </w:pPr>
      <w:r>
        <w:rPr>
          <w:rFonts w:ascii="Arial" w:cs="Arial" w:eastAsia="Arial" w:hAnsi="Arial"/>
          <w:sz w:val="18"/>
          <w:szCs w:val="18"/>
          <w:color w:val="auto"/>
        </w:rPr>
        <w:t>On January 1, 2018, Crown adopted new accounting guidance related to the statement of cash flows which requires premiums paid for debt extinguishments to be classified as financing activities and beneficial interest obtained in securitization of financial assets to be classified as investing activities. Additionally, new accounting guidance requires the statement of cash flows to explain the change in cash, cash equivalents and restricted cash. Each of the years ended December 31, 2015 through December 31, 2017 and the nine months ended September 30, 2017 have been recast to conform to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24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420" w:right="380"/>
        <w:spacing w:after="0" w:line="277" w:lineRule="auto"/>
        <w:rPr>
          <w:sz w:val="20"/>
          <w:szCs w:val="20"/>
          <w:color w:val="auto"/>
        </w:rPr>
      </w:pPr>
      <w:r>
        <w:rPr>
          <w:rFonts w:ascii="Arial" w:cs="Arial" w:eastAsia="Arial" w:hAnsi="Arial"/>
          <w:sz w:val="18"/>
          <w:szCs w:val="18"/>
          <w:b w:val="1"/>
          <w:bCs w:val="1"/>
          <w:i w:val="1"/>
          <w:iCs w:val="1"/>
          <w:color w:val="auto"/>
        </w:rPr>
        <w:t>If you fail to exchange your old notes for new notes your old notes will continue to be subject to restrictions on transfer and may become less liquid.</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did not register the old notes under the Securities Act or any state securities laws, nor do we intend to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an active trading market for the new notes does not develop, the liquidity and value of the new notes could be harmed.</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There is no existing market for the new notes. An active public market for the new notes may not develop or, if developed, may not continue. If an active public market does not develop or is not maintained, you may not be able to sell your new notes at their fair market value or at all.</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Even if a public market for the new notes develops, trading prices will depend on many factors, including prevailing interest rates, Crown’s operating results and the market for similar securities. Historically, the market for non-investment grade debt has been subject to disruptions that have caused substantial volatility in the prices of securities similar to the new notes. Declines in the market for debt securities generally may also materially and adversely affect the liquidity of the new notes, independent of Crown’s financial performance.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notes.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 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new notes.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The substantial indebtedness of Crown could prevent it from fulfilling its obligations under its indebtedness, including the new notes and the new note guarantees.</w:t>
      </w:r>
    </w:p>
    <w:p>
      <w:pPr>
        <w:spacing w:after="0" w:line="62"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Crown has substantial outstanding indebtedness. As a result of Crown’s substantial indebtedness, a significant portion of Crown’s cash flow will be required to pay interest and principal on its outstanding indebtedness, and Crown may not generate sufficient cash flow from operations, or have future borrowings available under its senior secured credit facilities, to enable it to repay its indebtedness, including the new notes, or to fund other liquidity needs. As of September 30, 2018, Crown and its subsidiaries had approximately $9.2 billion of indebtedness, including approximately</w:t>
      </w:r>
    </w:p>
    <w:p>
      <w:pPr>
        <w:spacing w:after="0" w:line="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$3.3 billion of secured indebtedness and $3.2 billion of additional indebtedness of non-guarantor subsidiaries and the ability to borrow $1.5 billion under Crown’s senior secured revolving credit facilities. Crown’s ratio of earnings to fixed charges, was 4.0x times for the fiscal year ended December 31, 2017 and 3.1x times for the nine months ended September 30, 2018.</w:t>
      </w:r>
    </w:p>
    <w:p>
      <w:pPr>
        <w:spacing w:after="0" w:line="190"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Crown’s sources of liquidity include a securitization facility with a program limit of $170 that expires in December 2019, a securitization facility with a maximum program limit of $375 which expires in July 2020 and an uncommitted securitization facility with a program limit of $150. Additional sources of liquidity include borrowings that mature as follows: its $1.4 billion revolving credit facilities in April 2022; its €650 million ($755 million at September 30, 2018) 4.0% senior notes in July 2022; its $1 billion 4.50% senior notes in January 2023; its €335 million ($389 million at September 30, 2018) 2.25% senior notes in February 2023; its €600 million ($697 million at September 30, 2018) 2.625% senior notes in September 2024; its €600 million ($697 million at September 30, 2018) 3.375% senior notes in May 2025; its $875 million 4.75% senior notes in February 2026; its</w:t>
      </w:r>
    </w:p>
    <w:p>
      <w:pPr>
        <w:spacing w:after="0" w:line="5"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€500 million ($580 million at September 30, 2018) 2.875% senior notes in February 2026; its $400 million 4.25% senior notes in September 2026; its $350 million 7.375% senior notes in December 2026; its $40 million 7.5% senior notes in December 2096; and its $127 million of other indebtedness in various currencies at various dates through 2036. In addition, Crown’s term loan facilities mature as follows: $39 million in 2018, $71 million in 2019, $79 million in 2020, $79 million in 2021, $972 million in 2022, $20 million in 2023, $20 million in 2024 and $1,889 million in 2025. See “Description of Certain Indebtedness.”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substantial indebtedness of Crown could:</w:t>
      </w:r>
    </w:p>
    <w:p>
      <w:pPr>
        <w:spacing w:after="0" w:line="131" w:lineRule="exact"/>
        <w:rPr>
          <w:sz w:val="20"/>
          <w:szCs w:val="20"/>
          <w:color w:val="auto"/>
        </w:rPr>
      </w:pPr>
    </w:p>
    <w:p>
      <w:pPr>
        <w:ind w:left="1060" w:right="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Crown and its subsidiaries to satisfy their obligations with respect to the new notes, such as the issuer’s obligation to purchase new notes tendered as a result of a change in control of Crown;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Crown’s vulnerability to general adverse economic and industry conditions, including rising interest rates;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Crown from making strategic acquisitions or exploiting business opportunities, including any planned expansion in emerging markets;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Crown’s ability to make capital expenditures both domestically and internationally in order to grow Crown’s business or maintain manufacturing plants in good working order and repair;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Crown’s indebtedness, Crown’s ability to obtain additional financing, dispose of assets or pay cash dividends;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Crown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Crown to sell assets used in its business;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Crown’s ability to refinance its existing indebtedness, particularly during periods of adverse credit market conditions when refinancing indebtedness may not be available under interest rates and other terms acceptable to Crown or at all;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Crown’s cost of borrowing;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Crown’s flexibility in planning for, or reacting to, changes in its business and the industry in which it operates;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Crown at a competitive disadvantage compared to its competitors that have less debt.</w:t>
      </w:r>
    </w:p>
    <w:p>
      <w:pPr>
        <w:spacing w:after="0" w:line="225"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If its financial condition, operating results and liquidity deteriorate, Crown’s creditors may restrict its ability to obtain future financing and its suppliers could require prepayment or cash on delivery rather than extend credit which could further diminish Crown’s ability to generate cash flows from operations sufficient to service its debt obligations. In addition, Crown’s ability to make payments on and refinance its debt and to fund its operations will depend on Crown’s ability to generate cash in the future.</w:t>
      </w:r>
    </w:p>
    <w:p>
      <w:pPr>
        <w:spacing w:after="0" w:line="295" w:lineRule="exact"/>
        <w:rPr>
          <w:sz w:val="20"/>
          <w:szCs w:val="20"/>
          <w:color w:val="auto"/>
        </w:rPr>
      </w:pPr>
    </w:p>
    <w:p>
      <w:pPr>
        <w:ind w:left="420" w:right="780"/>
        <w:spacing w:after="0" w:line="277" w:lineRule="auto"/>
        <w:rPr>
          <w:sz w:val="20"/>
          <w:szCs w:val="20"/>
          <w:color w:val="auto"/>
        </w:rPr>
      </w:pPr>
      <w:r>
        <w:rPr>
          <w:rFonts w:ascii="Arial" w:cs="Arial" w:eastAsia="Arial" w:hAnsi="Arial"/>
          <w:sz w:val="18"/>
          <w:szCs w:val="18"/>
          <w:b w:val="1"/>
          <w:bCs w:val="1"/>
          <w:i w:val="1"/>
          <w:iCs w:val="1"/>
          <w:color w:val="auto"/>
        </w:rPr>
        <w:t>Crown and Crown Americas are holding companies with no direct operations and the new notes will be structurally subordinated to all indebtedness of Crown’s subsidiaries that are not guarantors of the new notes.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Crown and Crown Americas are holding companies with no direct operations and for the fiscal years ended December 31, 2017 and December 31, 2016 and the nine months ended September 30, 2018, the subsidiaries of Crown that do not guarantee the notes represented in the aggregate approximately 78%, 77% and 74% of consolidated net sales, and 88%, 86% and 89% of consolidated income from operations, respectively. The principal assets of Crown and Crown Americas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Crown Americas’ subsidiaries will guarantee the new notes. Specifically, none of Crown’s or Crown Americas’ foreign subsidiaries are expected to guarantee the new notes. A holder of new notes will not have any claim as a creditor against subsidiaries of Crown or Crown Americas that are not guarantors of the new notes, and the indebtedness and other liabilities, including trade payables, whether secured or unsecured, of those non-guarantor subsidiaries will be effectively senior to your claims. The new notes are the joint and several obligations of Crown Americas and Crown Americas Capital VI. Crown Americas Capital VI has no assets or operations and is prohibited from engaging in any business activities except in connection with the issuance of the new notes.</w:t>
      </w:r>
    </w:p>
    <w:p>
      <w:pPr>
        <w:spacing w:after="0" w:line="296"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The new notes do not impose any limitations on Crown’s ability to incur additional debt, guarantees or other obligations or make restricted payments.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that governs the new notes does not restrict the future incurrence of unsecured indebtedness, guarantees or other obligations. Except for the limitations on granting liens on the capital stock and indebtedness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of its subsidiaries and on certain limited assets Crown and certain of its subsidiaries own (or on entering into sale and leaseback transactions with respect to those assets), the indenture does not restrict Crown’s ability to incur secured indebtedness, grant liens on its assets or engage in sale and leaseback transactions. See “Description of the Notes—Limitation on Liens” and “Description of the Notes—Limitation on Sale and Leaseback Transactions.” In addition, the indenture governing the new notes does not contain many other restrictions contained in the indentures governing certain of Crown’s existing senior notes, including limitations on asset sales or on paying dividends or making other restricted payments or investments.</w:t>
      </w:r>
    </w:p>
    <w:p>
      <w:pPr>
        <w:spacing w:after="0" w:line="266"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new notes and the new note guarantees will be effectively subordinated to the prior payment in full of Crown’s, Crown Americas’ and the guarantors’ current and future secured indebtedness to the extent of the value of the assets securing such indebtedness. As of September 30, 2018, Crown and its subsidiaries had approximately $9.2 billion of indebtedness, including approximately $3.3 billion of secured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 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 See “Description of Certain Indebtedness.”</w:t>
      </w:r>
    </w:p>
    <w:p>
      <w:pPr>
        <w:spacing w:after="0" w:line="277" w:lineRule="exact"/>
        <w:rPr>
          <w:sz w:val="20"/>
          <w:szCs w:val="20"/>
          <w:color w:val="auto"/>
        </w:rPr>
      </w:pPr>
    </w:p>
    <w:p>
      <w:pPr>
        <w:ind w:left="420" w:right="120"/>
        <w:spacing w:after="0" w:line="342" w:lineRule="auto"/>
        <w:rPr>
          <w:sz w:val="20"/>
          <w:szCs w:val="20"/>
          <w:color w:val="auto"/>
        </w:rPr>
      </w:pPr>
      <w:r>
        <w:rPr>
          <w:rFonts w:ascii="Arial" w:cs="Arial" w:eastAsia="Arial" w:hAnsi="Arial"/>
          <w:sz w:val="16"/>
          <w:szCs w:val="16"/>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16"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cannot assure you, however,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Some of Crown’s indebtedness is subject to floating interest rates, which would result in Crown’s interest expense increasing if interest rates rise.</w:t>
      </w:r>
    </w:p>
    <w:p>
      <w:pPr>
        <w:spacing w:after="0" w:line="15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As of September 30, 2018, approximately $3.3 billion of Crown’s $9.2 billion of total indebtedness and other outstanding obligations were subject to floating interest rates. Changes in economic conditions could result in higher interest rates, thereby increasing Crown’s interest expense and reducing funds available for operations or other purposes. Crown’s annual interest expense was $252 million, $243 million and $270 million for 2017, 2016 and 2015, respectively. Based on the amount of variable rate debt outstanding at September 30, 2018, a 0.25% increase in variable interest rates would increase its annual interest expense by approximately $8 million before tax. Accordingly, Crown may experience economic losses and a negative impact on earnings as a result of interest rate fluctuation. The actual effect of a 0.25% increase in these floating interest rates could be more than $8 million as Crown’s average borrowings on its variable rate debt may be higher during the year than the amount at September 30, 2018. In addition, the cost of Crown’s securitization and factoring facilities would also increase with an increase in floating interest rates. Although Crown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Crown’s Annual Report on Form 10-K for the year ended December 31, 2017, and “Quantitative and Qualitative Disclosures About Market Risk” in Crown’s Quarterly Report on Form 10-Q for the quarter ended September 30, 2018, which are incorporated by reference in this prospectus.</w:t>
      </w:r>
    </w:p>
    <w:p>
      <w:pPr>
        <w:spacing w:after="0" w:line="293"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Notwithstanding Crown’s current indebtedness levels and restrictive covenants, Crown may still be able to incur substantial additional debt or make certain restricted payments, which could exacerbate the risks described above.</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Crown may be able to incur additional debt in the future, including in connection with acquisitions or joint ventures. Although Crown’s senior secured credit facilities and indentures governing its outstanding notes contain restrictions on Crown’s ability to incur indebtedness, those restrictions are subject to a number of exceptions, and, under certain circumstances, indebtedness incurred in compliance with these restrictions could be substantial. Crown may also consider investments in joint ventures or acquisitions or increased capital expenditures, which may increase Crown’s indebtedness. Moreover, although Crown’s senior secured credit facilities and indentures governing certain of its outstanding notes contain restrictions on Crown’s ability to make restricted payments, including the declaration and payment of dividends and the repurchase of Crown’s common stock, Crown is able to make such restricted payments under certain circumstances which may increase indebtedness, and Crown may in the future establish a regular dividend on Crown common stock. Adding new debt to current debt levels or making otherwise restricted payments could intensify the related risks that Crown and its subsidiaries now face. See “Capitalization” and “Description of Certain Indebtedness.”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Restrictive covenants in the debt agreements governing Crown’s other current or future indebtedness could restrict Crown’s operating flexibility.</w:t>
      </w:r>
    </w:p>
    <w:p>
      <w:pPr>
        <w:spacing w:after="0" w:line="15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indentures and the agreements governing Crown’s senior secured credit facilities and certain of its outstanding notes contain affirmative and negative covenants that limit the ability of Crown and its subsidiaries to take certain actions. These restrictions may limit Crown’s ability to operate its businesses and may prohibit or limit its ability to enhance its operations or take advantage of potential business opportunities as they arise. Crown’s senior secured credit facilities require Crown to maintain specified financial ratios and satisfy other financial conditions. The agreements or indentures governing Crown’s senior secured credit facilities and certain of its outstanding notes restrict, among other things, the ability of Crown and the ability of all or substantially all of its subsidiaries to:</w:t>
      </w:r>
    </w:p>
    <w:p>
      <w:pPr>
        <w:spacing w:after="0" w:line="99"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pay dividends or make other distributions, repurchase capital stock, repurchase subordinated debt and make certain investments or loans;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Crown from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Crown or any of its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addition, the indentures and the agreements governing Crown’s senior secured credit facilities and certain of its outstanding notes limit, among other things, the ability of Crown to enter into certain transactions, such as mergers, consolidations, joint ventures, asset sales, sale and leaseback transactions and the pledging of assets. Furthermore, if Crown or certain of its subsidiaries experience specific kinds of changes of control, Crown’s senior secured credit facilities will be due and payable and Crown will be required to offer to repurchase outstanding notes.</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breach of any of these covenants by Crown or the failure by Crown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Crown’s other outstanding debt and could lead to an acceleration of obligations related to the notes and other outstanding debt. The ability of Crown to comply with these covenants or indentures governing other indebtedness it may incur in the future and its outstanding notes can be affected by events beyond its control and, therefore, it may be unable to meet these ratios and conditions.</w:t>
      </w:r>
    </w:p>
    <w:p>
      <w:pPr>
        <w:spacing w:after="0" w:line="266" w:lineRule="exact"/>
        <w:rPr>
          <w:sz w:val="20"/>
          <w:szCs w:val="20"/>
          <w:color w:val="auto"/>
        </w:rPr>
      </w:pPr>
    </w:p>
    <w:p>
      <w:pPr>
        <w:ind w:left="420" w:right="100"/>
        <w:spacing w:after="0" w:line="342" w:lineRule="auto"/>
        <w:rPr>
          <w:sz w:val="20"/>
          <w:szCs w:val="20"/>
          <w:color w:val="auto"/>
        </w:rPr>
      </w:pPr>
      <w:r>
        <w:rPr>
          <w:rFonts w:ascii="Arial" w:cs="Arial" w:eastAsia="Arial" w:hAnsi="Arial"/>
          <w:sz w:val="16"/>
          <w:szCs w:val="16"/>
          <w:b w:val="1"/>
          <w:bCs w:val="1"/>
          <w:i w:val="1"/>
          <w:iCs w:val="1"/>
          <w:color w:val="auto"/>
        </w:rPr>
        <w:t>The indenture governing the new notes and Crown’s senior secured credit facilities and indentures governing other existing notes permit Crown to repurchase Crown’s existing notes, thereby reducing the amounts available to satisfy Crown’s obligations under the new notes.</w:t>
      </w:r>
    </w:p>
    <w:p>
      <w:pPr>
        <w:spacing w:after="0" w:line="16"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indenture governing the new notes and Crown’s senior secured credit facilities and the indentures governing its existing notes permit the repurchase by Crown of outstanding indebtedness and any such repurchases would reduce the amounts available to satisfy Crown’s obligations under the new notes. Crown’s outstanding notes will not be expressly subordinated to the new notes. Crown may from time to time consider repurchasing existing notes, including outstanding notes that are scheduled to mature after the maturity date of the new notes.</w:t>
      </w:r>
    </w:p>
    <w:p>
      <w:pPr>
        <w:spacing w:after="0" w:line="280" w:lineRule="exact"/>
        <w:rPr>
          <w:sz w:val="20"/>
          <w:szCs w:val="20"/>
          <w:color w:val="auto"/>
        </w:rPr>
      </w:pPr>
    </w:p>
    <w:p>
      <w:pPr>
        <w:ind w:left="420" w:right="540"/>
        <w:spacing w:after="0" w:line="277" w:lineRule="auto"/>
        <w:rPr>
          <w:sz w:val="20"/>
          <w:szCs w:val="20"/>
          <w:color w:val="auto"/>
        </w:rPr>
      </w:pPr>
      <w:r>
        <w:rPr>
          <w:rFonts w:ascii="Arial" w:cs="Arial" w:eastAsia="Arial" w:hAnsi="Arial"/>
          <w:sz w:val="18"/>
          <w:szCs w:val="18"/>
          <w:b w:val="1"/>
          <w:bCs w:val="1"/>
          <w:i w:val="1"/>
          <w:iCs w:val="1"/>
          <w:color w:val="auto"/>
        </w:rPr>
        <w:t>Crown is subject to certain restrictions that may limit its ability to make payments on its debt, including on the new notes and the new note guarantees, out of the cash reserves shown on Crown’s consolidated financial statements.</w:t>
      </w:r>
    </w:p>
    <w:p>
      <w:pPr>
        <w:spacing w:after="0" w:line="6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ability of Crown’s subsidiaries and joint ventures to pay dividends, make distributions, provide loans or make other payments to Crown may be restricted by applicable state and foreign laws, potentially adverse tax consequences and their agreements, including agreements governing their debt.</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the equity interests of Crown’s joint venture partners or other shareholders in Crown’s non-wholly owned subsidiaries in any dividend or other distribution made by these entities would need to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satisfied on a proportionate basis with Crown. As a result, Crown may not be able to access the cash flow of these entities to service its debt, including the new notes, and Crown cannot assure you that the amount of cash and cash flow reflected on Crown’s financial statements will be fully available to Crown.</w:t>
      </w:r>
    </w:p>
    <w:p>
      <w:pPr>
        <w:spacing w:after="0" w:line="289" w:lineRule="exact"/>
        <w:rPr>
          <w:sz w:val="20"/>
          <w:szCs w:val="20"/>
          <w:color w:val="auto"/>
        </w:rPr>
      </w:pPr>
    </w:p>
    <w:p>
      <w:pPr>
        <w:ind w:left="420" w:right="160"/>
        <w:spacing w:after="0" w:line="277" w:lineRule="auto"/>
        <w:rPr>
          <w:sz w:val="20"/>
          <w:szCs w:val="20"/>
          <w:color w:val="auto"/>
        </w:rPr>
      </w:pPr>
      <w:r>
        <w:rPr>
          <w:rFonts w:ascii="Arial" w:cs="Arial" w:eastAsia="Arial" w:hAnsi="Arial"/>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28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 new notes and the new note guarantees may be voidable, subordinated or limited in scope under insolvency, fraudulent transfer, corporate or other laws.</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 future creditor, or received less than reasonably equivalent value or fair consideration for the incurrence of such indebtedness and either:</w:t>
      </w:r>
    </w:p>
    <w:p>
      <w:pPr>
        <w:spacing w:after="0" w:line="78"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Crown’s or such subsidiary guarantor’s remaining assets constituted unreasonably small capital;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79" w:lineRule="exact"/>
        <w:rPr>
          <w:sz w:val="20"/>
          <w:szCs w:val="20"/>
          <w:color w:val="auto"/>
        </w:rPr>
      </w:pPr>
    </w:p>
    <w:p>
      <w:pPr>
        <w:jc w:val="both"/>
        <w:ind w:left="420" w:right="180"/>
        <w:spacing w:after="0" w:line="264" w:lineRule="auto"/>
        <w:rPr>
          <w:sz w:val="20"/>
          <w:szCs w:val="20"/>
          <w:color w:val="auto"/>
        </w:rPr>
      </w:pPr>
      <w:r>
        <w:rPr>
          <w:rFonts w:ascii="Arial" w:cs="Arial" w:eastAsia="Arial" w:hAnsi="Arial"/>
          <w:sz w:val="18"/>
          <w:szCs w:val="18"/>
          <w:b w:val="1"/>
          <w:bCs w:val="1"/>
          <w:i w:val="1"/>
          <w:iCs w:val="1"/>
          <w:color w:val="auto"/>
        </w:rPr>
        <w:t>Crown’s senior secured credit facilities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Crown, Crown Americas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Crown Americas experiences a change of control repurchase event, the issuers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issuers could seek consent to offer to purchase the new notes or attempt to refinance the borrowings that contain such a prohibition. If it does not obtain the consent or refinance the borrowings, the issuers would remain prohibited from offering to purchase the new notes. In such case, the failure by the issuers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issuers and the holders of the new notes.</w:t>
      </w:r>
    </w:p>
    <w:p>
      <w:pPr>
        <w:spacing w:after="0" w:line="287"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You may not be able to determine when a change of control has occurred and may not be able to require the issuers to purchase the new notes as a result of a change in the composition of the directors on Crown’s board of directors.</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Legal uncertainty regarding what constitutes a change of control repurchase event and the provisions of the indenture may allow Crown to enter into transactions, such as acquisitions, refinancings or recapitalizations, that would not constitute a change of control repurchase event but may increase Crown’s outstanding indebtedness or otherwise affect Crown’s ability to satisfy its obligations under the new notes. The definition of change of control includes a phrase relating to the transfer of “all or substantially all” of the assets of Crown and its subsidiaries taken as a whole. Although there is a limited body of case law interpreting the phrase “substantially all,” there is no precise established definition of the phrase under applicable law. Accordingly, your ability to require the issuers to repurchase new notes as a result of a transfer of less than all of the assets of Crown to another person may be uncertain.</w:t>
      </w:r>
    </w:p>
    <w:p>
      <w:pPr>
        <w:spacing w:after="0" w:line="18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 addition, in a 2009 decision, the Court of Chancery of the State of Delaware raised the possibility that a change of control put right occurring as a result of a failure to have “continuing directors” comprising a majority of a board of directors might be unenforceable on public policy grounds.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decline in the ratings of Crown’s corporate credit could adversely affect the trading price of the new notes.</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Crown’s Business</w:t>
      </w:r>
    </w:p>
    <w:p>
      <w:pPr>
        <w:spacing w:after="0" w:line="121"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Crown’s international operations, which generated approximately 78% of its consolidated net sales in 2017, are subject to various risks that may lead to decreases in its financial results.</w:t>
      </w:r>
    </w:p>
    <w:p>
      <w:pPr>
        <w:spacing w:after="0" w:line="6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Crown is an international company, and the risks associated with operating in foreign countries may have a negative impact on Crown’s liquidity and net income. Crown’s international operations generated approximately 78% of its consolidated net sales in the year ended 2017 and 77% of its consolidated net sales in the years ended 2016 and 2015. In addition, Crown’s business strategy includes continued expansion of international activities, including within developing markets and areas, such as the Middle East, South America, and Asia, that may pose greater risk of political or economic instability. Approximately 38% of Crown’s consolidated net sales in the years ended 2017 and 2016 and approximately 37% of its consolidated net sales in 2015, respectively, were generated outside of the developed markets in Western Europe, the United States and Canada. Furthermore, if economic conditions in Europe deteriorate, there will likely be a negative effect on Crown’s European business, as well as the businesses of Crown’s European customers and suppliers. If a further downturn in European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economic conditions ultimately leads to a significant devaluation of the euro, the value of Crown’s financial assets that are denominated in euros would be significantly reduced when translated to U.S. dollars for financial reporting purposes. Any of these conditions could ultimately harm Crown’s overall business, prospects, operating results, financial condition and cash flows.</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Emerging markets are a focus of Crown’s international growth strategy. The developing nature of these markets and the nature of Crown’s international operations generally are subject to various risks, including:</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rate risks;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 such as recent political turmoil in the Middle East;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Crown’s multi-national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limitations on conversions of foreign currencies into dollars or payment of dividends and other payments by non-U.S. subsidiaries;</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Crown’s ability to satisfy its obligations;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war, civil disturbance, global or regional catastrophic events, natural disasters, including in emerging markets, and acts of terrorism;</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geographical concentration of Crown’s factories and operations and regional shifts in its customer base;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 health epidemic concerns;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There can be no guarantee that a deterioration of economic conditions in countries in which Crown operates or may seek to operate in the future would not have a material impact on Crown’s results of operations.</w:t>
      </w:r>
    </w:p>
    <w:p>
      <w:pPr>
        <w:spacing w:after="0" w:line="279" w:lineRule="exact"/>
        <w:rPr>
          <w:sz w:val="20"/>
          <w:szCs w:val="20"/>
          <w:color w:val="auto"/>
        </w:rPr>
      </w:pPr>
    </w:p>
    <w:p>
      <w:pPr>
        <w:jc w:val="both"/>
        <w:ind w:left="420" w:right="140"/>
        <w:spacing w:after="0" w:line="264" w:lineRule="auto"/>
        <w:rPr>
          <w:sz w:val="20"/>
          <w:szCs w:val="20"/>
          <w:color w:val="auto"/>
        </w:rPr>
      </w:pPr>
      <w:r>
        <w:rPr>
          <w:rFonts w:ascii="Arial" w:cs="Arial" w:eastAsia="Arial" w:hAnsi="Arial"/>
          <w:sz w:val="18"/>
          <w:szCs w:val="18"/>
          <w:b w:val="1"/>
          <w:bCs w:val="1"/>
          <w:i w:val="1"/>
          <w:iCs w:val="1"/>
          <w:color w:val="auto"/>
        </w:rPr>
        <w:t>As Crown seeks to expand its business globally, growth opportunities may be impacted by greater political, economic and social uncertainty and the continuing and accelerating globalization of businesses could significantly change the dynamics of Crown’s competition, customer base and product offerings.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Crown’s efforts to grow its businesses depend to a large extent upon access to, and its success in developing market share and operating profitably in, geographic markets including but not limited to the Middle East, South America, Eastern Europe and Asia (including India). In some cases, countries in these regions have greater political and economic volatility, greater vulnerability to infrastructure and labor disruptions and differing local customer product preferences and requirements than Crown’s other markets. Operating and seeking to expand business in a number of different regions and countries exposes Crown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Crown that could be invested in other areas. Expanding business operations globally also increases exposure to currency fluctuations which can materially affect Crown’s financial results. As these emerging geographic markets become more important to Crown, its competitors are also seeking to expand their production capacities and sales in these same markets, which may lead to industry overcapacity that could adversely affect pricing, volumes and financial results in such markets. Although Crown is taking measures to adapt to these changing circumstances, Crown’s reputation and/or business results could be negatively affected should these efforts prove unsuccessful.</w:t>
      </w:r>
    </w:p>
    <w:p>
      <w:pPr>
        <w:spacing w:after="0" w:line="288"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Crown may not be able to manage its anticipated growth, and it may experience constraints or inefficiencies caused by unanticipated acceleration and deceleration of customer demand.</w:t>
      </w:r>
    </w:p>
    <w:p>
      <w:pPr>
        <w:spacing w:after="0" w:line="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Unanticipated acceleration and deceleration of customer demand for Crown’s products may result in constraints or inefficiencies related to Crown’s manufacturing, sales force, implementation resources and administrative infrastructure, particularly in emerging markets where Crown is seeking to expand production. Such constraints or inefficiencies may adversely affect Crown as a result of delays, lost potential product sales or loss of current or potential customers due to their dissatisfaction. Similarly, over-expansion, including as a result of overcapacity due to expansion by Crown’s competitors, or investments in anticipation of growth that does not materialize, or develops more slowly than Crown expects, could harm Crown’s financial results and result in overcapacity.</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To manage Crown’s anticipated future growth effectively, Crown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Crown’s growth requires significant capital expenditures and may divert financial resources from other projects, such as the development of new products or enhancements of existing products or reduction of Crown’s outstanding indebtedness. If Crown’s management is unable to effectively manage Crown’s growth, its expenses may increase more than expected, its revenue could grow more slowly than expected and it may not be able to achieve its research and development and production goals. Crown’s failure to manage its anticipated growth effectively could have a material effect on its business, operating results or financial condition.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300"/>
        <w:spacing w:after="0" w:line="308" w:lineRule="auto"/>
        <w:rPr>
          <w:sz w:val="20"/>
          <w:szCs w:val="20"/>
          <w:color w:val="auto"/>
        </w:rPr>
      </w:pPr>
      <w:r>
        <w:rPr>
          <w:rFonts w:ascii="Arial" w:cs="Arial" w:eastAsia="Arial" w:hAnsi="Arial"/>
          <w:sz w:val="17"/>
          <w:szCs w:val="17"/>
          <w:b w:val="1"/>
          <w:bCs w:val="1"/>
          <w:i w:val="1"/>
          <w:iCs w:val="1"/>
          <w:color w:val="auto"/>
        </w:rPr>
        <w:t>Crown’s profits will decline if the price of raw materials or energy rises and it cannot increase the price of its products, and Crown’s financial results could be adversely affected if Crown was not able to obtain sufficient quantities of raw materials.</w:t>
      </w:r>
    </w:p>
    <w:p>
      <w:pPr>
        <w:spacing w:after="0" w:line="3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Crown uses various raw materials, such as steel, aluminum, tin, water, natural gas, electricity and other processed energy, in its manufacturing operations, and Signode uses raw materials including steel and materials derived from crude oil and natural gas, such as polyethylene and polypropylene resins. Sufficient quantities of these raw materials may not be available in the future or may be available only at increased prices. Crown’s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proposed tariffs and potential limits on steel supply in the United States from certain foreign countries could further negatively impact Crown’s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Crown’s business may increase as well, including natural gas, electricity and freight-related costs.</w:t>
      </w:r>
    </w:p>
    <w:p>
      <w:pPr>
        <w:spacing w:after="0" w:line="18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prices of certain raw materials used by Crown, such as steel, aluminum and processed energy, have historically been subject to volatility. In 2017, consumption of steel and aluminum represented 21% and 42%, respectively, of Crown’s consolidated cost of products sold, excluding depreciation and amortization. While certain, but not all, of Crown’s contracts pass through raw material costs to customers, Crown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Crown’s working capital requirements, which may increase Crown’s average outstanding indebtedness and interest expense and may exceed the amounts available under Crown’s senior secured credit facilities and other sources of liquidity. In addition, Crown hedges raw material costs on behalf of certain customers and may suffer losses if such customers are unable to satisfy their purchase obligations.</w:t>
      </w:r>
    </w:p>
    <w:p>
      <w:pPr>
        <w:spacing w:after="0" w:line="166"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If Crown is unable to purchase steel, aluminum or other raw materials for a significant period of time, Crown’s operations would be disrupted and any such disruption may adversely affect Crown’s financial results. If customers believe that Crown’s competitors have greater access to raw materials, perceived certainty of supply at Crown’s competitors may put Crown at a competitive disadvantage regarding pricing and product volumes.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the effects of fluctuations in foreign exchange rates, which may reduce its net sales and cash flow.</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Crown is exposed to fluctuations in foreign currencies as a significant portion of its consolidated net sales, costs, assets and liabilities, are denominated in currencies other than the U.S. dollar. Crown’s international operations generated approximately 78% of its consolidated net sales in the year ended 2017 and 77% of its consolidated net sales in the years ended 2016 and 2015. In its consolidated financial statements, Crown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Crown’s expenses and liabilities denominated in foreign currencies. See “Management’s Discussion and Analysis of Financial Condition and Results of Operations—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Liquidity” in Crown’s Annual Report on Form 10-K for the year ended December 31, 2017, which is incorporated by reference in this prospectus. Although Crown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year-ended December 31, 2017, a 0.10 movement in the average euro rate would have reduced net income by $17 million.</w:t>
      </w:r>
    </w:p>
    <w:p>
      <w:pPr>
        <w:spacing w:after="0" w:line="333"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Crown’s cash flow and negatively impact its financial condition.</w:t>
      </w:r>
    </w:p>
    <w:p>
      <w:pPr>
        <w:spacing w:after="0" w:line="62"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Crown Cork, a wholly-owned subsidiary of Crown,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18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 xml:space="preserve">Crown recorded pre-tax charges of $3 million, $21 million and $26 million to increase its accrual for asbestos-related liabilities in 2017, 2016 and 2015. As of December 31, 2017, Crown Cork’s accrual for pending and future asbestos-related claims and related legal costs was $315 million, including $272 million for unasserted claims. Crown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r>
        <w:rPr>
          <w:rFonts w:ascii="Arial" w:cs="Arial" w:eastAsia="Arial" w:hAnsi="Arial"/>
          <w:sz w:val="16"/>
          <w:szCs w:val="16"/>
          <w:u w:val="single" w:color="auto"/>
          <w:color w:val="auto"/>
        </w:rPr>
        <w:t>Note L</w:t>
      </w:r>
      <w:r>
        <w:rPr>
          <w:rFonts w:ascii="Arial" w:cs="Arial" w:eastAsia="Arial" w:hAnsi="Arial"/>
          <w:sz w:val="16"/>
          <w:szCs w:val="16"/>
          <w:color w:val="auto"/>
        </w:rPr>
        <w:t xml:space="preserve"> to the audited consolidated financial statements in Crown’s Annual Report on</w:t>
      </w:r>
    </w:p>
    <w:p>
      <w:pPr>
        <w:spacing w:after="0" w:line="2"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Form 10-K for the year ended December 31, 2017, which is incorporated by reference in this prospectus, including Texas and Pennsylvania statutes, are expected to have a highly favorable impact on Crown Cork’s ability to settle or defend against asbestos-related claims in those states and other states where Pennsylvania law may apply.</w:t>
      </w:r>
    </w:p>
    <w:p>
      <w:pPr>
        <w:spacing w:after="0" w:line="19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Crown Cork had approximately 55,500 asbestos-related claims outstanding at December 31, 2017. Of these claims, approximately 16,500 claims relate to claimants alleging first exposure to asbestos after 1964 and approximately 39,000 relate to claimants alleging first exposure to asbestos before or during 1964, of which approximately 13,000 were filed in Texas, 1,500 were filed in Pennsylvania, 6,000 were filed in other states that have enacted asbestos legislation and 18,500 were filed in other states. The outstanding claims at December 31, 2017 also exclude approximately 19,000 inactive claims. Due to the passage of time, Crown considers it unlikely that the plaintiffs in these cases will pursue further action. The exclusion of these inactive claims had no effect on the calculation of Crown’s accrual as the claims were filed in states where Crown’s liability is limited by statute. Crown devotes significant time and expense to defend against these various claims, complaints and proceedings, and there can be no assurance that the expenses or distractions from operating Crown’s businesses arising from these defenses will not increase materially.</w:t>
      </w:r>
    </w:p>
    <w:p>
      <w:pPr>
        <w:spacing w:after="0" w:line="166"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On October 22, 2010, the Texas Supreme Court, in a 6-2 decision,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Crown believes that the decision of the Texas Supreme Court is limited to retroactive application of the Texas legislation to asbestos-related cases that were pending against Crown Cork in Texas on June 11, 2003 and therefore continues to assign no value to claims filed after June 11, 2003.</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Crown Cork made cash payments of $30 million in each of the years 2017, 2016 and 2015 for asbestos-related claims including settlement payments and legal fees. These payments have reduced and any such future payments will reduce the cash flow available to Crown Cork for its business operations and debt payments.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Crown’s cash flow and impair its ability to satisfy its obligations.</w:t>
      </w:r>
    </w:p>
    <w:p>
      <w:pPr>
        <w:spacing w:after="0" w:line="18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As a result of the uncertainties regarding its asbestos-related liabilities and its reduced cash flow, the ability of Crown to raise new money in the capital markets is more difficult and more costly, and Crown may not be able to access the capital markets in the future. Further information regarding Crown Cork’s asbestos-related liabilities is presented within “Management’s Discussion and Analysis of Financial Condition and Results of Operations” under the headings, “Provision for Asbestos” and “Critical Accounting Policies,” under </w:t>
      </w:r>
      <w:r>
        <w:rPr>
          <w:rFonts w:ascii="Arial" w:cs="Arial" w:eastAsia="Arial" w:hAnsi="Arial"/>
          <w:sz w:val="16"/>
          <w:szCs w:val="16"/>
          <w:u w:val="single" w:color="auto"/>
          <w:color w:val="auto"/>
        </w:rPr>
        <w:t>Note L</w:t>
      </w:r>
      <w:r>
        <w:rPr>
          <w:rFonts w:ascii="Arial" w:cs="Arial" w:eastAsia="Arial" w:hAnsi="Arial"/>
          <w:sz w:val="16"/>
          <w:szCs w:val="16"/>
          <w:color w:val="auto"/>
        </w:rPr>
        <w:t xml:space="preserve"> to the audited consolidated financial statements in Crown’s Annual Report on Form 10-K for the year ended December 31, 2017 and </w:t>
      </w:r>
      <w:r>
        <w:rPr>
          <w:rFonts w:ascii="Arial" w:cs="Arial" w:eastAsia="Arial" w:hAnsi="Arial"/>
          <w:sz w:val="16"/>
          <w:szCs w:val="16"/>
          <w:u w:val="single" w:color="auto"/>
          <w:color w:val="auto"/>
        </w:rPr>
        <w:t>Note I</w:t>
      </w:r>
      <w:r>
        <w:rPr>
          <w:rFonts w:ascii="Arial" w:cs="Arial" w:eastAsia="Arial" w:hAnsi="Arial"/>
          <w:sz w:val="16"/>
          <w:szCs w:val="16"/>
          <w:color w:val="auto"/>
        </w:rPr>
        <w:t xml:space="preserve"> to the unaudited consolidated financial statements in Crown’s Quarterly Report on Form 10-Q for the quarter ended September 30, 2018, which are incorporated by reference in this prospectus.</w:t>
      </w:r>
    </w:p>
    <w:p>
      <w:pPr>
        <w:spacing w:after="0" w:line="273"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Crown has significant pension plan obligations worldwide and significant unfunded postretirement obligations, which could reduce its cash flow and negatively impact its results of operations and its financial condition.</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Crown sponsors various pension plans worldwide, with the largest funded plans in the United Kingdom, the United States and Canada. In 2017, 2016 and 2015, Crown contributed $296 million, $103 million and $79 million to its pension plans. Pension expense was $16 million in 2017 and is expected to be $4 million in 2018. A 0.25% change in the 2018 expected rate of return assumptions would change 2018 pension expense by approximately $12 million. A 0.25% change in the discount rates assumptions as of December 31, 2017 would change 2018 pension expense by approximately $4 million. Crown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Crown’s cash available to pay its outstanding obligations and its net income and increase Crown’s outstanding indebtedness.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Crown expects to make pension contributions of $18 million in 2018, $24 million in 2019, $26 million in 2020,</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 million in 2021 and $23 million in 2022. Future changes to mortality tables or other factors used to determine pension contributions could have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impact on Crown’s future contributions and its cash flow available for debt reduction, capital expenditures or other purposes.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The difference between pension plan obligations and assets, or the funded status of the plans, significantly affects the net periodic benefit costs of Crown’s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Crown’s future pension plan funding requirements and could have a negative impact on Crown’s results of operations and profitability. See </w:t>
      </w:r>
      <w:r>
        <w:rPr>
          <w:rFonts w:ascii="Arial" w:cs="Arial" w:eastAsia="Arial" w:hAnsi="Arial"/>
          <w:sz w:val="16"/>
          <w:szCs w:val="16"/>
          <w:u w:val="single" w:color="auto"/>
          <w:color w:val="auto"/>
        </w:rPr>
        <w:t>Note T</w:t>
      </w:r>
      <w:r>
        <w:rPr>
          <w:rFonts w:ascii="Arial" w:cs="Arial" w:eastAsia="Arial" w:hAnsi="Arial"/>
          <w:sz w:val="16"/>
          <w:szCs w:val="16"/>
          <w:color w:val="auto"/>
        </w:rPr>
        <w:t xml:space="preserve"> to the audited consolidated financial statements in Crown’s Annual Report on Form 10-K for the year ended December 31, 2017, which is incorporated by reference in this prospectus. As long as Crown continues to maintain its various pension plans, Crown will continue to incur additional pension obligations. Crown’s pension plan assets consist primarily of common stocks and fixed income securities and also include alternative investments such as interests in private equity and hedge funds. If the performance of plan assets does not meet Crown’s assumptions or discount rates continue to decline, the underfunding of the pension plans may increase and Crown may have to contribute additional funds to the pension plans, and its pension expense may increase. In addition, Crown’s supplemental executive retirement plan and retiree medical plans are unfunded.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Crown’s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Crown will incur a liability to the PBGC that may be equal to the entire amount of the underfunding, which under certain circumstances may be senior to the notes. In addition, as of December 31, 2017 the unfunded accumulated postretirement benefit obligation, as calculated in accordance with U.S. generally accepted accounting principles, for retiree medical benefits was approximately $168 million, based on assumptions set forth under </w:t>
      </w:r>
      <w:r>
        <w:rPr>
          <w:rFonts w:ascii="Arial" w:cs="Arial" w:eastAsia="Arial" w:hAnsi="Arial"/>
          <w:sz w:val="16"/>
          <w:szCs w:val="16"/>
          <w:u w:val="single" w:color="auto"/>
          <w:color w:val="auto"/>
        </w:rPr>
        <w:t>Note T</w:t>
      </w:r>
      <w:r>
        <w:rPr>
          <w:rFonts w:ascii="Arial" w:cs="Arial" w:eastAsia="Arial" w:hAnsi="Arial"/>
          <w:sz w:val="16"/>
          <w:szCs w:val="16"/>
          <w:color w:val="auto"/>
        </w:rPr>
        <w:t xml:space="preserve"> to the audited consolidated financial statements in Crown’s Annual Report on Form 10-K for the year ended December 31, 2017, which is incorporated by reference in this prospectus.</w:t>
      </w:r>
    </w:p>
    <w:p>
      <w:pPr>
        <w:spacing w:after="0" w:line="275" w:lineRule="exact"/>
        <w:rPr>
          <w:sz w:val="20"/>
          <w:szCs w:val="20"/>
          <w:color w:val="auto"/>
        </w:rPr>
      </w:pPr>
    </w:p>
    <w:p>
      <w:pPr>
        <w:ind w:left="420" w:right="480"/>
        <w:spacing w:after="0" w:line="277" w:lineRule="auto"/>
        <w:rPr>
          <w:sz w:val="20"/>
          <w:szCs w:val="20"/>
          <w:color w:val="auto"/>
        </w:rPr>
      </w:pPr>
      <w:r>
        <w:rPr>
          <w:rFonts w:ascii="Arial" w:cs="Arial" w:eastAsia="Arial" w:hAnsi="Arial"/>
          <w:sz w:val="18"/>
          <w:szCs w:val="18"/>
          <w:b w:val="1"/>
          <w:bCs w:val="1"/>
          <w:i w:val="1"/>
          <w:iCs w:val="1"/>
          <w:color w:val="auto"/>
        </w:rPr>
        <w:t>Acquisitions or investments that Crown is considering or may pursue could be unsuccessful, consume significant resources and require the incurrence of additional indebtedness.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Crown may consider acquisitions and investments that complement its existing business. These possible acquisitions and investments involve or may involve significant cash expenditures, debt incurrence (including the incurrence of additional indebtedness under Crown’s senior secured revolving credit facilities or other secured or unsecured debt), operating losses and expenses that could have a material effect on Crown’s financial condition and operating results.</w:t>
      </w:r>
    </w:p>
    <w:p>
      <w:pPr>
        <w:spacing w:after="0" w:line="18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particular, if Crown incurs additional debt, Crown’s liquidity and financial stability could be impaired as a result of using a significant portion of available cash or borrowing capacity to finance an acquisition. Moreover, Crown may face an increase in interest expense or financial leverage if additional debt is incurred to finance an acquisition, which may, among other things, adversely affect Crown’s various financial ratios and Crown’s compliance with the conditions of its existing indebtedness. In addition, such additional indebtedness may be incurred under Crown’s senior secured credit facilities or otherwise secured by liens on Crown’s assets. See “Description of Certain Indebtedness.”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involve numerous other risks, including:</w:t>
      </w:r>
    </w:p>
    <w:p>
      <w:pPr>
        <w:spacing w:after="0" w:line="131"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Crown’s ongoing business;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Crown’s existing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Crown;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 the extent Crown pursues an acquisition that causes it to incur unexpected costs or that fails to generate expected returns, Crown’s financial position, results of operations and cash flows may be adversely affected, and Crown’s ability to service its indebtedness, including the new notes, may be negatively impacted.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Crown’s principal markets may be subject to overcapacity and intense competition, which could reduce Crown’s net sales and net income.</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 exceeded demand. These market conditions could reduce product prices and contribute to declining revenue and net income and increasing debt balances. As a result of industry overcapacity (including in developed markets and certain emerging markets, such as China) and price competition, Crown may not be able to increase prices sufficiently to offset higher costs or to generate sufficient cash flow. The North American and Western Europe food and beverage can markets, in particular, are considered to be mature markets, characterized by slow growth and a sophisticated distribution system. In China, the current industry supply of beverage cans exceeds demand, which has resulted in pricing pressure and negative impacts on Crown’s profitability. Competitive pricing pressures, overcapacity, the failure to develop new product designs and technologies for products, as well as other factors, such as consolidation among our competitors, could cause Crown to lose existing business or opportunities to generate new business and could result in decreased cash flow and net income.</w:t>
      </w:r>
    </w:p>
    <w:p>
      <w:pPr>
        <w:spacing w:after="0" w:line="286" w:lineRule="exact"/>
        <w:rPr>
          <w:sz w:val="20"/>
          <w:szCs w:val="20"/>
          <w:color w:val="auto"/>
        </w:rPr>
      </w:pPr>
    </w:p>
    <w:p>
      <w:pPr>
        <w:ind w:left="420" w:right="580"/>
        <w:spacing w:after="0" w:line="277" w:lineRule="auto"/>
        <w:rPr>
          <w:sz w:val="20"/>
          <w:szCs w:val="20"/>
          <w:color w:val="auto"/>
        </w:rPr>
      </w:pPr>
      <w:r>
        <w:rPr>
          <w:rFonts w:ascii="Arial" w:cs="Arial" w:eastAsia="Arial" w:hAnsi="Arial"/>
          <w:sz w:val="18"/>
          <w:szCs w:val="18"/>
          <w:b w:val="1"/>
          <w:bCs w:val="1"/>
          <w:i w:val="1"/>
          <w:iCs w:val="1"/>
          <w:color w:val="auto"/>
        </w:rPr>
        <w:t>Crown is subject to competition from substitute products and decreases in demand for its products, which could result in lower profits and reduced cash flows.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Crown is subject to substantial competition from producers of alternative packaging made from glass, paper, flexible materials and plastic. Crown’s sales depend heavily on the volumes of sales by Crown’s customers in the food and beverage markets. Changes in preferences for products and packaging by consumers of prepackaged food and beverage cans significantly influence Crown’s sales. Changes in packaging by Crown’s customers may require Crown to re-tool manufacturing operations, which could require material expenditures. In addition, a decrease in the costs of, or a further increase in consumer demand for, alternative packaging could result in lower profits and reduced cash flows for Crown.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Crown may be unable to maintain its gross margin at past levels if it is not able to achieve high capacity utilization rates for its production equipment. In periods of low world-wide demand for its products or in situations where industry expansion created excess capacity, Crown experiences relatively low capacity utilization rates in its operations, which can lead to reduced margins during that period and can have an adverse effect on Crown’s business.</w:t>
      </w:r>
    </w:p>
    <w:p>
      <w:pPr>
        <w:spacing w:after="0" w:line="173"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Crown’s transit packaging segment also faces substantial competition from many regional and local competitors of various sizes in the manufacture, distribution and sale of its products. Signode’s products compete, to some extent, with various other packaging materials, including other products made of paper, plastics, wood and various types of metal. Although Signode has long-term relationships with many of its customers, these relationships are typically not contractual. As a result, Signode customers may unilaterally reduce the purchase of Signode’s products and Signode may not be able to quickly replace the revenue source, which could harm Crown’s financial results.</w:t>
      </w:r>
    </w:p>
    <w:p>
      <w:pPr>
        <w:spacing w:after="0" w:line="281"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Crown’s business results depend on its ability to understand its customers’ specific preferences and requirements, and to develop, manufacture and market products that meet customer demand.</w:t>
      </w:r>
    </w:p>
    <w:p>
      <w:pPr>
        <w:spacing w:after="0" w:line="62"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Crown’s ability to develop new product offerings for a diverse group of global customers with differing preferences, while maintaining functionality and spurring innovation, is critical to its success. This requires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thorough understanding of Crown’s existing and potential customers on a global basis, particularly in potential high growth emerging markets, including the Middle East, South America, Eastern Europe and Asia. Failure to deliver quality products that meet customer needs ahead of competitors could have a significant adverse effect on Crown’s business.</w:t>
      </w:r>
    </w:p>
    <w:p>
      <w:pPr>
        <w:spacing w:after="0" w:line="289" w:lineRule="exact"/>
        <w:rPr>
          <w:sz w:val="20"/>
          <w:szCs w:val="20"/>
          <w:color w:val="auto"/>
        </w:rPr>
      </w:pPr>
    </w:p>
    <w:p>
      <w:pPr>
        <w:ind w:left="420" w:right="5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Crown depends or increases in fuel prices could increase Crown’s costs or cause a disruption in Crown’s operations.</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Crown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Crown’s costs and disrupt Crown’s operations and its ability to service customers on a timely basis.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Crown’s net sales and profitability.</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Many of Crown’s largest customers have acquired companies with similar or complementary product lines. This consolidation has increased the concentration of Crown’s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Crown’s customers may reduce Crown’s net sales and net income.</w:t>
      </w:r>
    </w:p>
    <w:p>
      <w:pPr>
        <w:spacing w:after="0" w:line="154"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majority of Crown’s sales are to companies that have leading market positions in the sale of packaged food, beverages and household products to consumers. Although no one customer accounted for more than 10% of its net sales in the years ended 2017, 2016 or 2015, the loss of any of its major customers, a reduction in the purchasing levels of these customers or an adverse change in the terms of supply agreements with these customers could reduce Crown’s net sales and net income. A continued consolidation of Crown’s customers could exacerbate any such loss.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Crown’s business is seasonal and weather conditions could reduce Crown’s net sales.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Crown manufactures packaging primarily for the food and beverage can market. Its sales can be affected by weather conditions. Due principally to the seasonal nature of the soft drink, brewing, iced tea and other beverage industries, in which demand is stronger during the summer months, sales of Crown’s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costs and liabilities related to stringent environmental and health and safety standards.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Laws and regulations relating to environmental protection and health and safety may increase Crown’s costs of operating and reduce its profitability. Crown’s operations are subject to numerous U.S. federal and state and non-U.S. laws and regulations governing the protection of the environment, including those relating to operating permit, treatment, storage and disposal of waste, the use of chemicals in Crown’s products and manufacturing process, discharges into water, emissions into the atmosphere, remediation of soil and groundwater contamination and protection of employee health and safety. Future regulations may impose stricter environmental or employee safety requirements affecting Crown’s operations or may impose additional requirements regarding consumer health and safety, such as potential restrictions on the use of bisphenol-A, a starting material used to produce internal and external coatings for some food, beverage, and aerosol containers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and metal closures. Although the U.S. FDA currently permits the use of bisphenol-A in food packaging materials and confirmed in a January 2010 update that studies employing standardized toxicity tests have supported the safety of current low levels of human exposure to bisphenol-A, the FDA in that January 2010 update noted that more research was needed, and further suggested reasonable steps to reduce exposure to bisphenol-A. The FDA subsequently entered into a consent decree under which it agreed to issue, by March 31, 2012, a final decision on a citizen’s petition requesting the agency take further regulatory steps with regard to bisphenol-A. On March 30, 2012, the FDA denied the request, responding, in part, that the appropriate course of action was to continue scientific study and review of all new evidence regarding the safety of bisphenol-A. In March 2010, the EPA issued an action plan for bisphenol-A, which includes, among other things, consideration of whether to add bisphenol-A to the chemical concern list on the basis of potential environmental effects and use of the EPA’s Design for the Environment program to encourage reductions in bisphenol-A manufacturing and use. Moreover, certain U.S. Congressional bodies, states and municipalities, as well as certain foreign nations and some member states of the European Union, such as Denmark, Belgium and France, have considered, proposed or already passed legislation banning or suspending the use of bisphenol-A in certain products or requiring warnings regarding bisphenol-A. In July 2012, the FDA banned the use of bisphenol-A in baby bottles and children’s drinking cups, and in July 2013, the FDA banned the use of bisphenol-A in epoxy resins that coat infant formula cans. In France, the production, importation, exportation and the placement on the market of baby bottles containing bisphenol-A was suspended by a law of 2010. This suspension was extended in 2013 to packaging and utensils for food intended for children under 3 and in 2015 to packaging and utensils for all other foods. Following a decision of the French Constitutional Court, the suspension is currently limited to the importation and the placement on the market of those packaging and utensils containing bisphenol-A. The law also includes certain product labeling requirements. More generally, France is very attentive to the issue of endocrine disruptors and food safety (</w:t>
      </w:r>
      <w:r>
        <w:rPr>
          <w:rFonts w:ascii="Arial" w:cs="Arial" w:eastAsia="Arial" w:hAnsi="Arial"/>
          <w:sz w:val="16"/>
          <w:szCs w:val="16"/>
          <w:i w:val="1"/>
          <w:iCs w:val="1"/>
          <w:color w:val="auto"/>
        </w:rPr>
        <w:t>e.g.</w:t>
      </w:r>
      <w:r>
        <w:rPr>
          <w:rFonts w:ascii="Arial" w:cs="Arial" w:eastAsia="Arial" w:hAnsi="Arial"/>
          <w:sz w:val="16"/>
          <w:szCs w:val="16"/>
          <w:color w:val="auto"/>
        </w:rPr>
        <w:t>, Food Conference in 2017 (</w:t>
      </w:r>
      <w:r>
        <w:rPr>
          <w:rFonts w:ascii="Arial" w:cs="Arial" w:eastAsia="Arial" w:hAnsi="Arial"/>
          <w:sz w:val="16"/>
          <w:szCs w:val="16"/>
          <w:i w:val="1"/>
          <w:iCs w:val="1"/>
          <w:color w:val="auto"/>
        </w:rPr>
        <w:t>Etats généraux de l’alimentation</w:t>
      </w:r>
      <w:r>
        <w:rPr>
          <w:rFonts w:ascii="Arial" w:cs="Arial" w:eastAsia="Arial" w:hAnsi="Arial"/>
          <w:sz w:val="16"/>
          <w:szCs w:val="16"/>
          <w:color w:val="auto"/>
        </w:rPr>
        <w:t>)). In the first quarter of 2014, the European Food Safety Authority recommended that the tolerable daily intake of bisphenol-A be lowered. Further, the U.S. or additional international, federal, state or other regulatory authorities could restrict or prohibit the use of bisphenol-A in the future. For example, in 2015, the State of California declared bisphenol-A a reproductive system hazard and listed BPA as a hazardous chemical under California’s Safe Water and Toxic Environment Act, which may trigger a requirement to include warning labels on consumer items containing bisphenol-A. In addition, recent public reports, litigation and other allegations regarding the potential health hazards of bisphenol-A could contribute to a perceived safety risk about Crown’s products and adversely impact sales or otherwise disrupt Crown’s business. While Crown is exploring various alternatives to the use of bisphenol-A and conversion to alternatives is underway in some applications, there can be no assurance Crown will be completely successful in its efforts or that the alternatives will not be more costly to Crown.</w:t>
      </w:r>
    </w:p>
    <w:p>
      <w:pPr>
        <w:spacing w:after="0" w:line="3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Crown to employ additional control equipment or process modifications. Crown’s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Crown operates, the potential impact to Crown’s operations is uncertain. In addition, the potential impact of climate change on Crown’s operations is highly uncertain. The impact of climate change may vary by geographic location and other circumstances, including weather patterns and any impact to natural resources such as water.</w:t>
      </w:r>
    </w:p>
    <w:p>
      <w:pPr>
        <w:spacing w:after="0" w:line="17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Crown’s products, and/or increase its costs. See “Management’s Discussion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Analysis of Financial Condition and Results of Operations—Liquidity and Capital Resources—Environmental Matters” in Crown’s Annual Report on Form 10-K for the year ended December 31, 2017, which is incorporated by reference in this prospectus.</w:t>
      </w:r>
    </w:p>
    <w:p>
      <w:pPr>
        <w:spacing w:after="0" w:line="279"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Crown has a significant amount of goodwill that, if impaired in the future, would result in lower reported net income and a reduction of its net worth.</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Impairment of Crown’s goodwill would require a write down of goodwill, which would reduce Crown’s net income in the period of any such write down. At December 31, 2017, the carrying value of Crown’s goodwill was $3,046 million. Crown is required to evaluate goodwill reflected on its balance sheet at least annually, or when circumstances indicate a potential impairment. If it determines that the goodwill is impaired, Crown would be required to write off a portion or all of the goodwill.</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Crown fails to retain key management and personnel, Crown may be unable to implement its business plan.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Members of Crown’s senior management have extensive industry experience, and it might be difficult to find new personnel with comparable experience. Because Crown’s business is highly specialized, Crown believes that it would also be difficult to replace its key technical personnel. Crown believes that its future success depends, in large part, on its experienced senior management team. Losing the services of key members of its management team could limit Crown’s ability to implement its business plan. In addition, under Crown’s unfunded Senior Executive Retirement Plan certain members of senior management are entitled to lump sum payments upon retirement or other termination of employment and a lump sum death benefit of five times the annual retirement benefit.</w:t>
      </w:r>
    </w:p>
    <w:p>
      <w:pPr>
        <w:spacing w:after="0" w:line="301"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Crown’s workforce is unionized and labor disruptions could increase Crown’s costs and prevent Crown from supplying its customers.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significant portion of Crown’s workforce is unionized and a prolonged work stoppage or strike at any facility with unionized employees could increase its costs and prevent Crown from supplying its customers. In addition, upon the expiration of existing collective bargaining agreements, Crown may not reach new agreements without union action in certain jurisdictions and any such new agreements may not be on terms satisfactory to Crown. If Crown is unable to negotiate acceptable collective bargaining agreements, it may become subject to union-initiated work stoppages, including strikes. Moreover, additional groups of currently non-unionized employees may seek union representation in the future. The National Labor Relations Board has adopted new regulations concerning the procedures for conducting employee representation elections that could make it significantly easier for labor organizations to prevail in elections. The regulations became effective on April 14, 2015, although court challenges to those regulations remain pending.</w:t>
      </w:r>
    </w:p>
    <w:p>
      <w:pPr>
        <w:spacing w:after="0" w:line="27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Failure by Crown’s joint venture partners to observe their obligations could adversely affect the business and operations of the joint ventures and, in turn, the business and operations of Crown.</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 portion of Crown’s operations, including certain beverage can operations in Asia, the Middle East and South America, is conducted through joint ventures. Crown participates in these ventures with third parties. In the event that Crown’s joint venture partners do not observe their obligations or are unable to commit additional capital to the joint ventures, it is possible that the affected joint venture would not be able to operate in accordance with its business plans or that Crown would have to increase its level of commitment to the joint venture.</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i w:val="1"/>
          <w:iCs w:val="1"/>
          <w:color w:val="auto"/>
        </w:rPr>
        <w:t>If Crown fails to maintain an effective system of internal control, Crown may not be able to accurately report financial results or prevent fraud.</w:t>
      </w:r>
    </w:p>
    <w:p>
      <w:pPr>
        <w:spacing w:after="0" w:line="14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Any inability to provide reliable financial reports or prevent fraud could harm Crown’s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business. Crown must annually evaluate its internal procedures to satisfy the requirements of Section 404 of the Sarbanes-Oxley Act of 2002, which requires management and auditors to assess the effectiveness of internal controls. If Crown fails to remedy or maintain the adequacy of its internal controls, as such standards are modified, supplemented or amended from time to time, Crown could be subject to regulatory scrutiny, civil or criminal penalties or shareholder litigation.</w:t>
      </w:r>
    </w:p>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In addition, failure to maintain adequate internal controls could result in financial statements that do not accurately reflect Crown’s financial condition. There can be no assurance that Crown will be able to complete the work necessary to fully comply with the requirements of the Sarbanes-Oxley Act or that Crown’s management and external auditors will continue to conclude that Crown’s internal controls are effective.</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litigation risks which could negatively impact its operations and net income.</w:t>
      </w:r>
    </w:p>
    <w:p>
      <w:pPr>
        <w:spacing w:after="0" w:line="11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Crown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Crown’s cash flow and negatively impact its financial condition.” Crown is currently unable to determine the total expense or possible loss, if any, that may ultimately be incurred in the resolution of such legal proceedings. Regardless of the ultimate outcome of such legal proceedings, they could result in significant diversion of time by Crown’s management. The results of Crown’s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1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Some of Signode’s products are relied upon by customers or end users in their facilities or operations, or are manufactured for relatively broad industrial, transportation or consumer use. Crown faces an inherent risk of exposure to claims and damage to its reputation or brands in the event that the failure, use or misuse of Signode’s products results, or is alleged to result, in death, bodily injury, property damage or economic loss. For instance, Signode products may fail while being used to transport heavy, industrial equipment. A successful product liability claim or series of claims against Signode, or a significant warranty claim or series of claims against Signode, could have a material adverse effect on Crown.</w:t>
      </w:r>
    </w:p>
    <w:p>
      <w:pPr>
        <w:spacing w:after="0" w:line="15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In March 2015, the </w:t>
      </w:r>
      <w:r>
        <w:rPr>
          <w:rFonts w:ascii="Arial" w:cs="Arial" w:eastAsia="Arial" w:hAnsi="Arial"/>
          <w:sz w:val="18"/>
          <w:szCs w:val="18"/>
          <w:i w:val="1"/>
          <w:iCs w:val="1"/>
          <w:color w:val="auto"/>
        </w:rPr>
        <w:t>Bundeskartellamt</w:t>
      </w:r>
      <w:r>
        <w:rPr>
          <w:rFonts w:ascii="Arial" w:cs="Arial" w:eastAsia="Arial" w:hAnsi="Arial"/>
          <w:sz w:val="18"/>
          <w:szCs w:val="18"/>
          <w:color w:val="auto"/>
        </w:rPr>
        <w:t>, or German Federal Cartel Office (“FCO”), conducted unannounced inspections of the premises of several metal packaging manufacturers, including a German subsidiary of Crown. The local court order authorizing the inspection cited FCO suspicions of anti-competitive agreements in the German market for the supply of metal packaging products. Crown conducted an internal investigation into the matter and discovered instances of inappropriate conduct by certain employees of German subsidiaries of Crown. Crown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9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Commission’s investigation is ongoing and, to date, the Commission has not officially charged Crown or any of its subsidiaries with violations of competition law. Crown is cooperating with the Commission and submitted a leniency application with the Commission with respect to the findings of the investigation in Germany referenced above. This application may lead to the reduction of possible future penalties. At this stage of the investigation Crown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Crown or any of its subsidiaries violated competition law, fines levied by the Commission could be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material to Crown’s operating results and cash flows for the periods in which they are resolved or become reasonably estimable.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downturn in certain global economies could have adverse effects on Crown.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downturn in certain global economies could have significant adverse effects on Crown’s operations, including as a result of any the following:</w:t>
      </w:r>
    </w:p>
    <w:p>
      <w:pPr>
        <w:spacing w:after="0" w:line="154" w:lineRule="exact"/>
        <w:rPr>
          <w:sz w:val="20"/>
          <w:szCs w:val="20"/>
          <w:color w:val="auto"/>
        </w:rPr>
      </w:pPr>
    </w:p>
    <w:p>
      <w:pPr>
        <w:ind w:left="1060" w:right="1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downturns in the business or financial condition of any of Crown’s key customers or suppliers, potentially resulting in customers’ inability to pay Crown’s invoices as they become due or at all or suppliers’ failure to fulfill their commitments;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losses associated with hedging activity by Crown for the benefit of Crown’s customers including counterparty risk associated with such hedging activity, or costs associated with changing suppliers;</w:t>
      </w:r>
    </w:p>
    <w:p>
      <w:pPr>
        <w:spacing w:after="0" w:line="75"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decline in the fair value of Crown’s pension assets or a decline in discount rates used to measure Crown’s pension obligations, potentially requiring Crown to make significant additional contributions to its pension plans to meet prescribed funding levels;</w:t>
      </w:r>
    </w:p>
    <w:p>
      <w:pPr>
        <w:spacing w:after="0" w:line="51" w:lineRule="exact"/>
        <w:rPr>
          <w:rFonts w:ascii="Arial" w:cs="Arial" w:eastAsia="Arial" w:hAnsi="Arial"/>
          <w:sz w:val="17"/>
          <w:szCs w:val="17"/>
          <w:color w:val="auto"/>
        </w:rPr>
      </w:pPr>
    </w:p>
    <w:p>
      <w:pPr>
        <w:ind w:left="1060" w:right="680" w:hanging="316"/>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deterioration of any of the lending parties under Crown’s senior secured revolving credit facilities or the creditworthiness of the counterparties to Crown’s derivative transactions, which could result in such parties’ failure to satisfy their obligations under their arrangements with Crown;</w:t>
      </w:r>
    </w:p>
    <w:p>
      <w:pPr>
        <w:spacing w:after="0" w:line="86"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noncompliance with the covenants under Crown’s indebtedness as a result of a weakening of Crown’s financial position or results of operations; and</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currently available funding sources, which could have a negative impact upon the liquidity of Crown as well as that of its customers and suppliers.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vote by the United Kingdom to leave the European Union could adversely affect Crown.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June 23, 2016, the United Kingdom (the “U.K.”) voted to leave the European Union (“E.U.”) (commonly referred to as “Brexit”). On March 29, 2017, the U.K. Prime Minister triggered Article 50 of the Treaty on European Union by formally notifying the European Council of the U.K.’s intention to leave the E.U. As a result, unless extended by a withdrawal agreement between the European Council and the U.K., the effective date of the U.K.’s withdrawal from the E.U. will be March 29, 2019.</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U.K.’s decision to leave the E.U. has caused, and is anticipated to continue to cause, significant disruptions to and uncertainty on the European and worldwide financial markets, including volatility in the value of the euro and pounds sterling and the prospective loss by the U.K. of the benefits of global trade agreements which apply to E.U. members. Accordingly, Brexit could adversely affect Crown’s business, results of operations, financial condition and cash flows, and could negatively impact the value of the notes, particularly if no withdrawal agreement is reached prior to the March 29, 2019 deadline. However, until the terms of the U.K.’s withdrawal from the E.U. are clearer, it is not possible to determine what effect Brexit may have on Crown’s business.</w:t>
      </w:r>
    </w:p>
    <w:p>
      <w:pPr>
        <w:spacing w:after="0" w:line="301"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Crown relies on its information technology and the failure or disruption of its information technology could disrupt its operations and adversely affect its results of operations.</w:t>
      </w:r>
    </w:p>
    <w:p>
      <w:pPr>
        <w:spacing w:after="0" w:line="62"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Crown’s business increasingly relies on the successful and uninterrupted functioning of its information technology systems to process, transmit, and store electronic information. A significant portion of the communication between Crown’s personnel around the world, customers, and suppliers depends on information technology. As with all large systems, Crown’s information technology systems may be susceptible to damage, disruptions or shutdowns due to failures during the process of upgrading or replacing software, databases or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color w:val="auto"/>
        </w:rPr>
        <w:t>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14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concentration of processes in shared services centers means that any disruption could impact a large portion of Crown’s business within the operating zones served by the affected service center. If Crown does not allocate, and effectively manage, the resources necessary to build, sustain and protect the proper technology infrastructure, Crown could be subject to transaction errors, processing inefficiencies, loss of customers, business disruptions, the loss of or damage to intellectual property through security breach, as well as potential civil liability and fines under various states’ laws in which Crown does business. While Crown has security measures in place designed to protect the integrity of customer information and prevent data loss, misappropriation, and other security breaches, Crown’s information technology system could also be penetrated by outside parties intent on extracting information, corrupting information or disrupting business processes. In addition, if Crown’s information technology systems suffer severe damage, disruption or shutdown and Crown’s business continuity plans do not effectively resolve the issues in a timely manner, Crown may lose revenue and profits as a result of its inability to timely manufacture, distribute, invoice and collect payments from its customers, and could experience delays in reporting its financial results, including with respect to Crown’s operations in emerging markets. Furthermore, if Crown is unable to prevent security breaches, it may suffer financial and reputational damage because of lost or misappropriated confidential information belonging to Crown or to its customers or suppliers. Failure or disruption of these systems, or the back-up systems, for any reason could disrupt Crown’s operations and negatively impact Crown’s cash flows or financial condition.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continues to evaluate the effects of recently enacted changes to the U.S. tax laws.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On December 22, 2017, the Tax Cuts and Jobs Act (H.R. 1) (the “Tax Act”) was signed into law by President Trump. The Tax Act contains significant changes to U.S. corporate taxation, including reduction of the U.S. corporate tax rate from 35% to 21%, limitation of the tax deduction for interest expense, net of interest income, to 30% of a U.S. corporation’s adjusted taxable income, one time taxation of unremitted earnings of non-U.S. subsidiaries at either a 15.5% rate for earnings represented by cash or cash equivalents or an 8% rate for earnings invested in non-cash assets even if not repatriated, and elimination of U.S. tax on earnings of non-U.S. subsidiaries (other than with respect to certain income of non-U.S. subsidiaries).</w:t>
      </w:r>
    </w:p>
    <w:p>
      <w:pPr>
        <w:spacing w:after="0" w:line="158"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As a result of the Tax Act, Crown recorded a provisional tax charge of $177 for the year-ended December 31, 2017. The amount of the charge is subject to further analysis and is expected to be determined during 2018. Our third quarter results reflect an additional charge of $4 as an adjustment to the provisional charge. In addition, the Tax Act is expected to impact Crown’s future financial results, including as a result of the reduction in the U.S. corporate tax rate and the limitation on tax deductions for interest expense.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Crown’s financial results.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New accounting standards or pronouncements that may become applicable to Crown from time to time, or changes in the interpretation of existing standards and pronouncements, could have a significant effect on Crown’s reported results for the affected periods. Crown is also subject to income tax in the numerous jurisdictions in which Crown operates. Increases in income tax rates or other changes to tax laws could reduce Crown’s after-tax income from affected jurisdictions or otherwise affect Crown’s tax liability. In addition, Crown’s products are subject to import and excise duties and/or sales or value-added taxes in many jurisdictions in which it operates. Increases in indirect taxes could affect Crown’s products’ affordability and therefore reduce demand for its products.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Crown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3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Public health officials and government officials have become increasingly concerned about the public health consequences associated with over-consumption of certain types of beverages, such as sugar beverages and including those sold by certain of Crown’s significant customers. Possible new federal, state or local taxes, increases to current taxes or other governmental regulations specifically targeted to decrease the consumption of these beverages may significantly reduce demand for the beverages of Crown’s customers, which could in turn affect demand of Crown’s customers for Crown’s products. For example, Mexico recently implemented a tax on certain sugar sweetened beverages and members of the U.S. Congress have raised the possibility of a federal tax on the sale of certain beverages, including non-diet soft drinks, fruit drinks, teas and flavored waters. Some state governments are also considering similar taxes, and San Francisco, California and Philadelphia, Pennsylvania have enacted such a tax. If enacted, such taxes could materially adversely affect Crown’s business and financial results. Additionally, France has introduced taxes on drinks with added sugar and artificial sweeteners that companies produce or import and the United Kingdom is planning on introducing a similar tax in 2018. France has also imposed taxes on energy drinks using certain amounts of taurine and caffeine. The imposition of such taxes in the future may decrease the demand for certain soft drinks and beverages that Crown’s customers produce, which may cause Crown’s customers to respond by decreasing their purchases from Crown. Consumer tax legislation and future attempts to tax sugar or energy drinks by other jurisdictions could reduce the demand for Crown’s products and adversely affect Crown’s profitability.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Crown’s intellectual property rights may negatively impact its ability to compete.</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If Crown is unable to maintain the proprietary nature of its technologies, its competitors may use its technologies to compete with it. Crown has a number of patents covering various aspects of its products, including its SuperEnd</w:t>
      </w:r>
      <w:r>
        <w:rPr>
          <w:rFonts w:ascii="Arial" w:cs="Arial" w:eastAsia="Arial" w:hAnsi="Arial"/>
          <w:sz w:val="14"/>
          <w:szCs w:val="14"/>
          <w:color w:val="auto"/>
        </w:rPr>
        <w:t>®</w:t>
      </w:r>
      <w:r>
        <w:rPr>
          <w:rFonts w:ascii="Arial" w:cs="Arial" w:eastAsia="Arial" w:hAnsi="Arial"/>
          <w:sz w:val="17"/>
          <w:szCs w:val="17"/>
          <w:color w:val="auto"/>
        </w:rPr>
        <w:t xml:space="preserve"> beverage can end, whose primary patent expired in 2016, Easylift™ full aperture steel food can ends, PeelSeam™ and PeelFit™ flexible lidding and Ideal™ product line. Crown’s patents may not withstand challenge in litigation, and patents do not ensure that competitors will not develop competing products or infringe upon Crown’s patents. Moreover, the costs of litigation to defend Crown’s patents could be substantial and may outweigh the benefits of enforcing its rights under its patents. Crown markets its products internationally and the patent laws of foreign countries may offer less protection than the patent laws of the United States. Not all of Crown’s domestic patents have been registered in other countries. Crown also relies on trade secrets, know-how and other unpatented proprietary technology, and others may independently develop the same or similar technology or otherwise obtain access to Crown’s unpatented technology. In addition, Crown has from time to time received letters from third parties suggesting that it may be infringing on their intellectual property rights, and third parties may bring infringement suits against Crown, which could result in Crown needing to seek licenses from these third parties or refraining altogether from use of the claimed technology.</w:t>
      </w:r>
    </w:p>
    <w:p>
      <w:pPr>
        <w:spacing w:after="0" w:line="291" w:lineRule="exact"/>
        <w:rPr>
          <w:sz w:val="20"/>
          <w:szCs w:val="20"/>
          <w:color w:val="auto"/>
        </w:rPr>
      </w:pPr>
    </w:p>
    <w:p>
      <w:pPr>
        <w:ind w:left="420" w:right="180"/>
        <w:spacing w:after="0" w:line="277" w:lineRule="auto"/>
        <w:rPr>
          <w:sz w:val="20"/>
          <w:szCs w:val="20"/>
          <w:color w:val="auto"/>
        </w:rPr>
      </w:pPr>
      <w:r>
        <w:rPr>
          <w:rFonts w:ascii="Arial" w:cs="Arial" w:eastAsia="Arial" w:hAnsi="Arial"/>
          <w:sz w:val="18"/>
          <w:szCs w:val="18"/>
          <w:b w:val="1"/>
          <w:bCs w:val="1"/>
          <w:i w:val="1"/>
          <w:iCs w:val="1"/>
          <w:color w:val="auto"/>
        </w:rPr>
        <w:t>Demand for Crown’s products could be affected by changes in laws and regulations applicable to food and beverages and changes in consumer preferences.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Crown manufactures and sells packaging primarily for the food and beverage can market. As a result, many of Crown’s products come into direct contact with food and beverages. Accordingly, Crown’s products must comply with various laws and regulations for food and beverages applicable to its customers. Changes in such laws and regulations could negatively impact customers’ demand for Crown’s products as they comply with such changes and/or require Crown to make changes to its products. Such changes to Crown’s products could include modifications to the coatings and compounds that Crown uses, possibly resulting in the incurrence of additional costs. Additionally, because many of Crown’s products are used to package consumer goods, Crown is subject to a variety of risks that could influence consumer behavior and negatively impact demand for Crown’s products, including changes in consumer preferences driven by various health-related concerns and perceptions.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60" w:lineRule="exact"/>
        <w:rPr>
          <w:sz w:val="20"/>
          <w:szCs w:val="20"/>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Crown’s plans or objectives for future operations, products or financial performance;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Crown’s indebtedness and other contractual obligations;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anticipated uses of cash;</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reduction efforts and expected savings;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Crown’s policies with respect to executive compensation;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outcome of contingencies, including with respect to asbestos-related litigation and pension and postretirement liabilities.</w:t>
      </w:r>
    </w:p>
    <w:p>
      <w:pPr>
        <w:spacing w:after="0" w:line="23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Important factors that could cause the actual results of operations or financial condition of Crown to differ include, but are not necessarily limited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Crown to expand successfully in international and emerging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acquisition of Signode will be accretive to Crown’s earnings;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sales and profits of Signode will continue to grow;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combination of Crown and Signode will provide benefits to customers and shareholders;</w:t>
      </w:r>
    </w:p>
    <w:p>
      <w:pPr>
        <w:spacing w:after="0" w:line="130"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Crown to repay, refinance or restructure its short and long-term indebtedness on adequate terms and to comply with the terms of its agreements relating to debt;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recent European Sovereign debt crisis;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United Kingdom’s expected withdrawal from the European Union;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Crown’s ability to generate significant cash to meet its obligations and invest in its business and to maintain appropriate debt levels;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Crown’s use of available cash under its debt agreements;</w:t>
      </w:r>
    </w:p>
    <w:p>
      <w:pPr>
        <w:spacing w:after="0" w:line="130" w:lineRule="exact"/>
        <w:rPr>
          <w:rFonts w:ascii="Arial" w:cs="Arial" w:eastAsia="Arial" w:hAnsi="Arial"/>
          <w:sz w:val="18"/>
          <w:szCs w:val="18"/>
          <w:color w:val="auto"/>
        </w:rPr>
      </w:pPr>
    </w:p>
    <w:p>
      <w:pPr>
        <w:ind w:left="860" w:hanging="224"/>
        <w:spacing w:after="0" w:line="286"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or differences in U.S. or international economic or political conditions, such as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w:t>
      </w:r>
    </w:p>
    <w:p>
      <w:pPr>
        <w:spacing w:after="0" w:line="70" w:lineRule="exact"/>
        <w:rPr>
          <w:rFonts w:ascii="Arial" w:cs="Arial" w:eastAsia="Arial" w:hAnsi="Arial"/>
          <w:sz w:val="17"/>
          <w:szCs w:val="17"/>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health care reform in the United States;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Tax Act (as defined below) on Crown;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foreign trade laws and practices;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collectability of receivables;</w:t>
      </w:r>
    </w:p>
    <w:p>
      <w:pPr>
        <w:spacing w:after="0" w:line="130" w:lineRule="exact"/>
        <w:rPr>
          <w:rFonts w:ascii="Arial" w:cs="Arial" w:eastAsia="Arial" w:hAnsi="Arial"/>
          <w:sz w:val="18"/>
          <w:szCs w:val="18"/>
          <w:color w:val="auto"/>
        </w:rPr>
      </w:pPr>
    </w:p>
    <w:p>
      <w:pPr>
        <w:ind w:left="860" w:right="460" w:hanging="224"/>
        <w:spacing w:after="0" w:line="264"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 or acts of terrorism that may disrupt Crown’s production or the supply or pricing of raw materials, including in Crown’s Middle East operations, impact the financial condition of customers or adversely affect Crown’s ability to refinance or restructure its remaining indebtedness;</w:t>
      </w:r>
    </w:p>
    <w:p>
      <w:pPr>
        <w:spacing w:after="0" w:line="86" w:lineRule="exact"/>
        <w:rPr>
          <w:rFonts w:ascii="Arial" w:cs="Arial" w:eastAsia="Arial" w:hAnsi="Arial"/>
          <w:sz w:val="18"/>
          <w:szCs w:val="18"/>
          <w:color w:val="auto"/>
        </w:rPr>
      </w:pPr>
    </w:p>
    <w:p>
      <w:pPr>
        <w:ind w:left="860" w:right="160" w:hanging="224"/>
        <w:spacing w:after="0" w:line="264"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86" w:lineRule="exact"/>
        <w:rPr>
          <w:rFonts w:ascii="Arial" w:cs="Arial" w:eastAsia="Arial" w:hAnsi="Arial"/>
          <w:sz w:val="18"/>
          <w:szCs w:val="18"/>
          <w:color w:val="auto"/>
        </w:rPr>
      </w:pPr>
    </w:p>
    <w:p>
      <w:pPr>
        <w:ind w:left="860" w:right="18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obtain and maintain adequate pricing for its products, including the impact on Crown’s revenue, margins and market share and the ongoing impact of price increases;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energy and natural resource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other effects of legal and administrative cases and proceedings, settlements and investigations;</w:t>
      </w:r>
    </w:p>
    <w:p>
      <w:pPr>
        <w:spacing w:after="0" w:line="130" w:lineRule="exact"/>
        <w:rPr>
          <w:rFonts w:ascii="Arial" w:cs="Arial" w:eastAsia="Arial" w:hAnsi="Arial"/>
          <w:sz w:val="18"/>
          <w:szCs w:val="18"/>
          <w:color w:val="auto"/>
        </w:rPr>
      </w:pPr>
    </w:p>
    <w:p>
      <w:pPr>
        <w:ind w:left="860" w:hanging="224"/>
        <w:spacing w:after="0" w:line="25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asbestos-related litigation (including the number and size of future claims and the terms of settlements, and the impact of bankruptcy filings by other companies with asbestos-related liabilities, any of which could increase the asbestos-related costs of Crown Cork &amp; Seal Company, Inc., a subsidiary of Crown (“Crown Cork”)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w:t>
      </w:r>
    </w:p>
    <w:p>
      <w:pPr>
        <w:spacing w:after="0" w:line="98"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realize deferred tax benefits;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Crown’s critical or other accounting policies or the assumptions underlying those policies;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relations and workforce and social costs, including Crown’s pension and postretirement obligations and other employee or retiree costs;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performance of Crown’s pension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costs and difficulties related to the acquisition of a business and integration of acquired businesses, including the integration of Signode;</w:t>
      </w:r>
    </w:p>
    <w:p>
      <w:pPr>
        <w:spacing w:after="0" w:line="142" w:lineRule="exact"/>
        <w:rPr>
          <w:rFonts w:ascii="Arial" w:cs="Arial" w:eastAsia="Arial" w:hAnsi="Arial"/>
          <w:sz w:val="17"/>
          <w:szCs w:val="17"/>
          <w:color w:val="auto"/>
        </w:rPr>
      </w:pPr>
    </w:p>
    <w:p>
      <w:pPr>
        <w:ind w:left="860" w:right="1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any potential dispositions, acquisitions or other strategic realignments, which may impact Crown’s operations, financial profile, investments or levels of indebtedness;</w:t>
      </w:r>
    </w:p>
    <w:p>
      <w:pPr>
        <w:spacing w:after="0" w:line="75"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realize efficient capacity utilization and inventory levels and to innovate new designs and technologies for its products in a cost-effective manner;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competitive pressures, including new product developments, industry overcapacity, or changes in competitors’ pricing for products;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achieve high capacity utilization rates for its equipment;</w:t>
      </w:r>
    </w:p>
    <w:p>
      <w:pPr>
        <w:spacing w:after="0" w:line="130"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protect its information technology systems from attacks or catastrophic failure;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Crown’s cyber-security;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generate sufficient production capacity;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improve and expand its existing products and product lines;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overcapacity on the end-markets Crown serves;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customers, including the loss of any significant customers;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preferences for different packaging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condition of Crown’s vendors and customers;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weather conditions, including their effect on demand for beverages and on crop yields for fruits and vegetables stored in food containers;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natural disasters, including in emerging markets;</w:t>
      </w:r>
    </w:p>
    <w:p>
      <w:pPr>
        <w:spacing w:after="0" w:line="130" w:lineRule="exact"/>
        <w:rPr>
          <w:rFonts w:ascii="Arial" w:cs="Arial" w:eastAsia="Arial" w:hAnsi="Arial"/>
          <w:sz w:val="18"/>
          <w:szCs w:val="18"/>
          <w:color w:val="auto"/>
        </w:rPr>
      </w:pPr>
    </w:p>
    <w:p>
      <w:pPr>
        <w:ind w:left="860" w:right="76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enforcement practices, including with respect to environmental, health and safety matters and restrictions as to foreign investment or operation;</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of increased governmental regulation on Crown and its products, including the regulation or restriction of the use of bisphenol-A;</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Crown’s recent initiatives to generate additional cash, including the reduction of working capital levels and capital spending;</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Crown to realize cost savings from its restructuring programs;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maintain adequate sources of capital and liquidity;</w:t>
      </w:r>
    </w:p>
    <w:p>
      <w:pPr>
        <w:spacing w:after="0" w:line="130"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payments to certain of Crown’s executive officers in connection with any termination of such executive officers or a change in control of Crown;</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Crown’s strategic areas of focus, which may impact Crown’s operations, financial profile or levels of indebtedness.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Net proceeds from the offering of the old notes were approximately $875 million, before deducting the initial purchasers’ discount. These net proceeds were used, together with other available funds, to pay the cash consideration for the Signode acquisition, refinance Signode’s existing indebtedness and pay costs and expenses related to the foregoing.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Certain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following table sets forth the consolidated cash and cash equivalents and capitalization of Crown as of September 30, 2018. You should read this table in conjunction with “Management’s Discussion and Analysis of Financial Condition and Results of Operations,” “Description of Certain Indebtedness” and Crown’s consolidated financial statements and unaudited consolidated financial statements, the related notes and the other financial information included elsewhere or incorporated by reference in this prospectus.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(dollars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Debt (principal outstanding):</w:t>
            </w: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secured facilities: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Revolving credit facilities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Term loan facilities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U.S. dollar at LIBOR plus 1.75% due 2022</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U.S. dollar at LIBOR plus 2.00% due 2027</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w w:val="98"/>
              </w:rPr>
              <w:t>€265 million euro at EURIBOR plus 1.75% due 2022</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6"/>
              </w:rPr>
              <w:t>€748 million euro at EURIBOR plus 2.375% due 2025</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Senior notes and debentures: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€650 million euro 4.0% due 2022</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4.50% due 2023</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€335 million euro 2.250% due 2023</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€600 million euro 2.625% due 2024</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€600 million euro 3.375% due 2025</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4.25% due 2026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dollar 4.75% due 2026</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7.375% due 2026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€500 million euro 2.875% due 2026</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7.50% due 2096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indebtedness in various currencies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Crown Holdings shareholders’ equity</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capitalization</w:t>
            </w:r>
          </w:p>
        </w:tc>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860" w:type="dxa"/>
            <w:vAlign w:val="bottom"/>
            <w:vMerge w:val="restart"/>
          </w:tcPr>
          <w:p>
            <w:pPr>
              <w:jc w:val="right"/>
              <w:ind w:right="44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FINANCIAL DATA</w:t>
      </w:r>
    </w:p>
    <w:p>
      <w:pPr>
        <w:spacing w:after="0" w:line="229"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The following table sets forth selected historical consolidated financial data for Crown. The summary of operations data for each of the years in the five-year period ended December 31, 2017, other financial data for each of the years in the three-year period ended December 31, 2017 and the balance sheet data as of December 31, 2017, 2016 and 2015 have been derived from Crown’s consolidated financial statements. The summary of operations data and other financial data for the nine-month periods ended September 30, 2017 and 2018 and the balance sheet data as of September 30, 2018 and 2017 have been derived from Crown’s unaudited consolidated financial statements and the notes thereto. In the opinion of Crown’s management, all adjustments considered necessary for a fair presentation of the interim financial information have been included. You should read the following financial information in conjunction with, and it is qualified by reference to, “Management’s Discussion and Analysis of Financial Condition and Results of Operations” and Crown’s consolidated financial statements incorporated by reference in this prospectus.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5"/>
          </w:tcPr>
          <w:p>
            <w:pPr>
              <w:jc w:val="center"/>
              <w:ind w:right="10"/>
              <w:spacing w:after="0" w:line="119" w:lineRule="exact"/>
              <w:rPr>
                <w:sz w:val="20"/>
                <w:szCs w:val="20"/>
                <w:color w:val="auto"/>
              </w:rPr>
            </w:pPr>
            <w:r>
              <w:rPr>
                <w:rFonts w:ascii="Arial" w:cs="Arial" w:eastAsia="Arial" w:hAnsi="Arial"/>
                <w:sz w:val="13"/>
                <w:szCs w:val="13"/>
                <w:b w:val="1"/>
                <w:bCs w:val="1"/>
                <w:color w:val="auto"/>
              </w:rPr>
              <w:t>Nine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Summary of Operations Data:</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5"/>
              </w:rPr>
              <w:t>2015</w:t>
            </w:r>
            <w:r>
              <w:rPr>
                <w:rFonts w:ascii="Arial" w:cs="Arial" w:eastAsia="Arial" w:hAnsi="Arial"/>
                <w:sz w:val="15"/>
                <w:szCs w:val="15"/>
                <w:color w:val="auto"/>
                <w:w w:val="95"/>
              </w:rPr>
              <w:t>(a)</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2014</w:t>
            </w:r>
            <w:r>
              <w:rPr>
                <w:rFonts w:ascii="Arial" w:cs="Arial" w:eastAsia="Arial" w:hAnsi="Arial"/>
                <w:sz w:val="15"/>
                <w:szCs w:val="15"/>
                <w:color w:val="auto"/>
                <w:w w:val="95"/>
              </w:rPr>
              <w:t>(b)</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w w:val="97"/>
              </w:rPr>
              <w:t>2018</w:t>
            </w:r>
            <w:r>
              <w:rPr>
                <w:rFonts w:ascii="Arial" w:cs="Arial" w:eastAsia="Arial" w:hAnsi="Arial"/>
                <w:sz w:val="15"/>
                <w:szCs w:val="15"/>
                <w:color w:val="auto"/>
                <w:w w:val="97"/>
              </w:rPr>
              <w:t>(c)</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8,284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8,762</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9,097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8,417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 of products sold, excluding 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7,140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6,804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asbestos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913</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from early extinguishments of debt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pension and postretirement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earnings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Equity earnings in affiliates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Crown Holdings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Basic earnings per share</w:t>
            </w:r>
            <w:r>
              <w:rPr>
                <w:rFonts w:ascii="Arial" w:cs="Arial" w:eastAsia="Arial" w:hAnsi="Arial"/>
                <w:sz w:val="15"/>
                <w:szCs w:val="15"/>
                <w:color w:val="auto"/>
              </w:rPr>
              <w:t>(d)</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15"/>
                <w:szCs w:val="15"/>
                <w:color w:val="auto"/>
              </w:rPr>
              <w:t>(d)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September 30, 2018.</w:t>
      </w:r>
    </w:p>
    <w:p>
      <w:pPr>
        <w:spacing w:after="0" w:line="9" w:lineRule="exact"/>
        <w:rPr>
          <w:rFonts w:ascii="Arial" w:cs="Arial" w:eastAsia="Arial" w:hAnsi="Arial"/>
          <w:sz w:val="18"/>
          <w:szCs w:val="18"/>
          <w:color w:val="auto"/>
        </w:rPr>
      </w:pPr>
    </w:p>
    <w:p>
      <w:pPr>
        <w:ind w:left="640" w:right="100" w:hanging="436"/>
        <w:spacing w:after="0" w:line="273"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Basic earnings per share excludes all potentially dilutive securities and is computed by dividing net income attributable to Crown Holdings by the weighted average number of common shares outstanding during the period. Diluted earnings per share includes the effect of stock options and restricted stock as calculated under the treasury stock method. See </w:t>
      </w:r>
      <w:r>
        <w:rPr>
          <w:rFonts w:ascii="Arial" w:cs="Arial" w:eastAsia="Arial" w:hAnsi="Arial"/>
          <w:sz w:val="17"/>
          <w:szCs w:val="17"/>
          <w:u w:val="single" w:color="auto"/>
          <w:color w:val="auto"/>
        </w:rPr>
        <w:t>Note S</w:t>
      </w:r>
      <w:r>
        <w:rPr>
          <w:rFonts w:ascii="Arial" w:cs="Arial" w:eastAsia="Arial" w:hAnsi="Arial"/>
          <w:sz w:val="17"/>
          <w:szCs w:val="17"/>
          <w:color w:val="auto"/>
        </w:rPr>
        <w:t xml:space="preserve"> to the audited consolidated financial statements in Crown’s Annual Report on Form 10-K for the year ended December 31, 2017, </w:t>
      </w:r>
      <w:r>
        <w:rPr>
          <w:rFonts w:ascii="Arial" w:cs="Arial" w:eastAsia="Arial" w:hAnsi="Arial"/>
          <w:sz w:val="17"/>
          <w:szCs w:val="17"/>
          <w:u w:val="single" w:color="auto"/>
          <w:color w:val="auto"/>
        </w:rPr>
        <w:t>Note Q</w:t>
      </w:r>
      <w:r>
        <w:rPr>
          <w:rFonts w:ascii="Arial" w:cs="Arial" w:eastAsia="Arial" w:hAnsi="Arial"/>
          <w:sz w:val="17"/>
          <w:szCs w:val="17"/>
          <w:color w:val="auto"/>
        </w:rPr>
        <w:t xml:space="preserve"> to the unaudited consolidated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308" w:lineRule="auto"/>
        <w:rPr>
          <w:sz w:val="20"/>
          <w:szCs w:val="20"/>
          <w:color w:val="auto"/>
        </w:rPr>
      </w:pPr>
      <w:r>
        <w:rPr>
          <w:rFonts w:ascii="Arial" w:cs="Arial" w:eastAsia="Arial" w:hAnsi="Arial"/>
          <w:sz w:val="17"/>
          <w:szCs w:val="17"/>
          <w:color w:val="auto"/>
        </w:rPr>
        <w:t xml:space="preserve">financial statements in Crown’s Quarterly Report on Form 10-Q for the quarter ended September 30, 2018, and </w:t>
      </w:r>
      <w:r>
        <w:rPr>
          <w:rFonts w:ascii="Arial" w:cs="Arial" w:eastAsia="Arial" w:hAnsi="Arial"/>
          <w:sz w:val="17"/>
          <w:szCs w:val="17"/>
          <w:u w:val="single" w:color="auto"/>
          <w:color w:val="auto"/>
        </w:rPr>
        <w:t>Note S</w:t>
      </w:r>
      <w:r>
        <w:rPr>
          <w:rFonts w:ascii="Arial" w:cs="Arial" w:eastAsia="Arial" w:hAnsi="Arial"/>
          <w:sz w:val="17"/>
          <w:szCs w:val="17"/>
          <w:color w:val="auto"/>
        </w:rPr>
        <w:t xml:space="preserve"> to the audited consolidated financial statements in Crown’s Form 8-K, dated December 6, 2018, which are incorporated by reference in this prospectus.</w:t>
      </w:r>
    </w:p>
    <w:p>
      <w:pPr>
        <w:spacing w:after="0" w:line="14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On January 1, 2018, Crown adopted new accounting guidance which outlined a single comprehensive model to use in accounting for revenue arising from contracts with customers. Under the new guidance, revenue is recognized when a customer obtains control of promised goods or services which is either at a point in time or over time. Crown adopted the new guidance using the modified retrospective method to those contracts which were outstanding as of January 1, 2018. Results for the nine months ended September 30, 2018 are presented under the new revenue standard, while prior period amounts have not been recast and continue to be reported in accordance with accounting standards in effect for those periods.</w:t>
      </w:r>
    </w:p>
    <w:p>
      <w:pPr>
        <w:spacing w:after="0" w:line="158"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Each of the years ended December 31, 2013 through December 31, 2017 and the nine months ended September 30, 2017 have been recast to conform to the current year presentation. The adoption of the new accounting guidance did not have an impact on net income or net income attributable to Crown Holdings.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9"/>
              </w:rPr>
              <w:t>(dollars in millions)</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5"/>
          </w:tcPr>
          <w:p>
            <w:pPr>
              <w:jc w:val="center"/>
              <w:ind w:left="117"/>
              <w:spacing w:after="0" w:line="119" w:lineRule="exact"/>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6"/>
          </w:tcPr>
          <w:p>
            <w:pPr>
              <w:jc w:val="center"/>
              <w:ind w:right="34"/>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flows provided by/(used for):</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(134)</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(3,719)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(498)</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(dollars in millions)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As of</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As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(at end of period):</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  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10,663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10,050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10,496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consists of current assets less current liabilities.</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On January 1, 2018, Crown adopted new accounting guidance related to the statement of cash flows which requires premiums paid for debt extinguishments to be classified as financing activities and beneficial interest obtained in securitization of financial assets to be classified as investing activities. Additionally, new accounting guidance requires the statement of cash flows to explain the change in cash, cash equivalents and restricted cash. Each of the years ended December 31, 2015 through December 31, 2017 and the nine months ended September 30, 2017 have been recast to conform to current year presentation.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Set forth below is a summary of the terms of Crown’s senior secured credit facilities. You should refer to the appropriate sections of the respective agreements governing each of Crown’s senior secured credit facilities for all of the terms thereof, which are available upon request from Crown.</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Borrowers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borrowers under Crown’s senior secured credit facilities are Crown Americas, Signode Industrial Group US Inc., Crown European Holdings, CROWN Metal Packaging Canada LP, certain other U.S. Subsidiaries and certain subsidiaries of Crown European Holdings approved by the administrative agent.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Facilities</w:t>
      </w:r>
    </w:p>
    <w:p>
      <w:pPr>
        <w:spacing w:after="0" w:line="117" w:lineRule="exact"/>
        <w:rPr>
          <w:sz w:val="20"/>
          <w:szCs w:val="20"/>
          <w:color w:val="auto"/>
        </w:rPr>
      </w:pPr>
    </w:p>
    <w:p>
      <w:pPr>
        <w:ind w:left="200" w:right="340" w:firstLine="441"/>
        <w:spacing w:after="0" w:line="291" w:lineRule="auto"/>
        <w:rPr>
          <w:sz w:val="20"/>
          <w:szCs w:val="20"/>
          <w:color w:val="auto"/>
        </w:rPr>
      </w:pPr>
      <w:r>
        <w:rPr>
          <w:rFonts w:ascii="Arial" w:cs="Arial" w:eastAsia="Arial" w:hAnsi="Arial"/>
          <w:sz w:val="16"/>
          <w:szCs w:val="16"/>
          <w:color w:val="auto"/>
        </w:rPr>
        <w:t>Crown’s senior secured credit facilities include the following: (i) a $650 million Dollar Revolving Facility, (ii) a $700 million Multicurrency Revolving Facility, (iii) a $50 million Canadian Revolving Facility, (iv) a $750 million Term Loan A Facility, (v) a €275 million Term Euro Facility,</w:t>
      </w:r>
    </w:p>
    <w:p>
      <w:pPr>
        <w:jc w:val="both"/>
        <w:ind w:left="200" w:right="120" w:firstLine="4"/>
        <w:spacing w:after="0" w:line="255" w:lineRule="auto"/>
        <w:tabs>
          <w:tab w:leader="none" w:pos="5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$100 million Additional Term A Facility, (vii) a $1,150 million Term Loan B Dollar Facility and (viii) a €750 million Term Loan B Euro Facility (together, the facilities described in clauses (i) through (vi), the “Pro Rata Facilities”, the facilities described in clauses (vi) and (vii), the “Term Loan B Facilities”, and the Pro Rata Facilities and the Term Loan B Facilities, together, the “Facilities”).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maturity date for the Pro Rata Facilities is April 7, 2022. The maturity date for the Term Loan B Facilities is April 3, 2025.</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applicable interest margins and commitment fee in respect of the Pro Rata Facilities are subject to a grid. Borrowings under the Term Loan B Facilities will bear interest at a rate equal to, at our election, as applicable, (a) (i) a LIBOR-based rate per annum or (ii) a base rate per annum, plus (b) an applicable margin.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U.S. Credit Parties (as defined below) guarantee borrowings by Crown Americas under the Term Loan A Facility, the Dollar Revolving Credit Facility and all other loans of Crown Americas and borrowings by Signode Industrial Group US Inc. under the Additional Term A Facility and the Term Loan B Dollar Facility. The U.S. Credit Parties, certain of Crown’s subsidiaries in Canada, England, Luxembourg, Mexico, the Netherlands, Spain, Switzerland and Crown European Holdings’ subsidiaries organized in France, Germany, Mexico and the Netherlands guarantee borrowings under the Facilities by non-U.S. borrowers.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Borrowings under the Facilities by Crown Americas and Signode Industrial Group US Inc. are, with certain limited exceptions, secured by substantially all of the assets of Crown and each of its direct and indirect U.S. subsidiaries (existing or thereafter acquired or created) (collectively, the “U.S. Credit Parties”); provided that the pledge of capital stock of any first-tier non-U.S. subsidiaries is limited to 65% of such capital stock (the “U.S. Collateral”). Borrowings under the Facilities by the non-U.S. borrowers are, with certain limited exceptions, secured by the U.S. Collateral, substantially all of the assets of the guarantors that are domiciled in Canada and the United Kingdom and a pledge of all of the capital stock and intercompany notes of Crown Americas, the non-U.S. borrowers, the guarantors of the non-U.S. borrowers and the direct and indirect subsidiaries of Crown Americas, the non-U.S. borrowers and the guarantors of the non-U.S. borrowers (existing or thereafter acquired or created).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Prepayments; Covenants; Events of Default</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Facilities contain affirmative and negative covenants, financial covenants requiring Crown Holdings to maintain a maximum leverage ratio and a minimum interest coverage ratio, representations and warranties and events of default customary for facilities of this type. In addition, the term loan facility contains mandatory prepayment provisions customary for facilities of this type. The Facilities also permit the borrowers to incur additional secured and unsecured debt (including additional first lien debt), subject to covenant compliance and other terms and conditions.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2022</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On July 8, 2014, Crown European Holdings issued senior notes under an indenture among Crown European Holdings, the guarantors named therein, U.S. Bank National Association, as trustee, Elavon Financial Services Limited, UK Branch, as paying agent and transfer agent, and Elavon Financial Services Limited, as registrar.</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2022. You should refer to the indenture for all of the terms thereof, which is filed with the SEC as Exhibit 4.1 to Crown’s Current Report on Form 8-K filed on July 11, 2014.</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senior notes issued by Crown European Holdings will mature on July 15, 2022 and accrue interest at the rate of 4.0% per year. The aggregate principal amount outstanding as of December 31, 2016 of the senior notes due 2022 was €650 million. Interest on each series of senior notes is payable semi-annually in arrears on each January 15 and July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2022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senior notes due 2022 are guaranteed on a senior basis by (i) Crown and each of Crown’s U.S., Canadian and U.K. restricted subsidiaries that from time to time are obligors under or guarantee Crown’s senior secured credit facilities or that guarantee or otherwise become liable with respect to any indebtedness of Crown, Crown European Holdings or another guarantor of the notes and (ii) each of Crown European Holdings’ restricted subsidiaries that guarantee or otherwise become liable with respect to any indebtedness of Crown, Crown European Holdings or another guarantor or are otherwise obligors under Crown’s senior secured credit facilities, unless the incurrence of such guarantee is prohibited by the laws of the jurisdiction of incorporation or formation of such restricted subsidiary.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2022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5620" w:right="340" w:hanging="4876"/>
        <w:spacing w:after="0" w:line="449" w:lineRule="auto"/>
        <w:tabs>
          <w:tab w:leader="none" w:pos="10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European Holdings and the guarantors. 43</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2022,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2022 on or prior to April 16, 2022 at a price equal to 100% of the principal amount of the notes redeemed, plus accrued and unpaid interest, if any, to the redemption date and a “make-whole” premium. The senior notes due 2022 will be redeemable at any time after April 16, 2022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2022,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The indenture governing the senior notes due 2022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2023</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On January 9, 2013 and January 15, 2013, Crown Americas and Crown Americas Capital Corp. IV (“Crown Americas Capital IV”) issued senior unsecured notes under an indenture among Crown Americas and Crown Americas Capital IV, the guarantors named therein and The Bank of New York Mellon Trust Company, N.A., as trustee. Set forth below is a summary of the terms of the outstanding senior notes due 2023. You should refer to the indenture for all of the terms thereof, which is filed with the SEC as Exhibit 4.2 to Crown’s Current Report on Form 8-K filed on January 11, 2013.</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senior notes issued by Crown Americas and Crown Americas Capital IV in 2013 will mature on January 15, 2023 and accrue interest at the rate of 4.50% per year. The aggregate principal amount outstanding as of December 31, 2016 of the senior notes due 2023 was $1,000 million. Interest on each series of senior notes is payable semi-annually in arrears on each January 15 and July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senior notes due 2023 are senior obligations of Crown Americas and Crown Americas Capital IV, ranking senior in right of payment to all subordinated indebtedness of Crown Americas and Crown Americas Capital IV.</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senior notes due 2023 are guaranteed on a senior basis by Crown and each of Crown’s present and future U.S. subsidiaries (other than Crown Americas, Crown Americas Capital Corp., Crown Americas Capital Corp. II, Crown Americas Capital III and Crown Americas Capital IV) that from time to time are obligors under or guarantee Crown’s senior secured credit facilities.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senior notes due 2023 and note guarantees are senior unsecured obligations of Crown Americas and Crown Americas Capital IV and the guarantors,</w:t>
      </w:r>
    </w:p>
    <w:p>
      <w:pPr>
        <w:spacing w:after="0" w:line="76" w:lineRule="exact"/>
        <w:rPr>
          <w:sz w:val="20"/>
          <w:szCs w:val="20"/>
          <w:color w:val="auto"/>
        </w:rPr>
      </w:pPr>
    </w:p>
    <w:p>
      <w:pPr>
        <w:ind w:left="1060" w:right="18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ranking junior in right of payment to all existing and future secured indebtedness of Crown Americas and Crown Americas Capital IV and the guarantors to the extent of the value of the assets securing such indebtedness, including any borrowings under Crown’s senior secured credit facilities;</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 which include all of Crown’s foreign subsidiaries and any U.S. subsidiaries that are neither obligors nor guarantors of Crown’s senior secured credit facilities;</w:t>
      </w:r>
    </w:p>
    <w:p>
      <w:pPr>
        <w:spacing w:after="0" w:line="75"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Americas and Crown Americas Capital IV and the guarantors; and</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Americas and Crown Americas Capital IV and the guarantors.</w:t>
      </w:r>
    </w:p>
    <w:p>
      <w:pPr>
        <w:spacing w:after="0" w:line="170"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2023,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Crown Americas and Crown Americas Capital IV may redeem some or all of the senior notes due 2023 at any time at a redemption price equal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 of the principal amount thereof, plus accrued and unpaid interest, if any, to the redemption date, plus a “make-whole” premium.</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Upon a change of control of Crown, as defined under the indenture for senior notes due 2023, the holders of such notes will have the right to require Crown Americas and Crown Americas Capital IV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The indenture governing the senior notes due 2023 limits, among other things, Crown’s ability and the ability of its restricted subsidiaries (including Crown Americas and Crown Americas Capital IV) to incur secured indebtedness and engage in certain sale and leaseback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2024</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September 15, 2016, Crown European Holdings issued senior notes under an indenture among Crown European Holdings, the guarantors named therein, U.S. Bank National Association, as trustee, Elavon Financial Services DAC, UK Branch, as paying agent, and Elavon Financial Services DAC, as registrar and transfer agent.</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2024. You should refer to the indenture for all of the terms thereof, which is filed with the SEC as Exhibit 4.1 to Crown’s Current Report on Form 8-K filed on September 19, 2016.</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senior notes issued by Crown European Holdings will mature on September 30, 2024 and accrue interest at the rate of 2.625% per year. The aggregate principal amount outstanding as of December 31, 2016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the senior notes due 2024 was €600 million. Interest on each series of senior notes is payable semi-annually in arrears on each March 15 and September 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2024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senior notes due 2024 are guaranteed on a senior basis by (i) Crown and, subject to applicable law and exceptions, each of Crown’s subsidiaries in the U.S., Canada, England, Luxembourg, Mexico, the Netherlands, Switzerland and Spain that is an obligor under Crown’s senior secured credit facilities or that guarantees or otherwise becomes liable with respect to any other indebtedness of Crown, and (ii) subject to applicable law and exceptions, Crown European Holdings’ subsidiaries that guarantees or otherwise becomes liable with respect to any indebtedness of Crown, the issuer or another guarantor or is otherwise an obligor under Crown’s senior secured facilities, unless the incurrence of such guarantee is prohibited by the laws of France, Germany, Mexico or the Netherlands.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2024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ranking senior in right of payment to all existing and future subordinated indebtedness of Crown European Holdings and the guarantors.</w:t>
      </w:r>
    </w:p>
    <w:p>
      <w:pPr>
        <w:spacing w:after="0" w:line="248"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2024,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2024 on or prior to March 31, 2024 at a price equal to 100% of the principal amount of the notes redeemed, plus accrued and unpaid interest, if any, to the redemption date and a “make-whole” premium. The senior notes due 2024 will be redeemable at any time after March 31, 2024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2024,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indenture governing the senior notes due 2024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2025</w:t>
      </w:r>
    </w:p>
    <w:p>
      <w:pPr>
        <w:spacing w:after="0" w:line="12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On May 5, 2015, Crown European Holdings issued senior notes under an indenture among Crown European Holdings, the guarantors named therein, U.S. Bank National Association, as trustee, Elavon Financial Services Limited, UK Branch, as paying agent, and Elavon Financial Services Limited, as registrar and transfer agent.</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2025. You should refer to the indenture for all of the terms thereof, which is filed with the SEC as Exhibit 4.1 to Crown’s Current Report on Form 8-K filed on April 30, 2015.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senior notes issued by Crown European Holdings will mature on May 15, 2025 and accrue interest at the rate of 3.375% per year. The aggregate principal amount outstanding as of December 31, 2016 of the senior notes due 2025 was €600 million. Interest on each series of senior notes is payable semi-annually in arrears on each May 15 and November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2025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senior notes due 2025 are guaranteed on a senior basis by (i) Crown and each of Crown’s U.S., Canadian and U.K. restricted subsidiaries that from time to time are obligors under or guarantee Crown’s senior secured credit facilities or that guarantee or otherwise become liable with respect to any indebtedness of Crown, Crown European Holdings or another guarantor of the notes and (ii) each of Crown European Holdings’ restricted subsidiaries that guarantee or otherwise become liable with respect to any indebtedness of Crown, Crown European Holdings or another guarantor or are otherwise obligors under Crown’s senior secured facilities, unless the incurrence of such guarantee is prohibited by the laws of the jurisdiction of incorporation or formation of such restricted subsidiary.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2025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5620" w:right="340" w:hanging="4876"/>
        <w:spacing w:after="0" w:line="449"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European Holdings and the guarantors. 47</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2025,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2025 on or prior to November 15, 2024 at a price equal to 100% of the principal amount of the notes redeemed, plus accrued and unpaid interest, if any, to the redemption date and a “make-whole” premium. The senior notes due 2025 will be redeemable at any time after November 15, 2024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2025,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color w:val="auto"/>
        </w:rPr>
        <w:t>The indenture governing the senior notes due 2025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2026</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On September 15, 2016, Crown Americas and Crown Americas Capital Corp. V (“Crown Americas Capital V”) issued senior unsecured notes under an indenture among Crown Americas and Crown Americas Capital V, the guarantors named therein and U.S. Bank National Association, as trustee. Set forth below is a summary of the terms of the outstanding senior notes due 2026. You should refer to the indenture for all of the terms thereof, which is filed with the SEC as Exhibit 4.2 to Crown’s Current Report on Form 8-K filed on September 19, 2016.</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senior notes issued by Crown Americas and Crown Americas Capital V in 2016 will mature on September 30, 2026 and accrue interest at the rate of 4.250% per year. The aggregate principal amount outstanding as of December 31, 2016 of the senior notes due 2026 was $400 million. Interest on each series of senior notes is payable semi-annually on each March 31 and September 30.</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senior notes due 2026 are senior obligations of Crown Americas and Crown Americas Capital V, ranking senior in right of payment to all subordinated indebtedness of Crown Americas and Crown Americas Capital V.</w:t>
      </w:r>
    </w:p>
    <w:p>
      <w:pPr>
        <w:spacing w:after="0" w:line="17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senior notes due 2026 are guaranteed on a senior basis by Crown and each of Crown’s present and future U.S. subsidiaries (other than Crown Americas, Crown Americas Capital Corp., Crown Americas Capital Corp. II, Crown Americas Capital III, Crown Americas Capital IV, Crown Americas Capital V and Crown Americas Capital VI) that from time to time are obligors under or guarantee Crown’s senior secured credit facilities.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senior notes due 2026 and note guarantees are senior unsecured obligations of Crown Americas and Crown Americas Capital V and the guarantors,</w:t>
      </w:r>
    </w:p>
    <w:p>
      <w:pPr>
        <w:spacing w:after="0" w:line="76" w:lineRule="exact"/>
        <w:rPr>
          <w:sz w:val="20"/>
          <w:szCs w:val="20"/>
          <w:color w:val="auto"/>
        </w:rPr>
      </w:pPr>
    </w:p>
    <w:p>
      <w:pPr>
        <w:ind w:left="1060" w:right="280" w:hanging="316"/>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ranking junior in right of payment to all existing and future secured indebtedness of Crown Americas and Crown Americas Capital V and the guarantors to the extent of the value of the assets securing such indebtedness, including any borrowings under Crown’s senior secured credit facilities;</w:t>
      </w:r>
    </w:p>
    <w:p>
      <w:pPr>
        <w:spacing w:after="0" w:line="86"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 which include all of Crown’s foreign subsidiaries and any U.S. subsidiaries that are neither obligors nor guarantors of Crown’s senior secured credit facilities;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Americas and Crown Americas Capital V and the guarantors;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Americas and Crown Americas Capital V and the guarantors.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2026,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March 31, 2026 (6 months prior to the stated maturity of the Notes), Crown Americas and Crown Americas Capital V may redeem some or all of the senior notes due 2026 in whole at any time or in part from time to time, at a redemption price equal to 100% of the principal amount thereof, plus accrued and unpaid interest, if any, to the applicable redemption date, plus a make-whole premium. The senior notes due 2026 will be redeemable at any time on or after March 31, 2026 at a redemption price equal to 100% of the principal amount of the notes redeemed, plus accrued and unpaid interest, if any, to the redemption date.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Upon a change of control of Crown, as defined under the indenture for senior notes due 2026, the holders of such notes will have the right to require Crown Americas and Crown Americas Capital V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indenture governing the senior notes due 2026 limits, among other things, Crown’s ability and the ability of its restricted subsidiaries (including Crown Americas and Crown Americas Capital V) to incur secured indebtedness and engage in certain sale and leaseback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Debentures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Crown Cork currently has two series of debentures outstanding. The outstanding debentures were issued under the indenture among Crown Cork, Crown Cork &amp; Seal Finance PLC, Crown Cork &amp; Seal Finance S.A. and The Bank of New York, as trustee, dated as of December 17, 1996.</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outstanding debentures issued by Crown Cork have been guaranteed by Crown. The following table is a summary of the two series of notes outstanding as of December 31, 2016.</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2"/>
                <w:szCs w:val="12"/>
                <w:color w:val="auto"/>
              </w:rPr>
            </w:pPr>
          </w:p>
        </w:tc>
        <w:tc>
          <w:tcPr>
            <w:tcW w:w="682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Redemption by Issuer</w:t>
            </w:r>
          </w:p>
        </w:tc>
        <w:tc>
          <w:tcPr>
            <w:tcW w:w="0" w:type="dxa"/>
            <w:vAlign w:val="bottom"/>
          </w:tcPr>
          <w:p>
            <w:pPr>
              <w:spacing w:after="0"/>
              <w:rPr>
                <w:sz w:val="1"/>
                <w:szCs w:val="1"/>
                <w:color w:val="auto"/>
              </w:rPr>
            </w:pPr>
          </w:p>
        </w:tc>
      </w:tr>
      <w:tr>
        <w:trPr>
          <w:trHeight w:val="171"/>
        </w:trPr>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$350</w:t>
            </w:r>
          </w:p>
        </w:tc>
        <w:tc>
          <w:tcPr>
            <w:tcW w:w="28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7.375%</w:t>
            </w:r>
          </w:p>
        </w:tc>
        <w:tc>
          <w:tcPr>
            <w:tcW w:w="3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December 2026</w:t>
            </w:r>
          </w:p>
        </w:tc>
        <w:tc>
          <w:tcPr>
            <w:tcW w:w="320" w:type="dxa"/>
            <w:vAlign w:val="bottom"/>
          </w:tcPr>
          <w:p>
            <w:pPr>
              <w:spacing w:after="0"/>
              <w:rPr>
                <w:sz w:val="16"/>
                <w:szCs w:val="16"/>
                <w:color w:val="auto"/>
              </w:rPr>
            </w:pPr>
          </w:p>
        </w:tc>
        <w:tc>
          <w:tcPr>
            <w:tcW w:w="6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Redeemable at a price equal to the greater of (i) 100% of the principal amount and (ii) the sum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5"/>
              </w:rPr>
              <w:t>of the present values of the remaining scheduled payments thereon, plus accrued interest</w:t>
            </w:r>
          </w:p>
        </w:tc>
        <w:tc>
          <w:tcPr>
            <w:tcW w:w="0" w:type="dxa"/>
            <w:vAlign w:val="bottom"/>
          </w:tcPr>
          <w:p>
            <w:pPr>
              <w:spacing w:after="0"/>
              <w:rPr>
                <w:sz w:val="1"/>
                <w:szCs w:val="1"/>
                <w:color w:val="auto"/>
              </w:rPr>
            </w:pPr>
          </w:p>
        </w:tc>
      </w:tr>
      <w:tr>
        <w:trPr>
          <w:trHeight w:val="310"/>
        </w:trPr>
        <w:tc>
          <w:tcPr>
            <w:tcW w:w="1160" w:type="dxa"/>
            <w:vAlign w:val="bottom"/>
          </w:tcPr>
          <w:p>
            <w:pPr>
              <w:jc w:val="right"/>
              <w:ind w:right="30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2096</w:t>
            </w: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0"/>
              </w:rPr>
              <w:t>Redeemable at a price equal to the greater of (i) 100% of the principal amount and (ii) the sum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5"/>
              </w:rPr>
              <w:t>of the present values of the remaining scheduled payments thereon, plus accrued interest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indenture under which the outstanding debentures were issued provides certain protections for the holders of such debentures. These protections restrict the ability of Crown to enter into certain transactions, such as mergers, consolidations, asset sales, sale and leaseback transactions and pledging of assets.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 Merger, Conveyance, Transfer or Lease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certain exceptions, the indenture and agreements contain a restriction on the ability of Crown to undergo a consolidation or merger, or to transfer or lease substantially all of its properties and assets.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Sale and Leaseback</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Subject to certain exceptions, the indenture and agreements contain a covenant prohibiting Crown and certain “restricted subsidiaries” from selling any “principal property” to a person or entity and then subsequently entering into an arrangement with such person or entity that provides for the leasing by Crown or any of its restricted subsidiaries, as lessee, of such principal property. “Principal property” is defined in the indenture and agreements as any single manufacturing or processing plant or warehouse (excluding any equipment or personalty located therein) located in the United States, other than any such plant or warehouse or portion thereof that Crown’s board of directors reasonably determines is not of material importance to the business conducted by Crown and its subsidiaries as an entirety. In the indenture and agreements the definition of “principal property” includes property located outside the United States. The indenture and agreements define “restricted subsidiary” to mean any subsidiary that owns, operates or leases one or more principal properties.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Subject to certain exceptions, the indenture and agreements contain a covenant restricting Crown and its restricted subsidiaries under such indentures or agreements from creating or assuming any mortgage, security interest, pledge or lien upon any principal property (as defined above) or any shares of capital stock or evidences of indebtedness for borrowed money issued by any such restricted subsidiary and owned by Crown or any such restricted subsidiary without concurrently providing that the outstanding debentures shall be secured equally and ratably. The foregoing covenant shall not apply to the extent that the amount of indebtedness secured by liens on Crown’s principal properties and Crown’s restricted subsidiaries does not exceed 10% of its consolidated net tangible assets.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January 26, 2018,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92"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and file with the SEC the registration statement of which this prospectus is a part;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w:t>
      </w:r>
    </w:p>
    <w:p>
      <w:pPr>
        <w:spacing w:after="0" w:line="130" w:lineRule="exact"/>
        <w:rPr>
          <w:rFonts w:ascii="Arial" w:cs="Arial" w:eastAsia="Arial" w:hAnsi="Arial"/>
          <w:sz w:val="18"/>
          <w:szCs w:val="18"/>
          <w:color w:val="auto"/>
        </w:rPr>
      </w:pPr>
    </w:p>
    <w:p>
      <w:pPr>
        <w:ind w:left="1060" w:right="80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the exchange offer by 360 days from the issue date of the old notes (or if such 360th day is not a Business Day, the next succeeding Business Day); and</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 a shelf registration statement for the resale of the old notes if we cannot effect an exchange offer within the time period listed above and in certain other circumstances.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76"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acquiring the new notes in the ordinary course of its business;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not an affiliate of us, as that term is interpreted by the SEC;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not engaged in, and does not intend to engage in, a distribution of the new notes.</w:t>
      </w:r>
    </w:p>
    <w:p>
      <w:pPr>
        <w:spacing w:after="0" w:line="22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we and the guarantors fail to meet certain specified deadlines under the registration rights agreement, we will be obligated to pay an increased interest rate on the old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A copy of the registration rights agreement has been filed with the SEC as Exhibit 4.3 of the Registrant’s Current Report on Form 8-K, dated February 1, 2018, and is incorporated by reference as an exhibit to the registration statement of which this prospectus is a part.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offering to exchange an aggregate principal amount of up to $875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Old notes tendered in the exchange offer must be in denominations of the principal amount of $2,000 and any integral multiple of $1,000 in excess thereof.</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None of us or the guarantors, or our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81" w:lineRule="exact"/>
        <w:rPr>
          <w:sz w:val="20"/>
          <w:szCs w:val="20"/>
          <w:color w:val="auto"/>
        </w:rPr>
      </w:pPr>
    </w:p>
    <w:p>
      <w:pPr>
        <w:ind w:left="640"/>
        <w:spacing w:after="0"/>
        <w:tabs>
          <w:tab w:leader="none" w:pos="5680" w:val="left"/>
        </w:tabs>
        <w:rPr>
          <w:sz w:val="20"/>
          <w:szCs w:val="20"/>
          <w:color w:val="auto"/>
        </w:rPr>
      </w:pPr>
      <w:r>
        <w:rPr>
          <w:rFonts w:ascii="Arial" w:cs="Arial" w:eastAsia="Arial" w:hAnsi="Arial"/>
          <w:sz w:val="18"/>
          <w:szCs w:val="18"/>
          <w:color w:val="auto"/>
        </w:rPr>
        <w:t>The expiration date is 5:00 p.m., New York City time, on</w:t>
      </w:r>
      <w:r>
        <w:rPr>
          <w:sz w:val="20"/>
          <w:szCs w:val="20"/>
          <w:color w:val="auto"/>
        </w:rPr>
        <w:tab/>
      </w:r>
      <w:r>
        <w:rPr>
          <w:rFonts w:ascii="Arial" w:cs="Arial" w:eastAsia="Arial" w:hAnsi="Arial"/>
          <w:sz w:val="16"/>
          <w:szCs w:val="16"/>
          <w:color w:val="auto"/>
        </w:rPr>
        <w:t>, 2019, or such later date and time to which the exchange offer is extended.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the right, in accordance with applicable law, at any time:</w:t>
      </w:r>
    </w:p>
    <w:p>
      <w:pPr>
        <w:spacing w:after="0" w:line="131"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delay the acceptance of the old notes;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terminate the exchange offer and not accept any old notes for exchange if we determine that any of the conditions to the exchange offer have not occurred or have not been satisfied;</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extend the expiration date of the exchange offer and retain all old notes tendered in the exchange offer other than those notes properly withdrawn;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waive any condition or amend the terms of the exchange offer in any manner.</w:t>
      </w:r>
    </w:p>
    <w:p>
      <w:pPr>
        <w:spacing w:after="0" w:line="22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If we materially amend the exchange offer, we will as promptly as practicable distribute a prospectus supplement to the holders of the old notes disclosing the change and extend the exchange offer for a period of five to ten business days, depending upon the significance of the amendment and the manner of disclosure to the registered holders, if the exchange offer would otherwise expire during the five to ten business day period.</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we exercise any of the rights listed above, we will as promptly as practicable give oral or written notice of the action to the exchange agent and will make a public announcement of such action. In the case of an extension, an announcement will be made no later than 9:00 a.m., New York City time on the next business day after the previously scheduled expiration date. Without limiting the manner in which we may choose to make public 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will accept all old notes validly tendered and not withdrawn. Promptly after the expiration date, we will issue new notes registered under the Securities Act to the exchange agent.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have full power and authority to tender, exchange, sell, assign and transfer old notes;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acquire good, marketable and unencumbered title to the tendered old notes, free and clear of all liens, restrictions, charges and other encumbrances;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old notes tendered for exchange are not subject to any adverse claims or proxies.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Valid Tender</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the procedures of DTC and:</w:t>
      </w:r>
    </w:p>
    <w:p>
      <w:pPr>
        <w:spacing w:after="0" w:line="76" w:lineRule="exact"/>
        <w:rPr>
          <w:sz w:val="20"/>
          <w:szCs w:val="20"/>
          <w:color w:val="auto"/>
        </w:rPr>
      </w:pPr>
    </w:p>
    <w:p>
      <w:pPr>
        <w:ind w:left="1060" w:right="42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86" w:lineRule="exact"/>
        <w:rPr>
          <w:rFonts w:ascii="Arial" w:cs="Arial" w:eastAsia="Arial" w:hAnsi="Arial"/>
          <w:sz w:val="18"/>
          <w:szCs w:val="18"/>
          <w:color w:val="auto"/>
        </w:rPr>
      </w:pPr>
    </w:p>
    <w:p>
      <w:pPr>
        <w:ind w:left="1060" w:right="140" w:hanging="316"/>
        <w:spacing w:after="0" w:line="279"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lieu of delivering a letter of transmittal, instruct DTC to transmit on behalf of the holder a computer-generated message to the exchange agent in which the holder of the old notes acknowledges and agrees 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agent must receive old notes along with the letter of transmittal; or</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70"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66"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Signature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by an eligible institution unless the old notes surrendered for exchange are tendered:</w:t>
      </w:r>
    </w:p>
    <w:p>
      <w:pPr>
        <w:spacing w:after="0" w:line="76" w:lineRule="exact"/>
        <w:rPr>
          <w:sz w:val="20"/>
          <w:szCs w:val="20"/>
          <w:color w:val="auto"/>
        </w:rPr>
      </w:pPr>
    </w:p>
    <w:p>
      <w:pPr>
        <w:ind w:left="1060" w:right="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An “eligible institution” is a firm or other entity which is identified as an “Eligible Guarantor Institution” in Rule 17Ad-15 under the Exchange Act, including:</w:t>
      </w:r>
    </w:p>
    <w:p>
      <w:pPr>
        <w:spacing w:after="0" w:line="76"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broker, dealer, municipal securities broker or dealer or government securities broker or dealer;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savings association.</w:t>
      </w:r>
    </w:p>
    <w:p>
      <w:pPr>
        <w:spacing w:after="0" w:line="225"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DTC Book-Entry Transfers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Validity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 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reserve the absolute right, in our sole and absolute discretion:</w:t>
      </w:r>
    </w:p>
    <w:p>
      <w:pPr>
        <w:spacing w:after="0" w:line="131" w:lineRule="exact"/>
        <w:rPr>
          <w:sz w:val="20"/>
          <w:szCs w:val="20"/>
          <w:color w:val="auto"/>
        </w:rPr>
      </w:pPr>
    </w:p>
    <w:p>
      <w:pPr>
        <w:ind w:left="5620" w:right="5160" w:hanging="4876"/>
        <w:spacing w:after="0" w:line="536" w:lineRule="auto"/>
        <w:tabs>
          <w:tab w:leader="none" w:pos="10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reject any tenders determined to be in improper form or unlawful; 55</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waive any of the conditions of the exchange offer;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waive any condition or irregularity in the tender of old notes by any holder.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waiver to the exchange offer will apply to all old notes tendered.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Resales of New Notes</w:t>
      </w:r>
    </w:p>
    <w:p>
      <w:pPr>
        <w:spacing w:after="0" w:line="121"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provided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6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By tendering old notes, the holder, other than participating broker-dealers, as defined below, of those old notes will represent to us that, among other things:</w:t>
      </w:r>
    </w:p>
    <w:p>
      <w:pPr>
        <w:spacing w:after="0" w:line="76" w:lineRule="exact"/>
        <w:rPr>
          <w:sz w:val="20"/>
          <w:szCs w:val="20"/>
          <w:color w:val="auto"/>
        </w:rPr>
      </w:pPr>
    </w:p>
    <w:p>
      <w:pPr>
        <w:ind w:left="1060" w:right="30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new notes acquired in the exchange offer are being obtained in the ordinary course of business of the person receiving the new notes, whether or not that person is the holder;</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76" w:lineRule="exact"/>
        <w:rPr>
          <w:sz w:val="20"/>
          <w:szCs w:val="20"/>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referred to above;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resale transaction.</w:t>
      </w:r>
    </w:p>
    <w:p>
      <w:pPr>
        <w:spacing w:after="0" w:line="23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Any such broker-dealer is referred to 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a withdrawal to be effective, you must deliver a written notice of withdrawal to the exchange agent. The notice of withdrawal must:</w:t>
      </w:r>
    </w:p>
    <w:p>
      <w:pPr>
        <w:spacing w:after="0" w:line="142"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the name of the person tendering the old notes to be withdrawn;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total principal amount of old notes to be withdrawn;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where certificates for old notes are transmitted, the name of the registered holder of the old notes if different from the person withdrawing the old notes.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89"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7"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new notes to be received will not be tradable by the holder without restriction under the Securities Act and the Exchange Act;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not received all applicable governmental approvals;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old notes, would violate applicable law or any applicable interpretation or policy of the staff of the SEC; or</w:t>
      </w:r>
    </w:p>
    <w:p>
      <w:pPr>
        <w:spacing w:after="0" w:line="75" w:lineRule="exact"/>
        <w:rPr>
          <w:rFonts w:ascii="Arial" w:cs="Arial" w:eastAsia="Arial" w:hAnsi="Arial"/>
          <w:sz w:val="18"/>
          <w:szCs w:val="18"/>
          <w:color w:val="auto"/>
        </w:rPr>
      </w:pPr>
    </w:p>
    <w:p>
      <w:pPr>
        <w:ind w:left="1060" w:right="680" w:hanging="316"/>
        <w:spacing w:after="0" w:line="308"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If we terminate or suspend the exchange offer based on a determination that the exchange offer violates applicable law or SEC policy, the registration rights agreement requires that we, as soon as practicable after such determination, use all commercially reasonable efforts to cause a shelf registration statement covering the resale of the old notes to be filed and declared effective by the SEC. See “—Registration Rights and Additional Interest on the Old Notes.”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appointed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Mail, Overnight Courier or Hand:</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Specialized Finance</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you deliver letters of transmittal and any other required documents to an address or facsimile number other than those listed above, your tender is invalid.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58"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Holders who tender their old notes for exchange will not be obligated to pay any transfer taxes in connection with the exchange. If, however, new notes issued in the exchange offer are to be delivered to, or are to be issued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new notes will be recorded at the same carrying value as the old notes. Accordingly, Crown will not recognize any gain or loss for accounting purposes for the exchange transaction. Crown intends to amortize the expenses of the exchange offer and issuance of the old notes over the term of the new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and Additional Interest on the Old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applicable interpretations of the staff of the SEC do not permit us to effect the exchange offer contemplated by this prospectus;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other reason this exchange offer is not completed within 360 days from the issue date of the old notes;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this exchange offer:</w:t>
      </w:r>
    </w:p>
    <w:p>
      <w:pPr>
        <w:spacing w:after="0" w:line="130"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this exchange offer; or</w:t>
      </w:r>
    </w:p>
    <w:p>
      <w:pPr>
        <w:spacing w:after="0" w:line="130" w:lineRule="exact"/>
        <w:rPr>
          <w:rFonts w:ascii="Arial" w:cs="Arial" w:eastAsia="Arial" w:hAnsi="Arial"/>
          <w:sz w:val="18"/>
          <w:szCs w:val="18"/>
          <w:color w:val="auto"/>
        </w:rPr>
      </w:pPr>
    </w:p>
    <w:p>
      <w:pPr>
        <w:ind w:left="1620" w:right="140" w:hanging="430"/>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initial purchaser notifies us that it will not or did not receive freely tradable new notes in exchange for old notes constituting any portion of an unsold allotment,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subject to certain conditions, at our cost:</w:t>
      </w:r>
    </w:p>
    <w:p>
      <w:pPr>
        <w:spacing w:after="0" w:line="131" w:lineRule="exact"/>
        <w:rPr>
          <w:sz w:val="20"/>
          <w:szCs w:val="20"/>
          <w:color w:val="auto"/>
        </w:rPr>
      </w:pPr>
    </w:p>
    <w:p>
      <w:pPr>
        <w:ind w:left="1060" w:right="18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keep the shelf registration statement effective until the earliest of (1) one year from the effective date of the shelf registration statement and</w:t>
      </w:r>
    </w:p>
    <w:p>
      <w:pPr>
        <w:spacing w:after="0" w:line="4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(2) the date on which all notes registered thereunder have been sold in accordance therewith.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360 days from the issue date of the old notes this exchange offer has not been completed;</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required, the shelf registration statement has not been filed by the deadline provided for in the registration rights agreement or has not been declared effective by the deadline provided for in the registration rights agreement; or</w:t>
      </w:r>
    </w:p>
    <w:p>
      <w:pPr>
        <w:spacing w:after="0" w:line="75"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459" w:right="5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Crown Americas LLC (“</w:t>
      </w:r>
      <w:r>
        <w:rPr>
          <w:rFonts w:ascii="Arial" w:cs="Arial" w:eastAsia="Arial" w:hAnsi="Arial"/>
          <w:sz w:val="17"/>
          <w:szCs w:val="17"/>
          <w:i w:val="1"/>
          <w:iCs w:val="1"/>
          <w:color w:val="auto"/>
        </w:rPr>
        <w:t>Crown Americas</w:t>
      </w:r>
      <w:r>
        <w:rPr>
          <w:rFonts w:ascii="Arial" w:cs="Arial" w:eastAsia="Arial" w:hAnsi="Arial"/>
          <w:sz w:val="17"/>
          <w:szCs w:val="17"/>
          <w:color w:val="auto"/>
        </w:rPr>
        <w:t>”) and Crown Americas Capital Corp. VI (“</w:t>
      </w:r>
      <w:r>
        <w:rPr>
          <w:rFonts w:ascii="Arial" w:cs="Arial" w:eastAsia="Arial" w:hAnsi="Arial"/>
          <w:sz w:val="17"/>
          <w:szCs w:val="17"/>
          <w:i w:val="1"/>
          <w:iCs w:val="1"/>
          <w:color w:val="auto"/>
        </w:rPr>
        <w:t>Capital Corp VI</w:t>
      </w:r>
      <w:r>
        <w:rPr>
          <w:rFonts w:ascii="Arial" w:cs="Arial" w:eastAsia="Arial" w:hAnsi="Arial"/>
          <w:sz w:val="17"/>
          <w:szCs w:val="17"/>
          <w:color w:val="auto"/>
        </w:rPr>
        <w:t>” and together with Crown Americas, the “</w:t>
      </w:r>
      <w:r>
        <w:rPr>
          <w:rFonts w:ascii="Arial" w:cs="Arial" w:eastAsia="Arial" w:hAnsi="Arial"/>
          <w:sz w:val="17"/>
          <w:szCs w:val="17"/>
          <w:i w:val="1"/>
          <w:iCs w:val="1"/>
          <w:color w:val="auto"/>
        </w:rPr>
        <w:t>Issuers</w:t>
      </w:r>
      <w:r>
        <w:rPr>
          <w:rFonts w:ascii="Arial" w:cs="Arial" w:eastAsia="Arial" w:hAnsi="Arial"/>
          <w:sz w:val="17"/>
          <w:szCs w:val="17"/>
          <w:color w:val="auto"/>
        </w:rPr>
        <w:t>”) issued the old notes and will issue the new notes (collectively, the “</w:t>
      </w:r>
      <w:r>
        <w:rPr>
          <w:rFonts w:ascii="Arial" w:cs="Arial" w:eastAsia="Arial" w:hAnsi="Arial"/>
          <w:sz w:val="17"/>
          <w:szCs w:val="17"/>
          <w:i w:val="1"/>
          <w:iCs w:val="1"/>
          <w:color w:val="auto"/>
        </w:rPr>
        <w:t>Notes</w:t>
      </w:r>
      <w:r>
        <w:rPr>
          <w:rFonts w:ascii="Arial" w:cs="Arial" w:eastAsia="Arial" w:hAnsi="Arial"/>
          <w:sz w:val="17"/>
          <w:szCs w:val="17"/>
          <w:color w:val="auto"/>
        </w:rPr>
        <w:t>”) under an indenture (the “</w:t>
      </w:r>
      <w:r>
        <w:rPr>
          <w:rFonts w:ascii="Arial" w:cs="Arial" w:eastAsia="Arial" w:hAnsi="Arial"/>
          <w:sz w:val="17"/>
          <w:szCs w:val="17"/>
          <w:i w:val="1"/>
          <w:iCs w:val="1"/>
          <w:color w:val="auto"/>
        </w:rPr>
        <w:t>Indenture</w:t>
      </w:r>
      <w:r>
        <w:rPr>
          <w:rFonts w:ascii="Arial" w:cs="Arial" w:eastAsia="Arial" w:hAnsi="Arial"/>
          <w:sz w:val="17"/>
          <w:szCs w:val="17"/>
          <w:color w:val="auto"/>
        </w:rPr>
        <w:t>”), dated as of January 26, 2018, among the Issuers, the Guarantors (as defined below) and U.S. Bank National Association as trustee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66"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new notes are the same as the terms of the old notes, except that:</w:t>
      </w:r>
    </w:p>
    <w:p>
      <w:pPr>
        <w:spacing w:after="0" w:line="131"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notes will not bear restrictive legends restricting their transfer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notes will not contain provisions relating to increased interest rates in connection with the old notes under circumstances related to timing of the exchange offer.</w:t>
      </w:r>
    </w:p>
    <w:p>
      <w:pPr>
        <w:spacing w:after="0" w:line="170"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4.2 of the Registrant’s Current Report on Form 8-K, dated February 1, 2018, and is incorporated by reference as an exhibit to the registration statement of which this prospectus is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exchange offer contemplated by this prospectus (the “</w:t>
      </w:r>
      <w:r>
        <w:rPr>
          <w:rFonts w:ascii="Arial" w:cs="Arial" w:eastAsia="Arial" w:hAnsi="Arial"/>
          <w:sz w:val="16"/>
          <w:szCs w:val="16"/>
          <w:i w:val="1"/>
          <w:iCs w:val="1"/>
          <w:color w:val="auto"/>
        </w:rPr>
        <w:t>Offering</w:t>
      </w:r>
      <w:r>
        <w:rPr>
          <w:rFonts w:ascii="Arial" w:cs="Arial" w:eastAsia="Arial" w:hAnsi="Arial"/>
          <w:sz w:val="16"/>
          <w:szCs w:val="16"/>
          <w:color w:val="auto"/>
        </w:rPr>
        <w:t>”), the Issuers will issue up to $875 million aggregate principal amount of Notes under the Indenture. The Issuers may issue additional Notes in an unlimited amount (the “</w:t>
      </w:r>
      <w:r>
        <w:rPr>
          <w:rFonts w:ascii="Arial" w:cs="Arial" w:eastAsia="Arial" w:hAnsi="Arial"/>
          <w:sz w:val="16"/>
          <w:szCs w:val="16"/>
          <w:i w:val="1"/>
          <w:iCs w:val="1"/>
          <w:color w:val="auto"/>
        </w:rPr>
        <w:t>Additional Notes</w:t>
      </w:r>
      <w:r>
        <w:rPr>
          <w:rFonts w:ascii="Arial" w:cs="Arial" w:eastAsia="Arial" w:hAnsi="Arial"/>
          <w:sz w:val="16"/>
          <w:szCs w:val="16"/>
          <w:color w:val="auto"/>
        </w:rPr>
        <w:t>”)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54"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Notes will mature on February 1, 2026. Interest on the Notes will accrue at the rate of 4.750% per annum. Interest on the Notes will be payable in cash semi-annually in arrears on February 1 and August 1, commencing on August 1, 2018, to Holders of record on the immediately preceding January 15 and July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Principal of and premium, if any, and interest on the Notes will be payable at the office or agency of the Issuers maintained for such purpose in the City and State of New York (the “</w:t>
      </w:r>
      <w:r>
        <w:rPr>
          <w:rFonts w:ascii="Arial" w:cs="Arial" w:eastAsia="Arial" w:hAnsi="Arial"/>
          <w:sz w:val="18"/>
          <w:szCs w:val="18"/>
          <w:i w:val="1"/>
          <w:iCs w:val="1"/>
          <w:color w:val="auto"/>
        </w:rPr>
        <w:t>Paying Agent</w:t>
      </w:r>
      <w:r>
        <w:rPr>
          <w:rFonts w:ascii="Arial" w:cs="Arial" w:eastAsia="Arial" w:hAnsi="Arial"/>
          <w:sz w:val="18"/>
          <w:szCs w:val="18"/>
          <w:color w:val="auto"/>
        </w:rPr>
        <w:t>”) or in the city in the United States in which the Trustee’s Corporate Trust Office is located or, at the option of the Issuers, payment of interest may be made by check mailed to the Holders of the Notes at their respective addresses set forth in the register of Holders of Notes; provided that if any Holder has given wire transfer instructions to the Issuers or the Paying Agent at least 15 days prior to the payment date, all payments of principal, premium, if any, and interest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with respect to the Notes held by such Holder will be made by wire transfer of immediately available funds to the account specified by such Holder. Until otherwise designated by the Issuers, the Issuers’ office or agency in the City and State of New York will be the office of the Trustee maintained for such purpose in the City and State of New York. The Issuers may change the Paying Agent or registrar without prior notice to the Holders, and Parent or any of the Subsidiaries may act as a Paying Agent or registrar.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and Guarantees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The Notes will be joint and several senior obligations of the Issuers,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senior obligations of the Issuers, including obligations under other unsubordinated Indebtedness. The Notes will be effectively subordinated to all existing and future obligations of the Issuers that are secured by Liens on any property or assets of an Issuer, to the extent of the value of the collateral securing such obligations, and will rank senior in right of payment to all existing and future obligations of the Issuers that are, by their terms, subordinated in right of payment to the Notes.</w:t>
      </w:r>
    </w:p>
    <w:p>
      <w:pPr>
        <w:spacing w:after="0" w:line="188"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The Issuers’ joint and several obligations under the Notes and the Indenture will be unconditionally Guaranteed, jointly and severally, by Parent and each of Parent’s present and future Domestic Subsidiaries (other than the Issuers and the Subsidiaries identified in the following paragraph) that from time to time are obligors under or Guarantee any Credit Facility including, without limitation, the Existing Credit Facility.</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old notes are, and the new notes will be, Guaranteed by Parent and each of Parent’s Domestic Subsidiaries, other than Crownway Insurance Company, Crown Cork &amp; Seal Receivables (DE) Corporation, Crown Americas Capital Corp., Crown Americas Capital Corp. II, Crown Americas Capital Corp. III, Crown Americas Capital Corp. IV, Crown Americans Capital Corp. V and Crown Capital Corp VI. The Notes will not be Guaranteed by any of Parent’s Foreign Subsidiaries.</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Each Note Guarantee will be a senior obligation of the respective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effectively subordinated to the obligations of non-Guarantor Subsidiaries.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Guarantors will Guarantee the Notes on the terms and conditions set forth in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1060" w:right="80" w:hanging="316"/>
        <w:spacing w:after="0" w:line="342"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29" w:lineRule="exact"/>
        <w:rPr>
          <w:rFonts w:ascii="Arial" w:cs="Arial" w:eastAsia="Arial" w:hAnsi="Arial"/>
          <w:sz w:val="16"/>
          <w:szCs w:val="16"/>
          <w:color w:val="auto"/>
        </w:rPr>
      </w:pPr>
    </w:p>
    <w:p>
      <w:pPr>
        <w:ind w:left="1060" w:right="340" w:hanging="316"/>
        <w:spacing w:after="0" w:line="259"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 Additional Note Guarantees”; or</w:t>
      </w:r>
    </w:p>
    <w:p>
      <w:pPr>
        <w:spacing w:after="0" w:line="86"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4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Issuers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Issuers, the Trustee shall execute and deliver an instrument evidencing such release.</w:t>
      </w:r>
    </w:p>
    <w:p>
      <w:pPr>
        <w:spacing w:after="0" w:line="182"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and after February 1, 2021, the Issuers may redeem the Notes at their option, in whole at any time or in part from time to time, at the following redemption prices, expressed as percentages of the principal amount thereof, plus accrued and unpaid interest, if any, to the redemption date, if redeemed during the twelve-month period commencing on February 1 of any year set forth below:</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103.563%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102.375%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101.188%</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2024 and thereafter</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5"/>
              </w:rPr>
              <w:t>100.000%.</w:t>
            </w:r>
          </w:p>
        </w:tc>
      </w:tr>
    </w:tbl>
    <w:p>
      <w:pPr>
        <w:spacing w:after="0" w:line="18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Prior to February 1, 2021, the Issuers may redeem the Notes, at their option, in whole at any time or in part from time to time, at a redemption price equal to 100% of the principal amount thereof, plus accrued and unpaid interest, if any, to the applicable redemption date, plus the Make-Whole Premium (a “</w:t>
      </w:r>
      <w:r>
        <w:rPr>
          <w:rFonts w:ascii="Arial" w:cs="Arial" w:eastAsia="Arial" w:hAnsi="Arial"/>
          <w:sz w:val="18"/>
          <w:szCs w:val="18"/>
          <w:i w:val="1"/>
          <w:iCs w:val="1"/>
          <w:color w:val="auto"/>
        </w:rPr>
        <w:t>Make-Whole Redemption</w:t>
      </w:r>
      <w:r>
        <w:rPr>
          <w:rFonts w:ascii="Arial" w:cs="Arial" w:eastAsia="Arial" w:hAnsi="Arial"/>
          <w:sz w:val="18"/>
          <w:szCs w:val="18"/>
          <w:color w:val="auto"/>
        </w:rPr>
        <w:t>”). The Indenture will provide that with respect to any such redemption the Issuers will notify the Trustee of the Make-Whole Premium with respect to the Notes promptly after the calculation and the Trustee will not be responsible for verifying or otherwise for such calculation.</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Notwithstanding the foregoing, on or prior to February 1, 2021, the Issuers, on one or more occasions, may, at their option, redeem up to 35% in aggregate principal amount of Notes (including Additional Notes) originally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issued under the Indenture at a redemption price equal to 104.750% of their principal amount, plus accrued and unpaid interest, if any, to the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 provided that (1) at least 65% in aggregate principal amount of the Notes (including Additional Notes) originally issued under the Indenture remain outstanding immediately after the occurrence of each such redemption and (2) such redemption occurs within 90 days of the date of the closing of any such Equity Offering.</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Notice of any redemption upon an Equity Offering may be given prior to the completion of the related Equity Offering, and any such redemption or notice may, at the Issuers’ discretion, be subject to one or more conditions precedent, including, but not limited to, completion of the related Equity Offering.</w:t>
      </w:r>
    </w:p>
    <w:p>
      <w:pPr>
        <w:spacing w:after="0" w:line="181" w:lineRule="exact"/>
        <w:rPr>
          <w:sz w:val="20"/>
          <w:szCs w:val="20"/>
          <w:color w:val="auto"/>
        </w:rPr>
      </w:pPr>
    </w:p>
    <w:p>
      <w:pPr>
        <w:jc w:val="both"/>
        <w:ind w:left="200" w:right="700" w:firstLine="441"/>
        <w:spacing w:after="0" w:line="264" w:lineRule="auto"/>
        <w:rPr>
          <w:sz w:val="20"/>
          <w:szCs w:val="20"/>
          <w:color w:val="auto"/>
        </w:rPr>
      </w:pPr>
      <w:r>
        <w:rPr>
          <w:rFonts w:ascii="Arial" w:cs="Arial" w:eastAsia="Arial" w:hAnsi="Arial"/>
          <w:sz w:val="18"/>
          <w:szCs w:val="18"/>
          <w:color w:val="auto"/>
        </w:rPr>
        <w:t>In addition, the Issuers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Selection and Notice Regarding Notes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basis (or if the Notes are held through DTC and if the procedures of DTC at such time do not permit</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redemptions, then by lot or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other method consistent with the procedures of DTC that the Trustee in its sole discretion deems fair and reasonable);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Notes with a principal amount of $2,000 or less shall be redeemed in part. Notice of redemption shall be mailed by first class mail at least 30 but not more than</w:t>
      </w:r>
    </w:p>
    <w:p>
      <w:pPr>
        <w:spacing w:after="0" w:line="2" w:lineRule="exact"/>
        <w:rPr>
          <w:sz w:val="20"/>
          <w:szCs w:val="20"/>
          <w:color w:val="auto"/>
        </w:rPr>
      </w:pPr>
    </w:p>
    <w:p>
      <w:pPr>
        <w:ind w:left="200" w:right="300"/>
        <w:spacing w:after="0" w:line="253" w:lineRule="auto"/>
        <w:rPr>
          <w:sz w:val="20"/>
          <w:szCs w:val="20"/>
          <w:color w:val="auto"/>
        </w:rPr>
      </w:pPr>
      <w:r>
        <w:rPr>
          <w:rFonts w:ascii="Arial" w:cs="Arial" w:eastAsia="Arial" w:hAnsi="Arial"/>
          <w:sz w:val="18"/>
          <w:szCs w:val="18"/>
          <w:color w:val="auto"/>
        </w:rPr>
        <w:t>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9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Any redemption and notice thereof pursuant to the Indenture may, in the Issuers’ discretion, be subject to the satisfaction of one or more conditions precedent.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Except as set forth below under “—Repurchase at the Option of Holders,” the Issuers are not required to make any mandatory redemption or sinking fund payments with respect to the Notes.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 Repurchase Events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Upon the occurrence of a Change of Control Repurchase Event, each Holder of Notes will have the right to require the Issuers to repurchase all or any part (equal to $2,000 or an integral multiple of $1,000 in excess thereof) of such Holder’s Notes pursuant to the offer described below (the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Control Offer</w:t>
      </w:r>
      <w:r>
        <w:rPr>
          <w:rFonts w:ascii="Arial" w:cs="Arial" w:eastAsia="Arial" w:hAnsi="Arial"/>
          <w:sz w:val="16"/>
          <w:szCs w:val="16"/>
          <w:color w:val="auto"/>
        </w:rPr>
        <w:t>”) at an offer price in cash equal to 101% of their aggregate principal amount, plus accrued and unpaid interest, if any, thereon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Repurchase Event or, at the Issuers’ option, prior to the consummation of such Change of Control Repurchase Event but after the public announcement thereof, the Issuers will mail a notice to each Holder describing the transaction or transactions that constitute the Change of Control Repurchase Event and offering to repurchase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Notes on the purchase date specified in such notice (which must be no earlier than 30 days nor later than 60 days from the date such notice is mailed, other than as required by law)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pursuant to the procedures required by the Indenture and described in such notice. Such obligation will not continue after a discharge of the Issuers or defeasance from their obligations with respect to the Notes. See “—Legal Defeasance and Covenant Defeasance.”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117" w:lineRule="exact"/>
        <w:rPr>
          <w:sz w:val="20"/>
          <w:szCs w:val="20"/>
          <w:color w:val="auto"/>
        </w:rPr>
      </w:pPr>
    </w:p>
    <w:p>
      <w:pPr>
        <w:ind w:left="640" w:right="360" w:firstLine="428"/>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$2,000 or an integral multiple of $1,000 in excess thereof) properly tendered pursuant to the Change of Control Offer;</w:t>
      </w:r>
    </w:p>
    <w:p>
      <w:pPr>
        <w:spacing w:after="0" w:line="62" w:lineRule="exact"/>
        <w:rPr>
          <w:rFonts w:ascii="Arial" w:cs="Arial" w:eastAsia="Arial" w:hAnsi="Arial"/>
          <w:sz w:val="18"/>
          <w:szCs w:val="18"/>
          <w:color w:val="auto"/>
        </w:rPr>
      </w:pPr>
    </w:p>
    <w:p>
      <w:pPr>
        <w:ind w:left="640" w:right="300" w:firstLine="428"/>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thereof properly tendered; and</w:t>
      </w:r>
    </w:p>
    <w:p>
      <w:pPr>
        <w:spacing w:after="0" w:line="62" w:lineRule="exact"/>
        <w:rPr>
          <w:rFonts w:ascii="Arial" w:cs="Arial" w:eastAsia="Arial" w:hAnsi="Arial"/>
          <w:sz w:val="18"/>
          <w:szCs w:val="18"/>
          <w:color w:val="auto"/>
        </w:rPr>
      </w:pPr>
    </w:p>
    <w:p>
      <w:pPr>
        <w:ind w:left="640" w:right="200" w:firstLine="428"/>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an integral multiple of $1,000 in excess thereof. The Issuers will publicly announce the results of the Change of Control Offer on or as soon as practicable after the Change of Control Payment Date.</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Issuers will comply with the applicable securities laws and regulations and will not be deemed to have breached their obligations under this covenant by virtue thereof.</w:t>
      </w:r>
    </w:p>
    <w:p>
      <w:pPr>
        <w:spacing w:after="0" w:line="154"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Except as described above with respect to a Change of Control Repurchase Event, the Indenture will not contain provisions that permit the Holders of the Notes to require that the Issuers repurchase or redeem the Notes in the event of a takeover, recapitalization or similar transaction with respect to Parent or an Issuer.</w:t>
      </w:r>
    </w:p>
    <w:p>
      <w:pPr>
        <w:spacing w:after="0" w:line="181" w:lineRule="exact"/>
        <w:rPr>
          <w:sz w:val="20"/>
          <w:szCs w:val="20"/>
          <w:color w:val="auto"/>
        </w:rPr>
      </w:pPr>
    </w:p>
    <w:p>
      <w:pPr>
        <w:ind w:left="200" w:right="360" w:firstLine="441"/>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Issuers and purchases all Notes validly tendered and not withdrawn under such Change of Control Offer or</w:t>
      </w:r>
    </w:p>
    <w:p>
      <w:pPr>
        <w:ind w:left="200" w:firstLine="4"/>
        <w:spacing w:after="0" w:line="253"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Issuers to repurchase the Notes could cause a default under the Existing Credit Facility and/or such Indebtedness, even if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the Change of Control Repurchase Event itself does not. Finally, the Issuers’ ability to pay cash to the Holders of Notes following the occurrence of a Change of Control Repurchase Event may be limited by their then-existing financial resources. There can be no assurance that sufficient funds will be available when necessary to make any required repurchases and there can be no assurance that the Issuers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existence of a Holder’s right to require the Issuers to make a Change of Control Offer upon a Change of Control Repurchase Event may deter a third party from acquiring Parent or the Issuers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transfer of less than all of the assets of Parent and its Subsidiaries taken as a whole to another Person may be uncertain.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summaries of certain covenants contained in the Indenture: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provides that Parent will not, nor will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40" w:firstLine="428"/>
        <w:spacing w:after="0" w:line="257" w:lineRule="auto"/>
        <w:tabs>
          <w:tab w:leader="none" w:pos="13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80" w:lineRule="exact"/>
        <w:rPr>
          <w:rFonts w:ascii="Arial" w:cs="Arial" w:eastAsia="Arial" w:hAnsi="Arial"/>
          <w:sz w:val="18"/>
          <w:szCs w:val="18"/>
          <w:color w:val="auto"/>
        </w:rPr>
      </w:pPr>
    </w:p>
    <w:p>
      <w:pPr>
        <w:ind w:left="640" w:right="40" w:firstLine="428"/>
        <w:spacing w:after="0" w:line="286" w:lineRule="auto"/>
        <w:tabs>
          <w:tab w:leader="none" w:pos="1318"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1" w:lineRule="exact"/>
        <w:rPr>
          <w:rFonts w:ascii="Arial" w:cs="Arial" w:eastAsia="Arial" w:hAnsi="Arial"/>
          <w:sz w:val="16"/>
          <w:szCs w:val="16"/>
          <w:color w:val="auto"/>
        </w:rPr>
      </w:pPr>
    </w:p>
    <w:p>
      <w:pPr>
        <w:ind w:left="640" w:right="40" w:firstLine="4"/>
        <w:spacing w:after="0" w:line="261"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5" w:lineRule="exact"/>
        <w:rPr>
          <w:rFonts w:ascii="Arial" w:cs="Arial" w:eastAsia="Arial" w:hAnsi="Arial"/>
          <w:sz w:val="18"/>
          <w:szCs w:val="18"/>
          <w:color w:val="auto"/>
        </w:rPr>
      </w:pPr>
    </w:p>
    <w:p>
      <w:pPr>
        <w:ind w:left="1320" w:hanging="252"/>
        <w:spacing w:after="0"/>
        <w:tabs>
          <w:tab w:leader="none" w:pos="13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17" w:lineRule="exact"/>
        <w:rPr>
          <w:rFonts w:ascii="Arial" w:cs="Arial" w:eastAsia="Arial" w:hAnsi="Arial"/>
          <w:sz w:val="18"/>
          <w:szCs w:val="18"/>
          <w:color w:val="auto"/>
        </w:rPr>
      </w:pPr>
    </w:p>
    <w:p>
      <w:pPr>
        <w:ind w:left="640" w:right="60" w:firstLine="428"/>
        <w:spacing w:after="0" w:line="277" w:lineRule="auto"/>
        <w:tabs>
          <w:tab w:leader="none" w:pos="13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incurred in financing the acquisition or construction of or improvements or alterations to property subject thereto;</w:t>
      </w:r>
    </w:p>
    <w:p>
      <w:pPr>
        <w:spacing w:after="0" w:line="117" w:lineRule="exact"/>
        <w:rPr>
          <w:sz w:val="20"/>
          <w:szCs w:val="20"/>
          <w:color w:val="auto"/>
        </w:rPr>
      </w:pPr>
    </w:p>
    <w:p>
      <w:pPr>
        <w:ind w:left="640" w:right="40" w:firstLine="428"/>
        <w:spacing w:after="0" w:line="312" w:lineRule="auto"/>
        <w:tabs>
          <w:tab w:leader="none" w:pos="1318"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38" w:lineRule="exact"/>
        <w:rPr>
          <w:rFonts w:ascii="Arial" w:cs="Arial" w:eastAsia="Arial" w:hAnsi="Arial"/>
          <w:sz w:val="16"/>
          <w:szCs w:val="16"/>
          <w:color w:val="auto"/>
        </w:rPr>
      </w:pPr>
    </w:p>
    <w:p>
      <w:pPr>
        <w:ind w:left="1320" w:hanging="252"/>
        <w:spacing w:after="0"/>
        <w:tabs>
          <w:tab w:leader="none" w:pos="13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17" w:lineRule="exact"/>
        <w:rPr>
          <w:rFonts w:ascii="Arial" w:cs="Arial" w:eastAsia="Arial" w:hAnsi="Arial"/>
          <w:sz w:val="18"/>
          <w:szCs w:val="18"/>
          <w:color w:val="auto"/>
        </w:rPr>
      </w:pPr>
    </w:p>
    <w:p>
      <w:pPr>
        <w:ind w:left="640" w:right="100" w:firstLine="428"/>
        <w:spacing w:after="0" w:line="286" w:lineRule="auto"/>
        <w:tabs>
          <w:tab w:leader="none" w:pos="1318"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w:t>
      </w:r>
    </w:p>
    <w:p>
      <w:pPr>
        <w:spacing w:after="0" w:line="1" w:lineRule="exact"/>
        <w:rPr>
          <w:rFonts w:ascii="Arial" w:cs="Arial" w:eastAsia="Arial" w:hAnsi="Arial"/>
          <w:sz w:val="16"/>
          <w:szCs w:val="16"/>
          <w:color w:val="auto"/>
        </w:rPr>
      </w:pPr>
    </w:p>
    <w:p>
      <w:pPr>
        <w:jc w:val="both"/>
        <w:ind w:left="640" w:right="100" w:firstLine="4"/>
        <w:spacing w:after="0" w:line="255" w:lineRule="auto"/>
        <w:tabs>
          <w:tab w:leader="none" w:pos="9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82" w:lineRule="exact"/>
        <w:rPr>
          <w:rFonts w:ascii="Arial" w:cs="Arial" w:eastAsia="Arial" w:hAnsi="Arial"/>
          <w:sz w:val="18"/>
          <w:szCs w:val="18"/>
          <w:color w:val="auto"/>
        </w:rPr>
      </w:pPr>
    </w:p>
    <w:p>
      <w:pPr>
        <w:ind w:left="640" w:firstLine="428"/>
        <w:spacing w:after="0" w:line="286" w:lineRule="auto"/>
        <w:tabs>
          <w:tab w:leader="none" w:pos="1318" w:val="left"/>
        </w:tabs>
        <w:numPr>
          <w:ilvl w:val="1"/>
          <w:numId w:val="56"/>
        </w:numPr>
        <w:rPr>
          <w:rFonts w:ascii="Arial" w:cs="Arial" w:eastAsia="Arial" w:hAnsi="Arial"/>
          <w:sz w:val="17"/>
          <w:szCs w:val="17"/>
          <w:color w:val="auto"/>
        </w:rPr>
      </w:pPr>
      <w:r>
        <w:rPr>
          <w:rFonts w:ascii="Arial" w:cs="Arial" w:eastAsia="Arial" w:hAnsi="Arial"/>
          <w:sz w:val="17"/>
          <w:szCs w:val="17"/>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57" w:lineRule="exact"/>
        <w:rPr>
          <w:rFonts w:ascii="Arial" w:cs="Arial" w:eastAsia="Arial" w:hAnsi="Arial"/>
          <w:sz w:val="17"/>
          <w:szCs w:val="17"/>
          <w:color w:val="auto"/>
        </w:rPr>
      </w:pPr>
    </w:p>
    <w:p>
      <w:pPr>
        <w:ind w:left="640" w:right="40" w:firstLine="428"/>
        <w:spacing w:after="0" w:line="277" w:lineRule="auto"/>
        <w:tabs>
          <w:tab w:leader="none" w:pos="13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2" w:lineRule="exact"/>
        <w:rPr>
          <w:rFonts w:ascii="Arial" w:cs="Arial" w:eastAsia="Arial" w:hAnsi="Arial"/>
          <w:sz w:val="18"/>
          <w:szCs w:val="18"/>
          <w:color w:val="auto"/>
        </w:rPr>
      </w:pPr>
    </w:p>
    <w:p>
      <w:pPr>
        <w:ind w:left="640" w:right="40" w:firstLine="428"/>
        <w:spacing w:after="0" w:line="308" w:lineRule="auto"/>
        <w:tabs>
          <w:tab w:leader="none" w:pos="14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38" w:lineRule="exact"/>
        <w:rPr>
          <w:rFonts w:ascii="Arial" w:cs="Arial" w:eastAsia="Arial" w:hAnsi="Arial"/>
          <w:sz w:val="17"/>
          <w:szCs w:val="17"/>
          <w:color w:val="auto"/>
        </w:rPr>
      </w:pPr>
    </w:p>
    <w:p>
      <w:pPr>
        <w:ind w:left="1400" w:hanging="332"/>
        <w:spacing w:after="0"/>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17" w:lineRule="exact"/>
        <w:rPr>
          <w:rFonts w:ascii="Arial" w:cs="Arial" w:eastAsia="Arial" w:hAnsi="Arial"/>
          <w:sz w:val="18"/>
          <w:szCs w:val="18"/>
          <w:color w:val="auto"/>
        </w:rPr>
      </w:pPr>
    </w:p>
    <w:p>
      <w:pPr>
        <w:ind w:left="640" w:right="20" w:firstLine="428"/>
        <w:spacing w:after="0" w:line="271" w:lineRule="auto"/>
        <w:tabs>
          <w:tab w:leader="none" w:pos="14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the application of the proceeds therefrom), taken together with the amount of all Attributable Debt of Parent and its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70" w:lineRule="exact"/>
        <w:rPr>
          <w:rFonts w:ascii="Arial" w:cs="Arial" w:eastAsia="Arial" w:hAnsi="Arial"/>
          <w:sz w:val="17"/>
          <w:szCs w:val="17"/>
          <w:color w:val="auto"/>
        </w:rPr>
      </w:pPr>
    </w:p>
    <w:p>
      <w:pPr>
        <w:ind w:left="640" w:right="280" w:firstLine="428"/>
        <w:spacing w:after="0" w:line="264" w:lineRule="auto"/>
        <w:tabs>
          <w:tab w:leader="none" w:pos="14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73" w:lineRule="exact"/>
        <w:rPr>
          <w:rFonts w:ascii="Arial" w:cs="Arial" w:eastAsia="Arial" w:hAnsi="Arial"/>
          <w:sz w:val="18"/>
          <w:szCs w:val="18"/>
          <w:color w:val="auto"/>
        </w:rPr>
      </w:pPr>
    </w:p>
    <w:p>
      <w:pPr>
        <w:ind w:left="640" w:right="280" w:firstLine="428"/>
        <w:spacing w:after="0" w:line="286" w:lineRule="auto"/>
        <w:tabs>
          <w:tab w:leader="none" w:pos="14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reserve or other appropriate provision as shall be required in conformity with GAAP shall have been made therefor;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firstLine="428"/>
        <w:spacing w:after="0" w:line="273" w:lineRule="auto"/>
        <w:tabs>
          <w:tab w:leader="none" w:pos="1408"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0" w:lineRule="exact"/>
        <w:rPr>
          <w:rFonts w:ascii="Arial" w:cs="Arial" w:eastAsia="Arial" w:hAnsi="Arial"/>
          <w:sz w:val="17"/>
          <w:szCs w:val="17"/>
          <w:color w:val="auto"/>
        </w:rPr>
      </w:pPr>
    </w:p>
    <w:p>
      <w:pPr>
        <w:ind w:left="640" w:right="20" w:firstLine="428"/>
        <w:spacing w:after="0" w:line="259" w:lineRule="auto"/>
        <w:tabs>
          <w:tab w:leader="none" w:pos="1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8" w:lineRule="exact"/>
        <w:rPr>
          <w:rFonts w:ascii="Arial" w:cs="Arial" w:eastAsia="Arial" w:hAnsi="Arial"/>
          <w:sz w:val="18"/>
          <w:szCs w:val="18"/>
          <w:color w:val="auto"/>
        </w:rPr>
      </w:pPr>
    </w:p>
    <w:p>
      <w:pPr>
        <w:ind w:left="640" w:right="260" w:firstLine="428"/>
        <w:spacing w:after="0" w:line="277" w:lineRule="auto"/>
        <w:tabs>
          <w:tab w:leader="none" w:pos="1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62" w:lineRule="exact"/>
        <w:rPr>
          <w:rFonts w:ascii="Arial" w:cs="Arial" w:eastAsia="Arial" w:hAnsi="Arial"/>
          <w:sz w:val="18"/>
          <w:szCs w:val="18"/>
          <w:color w:val="auto"/>
        </w:rPr>
      </w:pPr>
    </w:p>
    <w:p>
      <w:pPr>
        <w:ind w:left="640" w:right="360" w:firstLine="428"/>
        <w:spacing w:after="0" w:line="277" w:lineRule="auto"/>
        <w:tabs>
          <w:tab w:leader="none" w:pos="1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the following Sale and Leaseback Transactions are not subject to the limitation above and the provisions described in “—Limitation on Liens” above:</w:t>
      </w:r>
    </w:p>
    <w:p>
      <w:pPr>
        <w:spacing w:after="0" w:line="62" w:lineRule="exact"/>
        <w:rPr>
          <w:sz w:val="20"/>
          <w:szCs w:val="20"/>
          <w:color w:val="auto"/>
        </w:rPr>
      </w:pPr>
    </w:p>
    <w:p>
      <w:pPr>
        <w:ind w:left="1320" w:hanging="252"/>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17" w:lineRule="exact"/>
        <w:rPr>
          <w:rFonts w:ascii="Arial" w:cs="Arial" w:eastAsia="Arial" w:hAnsi="Arial"/>
          <w:sz w:val="18"/>
          <w:szCs w:val="18"/>
          <w:color w:val="auto"/>
        </w:rPr>
      </w:pPr>
    </w:p>
    <w:p>
      <w:pPr>
        <w:ind w:left="640" w:firstLine="428"/>
        <w:spacing w:after="0" w:line="257" w:lineRule="auto"/>
        <w:tabs>
          <w:tab w:leader="none" w:pos="1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80" w:lineRule="exact"/>
        <w:rPr>
          <w:rFonts w:ascii="Arial" w:cs="Arial" w:eastAsia="Arial" w:hAnsi="Arial"/>
          <w:sz w:val="18"/>
          <w:szCs w:val="18"/>
          <w:color w:val="auto"/>
        </w:rPr>
      </w:pPr>
    </w:p>
    <w:p>
      <w:pPr>
        <w:ind w:left="640" w:right="660" w:firstLine="428"/>
        <w:spacing w:after="0" w:line="308" w:lineRule="auto"/>
        <w:tabs>
          <w:tab w:leader="none" w:pos="13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provides that (i) neither Parent nor any Issuer will consolidate or merge with or into any other Person or Transfer all or substantially all of the properties or assets of Parent and its Subsidiaries, taken as a whole and (ii) neither Parent nor any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9" w:lineRule="exact"/>
        <w:rPr>
          <w:sz w:val="20"/>
          <w:szCs w:val="20"/>
          <w:color w:val="auto"/>
        </w:rPr>
      </w:pPr>
    </w:p>
    <w:p>
      <w:pPr>
        <w:ind w:left="640" w:right="160" w:firstLine="428"/>
        <w:spacing w:after="0" w:line="264" w:lineRule="auto"/>
        <w:tabs>
          <w:tab w:leader="none" w:pos="1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73" w:lineRule="exact"/>
        <w:rPr>
          <w:sz w:val="20"/>
          <w:szCs w:val="20"/>
          <w:color w:val="auto"/>
        </w:rPr>
      </w:pPr>
    </w:p>
    <w:p>
      <w:pPr>
        <w:ind w:left="640" w:right="40" w:firstLine="428"/>
        <w:spacing w:after="0" w:line="255" w:lineRule="auto"/>
        <w:tabs>
          <w:tab w:leader="none" w:pos="13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in the case of a merger, consolidation or Transfer involving an Issuer, such Issuer is the surviving Person or the Person formed by or surviving any such consolidation or merger (if other than such Issuer) or to which such Transfer has been made is a limited liability company, partnership or corporation organized or existing under the laws of the United States, any State thereof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Crown Americas or such successor Person is a limited liability company or partnership there shall be a joint and several co-issuer of the Notes that is a Wholly Owned Subsidiary of Crown Americas and that is a corporation organized or existing under the laws of the United States or any State thereof or the District of Columbia;</w:t>
      </w:r>
    </w:p>
    <w:p>
      <w:pPr>
        <w:spacing w:after="0" w:line="85" w:lineRule="exact"/>
        <w:rPr>
          <w:sz w:val="20"/>
          <w:szCs w:val="20"/>
          <w:color w:val="auto"/>
        </w:rPr>
      </w:pPr>
    </w:p>
    <w:p>
      <w:pPr>
        <w:ind w:left="640" w:right="60" w:firstLine="428"/>
        <w:spacing w:after="0" w:line="312" w:lineRule="auto"/>
        <w:tabs>
          <w:tab w:leader="none" w:pos="131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Parent or an Issuer, as the case may be) or the Person to which such Transfer has been made assumes all the obligations of Parent, such Issuer or such Subsidiary under the Notes, the Note Guarantees, the Indenture and the Registration Rights Agreement pursuant to a supplemental indenture or amendment of the relevant documents; and</w:t>
      </w:r>
    </w:p>
    <w:p>
      <w:pPr>
        <w:spacing w:after="0" w:line="38" w:lineRule="exact"/>
        <w:rPr>
          <w:rFonts w:ascii="Arial" w:cs="Arial" w:eastAsia="Arial" w:hAnsi="Arial"/>
          <w:sz w:val="16"/>
          <w:szCs w:val="16"/>
          <w:color w:val="auto"/>
        </w:rPr>
      </w:pPr>
    </w:p>
    <w:p>
      <w:pPr>
        <w:ind w:left="1320" w:hanging="252"/>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none of the following shall be permitted:</w:t>
      </w:r>
    </w:p>
    <w:p>
      <w:pPr>
        <w:spacing w:after="0" w:line="131" w:lineRule="exact"/>
        <w:rPr>
          <w:sz w:val="20"/>
          <w:szCs w:val="20"/>
          <w:color w:val="auto"/>
        </w:rPr>
      </w:pPr>
    </w:p>
    <w:p>
      <w:pPr>
        <w:ind w:left="1060" w:right="660" w:hanging="316"/>
        <w:spacing w:after="0" w:line="342"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29" w:lineRule="exact"/>
        <w:rPr>
          <w:rFonts w:ascii="Arial" w:cs="Arial" w:eastAsia="Arial" w:hAnsi="Arial"/>
          <w:sz w:val="16"/>
          <w:szCs w:val="16"/>
          <w:color w:val="auto"/>
        </w:rPr>
      </w:pPr>
    </w:p>
    <w:p>
      <w:pPr>
        <w:ind w:left="1060" w:right="36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75"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consolidation or merger of an Issuer with or into or the Transfer of all or substantially all of the property or assets of such Issuer and its Subsidiaries, taken as a whole, to Crown, other than any such consolidation or merger with or into or Transfer to a Subsidiary of Crown.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will not prohibit:</w:t>
      </w:r>
    </w:p>
    <w:p>
      <w:pPr>
        <w:spacing w:after="0" w:line="131"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consolidation or merger between an Issuer and a Guarantor other than Crown;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consolidation or merger between a Subsidiary (other than an Issuer) that is not a Guarantor and any other Subsidiary other than Crown;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consolidation or merger of Parent with or into an Affiliate for the purposes of reincorporating Parent in another jurisdiction;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Transfer of all or substantially all of the properties or assets of a Guarantor to an Issuer and/or any other Guarantor other than Crown; or</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Subsidiary (other than an Issuer) that is not a Guarantor to any other Subsidiary other than Crown;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involving an Issuer or a Guarantor, if such Issuer or such Guarantor is not the surviving entity of such transaction 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Person to which such Transfer is made, the surviving entity or the Person to which such Transfer is made shall comply with clause (2) above.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Upon any consolidation, combination or merger of Parent, an Issuer or any other Guarantor, or any Transfer of all or substantially all of the assets of Parent or an Issuer in accordance with the foregoing, in which Parent, such Issuer or such Guarantor is not the continuing obligor under the Notes or its related Note Guarantee, the surviving entity formed by such consolidation or into which Parent, such Issuer or such Guarantor is merged or to which the Transfer is made will succeed to, and be substituted for, and may exercise every right and power of Parent, such Issuer or such Guarantor under the Indenture, Notes and Note Guarantees with the same effect as if such surviving entity had been named therein as Parent, such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such Issuer or such Guarantor’s, as the case may be, other obligations and covenants under such Notes, the Indenture and its related Note Guarantee, if applicable.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As of the date of issuance of the Notes, the Domestic Subsidiaries Crownway Insurance Company, Crown, Cork &amp; Seal Receivables (DE) Corporation, Crown Americas Capital Corp., Crown Americas Capital Corp. II, Crown Americas Capital Corp. III, Crown Americas Capital Corp. IV, Crown Americas Capital Corp. V and Crown Americas Capital Corp. VI will not Guarantee the Notes.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Note Guarantee of any Guarantor will be subject to release and discharge as described under the caption “—Ranking and Guarantees.”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provides that, whether or not required by the rules and regulations of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so long as any Notes are outstanding thereunder, the Issuers will furnish to the Trustee and Holders the following:</w:t>
      </w:r>
    </w:p>
    <w:p>
      <w:pPr>
        <w:spacing w:after="0" w:line="62" w:lineRule="exact"/>
        <w:rPr>
          <w:sz w:val="20"/>
          <w:szCs w:val="20"/>
          <w:color w:val="auto"/>
        </w:rPr>
      </w:pPr>
    </w:p>
    <w:p>
      <w:pPr>
        <w:jc w:val="both"/>
        <w:ind w:left="640" w:right="200" w:firstLine="428"/>
        <w:spacing w:after="0" w:line="259" w:lineRule="auto"/>
        <w:tabs>
          <w:tab w:leader="none" w:pos="13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8" w:lineRule="exact"/>
        <w:rPr>
          <w:rFonts w:ascii="Arial" w:cs="Arial" w:eastAsia="Arial" w:hAnsi="Arial"/>
          <w:sz w:val="18"/>
          <w:szCs w:val="18"/>
          <w:color w:val="auto"/>
        </w:rPr>
      </w:pPr>
    </w:p>
    <w:p>
      <w:pPr>
        <w:ind w:left="1320" w:hanging="252"/>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each case, within the time periods specified in the SEC’s rules and regulations. The Issuers may satisfy its obligation to deliver the information and reports referred to in clauses (1) and (2) above by filing the same with the SEC.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Issuers and the Guarantors will, for so long as any Notes remain outstanding, furnish to the Holders of such Notes and to securities analysts and prospective investors, upon their request, the information required to be delivered pursuant to Rule 144A(d)(4) under the Securities Act.</w:t>
      </w:r>
    </w:p>
    <w:p>
      <w:pPr>
        <w:spacing w:after="0" w:line="173"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 director, officer, employee, incorporator or stockholder of Parent or of any Subsidiary of Parent, as such, shall have any liability for any obligations of the Issuers or the Guarantors under the Notes, the Indenture, the 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provides that each of the following constitutes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1320" w:hanging="252"/>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 issued thereunder;</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default in payment when due of principal or premium, if any, on the Notes issued thereunder at maturity, upon redemption or otherwise;</w:t>
      </w:r>
    </w:p>
    <w:p>
      <w:pPr>
        <w:spacing w:after="0" w:line="140" w:lineRule="exact"/>
        <w:rPr>
          <w:rFonts w:ascii="Arial" w:cs="Arial" w:eastAsia="Arial" w:hAnsi="Arial"/>
          <w:sz w:val="16"/>
          <w:szCs w:val="16"/>
          <w:color w:val="auto"/>
        </w:rPr>
      </w:pPr>
    </w:p>
    <w:p>
      <w:pPr>
        <w:jc w:val="both"/>
        <w:ind w:left="640" w:right="80" w:firstLine="428"/>
        <w:spacing w:after="0" w:line="264"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73" w:lineRule="exact"/>
        <w:rPr>
          <w:rFonts w:ascii="Arial" w:cs="Arial" w:eastAsia="Arial" w:hAnsi="Arial"/>
          <w:sz w:val="18"/>
          <w:szCs w:val="18"/>
          <w:color w:val="auto"/>
        </w:rPr>
      </w:pPr>
    </w:p>
    <w:p>
      <w:pPr>
        <w:ind w:left="640" w:right="160" w:firstLine="428"/>
        <w:spacing w:after="0" w:line="264"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73" w:lineRule="exact"/>
        <w:rPr>
          <w:rFonts w:ascii="Arial" w:cs="Arial" w:eastAsia="Arial" w:hAnsi="Arial"/>
          <w:sz w:val="18"/>
          <w:szCs w:val="18"/>
          <w:color w:val="auto"/>
        </w:rPr>
      </w:pPr>
    </w:p>
    <w:p>
      <w:pPr>
        <w:ind w:left="640" w:right="40" w:firstLine="428"/>
        <w:spacing w:after="0" w:line="290" w:lineRule="auto"/>
        <w:tabs>
          <w:tab w:leader="none" w:pos="13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58" w:lineRule="exact"/>
        <w:rPr>
          <w:rFonts w:ascii="Arial" w:cs="Arial" w:eastAsia="Arial" w:hAnsi="Arial"/>
          <w:sz w:val="16"/>
          <w:szCs w:val="16"/>
          <w:color w:val="auto"/>
        </w:rPr>
      </w:pPr>
    </w:p>
    <w:p>
      <w:pPr>
        <w:ind w:left="640" w:right="20" w:firstLine="428"/>
        <w:spacing w:after="0" w:line="264"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20" w:firstLine="428"/>
        <w:spacing w:after="0" w:line="277"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Parent, an Issuer or any other Subsidiary of Parent that is a Significant Subsidiary or group of Subsidiaries of Parent that, together, would constitute a Significant Subsidiary; and</w:t>
      </w:r>
    </w:p>
    <w:p>
      <w:pPr>
        <w:spacing w:after="0" w:line="62" w:lineRule="exact"/>
        <w:rPr>
          <w:rFonts w:ascii="Arial" w:cs="Arial" w:eastAsia="Arial" w:hAnsi="Arial"/>
          <w:sz w:val="18"/>
          <w:szCs w:val="18"/>
          <w:color w:val="auto"/>
        </w:rPr>
      </w:pPr>
    </w:p>
    <w:p>
      <w:pPr>
        <w:ind w:left="640" w:right="40" w:firstLine="428"/>
        <w:spacing w:after="0" w:line="259"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If any Event of Default under the Indenture occurs and is continuing, the Trustee or the Holders of at least 25% in principal amount of the Notes then outstanding under the Indenture may declare all Notes issued under the Indenture to be due and payable by notice in writing to the Issuers and the Trustee, in the case of notice by Holders, specifying the respective Event of Default and that it is a “notice of acceleration” and the same shall become immediately due and payable. Notwithstanding the foregoing, in the case of an Event of Default arising under clause (7) above with respect to Parent or an Issuer, all outstanding Notes then outstanding under the Indenture will become due and payable without further action or notice. The Holders of any Notes may not enforce the Indenture relating to the Notes or the Notes except as provided in the Indenture. Subject to certain limitations, the Holders of a majority in principal amount of the then outstanding Notes issued under the Indenture may direct the Trustee in its exercise of any trust or power.</w:t>
      </w:r>
    </w:p>
    <w:p>
      <w:pPr>
        <w:spacing w:after="0" w:line="16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Issuers are required to deliver to the Trustee annually a statement regarding compliance with the Indenture, and the Issuers are required, within five business days after an executive officer of an Issuer becomes aware of any Default or Event of Default, to deliver to the Trustee a statement specifying such Default or Event of Default.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will be discharged and will, subject to certain surviving provisions, cease to be of further effect as to all Notes issued thereunder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w:t>
      </w:r>
    </w:p>
    <w:p>
      <w:pPr>
        <w:spacing w:after="0" w:line="103" w:lineRule="exact"/>
        <w:rPr>
          <w:sz w:val="20"/>
          <w:szCs w:val="20"/>
          <w:color w:val="auto"/>
        </w:rPr>
      </w:pPr>
    </w:p>
    <w:p>
      <w:pPr>
        <w:ind w:left="640" w:right="20" w:firstLine="428"/>
        <w:spacing w:after="0" w:line="277" w:lineRule="auto"/>
        <w:tabs>
          <w:tab w:leader="none" w:pos="13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Issuers deliver to the Trustee all outstanding Notes issued under the Indenture (other than Notes replaced because of mutilation, loss, destruction or wrongful taking) for cancellation; or</w:t>
      </w:r>
    </w:p>
    <w:p>
      <w:pPr>
        <w:spacing w:after="0" w:line="62" w:lineRule="exact"/>
        <w:rPr>
          <w:rFonts w:ascii="Arial" w:cs="Arial" w:eastAsia="Arial" w:hAnsi="Arial"/>
          <w:sz w:val="18"/>
          <w:szCs w:val="18"/>
          <w:color w:val="auto"/>
        </w:rPr>
      </w:pPr>
    </w:p>
    <w:p>
      <w:pPr>
        <w:ind w:left="640" w:right="20" w:firstLine="428"/>
        <w:spacing w:after="0" w:line="270" w:lineRule="auto"/>
        <w:tabs>
          <w:tab w:leader="none" w:pos="13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or the Issuer, and the Issuers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Issuers or any Guarantor pays all other sums payable under the Indenture by it. The Trustee will acknowledge satisfaction and discharge of the Indenture on demand of the Issuers accompanied by an officers’ certificate and an Opinion of Counsel, upon which the Trustee shall have no liability in relying, stating that all conditions precedent to satisfaction and discharge have been satisfied and at the cost and expense of the Issuers,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and if in either case the Issuers or any Guarantor pays all other sums payable under the Indenture by it. The Trustee will acknowledge satisfaction and discharge of the Indenture on demand of the Issuers accompanied by an officers’ certificate and an Opinion of Counsel, upon which the Trustee shall have no liability in relying, stating that all conditions precedent to satisfaction and discharge have been satisfied and at the cost and expense of the Issuers.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Issuers may, at their option and at any time, elect to have all of their obligations and the obligations of the Guarantors discharged with respect to the Notes outstanding under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62" w:lineRule="exact"/>
        <w:rPr>
          <w:sz w:val="20"/>
          <w:szCs w:val="20"/>
          <w:color w:val="auto"/>
        </w:rPr>
      </w:pPr>
    </w:p>
    <w:p>
      <w:pPr>
        <w:ind w:left="640" w:right="660" w:firstLine="428"/>
        <w:spacing w:after="0" w:line="308" w:lineRule="auto"/>
        <w:tabs>
          <w:tab w:leader="none" w:pos="13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38" w:lineRule="exact"/>
        <w:rPr>
          <w:rFonts w:ascii="Arial" w:cs="Arial" w:eastAsia="Arial" w:hAnsi="Arial"/>
          <w:sz w:val="17"/>
          <w:szCs w:val="17"/>
          <w:color w:val="auto"/>
        </w:rPr>
      </w:pPr>
    </w:p>
    <w:p>
      <w:pPr>
        <w:ind w:left="640" w:right="80" w:firstLine="428"/>
        <w:spacing w:after="0" w:line="308" w:lineRule="auto"/>
        <w:tabs>
          <w:tab w:leader="none" w:pos="13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38" w:lineRule="exact"/>
        <w:rPr>
          <w:rFonts w:ascii="Arial" w:cs="Arial" w:eastAsia="Arial" w:hAnsi="Arial"/>
          <w:sz w:val="17"/>
          <w:szCs w:val="17"/>
          <w:color w:val="auto"/>
        </w:rPr>
      </w:pPr>
    </w:p>
    <w:p>
      <w:pPr>
        <w:ind w:left="1320" w:hanging="2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the Issuers may, at their option and at any time, elect to have all of their obligations and the obligations of the Guarantors released with respect to certain covenants that are described in the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 described under the caption “—Events of Default and Remedies” will no longer constitute an Event of Default under the Indenture.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exercise either Legal Defeasance or Covenant Defeasance under the Indenture:</w:t>
      </w:r>
    </w:p>
    <w:p>
      <w:pPr>
        <w:spacing w:after="0" w:line="117" w:lineRule="exact"/>
        <w:rPr>
          <w:sz w:val="20"/>
          <w:szCs w:val="20"/>
          <w:color w:val="auto"/>
        </w:rPr>
      </w:pPr>
    </w:p>
    <w:p>
      <w:pPr>
        <w:ind w:left="640" w:firstLine="428"/>
        <w:spacing w:after="0" w:line="255" w:lineRule="auto"/>
        <w:tabs>
          <w:tab w:leader="none" w:pos="13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or on the applicable optional redemption date, as the case may be, and the Issuers must specify whether such Notes are being defeased to maturity or to a particular redemption date;</w:t>
      </w:r>
    </w:p>
    <w:p>
      <w:pPr>
        <w:spacing w:after="0" w:line="85" w:lineRule="exact"/>
        <w:rPr>
          <w:rFonts w:ascii="Arial" w:cs="Arial" w:eastAsia="Arial" w:hAnsi="Arial"/>
          <w:sz w:val="18"/>
          <w:szCs w:val="18"/>
          <w:color w:val="auto"/>
        </w:rPr>
      </w:pPr>
    </w:p>
    <w:p>
      <w:pPr>
        <w:ind w:left="640" w:right="120" w:firstLine="428"/>
        <w:spacing w:after="0" w:line="293" w:lineRule="auto"/>
        <w:tabs>
          <w:tab w:leader="none" w:pos="13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Legal Defeasance, the Issuers shall have delivered to the Trustee an Opinion of Counsel in the United States (upon which the Trustee shall have no liability in relying)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56" w:lineRule="exact"/>
        <w:rPr>
          <w:rFonts w:ascii="Arial" w:cs="Arial" w:eastAsia="Arial" w:hAnsi="Arial"/>
          <w:sz w:val="16"/>
          <w:szCs w:val="16"/>
          <w:color w:val="auto"/>
        </w:rPr>
      </w:pPr>
    </w:p>
    <w:p>
      <w:pPr>
        <w:ind w:left="640" w:right="320" w:firstLine="428"/>
        <w:spacing w:after="0" w:line="277" w:lineRule="auto"/>
        <w:tabs>
          <w:tab w:leader="none" w:pos="13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Covenant Defeasance, the Issuers shall have delivered to the Trustee an Opinion of Counsel in the United States (upon which the Trustee shall have no liability in relying) confirming that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color w:val="auto"/>
        </w:rPr>
        <w:t>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3" w:lineRule="exact"/>
        <w:rPr>
          <w:sz w:val="20"/>
          <w:szCs w:val="20"/>
          <w:color w:val="auto"/>
        </w:rPr>
      </w:pPr>
    </w:p>
    <w:p>
      <w:pPr>
        <w:ind w:left="640" w:right="80" w:firstLine="428"/>
        <w:spacing w:after="0" w:line="264"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73" w:lineRule="exact"/>
        <w:rPr>
          <w:rFonts w:ascii="Arial" w:cs="Arial" w:eastAsia="Arial" w:hAnsi="Arial"/>
          <w:sz w:val="18"/>
          <w:szCs w:val="18"/>
          <w:color w:val="auto"/>
        </w:rPr>
      </w:pPr>
    </w:p>
    <w:p>
      <w:pPr>
        <w:ind w:left="640" w:right="440" w:firstLine="428"/>
        <w:spacing w:after="0" w:line="264"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73" w:lineRule="exact"/>
        <w:rPr>
          <w:rFonts w:ascii="Arial" w:cs="Arial" w:eastAsia="Arial" w:hAnsi="Arial"/>
          <w:sz w:val="18"/>
          <w:szCs w:val="18"/>
          <w:color w:val="auto"/>
        </w:rPr>
      </w:pPr>
    </w:p>
    <w:p>
      <w:pPr>
        <w:ind w:left="640" w:right="40" w:firstLine="428"/>
        <w:spacing w:after="0" w:line="302" w:lineRule="auto"/>
        <w:tabs>
          <w:tab w:leader="none" w:pos="131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Issuers must have delivered to the Trustee an Opinion of Counsel (upon which the Trustee shall have no liability in relying) to the effect that assuming no intervening bankruptcy of an Issuer or any Guarantor between the date of deposit and the 91st day following the deposit and assuming that no Holder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46" w:lineRule="exact"/>
        <w:rPr>
          <w:rFonts w:ascii="Arial" w:cs="Arial" w:eastAsia="Arial" w:hAnsi="Arial"/>
          <w:sz w:val="16"/>
          <w:szCs w:val="16"/>
          <w:color w:val="auto"/>
        </w:rPr>
      </w:pPr>
    </w:p>
    <w:p>
      <w:pPr>
        <w:ind w:left="640" w:right="240" w:firstLine="428"/>
        <w:spacing w:after="0" w:line="286" w:lineRule="auto"/>
        <w:tabs>
          <w:tab w:leader="none" w:pos="13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Issuers must deliver to the Trustee an officers’ certificate (upon which the Trustee shall have no liability in relying) stating that the deposit was not made by the Issuers with the intent of preferring the Holders of Notes issued under the Indenture over the other creditors of an Issuer with the intent of defeating, hindering, delaying or defrauding creditors of an Issuer or others; and</w:t>
      </w:r>
    </w:p>
    <w:p>
      <w:pPr>
        <w:spacing w:after="0" w:line="57" w:lineRule="exact"/>
        <w:rPr>
          <w:rFonts w:ascii="Arial" w:cs="Arial" w:eastAsia="Arial" w:hAnsi="Arial"/>
          <w:sz w:val="17"/>
          <w:szCs w:val="17"/>
          <w:color w:val="auto"/>
        </w:rPr>
      </w:pPr>
    </w:p>
    <w:p>
      <w:pPr>
        <w:ind w:left="640" w:right="40" w:firstLine="428"/>
        <w:spacing w:after="0" w:line="264"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A Holder of Notes may transfer or exchange Notes in accordance with the terms of the Indenture. The registrar and Trustee may require a Holder of Notes, among other things, to furnish appropriate endorsements and transfer documents and the applicable Issuer or the Trustee may require a Holder of Notes to pay any taxes and fees required by law or permitted by the Indenture. The Issuers are not required to transfer or exchange any Note selected for redemption. Also, the Issuers are not required to transfer or exchange any Note for a period of 15 days before a selection of Notes to be redeemed.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62" w:lineRule="exact"/>
        <w:rPr>
          <w:sz w:val="20"/>
          <w:szCs w:val="20"/>
          <w:color w:val="auto"/>
        </w:rPr>
      </w:pPr>
    </w:p>
    <w:p>
      <w:pPr>
        <w:ind w:left="1320" w:hanging="252"/>
        <w:spacing w:after="0"/>
        <w:tabs>
          <w:tab w:leader="none" w:pos="1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reduce the principal amount of Notes issued under the Indenture whose Holders must consent to an amendment, supplement or waiver;</w:t>
      </w:r>
    </w:p>
    <w:p>
      <w:pPr>
        <w:spacing w:after="0" w:line="140" w:lineRule="exact"/>
        <w:rPr>
          <w:rFonts w:ascii="Arial" w:cs="Arial" w:eastAsia="Arial" w:hAnsi="Arial"/>
          <w:sz w:val="16"/>
          <w:szCs w:val="16"/>
          <w:color w:val="auto"/>
        </w:rPr>
      </w:pPr>
    </w:p>
    <w:p>
      <w:pPr>
        <w:ind w:left="640" w:firstLine="428"/>
        <w:spacing w:after="0" w:line="25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reduce the principal amount of or change the fixed maturity of any Notes, or alter the provisions with respect to the redemption of any such Notes other than, except as set forth in clause (7) below, the provisions relating to the covenant described under the caption “—Repurchase at the Option of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80" w:lineRule="exact"/>
        <w:rPr>
          <w:rFonts w:ascii="Arial" w:cs="Arial" w:eastAsia="Arial" w:hAnsi="Arial"/>
          <w:sz w:val="18"/>
          <w:szCs w:val="18"/>
          <w:color w:val="auto"/>
        </w:rPr>
      </w:pPr>
    </w:p>
    <w:p>
      <w:pPr>
        <w:ind w:left="1320" w:hanging="252"/>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17" w:lineRule="exact"/>
        <w:rPr>
          <w:rFonts w:ascii="Arial" w:cs="Arial" w:eastAsia="Arial" w:hAnsi="Arial"/>
          <w:sz w:val="18"/>
          <w:szCs w:val="18"/>
          <w:color w:val="auto"/>
        </w:rPr>
      </w:pPr>
    </w:p>
    <w:p>
      <w:pPr>
        <w:ind w:left="640" w:right="80" w:firstLine="428"/>
        <w:spacing w:after="0" w:line="264"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73" w:lineRule="exact"/>
        <w:rPr>
          <w:rFonts w:ascii="Arial" w:cs="Arial" w:eastAsia="Arial" w:hAnsi="Arial"/>
          <w:sz w:val="18"/>
          <w:szCs w:val="18"/>
          <w:color w:val="auto"/>
        </w:rPr>
      </w:pPr>
    </w:p>
    <w:p>
      <w:pPr>
        <w:ind w:left="1320" w:hanging="252"/>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17" w:lineRule="exact"/>
        <w:rPr>
          <w:rFonts w:ascii="Arial" w:cs="Arial" w:eastAsia="Arial" w:hAnsi="Arial"/>
          <w:sz w:val="18"/>
          <w:szCs w:val="18"/>
          <w:color w:val="auto"/>
        </w:rPr>
      </w:pPr>
    </w:p>
    <w:p>
      <w:pPr>
        <w:ind w:left="640" w:right="540" w:firstLine="428"/>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62" w:lineRule="exact"/>
        <w:rPr>
          <w:rFonts w:ascii="Arial" w:cs="Arial" w:eastAsia="Arial" w:hAnsi="Arial"/>
          <w:sz w:val="18"/>
          <w:szCs w:val="18"/>
          <w:color w:val="auto"/>
        </w:rPr>
      </w:pPr>
    </w:p>
    <w:p>
      <w:pPr>
        <w:jc w:val="both"/>
        <w:ind w:left="640" w:right="140" w:firstLine="428"/>
        <w:spacing w:after="0" w:line="286" w:lineRule="auto"/>
        <w:tabs>
          <w:tab w:leader="none" w:pos="1318" w:val="left"/>
        </w:tabs>
        <w:numPr>
          <w:ilvl w:val="0"/>
          <w:numId w:val="71"/>
        </w:numPr>
        <w:rPr>
          <w:rFonts w:ascii="Arial" w:cs="Arial" w:eastAsia="Arial" w:hAnsi="Arial"/>
          <w:sz w:val="17"/>
          <w:szCs w:val="17"/>
          <w:color w:val="auto"/>
        </w:rPr>
      </w:pPr>
      <w:r>
        <w:rPr>
          <w:rFonts w:ascii="Arial" w:cs="Arial" w:eastAsia="Arial" w:hAnsi="Arial"/>
          <w:sz w:val="17"/>
          <w:szCs w:val="17"/>
          <w:color w:val="auto"/>
        </w:rPr>
        <w:t>after the Issuers’ obligation to purchase Notes arises thereunder, amend, change or modify in any material respect the obligations of the Issuers to make and consummate a Change of Control Offer with respect to a Change of Control Repurchase Event that has occurred, including, without limitation, in each case, by amending, changing or modifying any of the definitions relating thereto;</w:t>
      </w:r>
    </w:p>
    <w:p>
      <w:pPr>
        <w:spacing w:after="0" w:line="57" w:lineRule="exact"/>
        <w:rPr>
          <w:rFonts w:ascii="Arial" w:cs="Arial" w:eastAsia="Arial" w:hAnsi="Arial"/>
          <w:sz w:val="17"/>
          <w:szCs w:val="17"/>
          <w:color w:val="auto"/>
        </w:rPr>
      </w:pPr>
    </w:p>
    <w:p>
      <w:pPr>
        <w:ind w:left="640" w:right="80" w:firstLine="428"/>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62" w:lineRule="exact"/>
        <w:rPr>
          <w:rFonts w:ascii="Arial" w:cs="Arial" w:eastAsia="Arial" w:hAnsi="Arial"/>
          <w:sz w:val="18"/>
          <w:szCs w:val="18"/>
          <w:color w:val="auto"/>
        </w:rPr>
      </w:pPr>
    </w:p>
    <w:p>
      <w:pPr>
        <w:ind w:left="640" w:right="260" w:firstLine="428"/>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or change any provision of the Indenture affecting the ranking of the Notes or Note Guarantees issued thereunder in a manner adverse to the Holders of Notes issued thereunder.</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Without the consent of any Holder of Notes, the Issuers and the Trustee may amend the Indenture, the Notes governed thereby or the Note Guarantees issued thereunder:</w:t>
      </w:r>
    </w:p>
    <w:p>
      <w:pPr>
        <w:spacing w:after="0" w:line="76"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1060" w:right="92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the assumption of an Issuer or any Guarantor’s obligations to the Holders of such Notes in the case of a merger or consolidation or sale of all or substantially all of such Issuer’s or such Guarantor’s assets;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30"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the Indenture;</w:t>
      </w:r>
    </w:p>
    <w:p>
      <w:pPr>
        <w:spacing w:after="0" w:line="153" w:lineRule="exact"/>
        <w:rPr>
          <w:rFonts w:ascii="Arial" w:cs="Arial" w:eastAsia="Arial" w:hAnsi="Arial"/>
          <w:sz w:val="16"/>
          <w:szCs w:val="16"/>
          <w:color w:val="auto"/>
        </w:rPr>
      </w:pPr>
    </w:p>
    <w:p>
      <w:pPr>
        <w:ind w:left="1060" w:right="50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add to the covenants of the Issuers and the Guarantors for the benefit of the Holders of the Notes or to surrender any right or power conferred upon the Issuers and the Guarantors;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Indenture contains certain limitations on the rights of the Trustee, should the Trustee in its capacity as Trustee become a creditor of an Issuer, to obtain payment of claims in certain cases, or to realize on certain assets received in respect of any such claim as security or otherwise. The Trustee in its individual capacity is permitted to engage in other transactions with the Issuers; however, if the Trustee acquires any conflicting interest as defined under the Trust Indenture Act, it must eliminate such conflict within 90 days, apply to the SEC for permission to continue as Trustee or resign.</w:t>
      </w:r>
    </w:p>
    <w:p>
      <w:pPr>
        <w:spacing w:after="0" w:line="15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Holders of a majority in principal amount of the then outstanding Notes under the Indenture have the right to direct the time, method and place of conducting any proceeding for exercising any remedy available to the 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security and indemnity satisfactory to it against any loss, liability or expense. The Trustee’s fees, expenses and indemnities are included in the amounts guaranteed by the Note Guarantees.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i w:val="1"/>
          <w:iCs w:val="1"/>
          <w:color w:val="auto"/>
        </w:rPr>
        <w:t>amendment</w:t>
      </w:r>
      <w:r>
        <w:rPr>
          <w:rFonts w:ascii="Arial" w:cs="Arial" w:eastAsia="Arial" w:hAnsi="Arial"/>
          <w:sz w:val="17"/>
          <w:szCs w:val="17"/>
          <w:color w:val="auto"/>
        </w:rPr>
        <w:t>” shall have a correlative meaning.</w:t>
      </w:r>
    </w:p>
    <w:p>
      <w:pPr>
        <w:spacing w:after="0" w:line="23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Treasury Rate</w:t>
      </w:r>
      <w:r>
        <w:rPr>
          <w:rFonts w:ascii="Arial" w:cs="Arial" w:eastAsia="Arial" w:hAnsi="Arial"/>
          <w:sz w:val="17"/>
          <w:szCs w:val="17"/>
          <w:color w:val="auto"/>
        </w:rPr>
        <w:t>” for any redemption date means the yield to maturity at the time of computation of United States Treasury securities with a constant maturity (as compiled and published in the most recent Federal Reserve Statistical Release H.15(519) that has become publicly available at least two business days prior to the Make-Whole Redemption of such Notes (or, if such Statistical Release is no longer published, any publicly available source of similar market data)) most nearly equal to the period from the Make-Whole Redemption Date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 xml:space="preserve">to February 1, 2021;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period from the Make-Whole Redemption Date to February 1, 2021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February 1, 2021 is less than one year, the weekly average yield on actually traded United States Treasury securities adjusted to a constant maturity of one year shall be used.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640" w:right="720" w:firstLine="428"/>
        <w:spacing w:after="0" w:line="277" w:lineRule="auto"/>
        <w:tabs>
          <w:tab w:leader="none" w:pos="13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640" w:right="40" w:firstLine="428"/>
        <w:spacing w:after="0" w:line="312" w:lineRule="auto"/>
        <w:tabs>
          <w:tab w:leader="none" w:pos="1318"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38" w:lineRule="exact"/>
        <w:rPr>
          <w:rFonts w:ascii="Arial" w:cs="Arial" w:eastAsia="Arial" w:hAnsi="Arial"/>
          <w:sz w:val="16"/>
          <w:szCs w:val="16"/>
          <w:color w:val="auto"/>
        </w:rPr>
      </w:pPr>
    </w:p>
    <w:p>
      <w:pPr>
        <w:ind w:left="640" w:right="20" w:firstLine="428"/>
        <w:spacing w:after="0" w:line="277" w:lineRule="auto"/>
        <w:tabs>
          <w:tab w:leader="none" w:pos="13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adoption of a plan for the liquidation or dissolution of Parent or an Issuer (other than in a transaction that complies with the covenant described under “—Certain Covenants—Merger, Consolidation or Sale of Assets”);</w:t>
      </w:r>
    </w:p>
    <w:p>
      <w:pPr>
        <w:spacing w:after="0" w:line="62" w:lineRule="exact"/>
        <w:rPr>
          <w:rFonts w:ascii="Arial" w:cs="Arial" w:eastAsia="Arial" w:hAnsi="Arial"/>
          <w:sz w:val="18"/>
          <w:szCs w:val="18"/>
          <w:color w:val="auto"/>
        </w:rPr>
      </w:pPr>
    </w:p>
    <w:p>
      <w:pPr>
        <w:ind w:left="640" w:firstLine="428"/>
        <w:spacing w:after="0" w:line="257" w:lineRule="auto"/>
        <w:tabs>
          <w:tab w:leader="none" w:pos="13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above) of more than 50% of the voting power of the Voting Stock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transaction in which Parent becomes a Wholly Owned Subsidiary of another Person (other than a Person that is an individual)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Parent”) shall not constitute a Change of</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85" w:lineRule="exact"/>
        <w:rPr>
          <w:sz w:val="20"/>
          <w:szCs w:val="20"/>
          <w:color w:val="auto"/>
        </w:rPr>
      </w:pPr>
    </w:p>
    <w:p>
      <w:pPr>
        <w:ind w:left="640" w:right="120" w:firstLine="428"/>
        <w:spacing w:after="0" w:line="277"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2" w:lineRule="exact"/>
        <w:rPr>
          <w:rFonts w:ascii="Arial" w:cs="Arial" w:eastAsia="Arial" w:hAnsi="Arial"/>
          <w:sz w:val="18"/>
          <w:szCs w:val="18"/>
          <w:color w:val="auto"/>
        </w:rPr>
      </w:pPr>
    </w:p>
    <w:p>
      <w:pPr>
        <w:ind w:left="640" w:right="320" w:firstLine="428"/>
        <w:spacing w:after="0" w:line="277"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Crown, Crown Americas or Capital Corp VI.</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Person for any period, the Consolidated Net Income of such Person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62" w:lineRule="exact"/>
        <w:rPr>
          <w:sz w:val="20"/>
          <w:szCs w:val="20"/>
          <w:color w:val="auto"/>
        </w:rPr>
      </w:pPr>
    </w:p>
    <w:p>
      <w:pPr>
        <w:ind w:left="1320" w:hanging="25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640" w:firstLine="428"/>
        <w:spacing w:after="0" w:line="264" w:lineRule="auto"/>
        <w:tabs>
          <w:tab w:leader="none" w:pos="13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3" w:lineRule="exact"/>
        <w:rPr>
          <w:rFonts w:ascii="Arial" w:cs="Arial" w:eastAsia="Arial" w:hAnsi="Arial"/>
          <w:sz w:val="18"/>
          <w:szCs w:val="18"/>
          <w:color w:val="auto"/>
        </w:rPr>
      </w:pPr>
    </w:p>
    <w:p>
      <w:pPr>
        <w:ind w:left="1320" w:hanging="25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ind w:left="640" w:right="180" w:firstLine="428"/>
        <w:spacing w:after="0" w:line="264" w:lineRule="auto"/>
        <w:tabs>
          <w:tab w:leader="none" w:pos="13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640" w:right="20" w:firstLine="428"/>
        <w:spacing w:after="0" w:line="312" w:lineRule="auto"/>
        <w:tabs>
          <w:tab w:leader="none" w:pos="13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38" w:lineRule="exact"/>
        <w:rPr>
          <w:rFonts w:ascii="Arial" w:cs="Arial" w:eastAsia="Arial" w:hAnsi="Arial"/>
          <w:sz w:val="16"/>
          <w:szCs w:val="16"/>
          <w:color w:val="auto"/>
        </w:rPr>
      </w:pPr>
    </w:p>
    <w:p>
      <w:pPr>
        <w:ind w:left="640" w:right="560" w:firstLine="428"/>
        <w:spacing w:after="0" w:line="277"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2" w:lineRule="exact"/>
        <w:rPr>
          <w:rFonts w:ascii="Arial" w:cs="Arial" w:eastAsia="Arial" w:hAnsi="Arial"/>
          <w:sz w:val="18"/>
          <w:szCs w:val="18"/>
          <w:color w:val="auto"/>
        </w:rPr>
      </w:pPr>
    </w:p>
    <w:p>
      <w:pPr>
        <w:ind w:left="640" w:right="380" w:firstLine="428"/>
        <w:spacing w:after="0" w:line="277"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extraordinary gains and losses shall be excluded;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17" w:lineRule="exact"/>
        <w:rPr>
          <w:rFonts w:ascii="Arial" w:cs="Arial" w:eastAsia="Arial" w:hAnsi="Arial"/>
          <w:sz w:val="18"/>
          <w:szCs w:val="18"/>
          <w:color w:val="auto"/>
        </w:rPr>
      </w:pPr>
    </w:p>
    <w:p>
      <w:pPr>
        <w:ind w:left="640" w:right="280" w:firstLine="428"/>
        <w:spacing w:after="0" w:line="259"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p>
    <w:p>
      <w:pPr>
        <w:ind w:left="200" w:right="20" w:firstLine="4"/>
        <w:spacing w:after="0" w:line="281" w:lineRule="auto"/>
        <w:tabs>
          <w:tab w:leader="none" w:pos="44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rFonts w:ascii="Arial" w:cs="Arial" w:eastAsia="Arial" w:hAnsi="Arial"/>
          <w:sz w:val="16"/>
          <w:szCs w:val="16"/>
          <w:color w:val="auto"/>
        </w:rPr>
      </w:pPr>
    </w:p>
    <w:p>
      <w:pPr>
        <w:ind w:left="200" w:right="620" w:firstLine="4"/>
        <w:spacing w:after="0" w:line="261" w:lineRule="auto"/>
        <w:tabs>
          <w:tab w:leader="none" w:pos="4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Indebtedness</w:t>
      </w:r>
      <w:r>
        <w:rPr>
          <w:rFonts w:ascii="Arial" w:cs="Arial" w:eastAsia="Arial" w:hAnsi="Arial"/>
          <w:sz w:val="17"/>
          <w:szCs w:val="17"/>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total amount of Attributable Debt in respect of Sale and Leaseback Transactions of such Person and its Subsidiaries as of such date.</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Leverage Ratio</w:t>
      </w:r>
      <w:r>
        <w:rPr>
          <w:rFonts w:ascii="Arial" w:cs="Arial" w:eastAsia="Arial" w:hAnsi="Arial"/>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Consolidated Secured Leverage Ratio will be calculated giving pro forma effect to such incurrence, assumption, Guarantee, repayment, repurchase, redemption, defeasance or other discharge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Indebtedness, and the use of the proceeds therefrom, as if the same had occurred at the beginning of the applicable four-quarter reference period.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for purposes of calculating the Consolidated Secured Leverage Ratio:</w:t>
      </w:r>
    </w:p>
    <w:p>
      <w:pPr>
        <w:spacing w:after="0" w:line="117" w:lineRule="exact"/>
        <w:rPr>
          <w:sz w:val="20"/>
          <w:szCs w:val="20"/>
          <w:color w:val="auto"/>
        </w:rPr>
      </w:pPr>
    </w:p>
    <w:p>
      <w:pPr>
        <w:ind w:left="640" w:firstLine="428"/>
        <w:spacing w:after="0" w:line="255" w:lineRule="auto"/>
        <w:tabs>
          <w:tab w:leader="none" w:pos="13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85" w:lineRule="exact"/>
        <w:rPr>
          <w:rFonts w:ascii="Arial" w:cs="Arial" w:eastAsia="Arial" w:hAnsi="Arial"/>
          <w:sz w:val="18"/>
          <w:szCs w:val="18"/>
          <w:color w:val="auto"/>
        </w:rPr>
      </w:pPr>
    </w:p>
    <w:p>
      <w:pPr>
        <w:ind w:left="640" w:right="120" w:firstLine="428"/>
        <w:spacing w:after="0" w:line="277" w:lineRule="auto"/>
        <w:tabs>
          <w:tab w:leader="none" w:pos="13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17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that clause (1) or (2) of this paragraph requires that pro forma effect be given to an acquisition, disposition or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relevant Person who:</w:t>
      </w:r>
    </w:p>
    <w:p>
      <w:pPr>
        <w:spacing w:after="0" w:line="117" w:lineRule="exact"/>
        <w:rPr>
          <w:sz w:val="20"/>
          <w:szCs w:val="20"/>
          <w:color w:val="auto"/>
        </w:rPr>
      </w:pPr>
    </w:p>
    <w:p>
      <w:pPr>
        <w:ind w:left="1320" w:hanging="252"/>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of the old notes; or</w:t>
      </w:r>
    </w:p>
    <w:p>
      <w:pPr>
        <w:spacing w:after="0" w:line="117" w:lineRule="exact"/>
        <w:rPr>
          <w:rFonts w:ascii="Arial" w:cs="Arial" w:eastAsia="Arial" w:hAnsi="Arial"/>
          <w:sz w:val="18"/>
          <w:szCs w:val="18"/>
          <w:color w:val="auto"/>
        </w:rPr>
      </w:pPr>
    </w:p>
    <w:p>
      <w:pPr>
        <w:ind w:left="640" w:right="120" w:firstLine="428"/>
        <w:spacing w:after="0" w:line="277" w:lineRule="auto"/>
        <w:tabs>
          <w:tab w:leader="none" w:pos="13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w:t>
      </w:r>
      <w:r>
        <w:rPr>
          <w:rFonts w:ascii="Arial" w:cs="Arial" w:eastAsia="Arial" w:hAnsi="Arial"/>
          <w:sz w:val="18"/>
          <w:szCs w:val="18"/>
          <w:color w:val="auto"/>
        </w:rPr>
        <w:t>” means Crown Cork &amp; Seal Company, Inc., a Pennsylvania corporation, and its successors and assigns.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except to the extent such capital stock is exchangeable into Indebtedness at the option of the issuer thereof and only subject to the terms of any debt instrument to which such issuer is a party), or upon the happening of any event, matures or is mandatorily redeemable, pursuant to a sinking fund obligation or otherwise, or redeemable at the option of the holder thereof, in whole or in part, or convertible or exchangeable into Indebtedness on or prior to the date on which the Notes mature.</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Offering</w:t>
      </w:r>
      <w:r>
        <w:rPr>
          <w:rFonts w:ascii="Arial" w:cs="Arial" w:eastAsia="Arial" w:hAnsi="Arial"/>
          <w:sz w:val="17"/>
          <w:szCs w:val="17"/>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4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Facility</w:t>
      </w:r>
      <w:r>
        <w:rPr>
          <w:rFonts w:ascii="Arial" w:cs="Arial" w:eastAsia="Arial" w:hAnsi="Arial"/>
          <w:sz w:val="18"/>
          <w:szCs w:val="18"/>
          <w:color w:val="auto"/>
        </w:rPr>
        <w:t>” means the Amended and Restated Credit Agreement, dated as of April 7, 2017, as amended, restated, supplemented,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Transaction</w:t>
      </w:r>
      <w:r>
        <w:rPr>
          <w:rFonts w:ascii="Arial" w:cs="Arial" w:eastAsia="Arial" w:hAnsi="Arial"/>
          <w:sz w:val="18"/>
          <w:szCs w:val="18"/>
          <w:color w:val="auto"/>
        </w:rPr>
        <w:t>” means issuance of the old notes and the application of the net proceeds thereof as described in the offering memorandum of the Issuers, dated September 8, 2016.</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on the issue date of the old notes.</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w:t>
      </w:r>
    </w:p>
    <w:p>
      <w:pPr>
        <w:spacing w:after="0" w:line="117" w:lineRule="exact"/>
        <w:rPr>
          <w:sz w:val="20"/>
          <w:szCs w:val="20"/>
          <w:color w:val="auto"/>
        </w:rPr>
      </w:pPr>
    </w:p>
    <w:p>
      <w:pPr>
        <w:ind w:left="1320" w:hanging="252"/>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Parent;</w:t>
      </w:r>
    </w:p>
    <w:p>
      <w:pPr>
        <w:spacing w:after="0" w:line="117" w:lineRule="exact"/>
        <w:rPr>
          <w:rFonts w:ascii="Arial" w:cs="Arial" w:eastAsia="Arial" w:hAnsi="Arial"/>
          <w:sz w:val="18"/>
          <w:szCs w:val="18"/>
          <w:color w:val="auto"/>
        </w:rPr>
      </w:pPr>
    </w:p>
    <w:p>
      <w:pPr>
        <w:ind w:left="640" w:firstLine="428"/>
        <w:spacing w:after="0" w:line="277" w:lineRule="auto"/>
        <w:tabs>
          <w:tab w:leader="none" w:pos="1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Domestic Subsidiary that executes and delivers a Note Guarantee pursuant to the covenant described under “—Certain Covenants— Additional Note Guarantees”; and</w:t>
      </w:r>
    </w:p>
    <w:p>
      <w:pPr>
        <w:spacing w:after="0" w:line="62" w:lineRule="exact"/>
        <w:rPr>
          <w:rFonts w:ascii="Arial" w:cs="Arial" w:eastAsia="Arial" w:hAnsi="Arial"/>
          <w:sz w:val="18"/>
          <w:szCs w:val="18"/>
          <w:color w:val="auto"/>
        </w:rPr>
      </w:pPr>
    </w:p>
    <w:p>
      <w:pPr>
        <w:ind w:left="640" w:right="180" w:firstLine="428"/>
        <w:spacing w:after="0" w:line="277" w:lineRule="auto"/>
        <w:tabs>
          <w:tab w:leader="none" w:pos="1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Person, the obligations of such Person under:</w:t>
      </w:r>
    </w:p>
    <w:p>
      <w:pPr>
        <w:spacing w:after="0" w:line="117" w:lineRule="exact"/>
        <w:rPr>
          <w:sz w:val="20"/>
          <w:szCs w:val="20"/>
          <w:color w:val="auto"/>
        </w:rPr>
      </w:pPr>
    </w:p>
    <w:p>
      <w:pPr>
        <w:ind w:left="640" w:right="380" w:firstLine="428"/>
        <w:spacing w:after="0" w:line="277"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62" w:lineRule="exact"/>
        <w:rPr>
          <w:rFonts w:ascii="Arial" w:cs="Arial" w:eastAsia="Arial" w:hAnsi="Arial"/>
          <w:sz w:val="18"/>
          <w:szCs w:val="18"/>
          <w:color w:val="auto"/>
        </w:rPr>
      </w:pPr>
    </w:p>
    <w:p>
      <w:pPr>
        <w:ind w:left="640" w:right="100" w:firstLine="428"/>
        <w:spacing w:after="0" w:line="277"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firstLine="428"/>
        <w:spacing w:after="0" w:line="277" w:lineRule="auto"/>
        <w:tabs>
          <w:tab w:leader="none" w:pos="131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indemnity agreements and arrangements entered into in connection with the agreements and arrangements described in clauses (1),</w:t>
      </w:r>
    </w:p>
    <w:p>
      <w:pPr>
        <w:spacing w:after="0" w:line="46" w:lineRule="exact"/>
        <w:rPr>
          <w:rFonts w:ascii="Arial" w:cs="Arial" w:eastAsia="Arial" w:hAnsi="Arial"/>
          <w:sz w:val="16"/>
          <w:szCs w:val="16"/>
          <w:color w:val="auto"/>
        </w:rPr>
      </w:pPr>
    </w:p>
    <w:p>
      <w:pPr>
        <w:ind w:left="900" w:hanging="25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and (3) above.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any Notes.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320" w:hanging="252"/>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128" w:lineRule="exact"/>
        <w:rPr>
          <w:rFonts w:ascii="Arial" w:cs="Arial" w:eastAsia="Arial" w:hAnsi="Arial"/>
          <w:sz w:val="17"/>
          <w:szCs w:val="17"/>
          <w:color w:val="auto"/>
        </w:rPr>
      </w:pPr>
    </w:p>
    <w:p>
      <w:pPr>
        <w:ind w:left="1320" w:hanging="252"/>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740" w:hanging="249"/>
        <w:spacing w:after="0"/>
        <w:tabs>
          <w:tab w:leader="none" w:pos="1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fair market value (as determined in good faith by Parent) of such assets at the date of determination; and</w:t>
      </w:r>
    </w:p>
    <w:p>
      <w:pPr>
        <w:spacing w:after="0" w:line="117" w:lineRule="exact"/>
        <w:rPr>
          <w:rFonts w:ascii="Arial" w:cs="Arial" w:eastAsia="Arial" w:hAnsi="Arial"/>
          <w:sz w:val="18"/>
          <w:szCs w:val="18"/>
          <w:color w:val="auto"/>
        </w:rPr>
      </w:pPr>
    </w:p>
    <w:p>
      <w:pPr>
        <w:ind w:left="1740" w:hanging="249"/>
        <w:spacing w:after="0"/>
        <w:tabs>
          <w:tab w:leader="none" w:pos="1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avoidance of doubt, a letter of credit or analogous instrument will not constitute Indebtedness until it has been drawn upon.</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5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Premium</w:t>
      </w:r>
      <w:r>
        <w:rPr>
          <w:rFonts w:ascii="Arial" w:cs="Arial" w:eastAsia="Arial" w:hAnsi="Arial"/>
          <w:sz w:val="17"/>
          <w:szCs w:val="17"/>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February 1, 2021 and all remaining interest payments to and including February 1, 2021 (but excluding any interest accrued to the Make-Whole Redemption Date), discounted on a semiannual basis (assuming a 360-day year consisting of twelve 30-day months) from February 1, 2021 to the Make-Whole Redemption Date at a per annum interest rate equal to the Applicable Treasury Rate on such Make-Whole Redemption Date plus 0.50%, over (y) the outstanding principal amount of such Note.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Redemption Date</w:t>
      </w:r>
      <w:r>
        <w:rPr>
          <w:rFonts w:ascii="Arial" w:cs="Arial" w:eastAsia="Arial" w:hAnsi="Arial"/>
          <w:sz w:val="17"/>
          <w:szCs w:val="17"/>
          <w:color w:val="auto"/>
        </w:rPr>
        <w:t>” with respect to a Make-Whole Redemption, means the date such Make Whole Redemption is effectuated.</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 means Moody’s Investors Service, Inc., and its successors.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any Guarantee of the obligations of the Issuers under the Indenture and the Notes by any Person in accordance with the provisions of the Indenture.</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Crown Holdings, Inc., a Pennsylvania corporation, and its successor and assigns.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collectively, the executive officers of Parent on the issue date of the old notes.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Capital Stock</w:t>
      </w:r>
      <w:r>
        <w:rPr>
          <w:rFonts w:ascii="Arial" w:cs="Arial" w:eastAsia="Arial" w:hAnsi="Arial"/>
          <w:sz w:val="18"/>
          <w:szCs w:val="18"/>
          <w:color w:val="auto"/>
        </w:rPr>
        <w:t>” means any capital stock that is not Disqualified Capital Stock.</w:t>
      </w:r>
    </w:p>
    <w:p>
      <w:pPr>
        <w:spacing w:after="0" w:line="225"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Event</w:t>
      </w:r>
      <w:r>
        <w:rPr>
          <w:rFonts w:ascii="Arial" w:cs="Arial" w:eastAsia="Arial" w:hAnsi="Arial"/>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9" w:lineRule="exact"/>
        <w:rPr>
          <w:sz w:val="20"/>
          <w:szCs w:val="20"/>
          <w:color w:val="auto"/>
        </w:rPr>
      </w:pPr>
    </w:p>
    <w:p>
      <w:pPr>
        <w:ind w:left="640" w:firstLine="428"/>
        <w:spacing w:after="0" w:line="277" w:lineRule="auto"/>
        <w:tabs>
          <w:tab w:leader="none" w:pos="13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62" w:lineRule="exact"/>
        <w:rPr>
          <w:rFonts w:ascii="Arial" w:cs="Arial" w:eastAsia="Arial" w:hAnsi="Arial"/>
          <w:sz w:val="18"/>
          <w:szCs w:val="18"/>
          <w:color w:val="auto"/>
        </w:rPr>
      </w:pPr>
    </w:p>
    <w:p>
      <w:pPr>
        <w:ind w:left="640" w:right="300" w:firstLine="428"/>
        <w:spacing w:after="0" w:line="277" w:lineRule="auto"/>
        <w:tabs>
          <w:tab w:leader="none" w:pos="13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January 26, 2018, among the Issuers, the Guarantors and the initial purchasers relating to the Notes.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 Subsidiary which is organized under the laws of the United States or any State thereof or the District of Columbia.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640" w:right="120" w:firstLine="428"/>
        <w:spacing w:after="0" w:line="342" w:lineRule="auto"/>
        <w:tabs>
          <w:tab w:leader="none" w:pos="1318"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5" w:lineRule="exact"/>
        <w:rPr>
          <w:rFonts w:ascii="Arial" w:cs="Arial" w:eastAsia="Arial" w:hAnsi="Arial"/>
          <w:sz w:val="16"/>
          <w:szCs w:val="16"/>
          <w:color w:val="auto"/>
        </w:rPr>
      </w:pPr>
    </w:p>
    <w:p>
      <w:pPr>
        <w:ind w:left="1320" w:hanging="252"/>
        <w:spacing w:after="0"/>
        <w:tabs>
          <w:tab w:leader="none" w:pos="13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900" w:hanging="25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one or more Subsidiaries of such Person (or any combination thereof).</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Bankruptcy and Fraudulent Transfer Limitations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 Guarantor intended to hinder, delay or defraud any present or future creditor; or received less than reasonably equivalent value or fair consideration for the incurrence of such indebtedness and either:</w:t>
      </w:r>
    </w:p>
    <w:p>
      <w:pPr>
        <w:spacing w:after="0" w:line="94"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5620" w:right="100" w:hanging="4876"/>
        <w:spacing w:after="0" w:line="449" w:lineRule="auto"/>
        <w:tabs>
          <w:tab w:leader="none" w:pos="10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Parent’s or such Guarantor’s remaining assets constituted unreasonably small capital; or 84</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76" w:lineRule="exact"/>
        <w:rPr>
          <w:sz w:val="20"/>
          <w:szCs w:val="20"/>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Issuers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6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92"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automatic stay;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avoidance of preferential transfers by a trustee or debtor-in-possession;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substantive consolidation;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limitations on collectibility of unmatured interest or attorney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fraudulent conveyance; and</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forced restructuring of the Notes, including reduction of principal amounts and interest rates and extension of maturity dates, over the holders’ objections.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left="200" w:right="440" w:firstLine="441"/>
        <w:spacing w:after="0" w:line="286" w:lineRule="auto"/>
        <w:rPr>
          <w:sz w:val="20"/>
          <w:szCs w:val="20"/>
          <w:color w:val="auto"/>
        </w:rPr>
      </w:pPr>
      <w:r>
        <w:rPr>
          <w:rFonts w:ascii="Arial" w:cs="Arial" w:eastAsia="Arial" w:hAnsi="Arial"/>
          <w:sz w:val="17"/>
          <w:szCs w:val="17"/>
          <w:color w:val="auto"/>
        </w:rPr>
        <w:t>The certificates representing the old notes have been, and in the case of the new notes will be issued, in fully registered form without interest coupons and represented by one or more global notes in fully registered form without interest coupons (each, a “</w:t>
      </w:r>
      <w:r>
        <w:rPr>
          <w:rFonts w:ascii="Arial" w:cs="Arial" w:eastAsia="Arial" w:hAnsi="Arial"/>
          <w:sz w:val="17"/>
          <w:szCs w:val="17"/>
          <w:i w:val="1"/>
          <w:iCs w:val="1"/>
          <w:color w:val="auto"/>
        </w:rPr>
        <w:t>Global Note</w:t>
      </w:r>
      <w:r>
        <w:rPr>
          <w:rFonts w:ascii="Arial" w:cs="Arial" w:eastAsia="Arial" w:hAnsi="Arial"/>
          <w:sz w:val="17"/>
          <w:szCs w:val="17"/>
          <w:color w:val="auto"/>
        </w:rPr>
        <w:t>”) deposited with the Trustee as a custodian for The Depositary Trust Company (“</w:t>
      </w:r>
      <w:r>
        <w:rPr>
          <w:rFonts w:ascii="Arial" w:cs="Arial" w:eastAsia="Arial" w:hAnsi="Arial"/>
          <w:sz w:val="17"/>
          <w:szCs w:val="17"/>
          <w:i w:val="1"/>
          <w:iCs w:val="1"/>
          <w:color w:val="auto"/>
        </w:rPr>
        <w:t>DTC</w:t>
      </w:r>
      <w:r>
        <w:rPr>
          <w:rFonts w:ascii="Arial" w:cs="Arial" w:eastAsia="Arial" w:hAnsi="Arial"/>
          <w:sz w:val="17"/>
          <w:szCs w:val="17"/>
          <w:color w:val="auto"/>
        </w:rPr>
        <w:t>”) and registered in the name of a nominee DTC.</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Ownership of beneficial interests in the Global Notes will be limited to persons who have accounts with DTC (“</w:t>
      </w:r>
      <w:r>
        <w:rPr>
          <w:rFonts w:ascii="Arial" w:cs="Arial" w:eastAsia="Arial" w:hAnsi="Arial"/>
          <w:sz w:val="18"/>
          <w:szCs w:val="18"/>
          <w:i w:val="1"/>
          <w:iCs w:val="1"/>
          <w:color w:val="auto"/>
        </w:rPr>
        <w:t>participants</w:t>
      </w:r>
      <w:r>
        <w:rPr>
          <w:rFonts w:ascii="Arial" w:cs="Arial" w:eastAsia="Arial" w:hAnsi="Arial"/>
          <w:sz w:val="18"/>
          <w:szCs w:val="18"/>
          <w:color w:val="auto"/>
        </w:rPr>
        <w:t>”) or persons who hold interests through participants. Holders may hold their interests in the Global Notes directly through DTC if they are participants in such system, or indirectly through organizations which are participants in such system.</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Issuers,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Issuers expect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Issuers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DTC has advised the Issuers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8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DTC has advised the Issuers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Arial" w:cs="Arial" w:eastAsia="Arial" w:hAnsi="Arial"/>
          <w:sz w:val="16"/>
          <w:szCs w:val="16"/>
          <w:i w:val="1"/>
          <w:iCs w:val="1"/>
          <w:color w:val="auto"/>
        </w:rPr>
        <w:t>indirect participants</w:t>
      </w:r>
      <w:r>
        <w:rPr>
          <w:rFonts w:ascii="Arial" w:cs="Arial" w:eastAsia="Arial" w:hAnsi="Arial"/>
          <w:sz w:val="16"/>
          <w:szCs w:val="16"/>
          <w:color w:val="auto"/>
        </w:rPr>
        <w:t>”).</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308" w:lineRule="auto"/>
        <w:rPr>
          <w:sz w:val="20"/>
          <w:szCs w:val="20"/>
          <w:color w:val="auto"/>
        </w:rPr>
      </w:pPr>
      <w:r>
        <w:rPr>
          <w:rFonts w:ascii="Arial" w:cs="Arial" w:eastAsia="Arial" w:hAnsi="Arial"/>
          <w:sz w:val="17"/>
          <w:szCs w:val="17"/>
          <w:color w:val="auto"/>
        </w:rPr>
        <w:t>procedures may be discontinued at any time. Neither the Issuers nor the Trustee will have any responsibility for the performance by DTC or its participants or indirect participants of their respective obligations under the rules and procedures governing their operations.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Certificated Securities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Issuers within 90 days.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section describes material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such as:</w:t>
      </w:r>
    </w:p>
    <w:p>
      <w:pPr>
        <w:spacing w:after="0" w:line="92"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life insurance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foreign or domestic partnership or other entity classified as a partnership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expatriate,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person that owns new notes that are a hedge or that are hedged against interest rate risks,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person that owns new notes as part of a straddle or conversion transaction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person subject to the alternative minimum tax,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FOREIGN TAX LAWS AND ANY PROPOSED CHANGES IN APPLICABLE TAX LAWS.</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200" w:right="600" w:firstLine="441"/>
        <w:spacing w:after="0" w:line="264" w:lineRule="auto"/>
        <w:rPr>
          <w:sz w:val="20"/>
          <w:szCs w:val="20"/>
          <w:color w:val="auto"/>
        </w:rPr>
      </w:pPr>
      <w:r>
        <w:rPr>
          <w:rFonts w:ascii="Arial" w:cs="Arial" w:eastAsia="Arial" w:hAnsi="Arial"/>
          <w:sz w:val="18"/>
          <w:szCs w:val="18"/>
          <w:color w:val="auto"/>
        </w:rPr>
        <w:t>This section (i) does not address all aspects of U.S. federal taxation, such as estate and gift tax consequences and alternative minimum tax consequences, (ii) does not deal with all tax considerations that may be relevant to a holder in light of such holder’s personal circumstances, and (iii) does not address any state, local or foreign tax consequences.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is based on the Internal Revenue Code of 1986, as amended (the “Internal Revenue Code”), its legislative history, existing and proposed regulations under the Internal Revenue Code (“U.S. Treasury Regulations”), published rulings and court decisions, all as in effect on the date hereof. These laws are subject to change, possibly on a retroactive basis. Crown Americas and Crown Americas Capital VI are not seeking a ruling from the Internal Revenue Service (the “IRS”) regarding the tax consequences of the ownership or exchange of the new notes. Accordingly, there can be no assurance that the IRS will not successfully challenge one or more of the conclusions stated herein.</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If an entity classified as a partnership for U.S. federal income tax purposes holds the new notes, the tax treatment of a partner in the partnership generally will depend on the status of the particular partner and the activities of the partnership. Partners of partnerships considering exchanging their old notes for new notes pursuant to the exchange offer should consult their own tax advisors as to the specific tax consequences to them of owning and disposing of the new notes held indirectly through ownership of their partnership interests.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Subject to Certain Contingencies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certain circumstances, Crown Americas and Crown Americas Capital VI may be obligated to pay holders amounts in excess of the stated interest and principal payable on the new notes.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and Crown Americas Capital VI intend to take the position that the likelihood that such payments will be made is remote and/or that such payments will be incidental, and therefore the new notes are not subject to the rules governing contingent payment debt instruments. 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Whether you are a U.S. holder or a non-U.S. holder (each as defined below), exchanging an old note for a new note should not be treated as a taxable exchange for U.S. federal income tax purposes. Consequently, you should not recognize gain or loss upon receipt of a new note. Your holding period for a new note should include the holding period for the old note and your initial basis in the new note should be the same as your adjusted basis in the old note.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This subsection describes certain material U.S. federal income tax consequences to a U.S. holder. You are a U.S. holder if you are a beneficial owner of a new note and you are for U.S. federal income tax purposes:</w:t>
      </w:r>
    </w:p>
    <w:p>
      <w:pPr>
        <w:spacing w:after="0" w:line="76"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trusts not described above in existence on August 20, 1996 that elect to be treated as United States persons will also be U.S. holders for purposes of the following discussion.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not a U.S. holder, this subsection does not apply to you and you should refer to “Non-U.S. Holders”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Your adjusted tax basis in a new note generally will be the same as your adjusted basis in the old note exchanged therefor. You will generally recognize capital gain or loss on the sale, exchange,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should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200" w:right="440" w:firstLine="441"/>
        <w:spacing w:after="0" w:line="342" w:lineRule="auto"/>
        <w:rPr>
          <w:sz w:val="20"/>
          <w:szCs w:val="20"/>
          <w:color w:val="auto"/>
        </w:rPr>
      </w:pPr>
      <w:r>
        <w:rPr>
          <w:rFonts w:ascii="Arial" w:cs="Arial" w:eastAsia="Arial" w:hAnsi="Arial"/>
          <w:sz w:val="16"/>
          <w:szCs w:val="16"/>
          <w:color w:val="auto"/>
        </w:rPr>
        <w:t>This subsection describes certain material U.S. federal income tax consequences to a non-U.S. holder. You are a non-U.S. holder if you are a beneficial owner of a new note that is an individual, corporation, trust or estate for U.S. federal income tax purposes and you are not a U.S. holder.</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are a U.S. holder, or if you are an entity classified as a partnership for U.S. federal income tax purposes, this subsection does not apply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U.S. federal income tax law, and subject to the discussion of backup withholding below, if you are a non-U.S. holder of a new note and the interest income on the new note is not effectively connected with your conduct of trade or business in the United States, Crown Americas and Crown Americas Capital VI (or the applicable withholding agent) generally will not be required to deduct a U.S. federal withholding tax at a 30% rate (or, if applicable, a lower income tax treaty rate) from such income if:</w:t>
      </w:r>
    </w:p>
    <w:p>
      <w:pPr>
        <w:spacing w:after="0" w:line="92" w:lineRule="exact"/>
        <w:rPr>
          <w:sz w:val="20"/>
          <w:szCs w:val="20"/>
          <w:color w:val="auto"/>
        </w:rPr>
      </w:pPr>
    </w:p>
    <w:p>
      <w:pPr>
        <w:ind w:left="1060" w:right="320" w:hanging="316"/>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combined voting power of all classes of stock of Crown Americas or Crown Americas Capital VI entitled to vote,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you are not a controlled foreign corporation that is related to Crown Americas or Crown Americas Capital VI through stock ownership,</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are not a bank receiving the interest pursuant to a loan agreement entered into in your ordinary course of business, and</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applicable withholding agent does not have actual knowledge or reason to know that you are a United States person and you have furnished to such agent an IRS Form W-8BEN, an IRS Form W-8BEN-E or an acceptable substitute form upon which you certify, under penalties of perjury, that you are not a United States person.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U.S. federal income tax, and may be subject to the branch profits tax, it is not subject to U.S. federal withholding tax (whether or not it is subject to U.S. federal income tax) if the owner delivers a properly executed IRS Form W-8ECI to the payor.</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New Notes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you are a non-U.S. holder of a new note, you generally will not be subject to U.S. federal income tax or withholding tax on gain realized on the sale, exchange, redemption, retirement or other taxable disposition of a new note (other than any amount representing interest which will be treated as discussed above) unless:</w:t>
      </w:r>
    </w:p>
    <w:p>
      <w:pPr>
        <w:spacing w:after="0" w:line="87" w:lineRule="exact"/>
        <w:rPr>
          <w:sz w:val="20"/>
          <w:szCs w:val="20"/>
          <w:color w:val="auto"/>
        </w:rPr>
      </w:pPr>
    </w:p>
    <w:p>
      <w:pPr>
        <w:ind w:left="1060" w:right="260" w:hanging="316"/>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to the extent an applicable income tax treaty so provides, is attributable to a permanent establishment in the United States, in which case such gain will be taxable in the same manner as effectively connected interest as discussed above, or</w:t>
      </w:r>
    </w:p>
    <w:p>
      <w:pPr>
        <w:spacing w:after="0" w:line="86"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Information reporting on IRS Form 1099 will apply to payments of interest on, or the proceeds of the sale, exchange, redemption, retirement or other taxable disposition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the U.S. Treasury Regulations, certain transactions are required to be reported to the IRS, including, in certain circumstances, a sale, exchange, redemption, retirement or other taxable disposition of a new note or foreign currency received in respect of a new note to the extent that any such disposition results in a tax loss in excess of a threshold amount. U.S. holders should consult their tax advisors to determine the tax return obligations, if any, with respect to an investment in the new notes, including any requirement to file IRS Form 8886 (Reportable Transaction Disclosure Statement).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Backup withholding and information reporting on IRS Form 1099 will not apply to payments of interest to a non-U.S. holder provided that you are (A) the beneficial owner of new notes and you certify to the applicable payor or its agent, under penalties of perjury, that you are not a United States person and provide your name and address on a duly executed IRS Form W-8BEN or IRS Form W-8BEN-E, as applicable (or a suitable substitute form), (B) a securities clearing organization, bank or other financial institution, that holds customers’ securities in the ordinary course of its trade or business (a “financial institution”) and that certifies under penalties of</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perjury that such an IRS Form W-8BEN or IRS Form W-8BEN-E (or a suitable substitute form) has been received from the beneficial owner by it or by a financial institution between it and the beneficial owner and furnishes the payor with a copy thereof, or (C) otherwise exempt from backup withholding and information reporting (provided that the applicable withholding agent does not have actual knowledge or reason to know that you are a United States person or that the conditions of any other exemptions are not in fact satisfied).</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Information reporting and backup withholding generally will not apply to a payment of the proceeds of a sale, exchange, redemption, retirement or other taxable disposition of the new notes effected outside the United States by a foreign office of a foreign broker. However, information reporting requirements (but not backup withholding) will apply to a payment of the proceeds of a sale, exchange, redemption, retirement or other taxable disposition of the new notes effected outside the United States by a foreign office of a broker if the broker (i) is a United States person, (ii) derives 50% or more of its gross income for certain periods from the conduct of a trade or business in the United States, (iii) is a “controlled foreign corporation” for U.S. federal income tax purposes, or (iv) is a foreign partnership that, at any time during its taxable year is 50% or more (by income or capital interest) owned by United States persons or is engaged in the conduct of a trade or business in the United States, unless in any such case the broker has documentary evidence in its records that the holder is a non-U.S. holder and certain conditions are met, or the holder otherwise establishes an exemption. Payment of the proceeds of a sale, exchange,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8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Foreign Account Tax Compliance Act (“FATCA”), withholding taxes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w:t>
      </w:r>
    </w:p>
    <w:p>
      <w:pPr>
        <w:spacing w:after="0" w:line="2" w:lineRule="exact"/>
        <w:rPr>
          <w:sz w:val="20"/>
          <w:szCs w:val="20"/>
          <w:color w:val="auto"/>
        </w:rPr>
      </w:pPr>
    </w:p>
    <w:p>
      <w:pPr>
        <w:ind w:left="200" w:right="60" w:firstLine="4"/>
        <w:spacing w:after="0" w:line="252" w:lineRule="auto"/>
        <w:tabs>
          <w:tab w:leader="none" w:pos="4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on payments to non-compliant foreign financial institutions and certain other account holders.</w:t>
      </w:r>
    </w:p>
    <w:p>
      <w:pPr>
        <w:spacing w:after="0" w:line="193"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Under prior IRS guidance, the withholding provisions described above will generally not apply to payments of gross proceeds from a sale or other disposition of notes until on or after January 1, 2019, however it is expected that the IRS will further defer the requirement to withhold on payments of gross proceeds from a sale or other disposition of notes. Holders should consult their tax advisors regarding FATCA and the regulations thereunder.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79" w:lineRule="exact"/>
        <w:rPr>
          <w:sz w:val="20"/>
          <w:szCs w:val="20"/>
          <w:color w:val="auto"/>
        </w:rPr>
      </w:pPr>
    </w:p>
    <w:p>
      <w:pPr>
        <w:ind w:left="200" w:right="120" w:firstLine="441"/>
        <w:spacing w:after="0" w:line="285"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w:t>
      </w:r>
    </w:p>
    <w:p>
      <w:pPr>
        <w:spacing w:after="0" w:line="2"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color w:val="auto"/>
        </w:rPr>
        <w:t>such resale. In addition, until</w:t>
      </w:r>
      <w:r>
        <w:rPr>
          <w:sz w:val="20"/>
          <w:szCs w:val="20"/>
          <w:color w:val="auto"/>
        </w:rPr>
        <w:tab/>
      </w:r>
      <w:r>
        <w:rPr>
          <w:rFonts w:ascii="Arial" w:cs="Arial" w:eastAsia="Arial" w:hAnsi="Arial"/>
          <w:sz w:val="16"/>
          <w:szCs w:val="16"/>
          <w:color w:val="auto"/>
        </w:rPr>
        <w:t>, 2019, all dealers effecting transactions in the new notes may be required to deliver a prospectus.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legal matters with regard to the validity of the new notes and the new note guarantees will be passed upon for us and the guarantors by Dechert LLP, Philadelphia, Pennsylvania.</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Current Report on Form 8-K dated December 6, 2018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consolidated financial statements of Signode Industrial Group Holdings (Bermuda) Ltd. and its subsidiaries as of and for the year ended December 31, 2017 incorporated in this prospectus by reference from the Current Report on Form 8-K/A (Amendment No. 2) of Crown Holdings, Inc., dated December 6, 2018, have been audited by Deloitte &amp; Touche LLP, independent auditors, as stated in their report appearing herein, and are included in reliance upon the report of such firm given upon their authority as experts in accounting and auditing.</w:t>
      </w:r>
    </w:p>
    <w:p>
      <w:pPr>
        <w:spacing w:after="0" w:line="3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In addition, Crown posts its filed documents on its website at </w:t>
      </w:r>
      <w:r>
        <w:rPr>
          <w:rFonts w:ascii="Arial" w:cs="Arial" w:eastAsia="Arial" w:hAnsi="Arial"/>
          <w:sz w:val="18"/>
          <w:szCs w:val="18"/>
          <w:i w:val="1"/>
          <w:iCs w:val="1"/>
          <w:color w:val="auto"/>
        </w:rPr>
        <w:t>http://www.crowncork.com</w:t>
      </w:r>
      <w:r>
        <w:rPr>
          <w:rFonts w:ascii="Arial" w:cs="Arial" w:eastAsia="Arial" w:hAnsi="Arial"/>
          <w:sz w:val="18"/>
          <w:szCs w:val="18"/>
          <w:color w:val="auto"/>
        </w:rPr>
        <w:t>. Except for the documents 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1060" w:right="220" w:hanging="316"/>
        <w:spacing w:after="0" w:line="342"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Crown’s Annual Report on Form 10-K for the year ended December 31, 2017, filed with the SEC on February 26, 2018</w:t>
      </w:r>
      <w:r>
        <w:rPr>
          <w:rFonts w:ascii="Arial" w:cs="Arial" w:eastAsia="Arial" w:hAnsi="Arial"/>
          <w:sz w:val="13"/>
          <w:szCs w:val="13"/>
          <w:color w:val="auto"/>
        </w:rPr>
        <w:t>(1)</w:t>
      </w:r>
      <w:r>
        <w:rPr>
          <w:rFonts w:ascii="Arial" w:cs="Arial" w:eastAsia="Arial" w:hAnsi="Arial"/>
          <w:sz w:val="16"/>
          <w:szCs w:val="16"/>
          <w:color w:val="auto"/>
        </w:rPr>
        <w:t>, including portions of Crown’s Proxy Statement, filed with the SEC on March 19, 2018, to the extent specifically incorporated by reference therein;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December 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March 31, 2018, filed with the SEC on May 2, 2018;</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June 30, 2018, filed with the SEC on August 2,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September 30, 2018, filed with the SEC on October 29, 2018;</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April 6, 2018, as amended by Amendment No. 1, filed with the SEC on June 15, 2018, and Amendment No. 2, filed with the SEC on December 6, 2018;</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September 24,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January 3,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January 16,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January 23, 2018;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February 1, 2018.</w:t>
      </w:r>
    </w:p>
    <w:p>
      <w:pPr>
        <w:spacing w:after="0" w:line="225" w:lineRule="exact"/>
        <w:rPr>
          <w:rFonts w:ascii="Arial" w:cs="Arial" w:eastAsia="Arial" w:hAnsi="Arial"/>
          <w:sz w:val="18"/>
          <w:szCs w:val="18"/>
          <w:color w:val="auto"/>
        </w:rPr>
      </w:pPr>
    </w:p>
    <w:p>
      <w:pPr>
        <w:ind w:left="1340" w:hanging="255"/>
        <w:spacing w:after="0"/>
        <w:tabs>
          <w:tab w:leader="none" w:pos="13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Portions of the Annual Report on Form 10-K for the year ended December 31, 2017, including Part I, Item 1. Business, and the</w:t>
      </w:r>
    </w:p>
    <w:p>
      <w:pPr>
        <w:spacing w:after="0" w:line="34" w:lineRule="exact"/>
        <w:rPr>
          <w:rFonts w:ascii="Arial" w:cs="Arial" w:eastAsia="Arial" w:hAnsi="Arial"/>
          <w:sz w:val="17"/>
          <w:szCs w:val="17"/>
          <w:color w:val="auto"/>
        </w:rPr>
      </w:pPr>
    </w:p>
    <w:p>
      <w:pPr>
        <w:ind w:left="1080" w:right="200"/>
        <w:spacing w:after="0" w:line="255" w:lineRule="auto"/>
        <w:rPr>
          <w:rFonts w:ascii="Arial" w:cs="Arial" w:eastAsia="Arial" w:hAnsi="Arial"/>
          <w:sz w:val="17"/>
          <w:szCs w:val="17"/>
          <w:color w:val="auto"/>
        </w:rPr>
      </w:pPr>
      <w:r>
        <w:rPr>
          <w:rFonts w:ascii="Arial" w:cs="Arial" w:eastAsia="Arial" w:hAnsi="Arial"/>
          <w:sz w:val="18"/>
          <w:szCs w:val="18"/>
          <w:color w:val="auto"/>
        </w:rPr>
        <w:t>following items from Part II of the Annual Report: Item 6. Selected Financial Data, Item 7. Management’s Discussion and Analysis of Financial Condition and Results of Operations and Item 8. Financial Statements and Supplementary Data) were recast in Crown’s Current Report on Form 8-K filed with the SEC on December 6, 2018;</w:t>
      </w:r>
    </w:p>
    <w:p>
      <w:pPr>
        <w:spacing w:after="0" w:line="19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Any future filings Crown makes with the SEC under Sections 13(a), 13(c), 14 or 15(d) of the Exchange Act after (i) the date of the initial registration statement and prior to effectiveness of the registration statement and (ii) the 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7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Crown Americas Capital Corp. VI</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 698-5100</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 order to obtain timely delivery, you must request such documents no later than five business days before the expiration date. The expiration</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date is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1791970</wp:posOffset>
            </wp:positionV>
            <wp:extent cx="2752725" cy="317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Crown Americas LLC</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Crown Americas Capital Corp.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732790</wp:posOffset>
            </wp:positionV>
            <wp:extent cx="14662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$875,000,000 4.750% Senior Notes due 2026 and related Guarantees for all outstanding</w:t>
      </w:r>
    </w:p>
    <w:p>
      <w:pPr>
        <w:spacing w:after="0" w:line="4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4.750%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ectPr>
          <w:pgSz w:w="11900" w:h="16838" w:orient="portrait"/>
          <w:cols w:equalWidth="0" w:num="1">
            <w:col w:w="10219"/>
          </w:cols>
          <w:pgMar w:left="240" w:top="45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20.</w:t>
        <w:tab/>
        <w:t>INDEMNIFICATION OF DIRECTORS AND OFFICERS.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Pennsylvania Business Corporation Law of 1988, as amended (the “PBCL”), Pennsylvania corporations have the power to indemnify any person acting as a representative of the corporation against liabilities incurred in such capacity provided certain standards are met, including good faith and the belief that the particular action or failure to take action is in the best interests of the corporation. In general, this power to indemnify does not exist in the case of actions against any person by or in the right of the corporation if the person otherwise entitled to indemnification shall have been adjudged to be liable to the corporation unless a court determines that despite the adjudication of liability but in view of all the circumstances of the case, the person is fairly and reasonably entitled to indemnity for expenses that the court deems proper. A corporation is required to indemnify representatives of the corporation against expenses they may incur in defending actions against them in such capacities if they are successful on the merits or otherwise in the defense of such actions. In all other cases, if a representative of the corporation acted, or failed to act, in good faith and in a manner he or she reasonably believed to be in or not opposed to the best interests of the corporation, indemnification is discretionary, except as may be otherwise provided by a corporation’s bylaws, agreement, vote of shareholders or disinterested directors or otherwise. Indemnification so otherwise provided may not, however, be made if the act or failure to act giving rise to the claim for indemnification is determined by a court to have constituted willful misconduct or recklessness. Expenses (including attorney’s fees) incurred in defending any such action may be paid by the corporation in advance of the final disposition of the action upon receipt of an undertaking by or on behalf of the representative to repay the amount if it is ultimately determined that he or she is not entitled to be indemnified by the corporation.</w:t>
      </w:r>
    </w:p>
    <w:p>
      <w:pPr>
        <w:spacing w:after="0" w:line="18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Section 1746 of the PBCL provides that the foregoing provisions shall not be deemed exclusive of any other rights to which a person seeking indemnification may be entitled under, among other things, any bylaws provision, provided that no indemnification may be made in any case where the act or failure to act giving rise to the claim for indemnification is determined by a court to have constituted willful misconduct or recklessness.</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Crown’s Bylaws provide that Crown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Crown, against all liability, loss and expense (including attorney’s fees and amounts paid in settlement) actually and reasonably incurred by such person in connection with such proceeding, whether or not the indemnified liability arises or arose from any proceeding by or in the right of Crown. Crown’s Bylaws also provide that expenses incurred by a director or officer in defending (or acting as a witness in) a proceeding may (and following a “change of control of the Company” shall) be paid by Crown in advance of the final disposition of such proceeding, subject to the provisions of applicable law, upon receipt of an undertaking by or on behalf of the director or officer to repay such amount if it shall ultimately be determined that such person is not entitled to be indemnified by Crown under applicable law. Additionally, Crown’s Bylaws limit directors’ personal liability for monetary damages for any action taken, or any failure to take any action, unless (1) the director has breached or failed to perform the duties of his or her office under the PBCL’s standard of care and justifiable reliance provisions and (2) the breach or failure to perform constitutes self-dealing, willful misconduct or recklessness. However, these provisions do not apply to the responsibility or liability of a director pursuant to any criminal statute or the payment of taxes pursuant to local, state or federal law. Crown has purchased directors’ and officers’ liability insurance covering certain liabilities which may be incurred by the officers and directors of Crown in connection with the performance of their duties.</w:t>
      </w:r>
    </w:p>
    <w:p>
      <w:pPr>
        <w:spacing w:after="0" w:line="17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addition, the organizational documents of certain subsidiary guarantors also provide for indemnification of their officers and directors for liability incurred in connection with the performance of their duties as officers and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24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21.</w:t>
        <w:tab/>
        <w:t>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exhibits are filed herewith unless otherwise indicated:</w:t>
      </w: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3.a</w:t>
            </w:r>
          </w:p>
        </w:tc>
        <w:tc>
          <w:tcPr>
            <w:tcW w:w="9480" w:type="dxa"/>
            <w:vAlign w:val="bottom"/>
            <w:tcBorders>
              <w:bottom w:val="single" w:sz="8" w:color="0000EE"/>
            </w:tcBorders>
            <w:gridSpan w:val="18"/>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Articles of Incorporation of Crown Holdings, Inc., as amended (incorporated by reference to Exhibit 3.a of the Registrant’s Annual</w:t>
              </w:r>
            </w:hyperlink>
          </w:p>
        </w:tc>
        <w:tc>
          <w:tcPr>
            <w:tcW w:w="42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Report on Form 10-K for the year ended December 31, 2004 (File No. 0-50189)).</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3.b</w:t>
            </w:r>
          </w:p>
        </w:tc>
        <w:tc>
          <w:tcPr>
            <w:tcW w:w="9900" w:type="dxa"/>
            <w:vAlign w:val="bottom"/>
            <w:gridSpan w:val="26"/>
          </w:tcPr>
          <w:p>
            <w:pPr>
              <w:spacing w:after="0"/>
              <w:rPr>
                <w:rFonts w:ascii="Arial" w:cs="Arial" w:eastAsia="Arial" w:hAnsi="Arial"/>
                <w:sz w:val="18"/>
                <w:szCs w:val="18"/>
                <w:color w:val="0000EE"/>
                <w:w w:val="98"/>
              </w:rPr>
            </w:pPr>
            <w:hyperlink r:id="rId146">
              <w:r>
                <w:rPr>
                  <w:rFonts w:ascii="Arial" w:cs="Arial" w:eastAsia="Arial" w:hAnsi="Arial"/>
                  <w:sz w:val="18"/>
                  <w:szCs w:val="18"/>
                  <w:color w:val="0000EE"/>
                  <w:w w:val="98"/>
                </w:rPr>
                <w:t>Crown Holdings, Inc. By-Laws, Amended and Restated as of January 29, 2016 (incorporated by reference to Exhibit 3.ii of the</w:t>
              </w:r>
            </w:hyperlink>
          </w:p>
        </w:tc>
      </w:tr>
      <w:tr>
        <w:trPr>
          <w:trHeight w:val="196"/>
        </w:trPr>
        <w:tc>
          <w:tcPr>
            <w:tcW w:w="1020" w:type="dxa"/>
            <w:vAlign w:val="bottom"/>
          </w:tcPr>
          <w:p>
            <w:pPr>
              <w:spacing w:after="0"/>
              <w:rPr>
                <w:sz w:val="17"/>
                <w:szCs w:val="17"/>
                <w:color w:val="auto"/>
              </w:rPr>
            </w:pPr>
          </w:p>
        </w:tc>
        <w:tc>
          <w:tcPr>
            <w:tcW w:w="91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Registrant’s Current Report on Form 8-K dated January 29, 2016 (File No. 0-50189)).</w:t>
              </w:r>
            </w:hyperlink>
          </w:p>
        </w:tc>
        <w:tc>
          <w:tcPr>
            <w:tcW w:w="72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3.c</w:t>
            </w:r>
          </w:p>
        </w:tc>
        <w:tc>
          <w:tcPr>
            <w:tcW w:w="9900" w:type="dxa"/>
            <w:vAlign w:val="bottom"/>
            <w:gridSpan w:val="26"/>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Certificate of Organization of Crown Americas LLC (incorporated by reference to Exhibit 3.c of Amendment No. 2 to the Registrant’s</w:t>
              </w:r>
            </w:hyperlink>
          </w:p>
        </w:tc>
      </w:tr>
      <w:tr>
        <w:trPr>
          <w:trHeight w:val="196"/>
        </w:trPr>
        <w:tc>
          <w:tcPr>
            <w:tcW w:w="102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Registration Statement on Form S-4 dated October 17, 2013 (File No. 333-190694)).</w:t>
              </w:r>
            </w:hyperlink>
          </w:p>
        </w:tc>
        <w:tc>
          <w:tcPr>
            <w:tcW w:w="3540" w:type="dxa"/>
            <w:vAlign w:val="bottom"/>
            <w:tcBorders>
              <w:top w:val="single" w:sz="8" w:color="0000EE"/>
            </w:tcBorders>
            <w:gridSpan w:val="1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3.d</w:t>
            </w:r>
          </w:p>
        </w:tc>
        <w:tc>
          <w:tcPr>
            <w:tcW w:w="9780" w:type="dxa"/>
            <w:vAlign w:val="bottom"/>
            <w:tcBorders>
              <w:bottom w:val="single" w:sz="8" w:color="0000EE"/>
            </w:tcBorders>
            <w:gridSpan w:val="23"/>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Limited Liability Company Agreement of Crown Americas LLC, dated as of September 27, 2005 (incorporated by reference to Exhibit</w:t>
              </w:r>
            </w:hyperlink>
          </w:p>
        </w:tc>
        <w:tc>
          <w:tcPr>
            <w:tcW w:w="1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3.</w:t>
              </w:r>
              <w:r>
                <w:rPr>
                  <w:rFonts w:ascii="Arial" w:cs="Arial" w:eastAsia="Arial" w:hAnsi="Arial"/>
                  <w:sz w:val="18"/>
                  <w:szCs w:val="18"/>
                  <w:u w:val="single" w:color="auto"/>
                  <w:color w:val="0000EE"/>
                  <w:w w:val="90"/>
                </w:rPr>
                <w:t>d</w:t>
              </w:r>
              <w:r>
                <w:rPr>
                  <w:rFonts w:ascii="Arial" w:cs="Arial" w:eastAsia="Arial" w:hAnsi="Arial"/>
                  <w:sz w:val="18"/>
                  <w:szCs w:val="18"/>
                  <w:color w:val="0000EE"/>
                  <w:w w:val="90"/>
                </w:rPr>
                <w:t xml:space="preserve"> of Amendment No. 2 to the Registrant’s Registration Statement on Form S-4 dated October 17, 2013 (File No. 333-190694)).</w:t>
              </w:r>
            </w:hyperlink>
          </w:p>
        </w:tc>
        <w:tc>
          <w:tcPr>
            <w:tcW w:w="600" w:type="dxa"/>
            <w:vAlign w:val="bottom"/>
            <w:gridSpan w:val="1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3.e</w:t>
            </w:r>
          </w:p>
        </w:tc>
        <w:tc>
          <w:tcPr>
            <w:tcW w:w="4820" w:type="dxa"/>
            <w:vAlign w:val="bottom"/>
            <w:tcBorders>
              <w:bottom w:val="single" w:sz="8" w:color="0000EE"/>
            </w:tcBorders>
            <w:gridSpan w:val="3"/>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Certificate of Incorporation of Crown Americas Capital Corp. VI.*</w:t>
              </w:r>
            </w:hyperlink>
          </w:p>
        </w:tc>
        <w:tc>
          <w:tcPr>
            <w:tcW w:w="5080" w:type="dxa"/>
            <w:vAlign w:val="bottom"/>
            <w:gridSpan w:val="23"/>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3.f</w:t>
            </w:r>
          </w:p>
        </w:tc>
        <w:tc>
          <w:tcPr>
            <w:tcW w:w="9900" w:type="dxa"/>
            <w:vAlign w:val="bottom"/>
            <w:gridSpan w:val="26"/>
          </w:tcPr>
          <w:p>
            <w:pPr>
              <w:spacing w:after="0"/>
              <w:rPr>
                <w:rFonts w:ascii="Arial" w:cs="Arial" w:eastAsia="Arial" w:hAnsi="Arial"/>
                <w:sz w:val="18"/>
                <w:szCs w:val="18"/>
                <w:color w:val="0000EE"/>
              </w:rPr>
            </w:pPr>
            <w:hyperlink r:id="rId150">
              <w:r>
                <w:rPr>
                  <w:rFonts w:ascii="Arial" w:cs="Arial" w:eastAsia="Arial" w:hAnsi="Arial"/>
                  <w:sz w:val="18"/>
                  <w:szCs w:val="18"/>
                  <w:color w:val="0000EE"/>
                </w:rPr>
                <w:t>Bylaws of Crown Americas Capital Corp. VI.*</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3.g</w:t>
            </w:r>
          </w:p>
        </w:tc>
        <w:tc>
          <w:tcPr>
            <w:tcW w:w="9900" w:type="dxa"/>
            <w:vAlign w:val="bottom"/>
            <w:gridSpan w:val="26"/>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Certificate of Incorporation of CROWN Beverage Packaging Puerto Rico, Inc., as amended (incorporated by reference to Exhibit 3.g of</w:t>
              </w:r>
            </w:hyperlink>
          </w:p>
        </w:tc>
      </w:tr>
      <w:tr>
        <w:trPr>
          <w:trHeight w:val="196"/>
        </w:trPr>
        <w:tc>
          <w:tcPr>
            <w:tcW w:w="10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Amendment No. 2 to the Registrant’s Registration Statement on Form S-4 dated October 17, 2013 (File No. 333-190694)).</w:t>
              </w:r>
            </w:hyperlink>
          </w:p>
        </w:tc>
        <w:tc>
          <w:tcPr>
            <w:tcW w:w="980" w:type="dxa"/>
            <w:vAlign w:val="bottom"/>
            <w:tcBorders>
              <w:top w:val="single" w:sz="8" w:color="0000EE"/>
            </w:tcBorders>
            <w:gridSpan w:val="1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3.h</w:t>
            </w:r>
          </w:p>
        </w:tc>
        <w:tc>
          <w:tcPr>
            <w:tcW w:w="9280" w:type="dxa"/>
            <w:vAlign w:val="bottom"/>
            <w:tcBorders>
              <w:bottom w:val="single" w:sz="8" w:color="0000EE"/>
            </w:tcBorders>
            <w:gridSpan w:val="13"/>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Bylaws of CROWN Beverage Packaging Puerto Rico, Inc. (incorporated by reference to Exhibit 3.h of Amendment No. 2 to the</w:t>
              </w:r>
            </w:hyperlink>
          </w:p>
        </w:tc>
        <w:tc>
          <w:tcPr>
            <w:tcW w:w="62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Registrant’s Registration Statement on Form S-4 dated October 17, 2013 (File No. 333-190694)).</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3.i</w:t>
            </w:r>
          </w:p>
        </w:tc>
        <w:tc>
          <w:tcPr>
            <w:tcW w:w="9900" w:type="dxa"/>
            <w:vAlign w:val="bottom"/>
            <w:gridSpan w:val="26"/>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Articles of Incorporation of Crown Consultants, Inc. (incorporated by reference to Exhibit 3.i of Amendment No. 2 to the Registrant’s</w:t>
              </w:r>
            </w:hyperlink>
          </w:p>
        </w:tc>
      </w:tr>
      <w:tr>
        <w:trPr>
          <w:trHeight w:val="196"/>
        </w:trPr>
        <w:tc>
          <w:tcPr>
            <w:tcW w:w="102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Registration Statement on Form S-4 dated October 17, 2013 (File No. 333-190694)).</w:t>
              </w:r>
            </w:hyperlink>
          </w:p>
        </w:tc>
        <w:tc>
          <w:tcPr>
            <w:tcW w:w="3500" w:type="dxa"/>
            <w:vAlign w:val="bottom"/>
            <w:tcBorders>
              <w:top w:val="single" w:sz="8" w:color="0000EE"/>
            </w:tcBorders>
            <w:gridSpan w:val="1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3.j</w:t>
            </w:r>
          </w:p>
        </w:tc>
        <w:tc>
          <w:tcPr>
            <w:tcW w:w="9900" w:type="dxa"/>
            <w:vAlign w:val="bottom"/>
            <w:gridSpan w:val="26"/>
          </w:tcPr>
          <w:p>
            <w:pPr>
              <w:spacing w:after="0"/>
              <w:rPr>
                <w:rFonts w:ascii="Arial" w:cs="Arial" w:eastAsia="Arial" w:hAnsi="Arial"/>
                <w:sz w:val="18"/>
                <w:szCs w:val="18"/>
                <w:color w:val="0000EE"/>
                <w:w w:val="97"/>
              </w:rPr>
            </w:pPr>
            <w:hyperlink r:id="rId154">
              <w:r>
                <w:rPr>
                  <w:rFonts w:ascii="Arial" w:cs="Arial" w:eastAsia="Arial" w:hAnsi="Arial"/>
                  <w:sz w:val="18"/>
                  <w:szCs w:val="18"/>
                  <w:color w:val="0000EE"/>
                  <w:w w:val="97"/>
                </w:rPr>
                <w:t>Bylaws of Crown Consultants, Inc. (incorporated by reference to Exhibit 3.j of Amendment No. 2 to the Registrant’s Registration</w:t>
              </w:r>
            </w:hyperlink>
          </w:p>
        </w:tc>
      </w:tr>
      <w:tr>
        <w:trPr>
          <w:trHeight w:val="196"/>
        </w:trPr>
        <w:tc>
          <w:tcPr>
            <w:tcW w:w="102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Statement on Form S-4 dated October 17, 2013 (File No. 333-190694)).</w:t>
              </w:r>
            </w:hyperlink>
          </w:p>
        </w:tc>
        <w:tc>
          <w:tcPr>
            <w:tcW w:w="4180" w:type="dxa"/>
            <w:vAlign w:val="bottom"/>
            <w:tcBorders>
              <w:top w:val="single" w:sz="8" w:color="0000EE"/>
            </w:tcBorders>
            <w:gridSpan w:val="11"/>
          </w:tcPr>
          <w:p>
            <w:pPr>
              <w:spacing w:after="0"/>
              <w:rPr>
                <w:sz w:val="17"/>
                <w:szCs w:val="17"/>
                <w:color w:val="auto"/>
              </w:rPr>
            </w:pPr>
          </w:p>
        </w:tc>
        <w:tc>
          <w:tcPr>
            <w:tcW w:w="54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3.k</w:t>
            </w:r>
          </w:p>
        </w:tc>
        <w:tc>
          <w:tcPr>
            <w:tcW w:w="9160" w:type="dxa"/>
            <w:vAlign w:val="bottom"/>
            <w:tcBorders>
              <w:bottom w:val="single" w:sz="8" w:color="0000EE"/>
            </w:tcBorders>
            <w:gridSpan w:val="11"/>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Certificate of Formation of Crown Cork &amp; Seal Company (DE), LLC, as amended (incorporated by reference to Exhibit 3.k of</w:t>
              </w:r>
            </w:hyperlink>
          </w:p>
        </w:tc>
        <w:tc>
          <w:tcPr>
            <w:tcW w:w="74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Amendment No. 2 to the Registrant’s Registration Statement on Form S-4 dated October 17, 2013 (File No. 333-190694)).</w:t>
              </w:r>
            </w:hyperlink>
          </w:p>
        </w:tc>
        <w:tc>
          <w:tcPr>
            <w:tcW w:w="1060" w:type="dxa"/>
            <w:vAlign w:val="bottom"/>
            <w:gridSpan w:val="1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3.l</w:t>
            </w:r>
          </w:p>
        </w:tc>
        <w:tc>
          <w:tcPr>
            <w:tcW w:w="9900" w:type="dxa"/>
            <w:vAlign w:val="bottom"/>
            <w:gridSpan w:val="26"/>
          </w:tcPr>
          <w:p>
            <w:pPr>
              <w:spacing w:after="0"/>
              <w:rPr>
                <w:rFonts w:ascii="Arial" w:cs="Arial" w:eastAsia="Arial" w:hAnsi="Arial"/>
                <w:sz w:val="18"/>
                <w:szCs w:val="18"/>
                <w:color w:val="0000EE"/>
                <w:w w:val="95"/>
              </w:rPr>
            </w:pPr>
            <w:hyperlink r:id="rId156">
              <w:r>
                <w:rPr>
                  <w:rFonts w:ascii="Arial" w:cs="Arial" w:eastAsia="Arial" w:hAnsi="Arial"/>
                  <w:sz w:val="18"/>
                  <w:szCs w:val="18"/>
                  <w:color w:val="0000EE"/>
                  <w:w w:val="95"/>
                </w:rPr>
                <w:t>Limited Liability Company Agreement of Crown Cork &amp; Seal Company (DE), LLC, dated as of September 1, 2001 (incorporated by</w:t>
              </w:r>
            </w:hyperlink>
          </w:p>
        </w:tc>
      </w:tr>
      <w:tr>
        <w:trPr>
          <w:trHeight w:val="196"/>
        </w:trPr>
        <w:tc>
          <w:tcPr>
            <w:tcW w:w="102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reference to Exhibit 3.l of Amendment No. 2 to the Registrant’s Registration Statement on Form S-4 dated October 17, 2013 (File</w:t>
              </w:r>
            </w:hyperlink>
          </w:p>
        </w:tc>
        <w:tc>
          <w:tcPr>
            <w:tcW w:w="220" w:type="dxa"/>
            <w:vAlign w:val="bottom"/>
            <w:tcBorders>
              <w:top w:val="single" w:sz="8" w:color="0000EE"/>
            </w:tcBorders>
            <w:gridSpan w:val="3"/>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No. 333-190694)).</w:t>
              </w:r>
            </w:hyperlink>
          </w:p>
        </w:tc>
        <w:tc>
          <w:tcPr>
            <w:tcW w:w="8560" w:type="dxa"/>
            <w:vAlign w:val="bottom"/>
            <w:gridSpan w:val="2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3.m</w:t>
            </w:r>
          </w:p>
        </w:tc>
        <w:tc>
          <w:tcPr>
            <w:tcW w:w="9900" w:type="dxa"/>
            <w:vAlign w:val="bottom"/>
            <w:gridSpan w:val="26"/>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Amended and Restated Articles of Incorporation of Crown Cork &amp; Seal Company, Inc. (incorporated by reference to Exhibit 3.m of</w:t>
              </w:r>
            </w:hyperlink>
          </w:p>
        </w:tc>
      </w:tr>
      <w:tr>
        <w:trPr>
          <w:trHeight w:val="196"/>
        </w:trPr>
        <w:tc>
          <w:tcPr>
            <w:tcW w:w="10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Amendment No. 2 to the Registrant’s Registration Statement on Form S-4 dated October 17, 2013 (File No. 333-190694)).</w:t>
              </w:r>
            </w:hyperlink>
          </w:p>
        </w:tc>
        <w:tc>
          <w:tcPr>
            <w:tcW w:w="700" w:type="dxa"/>
            <w:vAlign w:val="bottom"/>
            <w:tcBorders>
              <w:top w:val="single" w:sz="8" w:color="0000EE"/>
            </w:tcBorders>
            <w:gridSpan w:val="9"/>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3.n</w:t>
            </w:r>
          </w:p>
        </w:tc>
        <w:tc>
          <w:tcPr>
            <w:tcW w:w="9900" w:type="dxa"/>
            <w:vAlign w:val="bottom"/>
            <w:gridSpan w:val="26"/>
          </w:tcPr>
          <w:p>
            <w:pPr>
              <w:spacing w:after="0"/>
              <w:rPr>
                <w:rFonts w:ascii="Arial" w:cs="Arial" w:eastAsia="Arial" w:hAnsi="Arial"/>
                <w:sz w:val="18"/>
                <w:szCs w:val="18"/>
                <w:color w:val="0000EE"/>
                <w:w w:val="97"/>
              </w:rPr>
            </w:pPr>
            <w:hyperlink r:id="rId158">
              <w:r>
                <w:rPr>
                  <w:rFonts w:ascii="Arial" w:cs="Arial" w:eastAsia="Arial" w:hAnsi="Arial"/>
                  <w:sz w:val="18"/>
                  <w:szCs w:val="18"/>
                  <w:color w:val="0000EE"/>
                  <w:w w:val="97"/>
                </w:rPr>
                <w:t>By-Laws of Crown Cork &amp; Seal Company, Inc. (incorporated by reference to Exhibit 3.n of Amendment No. 2 to the Registrant’s</w:t>
              </w:r>
            </w:hyperlink>
          </w:p>
        </w:tc>
      </w:tr>
      <w:tr>
        <w:trPr>
          <w:trHeight w:val="196"/>
        </w:trPr>
        <w:tc>
          <w:tcPr>
            <w:tcW w:w="10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Registration Statement on Form S-4 dated October 17, 2013 (File No. 333-190694)).</w:t>
              </w:r>
            </w:hyperlink>
          </w:p>
        </w:tc>
        <w:tc>
          <w:tcPr>
            <w:tcW w:w="3280" w:type="dxa"/>
            <w:vAlign w:val="bottom"/>
            <w:tcBorders>
              <w:top w:val="single" w:sz="8" w:color="0000EE"/>
            </w:tcBorders>
            <w:gridSpan w:val="10"/>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3.o</w:t>
            </w:r>
          </w:p>
        </w:tc>
        <w:tc>
          <w:tcPr>
            <w:tcW w:w="9900" w:type="dxa"/>
            <w:vAlign w:val="bottom"/>
            <w:gridSpan w:val="26"/>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Articles of Incorporation of Crown Financial Corporation, as amended (incorporated by reference to Exhibit 3.o of Amendment No. 2 to</w:t>
              </w:r>
            </w:hyperlink>
          </w:p>
        </w:tc>
      </w:tr>
      <w:tr>
        <w:trPr>
          <w:trHeight w:val="196"/>
        </w:trPr>
        <w:tc>
          <w:tcPr>
            <w:tcW w:w="102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the Registrant’s Registration Statement on Form S-4 dated October 17, 2013 (File No. 333-190694)).</w:t>
              </w:r>
            </w:hyperlink>
          </w:p>
        </w:tc>
        <w:tc>
          <w:tcPr>
            <w:tcW w:w="258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3.p</w:t>
            </w:r>
          </w:p>
        </w:tc>
        <w:tc>
          <w:tcPr>
            <w:tcW w:w="9900" w:type="dxa"/>
            <w:vAlign w:val="bottom"/>
            <w:tcBorders>
              <w:bottom w:val="single" w:sz="8" w:color="0000EE"/>
            </w:tcBorders>
            <w:gridSpan w:val="26"/>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By-Laws of Crown Financial Corporation (incorporated by reference to Exhibit 3.p of Amendment No. 2 to the Registrant’s Registration</w:t>
              </w:r>
            </w:hyperlink>
          </w:p>
        </w:tc>
      </w:tr>
      <w:tr>
        <w:trPr>
          <w:trHeight w:val="196"/>
        </w:trPr>
        <w:tc>
          <w:tcPr>
            <w:tcW w:w="1020" w:type="dxa"/>
            <w:vAlign w:val="bottom"/>
          </w:tcPr>
          <w:p>
            <w:pPr>
              <w:spacing w:after="0"/>
              <w:rPr>
                <w:sz w:val="17"/>
                <w:szCs w:val="17"/>
                <w:color w:val="auto"/>
              </w:rPr>
            </w:pPr>
          </w:p>
        </w:tc>
        <w:tc>
          <w:tcPr>
            <w:tcW w:w="51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Statement on Form S-4 dated October 17, 2013 (File No. 333-190694)).</w:t>
              </w:r>
            </w:hyperlink>
          </w:p>
        </w:tc>
        <w:tc>
          <w:tcPr>
            <w:tcW w:w="4720" w:type="dxa"/>
            <w:vAlign w:val="bottom"/>
            <w:gridSpan w:val="22"/>
          </w:tcPr>
          <w:p>
            <w:pPr>
              <w:spacing w:after="0"/>
              <w:rPr>
                <w:sz w:val="17"/>
                <w:szCs w:val="17"/>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3.q</w:t>
            </w:r>
          </w:p>
        </w:tc>
        <w:tc>
          <w:tcPr>
            <w:tcW w:w="9780" w:type="dxa"/>
            <w:vAlign w:val="bottom"/>
            <w:tcBorders>
              <w:bottom w:val="single" w:sz="8" w:color="0000EE"/>
            </w:tcBorders>
            <w:gridSpan w:val="31"/>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Certificate of Incorporation of Crown International Holdings, Inc. (incorporated by reference to Exhibit 3.q of Amendment No. 2 to the</w:t>
              </w:r>
            </w:hyperlink>
          </w:p>
        </w:tc>
      </w:tr>
      <w:tr>
        <w:trPr>
          <w:trHeight w:val="196"/>
        </w:trPr>
        <w:tc>
          <w:tcPr>
            <w:tcW w:w="1020" w:type="dxa"/>
            <w:vAlign w:val="bottom"/>
          </w:tcPr>
          <w:p>
            <w:pPr>
              <w:spacing w:after="0"/>
              <w:rPr>
                <w:sz w:val="17"/>
                <w:szCs w:val="17"/>
                <w:color w:val="auto"/>
              </w:rPr>
            </w:pPr>
          </w:p>
        </w:tc>
        <w:tc>
          <w:tcPr>
            <w:tcW w:w="9780" w:type="dxa"/>
            <w:vAlign w:val="bottom"/>
            <w:gridSpan w:val="3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Registrant’s Registration Statement on Form S-4 dated October 17, 2013 (File No. 333-190694)).</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3.r</w:t>
            </w:r>
          </w:p>
        </w:tc>
        <w:tc>
          <w:tcPr>
            <w:tcW w:w="9780" w:type="dxa"/>
            <w:vAlign w:val="bottom"/>
            <w:gridSpan w:val="31"/>
          </w:tcPr>
          <w:p>
            <w:pPr>
              <w:spacing w:after="0"/>
              <w:rPr>
                <w:rFonts w:ascii="Arial" w:cs="Arial" w:eastAsia="Arial" w:hAnsi="Arial"/>
                <w:sz w:val="18"/>
                <w:szCs w:val="18"/>
                <w:color w:val="0000EE"/>
                <w:w w:val="98"/>
              </w:rPr>
            </w:pPr>
            <w:hyperlink r:id="rId163">
              <w:r>
                <w:rPr>
                  <w:rFonts w:ascii="Arial" w:cs="Arial" w:eastAsia="Arial" w:hAnsi="Arial"/>
                  <w:sz w:val="18"/>
                  <w:szCs w:val="18"/>
                  <w:color w:val="0000EE"/>
                  <w:w w:val="98"/>
                </w:rPr>
                <w:t>Bylaws of Crown International Holdings, Inc. (incorporated by reference to Exhibit 3.r of Amendment No. 2 to the Registrant’s</w:t>
              </w:r>
            </w:hyperlink>
          </w:p>
        </w:tc>
      </w:tr>
      <w:tr>
        <w:trPr>
          <w:trHeight w:val="196"/>
        </w:trPr>
        <w:tc>
          <w:tcPr>
            <w:tcW w:w="10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Registration Statement on Form S-4 dated October 17, 2013 (File No. 333-190694)).</w:t>
              </w:r>
            </w:hyperlink>
          </w:p>
        </w:tc>
        <w:tc>
          <w:tcPr>
            <w:tcW w:w="3100" w:type="dxa"/>
            <w:vAlign w:val="bottom"/>
            <w:tcBorders>
              <w:top w:val="single" w:sz="8" w:color="0000EE"/>
            </w:tcBorders>
            <w:gridSpan w:val="13"/>
          </w:tcPr>
          <w:p>
            <w:pPr>
              <w:spacing w:after="0"/>
              <w:rPr>
                <w:sz w:val="17"/>
                <w:szCs w:val="17"/>
                <w:color w:val="auto"/>
              </w:rPr>
            </w:pPr>
          </w:p>
        </w:tc>
        <w:tc>
          <w:tcPr>
            <w:tcW w:w="560" w:type="dxa"/>
            <w:vAlign w:val="bottom"/>
            <w:gridSpan w:val="9"/>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3.s</w:t>
            </w:r>
          </w:p>
        </w:tc>
        <w:tc>
          <w:tcPr>
            <w:tcW w:w="9060" w:type="dxa"/>
            <w:vAlign w:val="bottom"/>
            <w:tcBorders>
              <w:bottom w:val="single" w:sz="8" w:color="0000EE"/>
            </w:tcBorders>
            <w:gridSpan w:val="19"/>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Certificate of Incorporation of CROWN Packaging Technology, Inc., as amended (incorporated by reference to Exhibit 3.s of</w:t>
              </w:r>
            </w:hyperlink>
          </w:p>
        </w:tc>
        <w:tc>
          <w:tcPr>
            <w:tcW w:w="72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8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Amendment No. 2 to the Registrant’s Registration Statement on Form S-4 dated October 17, 2013 (File No. 333-190694)).</w:t>
              </w:r>
            </w:hyperlink>
          </w:p>
        </w:tc>
        <w:tc>
          <w:tcPr>
            <w:tcW w:w="940" w:type="dxa"/>
            <w:vAlign w:val="bottom"/>
            <w:gridSpan w:val="13"/>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3.t</w:t>
            </w:r>
          </w:p>
        </w:tc>
        <w:tc>
          <w:tcPr>
            <w:tcW w:w="9400" w:type="dxa"/>
            <w:vAlign w:val="bottom"/>
            <w:tcBorders>
              <w:bottom w:val="single" w:sz="8" w:color="0000EE"/>
            </w:tcBorders>
            <w:gridSpan w:val="23"/>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Bylaws of CROWN Packaging Technology, Inc. (incorporated by reference to Exhibit 3.t of Amendment No. 2 to the Registrant’s</w:t>
              </w:r>
            </w:hyperlink>
          </w:p>
        </w:tc>
        <w:tc>
          <w:tcPr>
            <w:tcW w:w="3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Registration Statement on Form S-4 dated October 17, 2013 (File No. 333-190694)).</w:t>
              </w:r>
            </w:hyperlink>
          </w:p>
        </w:tc>
        <w:tc>
          <w:tcPr>
            <w:tcW w:w="3660" w:type="dxa"/>
            <w:vAlign w:val="bottom"/>
            <w:gridSpan w:val="2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3.u</w:t>
            </w:r>
          </w:p>
        </w:tc>
        <w:tc>
          <w:tcPr>
            <w:tcW w:w="9560" w:type="dxa"/>
            <w:vAlign w:val="bottom"/>
            <w:tcBorders>
              <w:bottom w:val="single" w:sz="8" w:color="0000EE"/>
            </w:tcBorders>
            <w:gridSpan w:val="26"/>
          </w:tcPr>
          <w:p>
            <w:pPr>
              <w:spacing w:after="0"/>
              <w:rPr>
                <w:rFonts w:ascii="Arial" w:cs="Arial" w:eastAsia="Arial" w:hAnsi="Arial"/>
                <w:sz w:val="18"/>
                <w:szCs w:val="18"/>
                <w:color w:val="0000EE"/>
                <w:w w:val="92"/>
              </w:rPr>
            </w:pPr>
            <w:hyperlink r:id="rId166">
              <w:r>
                <w:rPr>
                  <w:rFonts w:ascii="Arial" w:cs="Arial" w:eastAsia="Arial" w:hAnsi="Arial"/>
                  <w:sz w:val="18"/>
                  <w:szCs w:val="18"/>
                  <w:color w:val="0000EE"/>
                  <w:w w:val="92"/>
                </w:rPr>
                <w:t>Certificate of Incorporation of Foreign Manufacturers Finance Corporation (incorporated by reference to Exhibit 3.u of Amendment</w:t>
              </w:r>
            </w:hyperlink>
          </w:p>
        </w:tc>
        <w:tc>
          <w:tcPr>
            <w:tcW w:w="2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9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No. 2 to the Registrant’s Registration Statement on Form S-4 dated October 17, 2013 (File No. 333-190694)).</w:t>
              </w:r>
            </w:hyperlink>
          </w:p>
        </w:tc>
        <w:tc>
          <w:tcPr>
            <w:tcW w:w="1880" w:type="dxa"/>
            <w:vAlign w:val="bottom"/>
            <w:gridSpan w:val="1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3.v</w:t>
            </w:r>
          </w:p>
        </w:tc>
        <w:tc>
          <w:tcPr>
            <w:tcW w:w="9780" w:type="dxa"/>
            <w:vAlign w:val="bottom"/>
            <w:gridSpan w:val="31"/>
          </w:tcPr>
          <w:p>
            <w:pPr>
              <w:spacing w:after="0"/>
              <w:rPr>
                <w:rFonts w:ascii="Arial" w:cs="Arial" w:eastAsia="Arial" w:hAnsi="Arial"/>
                <w:sz w:val="18"/>
                <w:szCs w:val="18"/>
                <w:color w:val="0000EE"/>
                <w:w w:val="98"/>
              </w:rPr>
            </w:pPr>
            <w:hyperlink r:id="rId167">
              <w:r>
                <w:rPr>
                  <w:rFonts w:ascii="Arial" w:cs="Arial" w:eastAsia="Arial" w:hAnsi="Arial"/>
                  <w:sz w:val="18"/>
                  <w:szCs w:val="18"/>
                  <w:color w:val="0000EE"/>
                  <w:w w:val="98"/>
                </w:rPr>
                <w:t>By-Laws of Foreign Manufacturers Finance Corporation (incorporated by reference to Exhibit 3.v of Amendment No. 2 to the</w:t>
              </w:r>
            </w:hyperlink>
          </w:p>
        </w:tc>
      </w:tr>
      <w:tr>
        <w:trPr>
          <w:trHeight w:val="196"/>
        </w:trPr>
        <w:tc>
          <w:tcPr>
            <w:tcW w:w="1020" w:type="dxa"/>
            <w:vAlign w:val="bottom"/>
          </w:tcPr>
          <w:p>
            <w:pPr>
              <w:spacing w:after="0"/>
              <w:rPr>
                <w:sz w:val="17"/>
                <w:szCs w:val="17"/>
                <w:color w:val="auto"/>
              </w:rPr>
            </w:pPr>
          </w:p>
        </w:tc>
        <w:tc>
          <w:tcPr>
            <w:tcW w:w="9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Registrant’s Registration Statement on Form S-4 dated October 17, 2013 (File No. 333-190694)).</w:t>
              </w:r>
            </w:hyperlink>
          </w:p>
        </w:tc>
        <w:tc>
          <w:tcPr>
            <w:tcW w:w="660" w:type="dxa"/>
            <w:vAlign w:val="bottom"/>
            <w:gridSpan w:val="10"/>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3.w</w:t>
            </w:r>
          </w:p>
        </w:tc>
        <w:tc>
          <w:tcPr>
            <w:tcW w:w="9780" w:type="dxa"/>
            <w:vAlign w:val="bottom"/>
            <w:gridSpan w:val="31"/>
          </w:tcPr>
          <w:p>
            <w:pPr>
              <w:spacing w:after="0"/>
              <w:rPr>
                <w:rFonts w:ascii="Arial" w:cs="Arial" w:eastAsia="Arial" w:hAnsi="Arial"/>
                <w:sz w:val="18"/>
                <w:szCs w:val="18"/>
                <w:color w:val="0000EE"/>
                <w:w w:val="94"/>
              </w:rPr>
            </w:pPr>
            <w:hyperlink r:id="rId168">
              <w:r>
                <w:rPr>
                  <w:rFonts w:ascii="Arial" w:cs="Arial" w:eastAsia="Arial" w:hAnsi="Arial"/>
                  <w:sz w:val="18"/>
                  <w:szCs w:val="18"/>
                  <w:color w:val="0000EE"/>
                  <w:w w:val="94"/>
                </w:rPr>
                <w:t>Certificate of Incorporation of CROWN Cork &amp; Seal USA, Inc. (incorporated by reference to Exhibit 3.y of Amendment No. 2 to the</w:t>
              </w:r>
            </w:hyperlink>
          </w:p>
        </w:tc>
      </w:tr>
      <w:tr>
        <w:trPr>
          <w:trHeight w:val="196"/>
        </w:trPr>
        <w:tc>
          <w:tcPr>
            <w:tcW w:w="1020" w:type="dxa"/>
            <w:vAlign w:val="bottom"/>
          </w:tcPr>
          <w:p>
            <w:pPr>
              <w:spacing w:after="0"/>
              <w:rPr>
                <w:sz w:val="17"/>
                <w:szCs w:val="17"/>
                <w:color w:val="auto"/>
              </w:rPr>
            </w:pPr>
          </w:p>
        </w:tc>
        <w:tc>
          <w:tcPr>
            <w:tcW w:w="9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Registrant’s Registration Statement on Form S-4 dated October 17, 2013 (File No. 333-190694)).</w:t>
              </w:r>
            </w:hyperlink>
          </w:p>
        </w:tc>
        <w:tc>
          <w:tcPr>
            <w:tcW w:w="14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3.x</w:t>
            </w:r>
          </w:p>
        </w:tc>
        <w:tc>
          <w:tcPr>
            <w:tcW w:w="9780" w:type="dxa"/>
            <w:vAlign w:val="bottom"/>
            <w:gridSpan w:val="31"/>
          </w:tcPr>
          <w:p>
            <w:pPr>
              <w:spacing w:after="0"/>
              <w:rPr>
                <w:rFonts w:ascii="Arial" w:cs="Arial" w:eastAsia="Arial" w:hAnsi="Arial"/>
                <w:sz w:val="18"/>
                <w:szCs w:val="18"/>
                <w:color w:val="0000EE"/>
                <w:w w:val="99"/>
              </w:rPr>
            </w:pPr>
            <w:hyperlink r:id="rId169">
              <w:r>
                <w:rPr>
                  <w:rFonts w:ascii="Arial" w:cs="Arial" w:eastAsia="Arial" w:hAnsi="Arial"/>
                  <w:sz w:val="18"/>
                  <w:szCs w:val="18"/>
                  <w:color w:val="0000EE"/>
                  <w:w w:val="99"/>
                </w:rPr>
                <w:t>Bylaws of CROWN Cork &amp; Seal USA, Inc. (incorporated by reference to Exhibit 3.z of Amendment No. 2 to the Registrant’s</w:t>
              </w:r>
            </w:hyperlink>
          </w:p>
        </w:tc>
      </w:tr>
      <w:tr>
        <w:trPr>
          <w:trHeight w:val="196"/>
        </w:trPr>
        <w:tc>
          <w:tcPr>
            <w:tcW w:w="10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Registration Statement on Form S-4 dated October 17, 2013 (File No. 333-190694)).</w:t>
              </w:r>
            </w:hyperlink>
          </w:p>
        </w:tc>
        <w:tc>
          <w:tcPr>
            <w:tcW w:w="3000" w:type="dxa"/>
            <w:vAlign w:val="bottom"/>
            <w:tcBorders>
              <w:top w:val="single" w:sz="8" w:color="0000EE"/>
            </w:tcBorders>
            <w:gridSpan w:val="12"/>
          </w:tcPr>
          <w:p>
            <w:pPr>
              <w:spacing w:after="0"/>
              <w:rPr>
                <w:sz w:val="17"/>
                <w:szCs w:val="17"/>
                <w:color w:val="auto"/>
              </w:rPr>
            </w:pPr>
          </w:p>
        </w:tc>
        <w:tc>
          <w:tcPr>
            <w:tcW w:w="68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3.y</w:t>
            </w:r>
          </w:p>
        </w:tc>
        <w:tc>
          <w:tcPr>
            <w:tcW w:w="9680" w:type="dxa"/>
            <w:vAlign w:val="bottom"/>
            <w:tcBorders>
              <w:bottom w:val="single" w:sz="8" w:color="0000EE"/>
            </w:tcBorders>
            <w:gridSpan w:val="29"/>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Restated Certificate of Incorporation of CR USA, Inc., as amended (incorporated by reference to Exhibit 3.aa of Amendment No. 2 to</w:t>
              </w:r>
            </w:hyperlink>
          </w:p>
        </w:tc>
        <w:tc>
          <w:tcPr>
            <w:tcW w:w="1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2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the Registrant’s Registration Statement on Form S-4 dated October 17, 2013 (File No. 333-190694)).</w:t>
              </w:r>
            </w:hyperlink>
          </w:p>
        </w:tc>
        <w:tc>
          <w:tcPr>
            <w:tcW w:w="2500" w:type="dxa"/>
            <w:vAlign w:val="bottom"/>
            <w:gridSpan w:val="18"/>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3.z</w:t>
            </w:r>
          </w:p>
        </w:tc>
        <w:tc>
          <w:tcPr>
            <w:tcW w:w="9780" w:type="dxa"/>
            <w:vAlign w:val="bottom"/>
            <w:gridSpan w:val="31"/>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Bylaws of CR USA, Inc. (incorporated by reference to Exhibit 3.bb of Amendment No. 2 to the Registrant’s Registration Statement on</w:t>
              </w:r>
            </w:hyperlink>
          </w:p>
        </w:tc>
      </w:tr>
      <w:tr>
        <w:trPr>
          <w:trHeight w:val="196"/>
        </w:trPr>
        <w:tc>
          <w:tcPr>
            <w:tcW w:w="1020" w:type="dxa"/>
            <w:vAlign w:val="bottom"/>
          </w:tcPr>
          <w:p>
            <w:pPr>
              <w:spacing w:after="0"/>
              <w:rPr>
                <w:sz w:val="17"/>
                <w:szCs w:val="17"/>
                <w:color w:val="auto"/>
              </w:rPr>
            </w:pPr>
          </w:p>
        </w:tc>
        <w:tc>
          <w:tcPr>
            <w:tcW w:w="97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Form S-4 dated October 17, 2013 (File No. 333-190694)).</w:t>
              </w:r>
            </w:hyperlink>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3.aa</w:t>
            </w:r>
          </w:p>
        </w:tc>
        <w:tc>
          <w:tcPr>
            <w:tcW w:w="9780" w:type="dxa"/>
            <w:vAlign w:val="bottom"/>
            <w:gridSpan w:val="31"/>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Certificate of Formation of Crown Beverage Packaging, LLC (incorporated by reference to Exhibit 3.cc of Amendment No. 2 to the</w:t>
              </w:r>
            </w:hyperlink>
          </w:p>
        </w:tc>
      </w:tr>
      <w:tr>
        <w:trPr>
          <w:trHeight w:val="196"/>
        </w:trPr>
        <w:tc>
          <w:tcPr>
            <w:tcW w:w="1020" w:type="dxa"/>
            <w:vAlign w:val="bottom"/>
          </w:tcPr>
          <w:p>
            <w:pPr>
              <w:spacing w:after="0"/>
              <w:rPr>
                <w:sz w:val="17"/>
                <w:szCs w:val="17"/>
                <w:color w:val="auto"/>
              </w:rPr>
            </w:pPr>
          </w:p>
        </w:tc>
        <w:tc>
          <w:tcPr>
            <w:tcW w:w="9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Registrant’s Registration Statement on Form S-4 dated October 17, 2013 (File No. 333-190694)).</w:t>
              </w:r>
            </w:hyperlink>
          </w:p>
        </w:tc>
        <w:tc>
          <w:tcPr>
            <w:tcW w:w="24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3.bb</w:t>
            </w:r>
          </w:p>
        </w:tc>
        <w:tc>
          <w:tcPr>
            <w:tcW w:w="9600" w:type="dxa"/>
            <w:vAlign w:val="bottom"/>
            <w:tcBorders>
              <w:bottom w:val="single" w:sz="8" w:color="0000EE"/>
            </w:tcBorders>
            <w:gridSpan w:val="27"/>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Limited Liability Company Agreement of Crown Beverage Packaging, LLC, dated as of June 30, 2010 (incorporated by reference to</w:t>
              </w:r>
            </w:hyperlink>
          </w:p>
        </w:tc>
        <w:tc>
          <w:tcPr>
            <w:tcW w:w="18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Exhibit 3.dd of Amendment No. 2 to the Registrant’s Registration Statement on Form S-4 dated October 17, 2013 (File</w:t>
              </w:r>
            </w:hyperlink>
          </w:p>
        </w:tc>
        <w:tc>
          <w:tcPr>
            <w:tcW w:w="1160" w:type="dxa"/>
            <w:vAlign w:val="bottom"/>
            <w:gridSpan w:val="1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No. 333-190694)).</w:t>
              </w:r>
            </w:hyperlink>
          </w:p>
        </w:tc>
        <w:tc>
          <w:tcPr>
            <w:tcW w:w="8440" w:type="dxa"/>
            <w:vAlign w:val="bottom"/>
            <w:gridSpan w:val="30"/>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3.cc</w:t>
            </w:r>
          </w:p>
        </w:tc>
        <w:tc>
          <w:tcPr>
            <w:tcW w:w="9780" w:type="dxa"/>
            <w:vAlign w:val="bottom"/>
            <w:gridSpan w:val="31"/>
          </w:tcPr>
          <w:p>
            <w:pPr>
              <w:spacing w:after="0"/>
              <w:rPr>
                <w:rFonts w:ascii="Arial" w:cs="Arial" w:eastAsia="Arial" w:hAnsi="Arial"/>
                <w:sz w:val="18"/>
                <w:szCs w:val="18"/>
                <w:color w:val="0000EE"/>
              </w:rPr>
            </w:pPr>
            <w:hyperlink r:id="rId174">
              <w:r>
                <w:rPr>
                  <w:rFonts w:ascii="Arial" w:cs="Arial" w:eastAsia="Arial" w:hAnsi="Arial"/>
                  <w:sz w:val="18"/>
                  <w:szCs w:val="18"/>
                  <w:color w:val="0000EE"/>
                </w:rPr>
                <w:t>Articles of Incorporation of Kiwiplan Inc.*</w:t>
              </w:r>
            </w:hyperlink>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3.dd</w:t>
            </w:r>
          </w:p>
        </w:tc>
        <w:tc>
          <w:tcPr>
            <w:tcW w:w="21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r:id="rId175">
              <w:r>
                <w:rPr>
                  <w:rFonts w:ascii="Arial" w:cs="Arial" w:eastAsia="Arial" w:hAnsi="Arial"/>
                  <w:sz w:val="18"/>
                  <w:szCs w:val="18"/>
                  <w:color w:val="0000EE"/>
                  <w:w w:val="94"/>
                </w:rPr>
                <w:t>Regulations of Kiwiplan Inc.*</w:t>
              </w:r>
            </w:hyperlink>
          </w:p>
        </w:tc>
        <w:tc>
          <w:tcPr>
            <w:tcW w:w="920" w:type="dxa"/>
            <w:vAlign w:val="bottom"/>
            <w:tcBorders>
              <w:top w:val="single" w:sz="8" w:color="0000EE"/>
            </w:tcBorders>
            <w:gridSpan w:val="2"/>
          </w:tcPr>
          <w:p>
            <w:pPr>
              <w:spacing w:after="0"/>
              <w:rPr>
                <w:sz w:val="24"/>
                <w:szCs w:val="24"/>
                <w:color w:val="auto"/>
              </w:rPr>
            </w:pPr>
          </w:p>
        </w:tc>
        <w:tc>
          <w:tcPr>
            <w:tcW w:w="6680" w:type="dxa"/>
            <w:vAlign w:val="bottom"/>
            <w:gridSpan w:val="27"/>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3.ee</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Articles of Incorporation of Package Design and Manufacturing, Inc. (f/k/a PDM Acquisition Company).*</w:t>
              </w:r>
            </w:hyperlink>
          </w:p>
        </w:tc>
        <w:tc>
          <w:tcPr>
            <w:tcW w:w="2120" w:type="dxa"/>
            <w:vAlign w:val="bottom"/>
            <w:gridSpan w:val="16"/>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3.ff</w:t>
            </w:r>
          </w:p>
        </w:tc>
        <w:tc>
          <w:tcPr>
            <w:tcW w:w="9780" w:type="dxa"/>
            <w:vAlign w:val="bottom"/>
            <w:gridSpan w:val="31"/>
          </w:tcPr>
          <w:p>
            <w:pPr>
              <w:spacing w:after="0"/>
              <w:rPr>
                <w:rFonts w:ascii="Arial" w:cs="Arial" w:eastAsia="Arial" w:hAnsi="Arial"/>
                <w:sz w:val="18"/>
                <w:szCs w:val="18"/>
                <w:color w:val="0000EE"/>
              </w:rPr>
            </w:pPr>
            <w:hyperlink r:id="rId177">
              <w:r>
                <w:rPr>
                  <w:rFonts w:ascii="Arial" w:cs="Arial" w:eastAsia="Arial" w:hAnsi="Arial"/>
                  <w:sz w:val="18"/>
                  <w:szCs w:val="18"/>
                  <w:color w:val="0000EE"/>
                </w:rPr>
                <w:t>Bylaws of Package Design and Manufacturing, Inc. (f/k/a PDM Acquisition Company).*</w:t>
              </w:r>
            </w:hyperlink>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3.gg</w:t>
            </w:r>
          </w:p>
        </w:tc>
        <w:tc>
          <w:tcPr>
            <w:tcW w:w="6400" w:type="dxa"/>
            <w:vAlign w:val="bottom"/>
            <w:tcBorders>
              <w:top w:val="single" w:sz="8" w:color="0000EE"/>
            </w:tcBorders>
            <w:gridSpan w:val="10"/>
          </w:tcPr>
          <w:p>
            <w:pPr>
              <w:spacing w:after="0"/>
              <w:rPr>
                <w:rFonts w:ascii="Arial" w:cs="Arial" w:eastAsia="Arial" w:hAnsi="Arial"/>
                <w:sz w:val="18"/>
                <w:szCs w:val="18"/>
                <w:color w:val="0000EE"/>
              </w:rPr>
            </w:pPr>
            <w:hyperlink r:id="rId178">
              <w:r>
                <w:rPr>
                  <w:rFonts w:ascii="Arial" w:cs="Arial" w:eastAsia="Arial" w:hAnsi="Arial"/>
                  <w:sz w:val="18"/>
                  <w:szCs w:val="18"/>
                  <w:color w:val="0000EE"/>
                </w:rPr>
                <w:t>Certificate of Formation of Signode Industrial Group LLC (f/k/a SPG US LLC).*</w:t>
              </w:r>
            </w:hyperlink>
          </w:p>
        </w:tc>
        <w:tc>
          <w:tcPr>
            <w:tcW w:w="3380" w:type="dxa"/>
            <w:vAlign w:val="bottom"/>
            <w:gridSpan w:val="21"/>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3.hh</w:t>
            </w:r>
          </w:p>
        </w:tc>
        <w:tc>
          <w:tcPr>
            <w:tcW w:w="9780" w:type="dxa"/>
            <w:vAlign w:val="bottom"/>
            <w:gridSpan w:val="31"/>
          </w:tcPr>
          <w:p>
            <w:pPr>
              <w:spacing w:after="0"/>
              <w:rPr>
                <w:rFonts w:ascii="Arial" w:cs="Arial" w:eastAsia="Arial" w:hAnsi="Arial"/>
                <w:sz w:val="18"/>
                <w:szCs w:val="18"/>
                <w:color w:val="0000EE"/>
                <w:w w:val="94"/>
              </w:rPr>
            </w:pPr>
            <w:hyperlink r:id="rId179">
              <w:r>
                <w:rPr>
                  <w:rFonts w:ascii="Arial" w:cs="Arial" w:eastAsia="Arial" w:hAnsi="Arial"/>
                  <w:sz w:val="18"/>
                  <w:szCs w:val="18"/>
                  <w:color w:val="0000EE"/>
                  <w:w w:val="94"/>
                </w:rPr>
                <w:t>Second Amended and Restated Limited Liability Company Agreement of Signode Industrial Group LLC (f/k/a Premark Packaging</w:t>
              </w:r>
            </w:hyperlink>
          </w:p>
        </w:tc>
      </w:tr>
      <w:tr>
        <w:trPr>
          <w:trHeight w:val="196"/>
        </w:trPr>
        <w:tc>
          <w:tcPr>
            <w:tcW w:w="10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LLC), dated as of May 1, 2014.*</w:t>
              </w:r>
            </w:hyperlink>
          </w:p>
        </w:tc>
        <w:tc>
          <w:tcPr>
            <w:tcW w:w="7080" w:type="dxa"/>
            <w:vAlign w:val="bottom"/>
            <w:tcBorders>
              <w:top w:val="single" w:sz="8" w:color="0000EE"/>
            </w:tcBorders>
            <w:gridSpan w:val="21"/>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3.ii</w:t>
            </w:r>
          </w:p>
        </w:tc>
        <w:tc>
          <w:tcPr>
            <w:tcW w:w="4380" w:type="dxa"/>
            <w:vAlign w:val="bottom"/>
            <w:tcBorders>
              <w:bottom w:val="single" w:sz="8" w:color="0000EE"/>
            </w:tcBorders>
            <w:gridSpan w:val="6"/>
          </w:tcPr>
          <w:p>
            <w:pPr>
              <w:spacing w:after="0"/>
              <w:rPr>
                <w:rFonts w:ascii="Arial" w:cs="Arial" w:eastAsia="Arial" w:hAnsi="Arial"/>
                <w:sz w:val="18"/>
                <w:szCs w:val="18"/>
                <w:color w:val="0000EE"/>
                <w:w w:val="94"/>
              </w:rPr>
            </w:pPr>
            <w:hyperlink r:id="rId180">
              <w:r>
                <w:rPr>
                  <w:rFonts w:ascii="Arial" w:cs="Arial" w:eastAsia="Arial" w:hAnsi="Arial"/>
                  <w:sz w:val="18"/>
                  <w:szCs w:val="18"/>
                  <w:color w:val="0000EE"/>
                  <w:w w:val="94"/>
                </w:rPr>
                <w:t>Certificate of Formation of Signode Pickling Holding LLC.*</w:t>
              </w:r>
            </w:hyperlink>
          </w:p>
        </w:tc>
        <w:tc>
          <w:tcPr>
            <w:tcW w:w="5400" w:type="dxa"/>
            <w:vAlign w:val="bottom"/>
            <w:gridSpan w:val="25"/>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3.jj</w:t>
            </w:r>
          </w:p>
        </w:tc>
        <w:tc>
          <w:tcPr>
            <w:tcW w:w="9780" w:type="dxa"/>
            <w:vAlign w:val="bottom"/>
            <w:gridSpan w:val="31"/>
          </w:tcPr>
          <w:p>
            <w:pPr>
              <w:spacing w:after="0"/>
              <w:rPr>
                <w:rFonts w:ascii="Arial" w:cs="Arial" w:eastAsia="Arial" w:hAnsi="Arial"/>
                <w:sz w:val="18"/>
                <w:szCs w:val="18"/>
                <w:color w:val="0000EE"/>
              </w:rPr>
            </w:pPr>
            <w:hyperlink r:id="rId181">
              <w:r>
                <w:rPr>
                  <w:rFonts w:ascii="Arial" w:cs="Arial" w:eastAsia="Arial" w:hAnsi="Arial"/>
                  <w:sz w:val="18"/>
                  <w:szCs w:val="18"/>
                  <w:color w:val="0000EE"/>
                </w:rPr>
                <w:t>Limited Liability Company Agreement of Signode Pickling Holding LLC, dated as of May 22, 2009.*</w:t>
              </w:r>
            </w:hyperlink>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3.kk</w:t>
            </w:r>
          </w:p>
        </w:tc>
        <w:tc>
          <w:tcPr>
            <w:tcW w:w="71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Certificate of Formation of Signode US IP Holdings LLC (f/k/a US Packaging Acquisition LLC).*</w:t>
              </w:r>
            </w:hyperlink>
          </w:p>
        </w:tc>
        <w:tc>
          <w:tcPr>
            <w:tcW w:w="240" w:type="dxa"/>
            <w:vAlign w:val="bottom"/>
            <w:tcBorders>
              <w:top w:val="single" w:sz="8" w:color="0000EE"/>
            </w:tcBorders>
            <w:gridSpan w:val="2"/>
          </w:tcPr>
          <w:p>
            <w:pPr>
              <w:spacing w:after="0"/>
              <w:rPr>
                <w:sz w:val="24"/>
                <w:szCs w:val="24"/>
                <w:color w:val="auto"/>
              </w:rPr>
            </w:pPr>
          </w:p>
        </w:tc>
        <w:tc>
          <w:tcPr>
            <w:tcW w:w="2420" w:type="dxa"/>
            <w:vAlign w:val="bottom"/>
            <w:gridSpan w:val="17"/>
          </w:tcPr>
          <w:p>
            <w:pPr>
              <w:spacing w:after="0"/>
              <w:rPr>
                <w:sz w:val="24"/>
                <w:szCs w:val="24"/>
                <w:color w:val="auto"/>
              </w:rPr>
            </w:pPr>
          </w:p>
        </w:tc>
      </w:tr>
      <w:tr>
        <w:trPr>
          <w:trHeight w:val="385"/>
        </w:trPr>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0" w:type="dxa"/>
            <w:vAlign w:val="bottom"/>
            <w:gridSpan w:val="26"/>
          </w:tcPr>
          <w:p>
            <w:pPr>
              <w:ind w:left="8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00"/>
          </w:cols>
          <w:pgMar w:left="240" w:top="459"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3.ll</w:t>
            </w:r>
          </w:p>
        </w:tc>
        <w:tc>
          <w:tcPr>
            <w:tcW w:w="9860" w:type="dxa"/>
            <w:vAlign w:val="bottom"/>
            <w:gridSpan w:val="59"/>
          </w:tcPr>
          <w:p>
            <w:pPr>
              <w:spacing w:after="0"/>
              <w:rPr>
                <w:rFonts w:ascii="Arial" w:cs="Arial" w:eastAsia="Arial" w:hAnsi="Arial"/>
                <w:sz w:val="18"/>
                <w:szCs w:val="18"/>
                <w:color w:val="0000EE"/>
                <w:w w:val="96"/>
              </w:rPr>
            </w:pPr>
            <w:hyperlink r:id="rId184">
              <w:r>
                <w:rPr>
                  <w:rFonts w:ascii="Arial" w:cs="Arial" w:eastAsia="Arial" w:hAnsi="Arial"/>
                  <w:sz w:val="18"/>
                  <w:szCs w:val="18"/>
                  <w:color w:val="0000EE"/>
                  <w:w w:val="96"/>
                </w:rPr>
                <w:t>Limited Liability Company Agreement of Signode US IP Holdings LLC (f/k/a US Packaging Acquisition LLC), dated as of April 14,</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2014.*</w:t>
              </w:r>
            </w:hyperlink>
          </w:p>
        </w:tc>
        <w:tc>
          <w:tcPr>
            <w:tcW w:w="9180" w:type="dxa"/>
            <w:vAlign w:val="bottom"/>
            <w:tcBorders>
              <w:top w:val="single" w:sz="8" w:color="0000EE"/>
            </w:tcBorders>
            <w:gridSpan w:val="51"/>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3.mm</w:t>
            </w:r>
          </w:p>
        </w:tc>
        <w:tc>
          <w:tcPr>
            <w:tcW w:w="7540" w:type="dxa"/>
            <w:vAlign w:val="bottom"/>
            <w:tcBorders>
              <w:bottom w:val="single" w:sz="8" w:color="0000EE"/>
            </w:tcBorders>
            <w:gridSpan w:val="38"/>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Certificate of Incorporation of Signode Industrial Group US Inc. (f/k/a US Packaging Acquisition Inc.).*</w:t>
              </w:r>
            </w:hyperlink>
          </w:p>
        </w:tc>
        <w:tc>
          <w:tcPr>
            <w:tcW w:w="23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3.nn</w:t>
            </w:r>
          </w:p>
        </w:tc>
        <w:tc>
          <w:tcPr>
            <w:tcW w:w="9860" w:type="dxa"/>
            <w:vAlign w:val="bottom"/>
            <w:gridSpan w:val="59"/>
          </w:tcPr>
          <w:p>
            <w:pPr>
              <w:spacing w:after="0"/>
              <w:rPr>
                <w:rFonts w:ascii="Arial" w:cs="Arial" w:eastAsia="Arial" w:hAnsi="Arial"/>
                <w:sz w:val="18"/>
                <w:szCs w:val="18"/>
                <w:color w:val="0000EE"/>
              </w:rPr>
            </w:pPr>
            <w:hyperlink r:id="rId186">
              <w:r>
                <w:rPr>
                  <w:rFonts w:ascii="Arial" w:cs="Arial" w:eastAsia="Arial" w:hAnsi="Arial"/>
                  <w:sz w:val="18"/>
                  <w:szCs w:val="18"/>
                  <w:color w:val="0000EE"/>
                </w:rPr>
                <w:t>Bylaws of Signode Industrial Group US Inc. (f/k/a US Packaging Acquisition Inc.).*</w:t>
              </w:r>
            </w:hyperlink>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3.oo</w:t>
            </w:r>
          </w:p>
        </w:tc>
        <w:tc>
          <w:tcPr>
            <w:tcW w:w="5440" w:type="dxa"/>
            <w:vAlign w:val="bottom"/>
            <w:tcBorders>
              <w:top w:val="single" w:sz="8" w:color="0000EE"/>
              <w:bottom w:val="single" w:sz="8" w:color="0000EE"/>
            </w:tcBorders>
            <w:gridSpan w:val="33"/>
          </w:tcPr>
          <w:p>
            <w:pPr>
              <w:spacing w:after="0"/>
              <w:rPr>
                <w:rFonts w:ascii="Arial" w:cs="Arial" w:eastAsia="Arial" w:hAnsi="Arial"/>
                <w:sz w:val="18"/>
                <w:szCs w:val="18"/>
                <w:color w:val="0000EE"/>
                <w:w w:val="93"/>
              </w:rPr>
            </w:pPr>
            <w:hyperlink r:id="rId187">
              <w:r>
                <w:rPr>
                  <w:rFonts w:ascii="Arial" w:cs="Arial" w:eastAsia="Arial" w:hAnsi="Arial"/>
                  <w:sz w:val="18"/>
                  <w:szCs w:val="18"/>
                  <w:color w:val="0000EE"/>
                  <w:w w:val="93"/>
                </w:rPr>
                <w:t>Certificate of Incorporation of Signode Industrial Group Holdings US Inc.*</w:t>
              </w:r>
            </w:hyperlink>
          </w:p>
        </w:tc>
        <w:tc>
          <w:tcPr>
            <w:tcW w:w="660" w:type="dxa"/>
            <w:vAlign w:val="bottom"/>
            <w:tcBorders>
              <w:top w:val="single" w:sz="8" w:color="0000EE"/>
            </w:tcBorders>
          </w:tcPr>
          <w:p>
            <w:pPr>
              <w:spacing w:after="0"/>
              <w:rPr>
                <w:sz w:val="24"/>
                <w:szCs w:val="24"/>
                <w:color w:val="auto"/>
              </w:rPr>
            </w:pPr>
          </w:p>
        </w:tc>
        <w:tc>
          <w:tcPr>
            <w:tcW w:w="37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3.pp</w:t>
            </w:r>
          </w:p>
        </w:tc>
        <w:tc>
          <w:tcPr>
            <w:tcW w:w="4000" w:type="dxa"/>
            <w:vAlign w:val="bottom"/>
            <w:tcBorders>
              <w:bottom w:val="single" w:sz="8" w:color="0000EE"/>
            </w:tcBorders>
            <w:gridSpan w:val="23"/>
          </w:tcPr>
          <w:p>
            <w:pPr>
              <w:spacing w:after="0"/>
              <w:rPr>
                <w:rFonts w:ascii="Arial" w:cs="Arial" w:eastAsia="Arial" w:hAnsi="Arial"/>
                <w:sz w:val="18"/>
                <w:szCs w:val="18"/>
                <w:color w:val="0000EE"/>
                <w:w w:val="93"/>
              </w:rPr>
            </w:pPr>
            <w:hyperlink r:id="rId188">
              <w:r>
                <w:rPr>
                  <w:rFonts w:ascii="Arial" w:cs="Arial" w:eastAsia="Arial" w:hAnsi="Arial"/>
                  <w:sz w:val="18"/>
                  <w:szCs w:val="18"/>
                  <w:color w:val="0000EE"/>
                  <w:w w:val="93"/>
                </w:rPr>
                <w:t>Bylaws of Signode Industrial Group Holdings US Inc.*</w:t>
              </w:r>
            </w:hyperlink>
          </w:p>
        </w:tc>
        <w:tc>
          <w:tcPr>
            <w:tcW w:w="5860" w:type="dxa"/>
            <w:vAlign w:val="bottom"/>
            <w:gridSpan w:val="3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3.qq</w:t>
            </w:r>
          </w:p>
        </w:tc>
        <w:tc>
          <w:tcPr>
            <w:tcW w:w="9860" w:type="dxa"/>
            <w:vAlign w:val="bottom"/>
            <w:gridSpan w:val="59"/>
          </w:tcPr>
          <w:p>
            <w:pPr>
              <w:spacing w:after="0"/>
              <w:rPr>
                <w:rFonts w:ascii="Arial" w:cs="Arial" w:eastAsia="Arial" w:hAnsi="Arial"/>
                <w:sz w:val="18"/>
                <w:szCs w:val="18"/>
                <w:color w:val="0000EE"/>
              </w:rPr>
            </w:pPr>
            <w:hyperlink r:id="rId189">
              <w:r>
                <w:rPr>
                  <w:rFonts w:ascii="Arial" w:cs="Arial" w:eastAsia="Arial" w:hAnsi="Arial"/>
                  <w:sz w:val="18"/>
                  <w:szCs w:val="18"/>
                  <w:color w:val="0000EE"/>
                </w:rPr>
                <w:t>Certificate of Formation of Signode International IP Holdings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3.rr</w:t>
            </w:r>
          </w:p>
        </w:tc>
        <w:tc>
          <w:tcPr>
            <w:tcW w:w="9860" w:type="dxa"/>
            <w:vAlign w:val="bottom"/>
            <w:gridSpan w:val="59"/>
          </w:tcPr>
          <w:p>
            <w:pPr>
              <w:spacing w:after="0"/>
              <w:rPr>
                <w:rFonts w:ascii="Arial" w:cs="Arial" w:eastAsia="Arial" w:hAnsi="Arial"/>
                <w:sz w:val="18"/>
                <w:szCs w:val="18"/>
                <w:color w:val="0000EE"/>
              </w:rPr>
            </w:pPr>
            <w:hyperlink r:id="rId190">
              <w:r>
                <w:rPr>
                  <w:rFonts w:ascii="Arial" w:cs="Arial" w:eastAsia="Arial" w:hAnsi="Arial"/>
                  <w:sz w:val="18"/>
                  <w:szCs w:val="18"/>
                  <w:color w:val="0000EE"/>
                </w:rPr>
                <w:t>Limited Liability Company Agreement of Signode International IP Holdings LLC, dated as of April 23, 2014.*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4.a</w:t>
            </w:r>
          </w:p>
        </w:tc>
        <w:tc>
          <w:tcPr>
            <w:tcW w:w="9860" w:type="dxa"/>
            <w:vAlign w:val="bottom"/>
            <w:gridSpan w:val="59"/>
          </w:tcPr>
          <w:p>
            <w:pPr>
              <w:spacing w:after="0"/>
              <w:rPr>
                <w:rFonts w:ascii="Arial" w:cs="Arial" w:eastAsia="Arial" w:hAnsi="Arial"/>
                <w:sz w:val="18"/>
                <w:szCs w:val="18"/>
                <w:color w:val="0000EE"/>
                <w:w w:val="95"/>
              </w:rPr>
            </w:pPr>
            <w:hyperlink r:id="rId191">
              <w:r>
                <w:rPr>
                  <w:rFonts w:ascii="Arial" w:cs="Arial" w:eastAsia="Arial" w:hAnsi="Arial"/>
                  <w:sz w:val="18"/>
                  <w:szCs w:val="18"/>
                  <w:color w:val="0000EE"/>
                  <w:w w:val="95"/>
                </w:rPr>
                <w:t>Specimen certificate of Registrant’s Common Stock (incorporated by reference to Exhibit 4.a of the Registrant’s Annual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Form 10-K for the year ended December 31, 1995 (File No. 1-2227)).</w:t>
              </w:r>
            </w:hyperlink>
          </w:p>
        </w:tc>
        <w:tc>
          <w:tcPr>
            <w:tcW w:w="4380" w:type="dxa"/>
            <w:vAlign w:val="bottom"/>
            <w:tcBorders>
              <w:top w:val="single" w:sz="8" w:color="0000EE"/>
            </w:tcBorders>
            <w:gridSpan w:val="16"/>
          </w:tcPr>
          <w:p>
            <w:pPr>
              <w:spacing w:after="0"/>
              <w:rPr>
                <w:sz w:val="17"/>
                <w:szCs w:val="17"/>
                <w:color w:val="auto"/>
              </w:rPr>
            </w:pPr>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4.b</w:t>
            </w:r>
          </w:p>
        </w:tc>
        <w:tc>
          <w:tcPr>
            <w:tcW w:w="9860" w:type="dxa"/>
            <w:vAlign w:val="bottom"/>
            <w:tcBorders>
              <w:bottom w:val="single" w:sz="8" w:color="0000EE"/>
            </w:tcBorders>
            <w:gridSpan w:val="59"/>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Indenture, dated December 17, 1996, among Crown Cork &amp; Seal Company, Inc., Crown Cork &amp; Seal Finance PLC, Crown Cork &amp; Seal</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gridSpan w:val="59"/>
          </w:tcPr>
          <w:p>
            <w:pPr>
              <w:spacing w:after="0" w:line="196" w:lineRule="exact"/>
              <w:rPr>
                <w:rFonts w:ascii="Arial" w:cs="Arial" w:eastAsia="Arial" w:hAnsi="Arial"/>
                <w:sz w:val="18"/>
                <w:szCs w:val="18"/>
                <w:color w:val="0000EE"/>
                <w:w w:val="95"/>
              </w:rPr>
            </w:pPr>
            <w:hyperlink r:id="rId192">
              <w:r>
                <w:rPr>
                  <w:rFonts w:ascii="Arial" w:cs="Arial" w:eastAsia="Arial" w:hAnsi="Arial"/>
                  <w:sz w:val="18"/>
                  <w:szCs w:val="18"/>
                  <w:color w:val="0000EE"/>
                  <w:w w:val="95"/>
                </w:rPr>
                <w:t>Finance S.A. and the Bank of New York, as trustee (incorporated by reference to Exhibit 4.1 of the Registrant’s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Form 8-K dated December 17, 1996 (File No. 1-2227)).</w:t>
              </w:r>
            </w:hyperlink>
          </w:p>
        </w:tc>
        <w:tc>
          <w:tcPr>
            <w:tcW w:w="5320" w:type="dxa"/>
            <w:vAlign w:val="bottom"/>
            <w:tcBorders>
              <w:top w:val="single" w:sz="8" w:color="0000EE"/>
            </w:tcBorders>
            <w:gridSpan w:val="22"/>
          </w:tcPr>
          <w:p>
            <w:pPr>
              <w:spacing w:after="0"/>
              <w:rPr>
                <w:sz w:val="17"/>
                <w:szCs w:val="17"/>
                <w:color w:val="auto"/>
              </w:rPr>
            </w:pPr>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4.c</w:t>
            </w:r>
          </w:p>
        </w:tc>
        <w:tc>
          <w:tcPr>
            <w:tcW w:w="1940" w:type="dxa"/>
            <w:vAlign w:val="bottom"/>
            <w:gridSpan w:val="10"/>
            <w:vMerge w:val="restart"/>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Form of the Registrant’s 7-</w:t>
              </w:r>
            </w:hyperlink>
          </w:p>
        </w:tc>
        <w:tc>
          <w:tcPr>
            <w:tcW w:w="120" w:type="dxa"/>
            <w:vAlign w:val="bottom"/>
            <w:tcBorders>
              <w:bottom w:val="single" w:sz="8" w:color="0000EE"/>
            </w:tcBorders>
            <w:gridSpan w:val="5"/>
          </w:tcPr>
          <w:p>
            <w:pPr>
              <w:jc w:val="right"/>
              <w:spacing w:after="0"/>
              <w:rPr>
                <w:rFonts w:ascii="Arial" w:cs="Arial" w:eastAsia="Arial" w:hAnsi="Arial"/>
                <w:sz w:val="15"/>
                <w:szCs w:val="15"/>
                <w:color w:val="0000EE"/>
                <w:w w:val="71"/>
              </w:rPr>
            </w:pPr>
            <w:hyperlink r:id="rId192">
              <w:r>
                <w:rPr>
                  <w:rFonts w:ascii="Arial" w:cs="Arial" w:eastAsia="Arial" w:hAnsi="Arial"/>
                  <w:sz w:val="15"/>
                  <w:szCs w:val="15"/>
                  <w:color w:val="0000EE"/>
                  <w:w w:val="71"/>
                </w:rPr>
                <w:t>3</w:t>
              </w:r>
            </w:hyperlink>
          </w:p>
        </w:tc>
        <w:tc>
          <w:tcPr>
            <w:tcW w:w="100" w:type="dxa"/>
            <w:vAlign w:val="bottom"/>
            <w:gridSpan w:val="5"/>
            <w:vMerge w:val="restart"/>
          </w:tcPr>
          <w:p>
            <w:pPr>
              <w:spacing w:after="0"/>
              <w:rPr>
                <w:rFonts w:ascii="Arial" w:cs="Arial" w:eastAsia="Arial" w:hAnsi="Arial"/>
                <w:sz w:val="15"/>
                <w:szCs w:val="15"/>
                <w:color w:val="0000EE"/>
                <w:w w:val="72"/>
              </w:rPr>
            </w:pPr>
            <w:hyperlink r:id="rId192">
              <w:r>
                <w:rPr>
                  <w:rFonts w:ascii="Arial" w:cs="Arial" w:eastAsia="Arial" w:hAnsi="Arial"/>
                  <w:sz w:val="15"/>
                  <w:szCs w:val="15"/>
                  <w:u w:val="single" w:color="auto"/>
                  <w:color w:val="0000EE"/>
                  <w:w w:val="72"/>
                </w:rPr>
                <w:t>⁄</w:t>
              </w:r>
            </w:hyperlink>
            <w:r>
              <w:rPr>
                <w:rFonts w:ascii="Arial" w:cs="Arial" w:eastAsia="Arial" w:hAnsi="Arial"/>
                <w:sz w:val="23"/>
                <w:szCs w:val="23"/>
                <w:color w:val="0000EE"/>
                <w:w w:val="72"/>
                <w:vertAlign w:val="subscript"/>
              </w:rPr>
              <w:t>8</w:t>
            </w:r>
          </w:p>
        </w:tc>
        <w:tc>
          <w:tcPr>
            <w:tcW w:w="7540" w:type="dxa"/>
            <w:vAlign w:val="bottom"/>
            <w:gridSpan w:val="34"/>
            <w:vMerge w:val="restart"/>
          </w:tcPr>
          <w:p>
            <w:pPr>
              <w:jc w:val="right"/>
              <w:ind w:right="20"/>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 Debentures Due 2026 (incorporated by reference to Exhibit 99.1 of the Registrant’s Current Report on</w:t>
              </w:r>
            </w:hyperlink>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20" w:type="dxa"/>
            <w:vAlign w:val="bottom"/>
            <w:vMerge w:val="continue"/>
          </w:tcPr>
          <w:p>
            <w:pPr>
              <w:spacing w:after="0" w:line="20" w:lineRule="exact"/>
              <w:rPr>
                <w:sz w:val="1"/>
                <w:szCs w:val="1"/>
                <w:color w:val="auto"/>
              </w:rPr>
            </w:pPr>
          </w:p>
        </w:tc>
        <w:tc>
          <w:tcPr>
            <w:tcW w:w="1940" w:type="dxa"/>
            <w:vAlign w:val="bottom"/>
            <w:tcBorders>
              <w:bottom w:val="single" w:sz="8" w:color="0000EE"/>
            </w:tcBorders>
            <w:gridSpan w:val="1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vMerge w:val="continue"/>
          </w:tcPr>
          <w:p>
            <w:pPr>
              <w:spacing w:after="0" w:line="20" w:lineRule="exact"/>
              <w:rPr>
                <w:sz w:val="1"/>
                <w:szCs w:val="1"/>
                <w:color w:val="auto"/>
              </w:rPr>
            </w:pPr>
          </w:p>
        </w:tc>
        <w:tc>
          <w:tcPr>
            <w:tcW w:w="7540" w:type="dxa"/>
            <w:vAlign w:val="bottom"/>
            <w:tcBorders>
              <w:bottom w:val="single" w:sz="8" w:color="0000EE"/>
            </w:tcBorders>
            <w:gridSpan w:val="3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4040" w:type="dxa"/>
            <w:vAlign w:val="bottom"/>
            <w:tcBorders>
              <w:bottom w:val="single" w:sz="8" w:color="0000EE"/>
            </w:tcBorders>
            <w:gridSpan w:val="25"/>
          </w:tcPr>
          <w:p>
            <w:pPr>
              <w:spacing w:after="0" w:line="143" w:lineRule="exact"/>
              <w:rPr>
                <w:rFonts w:ascii="Arial" w:cs="Arial" w:eastAsia="Arial" w:hAnsi="Arial"/>
                <w:sz w:val="16"/>
                <w:szCs w:val="16"/>
                <w:color w:val="0000EE"/>
              </w:rPr>
            </w:pPr>
            <w:hyperlink r:id="rId192">
              <w:r>
                <w:rPr>
                  <w:rFonts w:ascii="Arial" w:cs="Arial" w:eastAsia="Arial" w:hAnsi="Arial"/>
                  <w:sz w:val="16"/>
                  <w:szCs w:val="16"/>
                  <w:color w:val="0000EE"/>
                </w:rPr>
                <w:t>Form 8-K dated December 17, 1996 (File No. 1-2227)).</w:t>
              </w:r>
            </w:hyperlink>
          </w:p>
        </w:tc>
        <w:tc>
          <w:tcPr>
            <w:tcW w:w="5820" w:type="dxa"/>
            <w:vAlign w:val="bottom"/>
            <w:gridSpan w:val="3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4.d</w:t>
            </w:r>
          </w:p>
        </w:tc>
        <w:tc>
          <w:tcPr>
            <w:tcW w:w="1940" w:type="dxa"/>
            <w:vAlign w:val="bottom"/>
            <w:gridSpan w:val="9"/>
            <w:vMerge w:val="restart"/>
          </w:tcPr>
          <w:p>
            <w:pPr>
              <w:spacing w:after="0"/>
              <w:rPr>
                <w:rFonts w:ascii="Arial" w:cs="Arial" w:eastAsia="Arial" w:hAnsi="Arial"/>
                <w:sz w:val="18"/>
                <w:szCs w:val="18"/>
                <w:color w:val="0000EE"/>
                <w:w w:val="96"/>
              </w:rPr>
            </w:pPr>
            <w:hyperlink r:id="rId192">
              <w:r>
                <w:rPr>
                  <w:rFonts w:ascii="Arial" w:cs="Arial" w:eastAsia="Arial" w:hAnsi="Arial"/>
                  <w:sz w:val="18"/>
                  <w:szCs w:val="18"/>
                  <w:color w:val="0000EE"/>
                  <w:w w:val="96"/>
                </w:rPr>
                <w:t>Officers’ Certificate for 7-</w:t>
              </w:r>
            </w:hyperlink>
          </w:p>
        </w:tc>
        <w:tc>
          <w:tcPr>
            <w:tcW w:w="0" w:type="dxa"/>
            <w:vAlign w:val="bottom"/>
            <w:tcBorders>
              <w:bottom w:val="single" w:sz="8" w:color="0000EE"/>
            </w:tcBorders>
          </w:tcPr>
          <w:p>
            <w:pPr>
              <w:spacing w:after="0"/>
              <w:rPr>
                <w:sz w:val="24"/>
                <w:szCs w:val="24"/>
                <w:color w:val="auto"/>
              </w:rPr>
            </w:pPr>
          </w:p>
        </w:tc>
        <w:tc>
          <w:tcPr>
            <w:tcW w:w="40" w:type="dxa"/>
            <w:vAlign w:val="bottom"/>
            <w:tcBorders>
              <w:bottom w:val="single" w:sz="8" w:color="0000EE"/>
            </w:tcBorders>
            <w:gridSpan w:val="2"/>
          </w:tcPr>
          <w:p>
            <w:pPr>
              <w:jc w:val="right"/>
              <w:spacing w:after="0"/>
              <w:rPr>
                <w:rFonts w:ascii="Arial" w:cs="Arial" w:eastAsia="Arial" w:hAnsi="Arial"/>
                <w:sz w:val="1"/>
                <w:szCs w:val="1"/>
                <w:color w:val="0000EE"/>
                <w:w w:val="4294967288"/>
              </w:rPr>
            </w:pPr>
            <w:hyperlink r:id="rId192">
              <w:r>
                <w:rPr>
                  <w:rFonts w:ascii="Arial" w:cs="Arial" w:eastAsia="Arial" w:hAnsi="Arial"/>
                  <w:sz w:val="1"/>
                  <w:szCs w:val="1"/>
                  <w:color w:val="0000EE"/>
                  <w:w w:val="4294967288"/>
                </w:rPr>
                <w:t>3</w:t>
              </w:r>
            </w:hyperlink>
          </w:p>
        </w:tc>
        <w:tc>
          <w:tcPr>
            <w:tcW w:w="120" w:type="dxa"/>
            <w:vAlign w:val="bottom"/>
            <w:gridSpan w:val="5"/>
            <w:vMerge w:val="restart"/>
          </w:tcPr>
          <w:p>
            <w:pPr>
              <w:spacing w:after="0"/>
              <w:rPr>
                <w:rFonts w:ascii="Arial" w:cs="Arial" w:eastAsia="Arial" w:hAnsi="Arial"/>
                <w:sz w:val="18"/>
                <w:szCs w:val="18"/>
                <w:color w:val="0000EE"/>
                <w:w w:val="87"/>
              </w:rPr>
            </w:pPr>
            <w:hyperlink r:id="rId192">
              <w:r>
                <w:rPr>
                  <w:rFonts w:ascii="Arial" w:cs="Arial" w:eastAsia="Arial" w:hAnsi="Arial"/>
                  <w:sz w:val="18"/>
                  <w:szCs w:val="18"/>
                  <w:u w:val="single" w:color="auto"/>
                  <w:color w:val="0000EE"/>
                  <w:w w:val="87"/>
                </w:rPr>
                <w:t>⁄</w:t>
              </w:r>
              <w:r>
                <w:rPr>
                  <w:rFonts w:ascii="Arial" w:cs="Arial" w:eastAsia="Arial" w:hAnsi="Arial"/>
                  <w:sz w:val="15"/>
                  <w:szCs w:val="15"/>
                  <w:color w:val="0000EE"/>
                  <w:w w:val="87"/>
                </w:rPr>
                <w:t>8</w:t>
              </w:r>
            </w:hyperlink>
          </w:p>
        </w:tc>
        <w:tc>
          <w:tcPr>
            <w:tcW w:w="7520" w:type="dxa"/>
            <w:vAlign w:val="bottom"/>
            <w:gridSpan w:val="34"/>
            <w:vMerge w:val="restart"/>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 Debentures Due 2026 (incorporated by reference to Exhibit 99.6 of the Registrant’s Current Report on</w:t>
              </w:r>
            </w:hyperlink>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940" w:type="dxa"/>
            <w:vAlign w:val="bottom"/>
            <w:tcBorders>
              <w:bottom w:val="single" w:sz="8" w:color="0000EE"/>
            </w:tcBorders>
            <w:gridSpan w:val="9"/>
            <w:vMerge w:val="continue"/>
          </w:tcPr>
          <w:p>
            <w:pPr>
              <w:spacing w:after="0" w:line="20" w:lineRule="exact"/>
              <w:rPr>
                <w:sz w:val="1"/>
                <w:szCs w:val="1"/>
                <w:color w:val="auto"/>
              </w:rPr>
            </w:pPr>
          </w:p>
        </w:tc>
        <w:tc>
          <w:tcPr>
            <w:tcW w:w="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vMerge w:val="continue"/>
          </w:tcPr>
          <w:p>
            <w:pPr>
              <w:spacing w:after="0" w:line="20" w:lineRule="exact"/>
              <w:rPr>
                <w:sz w:val="1"/>
                <w:szCs w:val="1"/>
                <w:color w:val="auto"/>
              </w:rPr>
            </w:pPr>
          </w:p>
        </w:tc>
        <w:tc>
          <w:tcPr>
            <w:tcW w:w="7520" w:type="dxa"/>
            <w:vAlign w:val="bottom"/>
            <w:tcBorders>
              <w:bottom w:val="single" w:sz="8" w:color="0000EE"/>
            </w:tcBorders>
            <w:gridSpan w:val="34"/>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40" w:type="dxa"/>
            <w:vAlign w:val="bottom"/>
            <w:gridSpan w:val="14"/>
            <w:vMerge w:val="restart"/>
          </w:tcPr>
          <w:p>
            <w:pPr>
              <w:spacing w:after="0" w:line="183"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Form 8-K dated December</w:t>
              </w:r>
            </w:hyperlink>
          </w:p>
        </w:tc>
        <w:tc>
          <w:tcPr>
            <w:tcW w:w="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2040" w:type="dxa"/>
            <w:vAlign w:val="bottom"/>
            <w:tcBorders>
              <w:bottom w:val="single" w:sz="8" w:color="0000EE"/>
            </w:tcBorders>
            <w:gridSpan w:val="14"/>
            <w:vMerge w:val="continue"/>
          </w:tcPr>
          <w:p>
            <w:pPr>
              <w:spacing w:after="0"/>
              <w:rPr>
                <w:sz w:val="12"/>
                <w:szCs w:val="12"/>
                <w:color w:val="auto"/>
              </w:rPr>
            </w:pPr>
          </w:p>
        </w:tc>
        <w:tc>
          <w:tcPr>
            <w:tcW w:w="2000" w:type="dxa"/>
            <w:vAlign w:val="bottom"/>
            <w:tcBorders>
              <w:bottom w:val="single" w:sz="8" w:color="0000EE"/>
            </w:tcBorders>
            <w:gridSpan w:val="11"/>
          </w:tcPr>
          <w:p>
            <w:pPr>
              <w:spacing w:after="0" w:line="143" w:lineRule="exact"/>
              <w:rPr>
                <w:rFonts w:ascii="Arial" w:cs="Arial" w:eastAsia="Arial" w:hAnsi="Arial"/>
                <w:sz w:val="16"/>
                <w:szCs w:val="16"/>
                <w:color w:val="0000EE"/>
              </w:rPr>
            </w:pPr>
            <w:hyperlink r:id="rId192">
              <w:r>
                <w:rPr>
                  <w:rFonts w:ascii="Arial" w:cs="Arial" w:eastAsia="Arial" w:hAnsi="Arial"/>
                  <w:sz w:val="16"/>
                  <w:szCs w:val="16"/>
                  <w:color w:val="0000EE"/>
                </w:rPr>
                <w:t>17, 1996 (File No. 1-2227)).</w:t>
              </w:r>
            </w:hyperlink>
          </w:p>
        </w:tc>
        <w:tc>
          <w:tcPr>
            <w:tcW w:w="5820" w:type="dxa"/>
            <w:vAlign w:val="bottom"/>
            <w:gridSpan w:val="3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4.e</w:t>
            </w:r>
          </w:p>
        </w:tc>
        <w:tc>
          <w:tcPr>
            <w:tcW w:w="2000" w:type="dxa"/>
            <w:vAlign w:val="bottom"/>
            <w:gridSpan w:val="13"/>
            <w:vMerge w:val="restart"/>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Form of the Registrant’s 7-</w:t>
              </w:r>
            </w:hyperlink>
          </w:p>
        </w:tc>
        <w:tc>
          <w:tcPr>
            <w:tcW w:w="80" w:type="dxa"/>
            <w:vAlign w:val="bottom"/>
            <w:tcBorders>
              <w:bottom w:val="single" w:sz="8" w:color="0000EE"/>
            </w:tcBorders>
            <w:gridSpan w:val="3"/>
          </w:tcPr>
          <w:p>
            <w:pPr>
              <w:spacing w:after="0"/>
              <w:rPr>
                <w:rFonts w:ascii="Arial" w:cs="Arial" w:eastAsia="Arial" w:hAnsi="Arial"/>
                <w:sz w:val="15"/>
                <w:szCs w:val="15"/>
                <w:color w:val="0000EE"/>
                <w:w w:val="71"/>
              </w:rPr>
            </w:pPr>
            <w:hyperlink r:id="rId192">
              <w:r>
                <w:rPr>
                  <w:rFonts w:ascii="Arial" w:cs="Arial" w:eastAsia="Arial" w:hAnsi="Arial"/>
                  <w:sz w:val="15"/>
                  <w:szCs w:val="15"/>
                  <w:color w:val="0000EE"/>
                  <w:w w:val="71"/>
                </w:rPr>
                <w:t>1</w:t>
              </w:r>
            </w:hyperlink>
          </w:p>
        </w:tc>
        <w:tc>
          <w:tcPr>
            <w:tcW w:w="100" w:type="dxa"/>
            <w:vAlign w:val="bottom"/>
            <w:gridSpan w:val="5"/>
            <w:vMerge w:val="restart"/>
          </w:tcPr>
          <w:p>
            <w:pPr>
              <w:spacing w:after="0"/>
              <w:rPr>
                <w:rFonts w:ascii="Arial" w:cs="Arial" w:eastAsia="Arial" w:hAnsi="Arial"/>
                <w:sz w:val="15"/>
                <w:szCs w:val="15"/>
                <w:color w:val="0000EE"/>
                <w:w w:val="72"/>
              </w:rPr>
            </w:pPr>
            <w:hyperlink r:id="rId192">
              <w:r>
                <w:rPr>
                  <w:rFonts w:ascii="Arial" w:cs="Arial" w:eastAsia="Arial" w:hAnsi="Arial"/>
                  <w:sz w:val="15"/>
                  <w:szCs w:val="15"/>
                  <w:u w:val="single" w:color="auto"/>
                  <w:color w:val="0000EE"/>
                  <w:w w:val="72"/>
                </w:rPr>
                <w:t>⁄</w:t>
              </w:r>
            </w:hyperlink>
            <w:r>
              <w:rPr>
                <w:rFonts w:ascii="Arial" w:cs="Arial" w:eastAsia="Arial" w:hAnsi="Arial"/>
                <w:sz w:val="23"/>
                <w:szCs w:val="23"/>
                <w:color w:val="0000EE"/>
                <w:w w:val="72"/>
                <w:vertAlign w:val="subscript"/>
              </w:rPr>
              <w:t>2</w:t>
            </w:r>
          </w:p>
        </w:tc>
        <w:tc>
          <w:tcPr>
            <w:tcW w:w="7560" w:type="dxa"/>
            <w:vAlign w:val="bottom"/>
            <w:gridSpan w:val="35"/>
            <w:vMerge w:val="restart"/>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 Debentures Due 2096 (incorporated by reference to Exhibit 99.2 of the Registrant’s Current Report on</w:t>
              </w:r>
            </w:hyperlink>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20" w:type="dxa"/>
            <w:vAlign w:val="bottom"/>
            <w:vMerge w:val="continue"/>
          </w:tcPr>
          <w:p>
            <w:pPr>
              <w:spacing w:after="0" w:line="20" w:lineRule="exact"/>
              <w:rPr>
                <w:sz w:val="1"/>
                <w:szCs w:val="1"/>
                <w:color w:val="auto"/>
              </w:rPr>
            </w:pPr>
          </w:p>
        </w:tc>
        <w:tc>
          <w:tcPr>
            <w:tcW w:w="2000" w:type="dxa"/>
            <w:vAlign w:val="bottom"/>
            <w:tcBorders>
              <w:bottom w:val="single" w:sz="8" w:color="0000EE"/>
            </w:tcBorders>
            <w:gridSpan w:val="13"/>
            <w:vMerge w:val="continu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5"/>
            <w:vMerge w:val="continue"/>
          </w:tcPr>
          <w:p>
            <w:pPr>
              <w:spacing w:after="0" w:line="20" w:lineRule="exact"/>
              <w:rPr>
                <w:sz w:val="1"/>
                <w:szCs w:val="1"/>
                <w:color w:val="auto"/>
              </w:rPr>
            </w:pPr>
          </w:p>
        </w:tc>
        <w:tc>
          <w:tcPr>
            <w:tcW w:w="7560" w:type="dxa"/>
            <w:vAlign w:val="bottom"/>
            <w:tcBorders>
              <w:bottom w:val="single" w:sz="8" w:color="0000EE"/>
            </w:tcBorders>
            <w:gridSpan w:val="3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1840" w:type="dxa"/>
            <w:vAlign w:val="bottom"/>
            <w:gridSpan w:val="3"/>
            <w:vMerge w:val="restart"/>
          </w:tcPr>
          <w:p>
            <w:pPr>
              <w:ind w:left="60"/>
              <w:spacing w:after="0" w:line="183"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1996 (File No. 1-2227)).</w:t>
              </w:r>
            </w:hyperlink>
          </w:p>
        </w:tc>
        <w:tc>
          <w:tcPr>
            <w:tcW w:w="5840" w:type="dxa"/>
            <w:vAlign w:val="bottom"/>
            <w:gridSpan w:val="3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2180" w:type="dxa"/>
            <w:vAlign w:val="bottom"/>
            <w:tcBorders>
              <w:bottom w:val="single" w:sz="8" w:color="0000EE"/>
            </w:tcBorders>
            <w:gridSpan w:val="21"/>
          </w:tcPr>
          <w:p>
            <w:pPr>
              <w:spacing w:after="0" w:line="143" w:lineRule="exact"/>
              <w:rPr>
                <w:rFonts w:ascii="Arial" w:cs="Arial" w:eastAsia="Arial" w:hAnsi="Arial"/>
                <w:sz w:val="16"/>
                <w:szCs w:val="16"/>
                <w:color w:val="0000EE"/>
                <w:w w:val="99"/>
              </w:rPr>
            </w:pPr>
            <w:hyperlink r:id="rId192">
              <w:r>
                <w:rPr>
                  <w:rFonts w:ascii="Arial" w:cs="Arial" w:eastAsia="Arial" w:hAnsi="Arial"/>
                  <w:sz w:val="16"/>
                  <w:szCs w:val="16"/>
                  <w:color w:val="0000EE"/>
                  <w:w w:val="99"/>
                </w:rPr>
                <w:t>Form 8-K dated December 17,</w:t>
              </w:r>
            </w:hyperlink>
          </w:p>
        </w:tc>
        <w:tc>
          <w:tcPr>
            <w:tcW w:w="1840" w:type="dxa"/>
            <w:vAlign w:val="bottom"/>
            <w:tcBorders>
              <w:bottom w:val="single" w:sz="8" w:color="0000EE"/>
            </w:tcBorders>
            <w:gridSpan w:val="3"/>
            <w:vMerge w:val="continue"/>
          </w:tcPr>
          <w:p>
            <w:pPr>
              <w:spacing w:after="0"/>
              <w:rPr>
                <w:sz w:val="12"/>
                <w:szCs w:val="12"/>
                <w:color w:val="auto"/>
              </w:rPr>
            </w:pPr>
          </w:p>
        </w:tc>
        <w:tc>
          <w:tcPr>
            <w:tcW w:w="5840" w:type="dxa"/>
            <w:vAlign w:val="bottom"/>
            <w:gridSpan w:val="3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4.f</w:t>
            </w:r>
          </w:p>
        </w:tc>
        <w:tc>
          <w:tcPr>
            <w:tcW w:w="1900" w:type="dxa"/>
            <w:vAlign w:val="bottom"/>
            <w:gridSpan w:val="7"/>
            <w:vMerge w:val="restart"/>
          </w:tcPr>
          <w:p>
            <w:pPr>
              <w:spacing w:after="0"/>
              <w:rPr>
                <w:rFonts w:ascii="Arial" w:cs="Arial" w:eastAsia="Arial" w:hAnsi="Arial"/>
                <w:sz w:val="18"/>
                <w:szCs w:val="18"/>
                <w:color w:val="0000EE"/>
                <w:w w:val="94"/>
              </w:rPr>
            </w:pPr>
            <w:hyperlink r:id="rId192">
              <w:r>
                <w:rPr>
                  <w:rFonts w:ascii="Arial" w:cs="Arial" w:eastAsia="Arial" w:hAnsi="Arial"/>
                  <w:sz w:val="18"/>
                  <w:szCs w:val="18"/>
                  <w:color w:val="0000EE"/>
                  <w:w w:val="94"/>
                </w:rPr>
                <w:t>Officers’ Certificate for 7-</w:t>
              </w:r>
            </w:hyperlink>
          </w:p>
        </w:tc>
        <w:tc>
          <w:tcPr>
            <w:tcW w:w="20" w:type="dxa"/>
            <w:vAlign w:val="bottom"/>
            <w:tcBorders>
              <w:bottom w:val="single" w:sz="8" w:color="0000EE"/>
            </w:tcBorders>
          </w:tcPr>
          <w:p>
            <w:pPr>
              <w:spacing w:after="0"/>
              <w:rPr>
                <w:sz w:val="24"/>
                <w:szCs w:val="24"/>
                <w:color w:val="auto"/>
              </w:rPr>
            </w:pPr>
          </w:p>
        </w:tc>
        <w:tc>
          <w:tcPr>
            <w:tcW w:w="40" w:type="dxa"/>
            <w:vAlign w:val="bottom"/>
            <w:tcBorders>
              <w:bottom w:val="single" w:sz="8" w:color="0000EE"/>
            </w:tcBorders>
            <w:gridSpan w:val="3"/>
          </w:tcPr>
          <w:p>
            <w:pPr>
              <w:jc w:val="right"/>
              <w:spacing w:after="0"/>
              <w:rPr>
                <w:rFonts w:ascii="Arial" w:cs="Arial" w:eastAsia="Arial" w:hAnsi="Arial"/>
                <w:sz w:val="5"/>
                <w:szCs w:val="5"/>
                <w:color w:val="0000EE"/>
                <w:w w:val="70"/>
              </w:rPr>
            </w:pPr>
            <w:hyperlink r:id="rId192">
              <w:r>
                <w:rPr>
                  <w:rFonts w:ascii="Arial" w:cs="Arial" w:eastAsia="Arial" w:hAnsi="Arial"/>
                  <w:sz w:val="5"/>
                  <w:szCs w:val="5"/>
                  <w:color w:val="0000EE"/>
                  <w:w w:val="70"/>
                </w:rPr>
                <w:t>1</w:t>
              </w:r>
            </w:hyperlink>
          </w:p>
        </w:tc>
        <w:tc>
          <w:tcPr>
            <w:tcW w:w="180" w:type="dxa"/>
            <w:vAlign w:val="bottom"/>
            <w:gridSpan w:val="8"/>
            <w:vMerge w:val="restart"/>
          </w:tcPr>
          <w:p>
            <w:pPr>
              <w:spacing w:after="0" w:line="304" w:lineRule="exact"/>
              <w:rPr>
                <w:rFonts w:ascii="Arial" w:cs="Arial" w:eastAsia="Arial" w:hAnsi="Arial"/>
                <w:sz w:val="18"/>
                <w:szCs w:val="18"/>
                <w:color w:val="0000EE"/>
              </w:rPr>
            </w:pPr>
            <w:hyperlink r:id="rId192">
              <w:r>
                <w:rPr>
                  <w:rFonts w:ascii="Arial" w:cs="Arial" w:eastAsia="Arial" w:hAnsi="Arial"/>
                  <w:sz w:val="18"/>
                  <w:szCs w:val="18"/>
                  <w:u w:val="single" w:color="auto"/>
                  <w:color w:val="0000EE"/>
                </w:rPr>
                <w:t>⁄</w:t>
              </w:r>
            </w:hyperlink>
            <w:r>
              <w:rPr>
                <w:rFonts w:ascii="Arial" w:cs="Arial" w:eastAsia="Arial" w:hAnsi="Arial"/>
                <w:sz w:val="30"/>
                <w:szCs w:val="30"/>
                <w:color w:val="0000EE"/>
                <w:vertAlign w:val="subscript"/>
              </w:rPr>
              <w:t>2</w:t>
            </w:r>
          </w:p>
        </w:tc>
        <w:tc>
          <w:tcPr>
            <w:tcW w:w="7520" w:type="dxa"/>
            <w:vAlign w:val="bottom"/>
            <w:gridSpan w:val="33"/>
            <w:vMerge w:val="restart"/>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 Debentures Due 2096 (incorporated by reference to Exhibit 99.7 of the Registrant’s Current Report on</w:t>
              </w:r>
            </w:hyperlink>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900" w:type="dxa"/>
            <w:vAlign w:val="bottom"/>
            <w:tcBorders>
              <w:bottom w:val="single" w:sz="8" w:color="0000EE"/>
            </w:tcBorders>
            <w:gridSpan w:val="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80" w:type="dxa"/>
            <w:vAlign w:val="bottom"/>
            <w:gridSpan w:val="8"/>
            <w:vMerge w:val="continue"/>
          </w:tcPr>
          <w:p>
            <w:pPr>
              <w:spacing w:after="0" w:line="20" w:lineRule="exact"/>
              <w:rPr>
                <w:sz w:val="1"/>
                <w:szCs w:val="1"/>
                <w:color w:val="auto"/>
              </w:rPr>
            </w:pPr>
          </w:p>
        </w:tc>
        <w:tc>
          <w:tcPr>
            <w:tcW w:w="7520" w:type="dxa"/>
            <w:vAlign w:val="bottom"/>
            <w:tcBorders>
              <w:bottom w:val="single" w:sz="8" w:color="0000EE"/>
            </w:tcBorders>
            <w:gridSpan w:val="3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0" w:type="dxa"/>
            <w:vAlign w:val="bottom"/>
            <w:gridSpan w:val="13"/>
            <w:vMerge w:val="restart"/>
          </w:tcPr>
          <w:p>
            <w:pPr>
              <w:spacing w:after="0" w:line="183"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Form 8-K dated December</w:t>
              </w:r>
            </w:hyperlink>
          </w:p>
        </w:tc>
        <w:tc>
          <w:tcPr>
            <w:tcW w:w="140" w:type="dxa"/>
            <w:vAlign w:val="bottom"/>
            <w:tcBorders>
              <w:bottom w:val="single" w:sz="8" w:color="0000EE"/>
            </w:tcBorders>
            <w:gridSpan w:val="6"/>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2000" w:type="dxa"/>
            <w:vAlign w:val="bottom"/>
            <w:tcBorders>
              <w:bottom w:val="single" w:sz="8" w:color="0000EE"/>
            </w:tcBorders>
            <w:gridSpan w:val="13"/>
            <w:vMerge w:val="continue"/>
          </w:tcPr>
          <w:p>
            <w:pPr>
              <w:spacing w:after="0"/>
              <w:rPr>
                <w:sz w:val="12"/>
                <w:szCs w:val="12"/>
                <w:color w:val="auto"/>
              </w:rPr>
            </w:pPr>
          </w:p>
        </w:tc>
        <w:tc>
          <w:tcPr>
            <w:tcW w:w="2040" w:type="dxa"/>
            <w:vAlign w:val="bottom"/>
            <w:tcBorders>
              <w:bottom w:val="single" w:sz="8" w:color="0000EE"/>
            </w:tcBorders>
            <w:gridSpan w:val="12"/>
          </w:tcPr>
          <w:p>
            <w:pPr>
              <w:spacing w:after="0" w:line="143" w:lineRule="exact"/>
              <w:rPr>
                <w:rFonts w:ascii="Arial" w:cs="Arial" w:eastAsia="Arial" w:hAnsi="Arial"/>
                <w:sz w:val="16"/>
                <w:szCs w:val="16"/>
                <w:color w:val="0000EE"/>
              </w:rPr>
            </w:pPr>
            <w:hyperlink r:id="rId192">
              <w:r>
                <w:rPr>
                  <w:rFonts w:ascii="Arial" w:cs="Arial" w:eastAsia="Arial" w:hAnsi="Arial"/>
                  <w:sz w:val="16"/>
                  <w:szCs w:val="16"/>
                  <w:color w:val="0000EE"/>
                </w:rPr>
                <w:t>17, 1996 (File No. 1-2227)).</w:t>
              </w:r>
            </w:hyperlink>
          </w:p>
        </w:tc>
        <w:tc>
          <w:tcPr>
            <w:tcW w:w="5820" w:type="dxa"/>
            <w:vAlign w:val="bottom"/>
            <w:gridSpan w:val="34"/>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4.g</w:t>
            </w:r>
          </w:p>
        </w:tc>
        <w:tc>
          <w:tcPr>
            <w:tcW w:w="9720" w:type="dxa"/>
            <w:vAlign w:val="bottom"/>
            <w:tcBorders>
              <w:bottom w:val="single" w:sz="8" w:color="0000EE"/>
            </w:tcBorders>
            <w:gridSpan w:val="55"/>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Terms Agreement, dated December 12, 1996 (incorporated by reference to Exhibit 1.1 of the Registrant’s Current Report on Form 8-K</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2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dated December 17, 1996 (File No. 1-2227)).</w:t>
              </w:r>
            </w:hyperlink>
          </w:p>
        </w:tc>
        <w:tc>
          <w:tcPr>
            <w:tcW w:w="66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4.h</w:t>
            </w:r>
          </w:p>
        </w:tc>
        <w:tc>
          <w:tcPr>
            <w:tcW w:w="9720" w:type="dxa"/>
            <w:vAlign w:val="bottom"/>
            <w:tcBorders>
              <w:bottom w:val="single" w:sz="8" w:color="0000EE"/>
            </w:tcBorders>
            <w:gridSpan w:val="55"/>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Form of Bearer Security Depositary Agreement (incorporated by reference to Exhibit 4.2 of the Registrant’s Registration Statement on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96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Form S-3, dated November 26, 1996, amended December 5 and 10, 1996 (File No. 333-16869)).</w:t>
              </w:r>
            </w:hyperlink>
          </w:p>
        </w:tc>
        <w:tc>
          <w:tcPr>
            <w:tcW w:w="29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4.i</w:t>
            </w:r>
          </w:p>
        </w:tc>
        <w:tc>
          <w:tcPr>
            <w:tcW w:w="9860" w:type="dxa"/>
            <w:vAlign w:val="bottom"/>
            <w:gridSpan w:val="59"/>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Supplemental Indenture to Indenture dated December 17, 1996, dated as of February 25, 2003, between Crown Cork &amp; Seal Company,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20" w:type="dxa"/>
            <w:vAlign w:val="bottom"/>
            <w:gridSpan w:val="2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59"/>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Inc., as Issuer and Guarantor, Crown Cork &amp; Seal Finance PLC, as Issuer, Crown Cork &amp; Seal Finance S.A., as Issuer, Crown Holdings,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gridSpan w:val="59"/>
          </w:tcPr>
          <w:p>
            <w:pPr>
              <w:spacing w:after="0" w:line="196" w:lineRule="exact"/>
              <w:rPr>
                <w:rFonts w:ascii="Arial" w:cs="Arial" w:eastAsia="Arial" w:hAnsi="Arial"/>
                <w:sz w:val="18"/>
                <w:szCs w:val="18"/>
                <w:color w:val="0000EE"/>
                <w:w w:val="99"/>
              </w:rPr>
            </w:pPr>
            <w:hyperlink r:id="rId195">
              <w:r>
                <w:rPr>
                  <w:rFonts w:ascii="Arial" w:cs="Arial" w:eastAsia="Arial" w:hAnsi="Arial"/>
                  <w:sz w:val="18"/>
                  <w:szCs w:val="18"/>
                  <w:color w:val="0000EE"/>
                  <w:w w:val="99"/>
                </w:rPr>
                <w:t>Inc., as Additional Guarantor and Bank One Trust Company, N.A., as Trustee (incorporated by reference to Exhibit 4.5 of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Registrant’s Current Report on Form 8-K dated February 26, 2003 (File No. 0-50189)).</w:t>
              </w:r>
            </w:hyperlink>
          </w:p>
        </w:tc>
        <w:tc>
          <w:tcPr>
            <w:tcW w:w="2780" w:type="dxa"/>
            <w:vAlign w:val="bottom"/>
            <w:tcBorders>
              <w:top w:val="single" w:sz="8" w:color="0000EE"/>
            </w:tcBorders>
            <w:gridSpan w:val="10"/>
          </w:tcPr>
          <w:p>
            <w:pPr>
              <w:spacing w:after="0"/>
              <w:rPr>
                <w:sz w:val="17"/>
                <w:szCs w:val="17"/>
                <w:color w:val="auto"/>
              </w:rPr>
            </w:pPr>
          </w:p>
        </w:tc>
        <w:tc>
          <w:tcPr>
            <w:tcW w:w="8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4.j</w:t>
            </w:r>
          </w:p>
        </w:tc>
        <w:tc>
          <w:tcPr>
            <w:tcW w:w="9860" w:type="dxa"/>
            <w:vAlign w:val="bottom"/>
            <w:gridSpan w:val="59"/>
          </w:tcPr>
          <w:p>
            <w:pPr>
              <w:spacing w:after="0"/>
              <w:rPr>
                <w:rFonts w:ascii="Arial" w:cs="Arial" w:eastAsia="Arial" w:hAnsi="Arial"/>
                <w:sz w:val="18"/>
                <w:szCs w:val="18"/>
                <w:color w:val="0000EE"/>
                <w:w w:val="97"/>
              </w:rPr>
            </w:pPr>
            <w:hyperlink r:id="rId196">
              <w:r>
                <w:rPr>
                  <w:rFonts w:ascii="Arial" w:cs="Arial" w:eastAsia="Arial" w:hAnsi="Arial"/>
                  <w:sz w:val="18"/>
                  <w:szCs w:val="18"/>
                  <w:color w:val="0000EE"/>
                  <w:w w:val="97"/>
                </w:rPr>
                <w:t>Registration Rights Agreement, dated as of January 9, 2013, by and among Crown Holdings, Crown Americas LLC and Crown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20" w:type="dxa"/>
            <w:vAlign w:val="bottom"/>
            <w:gridSpan w:val="2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480" w:type="dxa"/>
            <w:vAlign w:val="bottom"/>
            <w:tcBorders>
              <w:bottom w:val="single" w:sz="8" w:color="0000EE"/>
            </w:tcBorders>
            <w:gridSpan w:val="50"/>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Americas Capital Corp. IV, Deutsche Bank Securities Inc., as Representative of the several Initial Purchasers named therein and the</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480" w:type="dxa"/>
            <w:vAlign w:val="bottom"/>
            <w:gridSpan w:val="26"/>
            <w:vMerge w:val="restart"/>
          </w:tcPr>
          <w:p>
            <w:pPr>
              <w:spacing w:after="0" w:line="182"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 xml:space="preserve">Guarantors (as defined therein),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800 million 4</w:t>
              </w:r>
            </w:hyperlink>
          </w:p>
        </w:tc>
        <w:tc>
          <w:tcPr>
            <w:tcW w:w="60" w:type="dxa"/>
            <w:vAlign w:val="bottom"/>
          </w:tcPr>
          <w:p>
            <w:pPr>
              <w:jc w:val="right"/>
              <w:spacing w:after="0"/>
              <w:rPr>
                <w:rFonts w:ascii="Arial" w:cs="Arial" w:eastAsia="Arial" w:hAnsi="Arial"/>
                <w:sz w:val="10"/>
                <w:szCs w:val="10"/>
                <w:color w:val="0000EE"/>
                <w:w w:val="71"/>
              </w:rPr>
            </w:pPr>
            <w:hyperlink r:id="rId196">
              <w:r>
                <w:rPr>
                  <w:rFonts w:ascii="Arial" w:cs="Arial" w:eastAsia="Arial" w:hAnsi="Arial"/>
                  <w:sz w:val="10"/>
                  <w:szCs w:val="10"/>
                  <w:color w:val="0000EE"/>
                  <w:w w:val="71"/>
                </w:rPr>
                <w:t>1</w:t>
              </w:r>
            </w:hyperlink>
          </w:p>
        </w:tc>
        <w:tc>
          <w:tcPr>
            <w:tcW w:w="120" w:type="dxa"/>
            <w:vAlign w:val="bottom"/>
            <w:gridSpan w:val="3"/>
            <w:vMerge w:val="restart"/>
          </w:tcPr>
          <w:p>
            <w:pPr>
              <w:spacing w:after="0" w:line="197" w:lineRule="exact"/>
              <w:rPr>
                <w:rFonts w:ascii="Arial" w:cs="Arial" w:eastAsia="Arial" w:hAnsi="Arial"/>
                <w:sz w:val="14"/>
                <w:szCs w:val="14"/>
                <w:color w:val="0000EE"/>
                <w:w w:val="94"/>
              </w:rPr>
            </w:pPr>
            <w:hyperlink r:id="rId196">
              <w:r>
                <w:rPr>
                  <w:rFonts w:ascii="Arial" w:cs="Arial" w:eastAsia="Arial" w:hAnsi="Arial"/>
                  <w:sz w:val="14"/>
                  <w:szCs w:val="14"/>
                  <w:u w:val="single" w:color="auto"/>
                  <w:color w:val="0000EE"/>
                  <w:w w:val="94"/>
                </w:rPr>
                <w:t>⁄</w:t>
              </w:r>
              <w:r>
                <w:rPr>
                  <w:rFonts w:ascii="Arial" w:cs="Arial" w:eastAsia="Arial" w:hAnsi="Arial"/>
                  <w:sz w:val="22"/>
                  <w:szCs w:val="22"/>
                  <w:color w:val="0000EE"/>
                  <w:w w:val="94"/>
                  <w:vertAlign w:val="subscript"/>
                </w:rPr>
                <w:t>2</w:t>
              </w:r>
            </w:hyperlink>
          </w:p>
        </w:tc>
        <w:tc>
          <w:tcPr>
            <w:tcW w:w="5020" w:type="dxa"/>
            <w:vAlign w:val="bottom"/>
            <w:gridSpan w:val="23"/>
            <w:vMerge w:val="restart"/>
          </w:tcPr>
          <w:p>
            <w:pPr>
              <w:jc w:val="right"/>
              <w:spacing w:after="0" w:line="182"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 Senior Notes due 2023 (incorporated by reference to Exhibit 4.1 of</w:t>
              </w:r>
            </w:hyperlink>
          </w:p>
        </w:tc>
        <w:tc>
          <w:tcPr>
            <w:tcW w:w="120" w:type="dxa"/>
            <w:vAlign w:val="bottom"/>
            <w:gridSpan w:val="5"/>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4480" w:type="dxa"/>
            <w:vAlign w:val="bottom"/>
            <w:tcBorders>
              <w:bottom w:val="single" w:sz="8" w:color="0000EE"/>
            </w:tcBorders>
            <w:gridSpan w:val="26"/>
            <w:vMerge w:val="continue"/>
          </w:tcPr>
          <w:p>
            <w:pPr>
              <w:spacing w:after="0"/>
              <w:rPr>
                <w:sz w:val="4"/>
                <w:szCs w:val="4"/>
                <w:color w:val="auto"/>
              </w:rPr>
            </w:pPr>
          </w:p>
        </w:tc>
        <w:tc>
          <w:tcPr>
            <w:tcW w:w="60" w:type="dxa"/>
            <w:vAlign w:val="bottom"/>
            <w:tcBorders>
              <w:bottom w:val="single" w:sz="8" w:color="0000EE"/>
            </w:tcBorders>
            <w:shd w:val="clear" w:color="auto" w:fill="0000E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5020" w:type="dxa"/>
            <w:vAlign w:val="bottom"/>
            <w:tcBorders>
              <w:bottom w:val="single" w:sz="8" w:color="0000EE"/>
            </w:tcBorders>
            <w:gridSpan w:val="23"/>
            <w:vMerge w:val="continue"/>
          </w:tcPr>
          <w:p>
            <w:pPr>
              <w:spacing w:after="0"/>
              <w:rPr>
                <w:sz w:val="4"/>
                <w:szCs w:val="4"/>
                <w:color w:val="auto"/>
              </w:rPr>
            </w:pPr>
          </w:p>
        </w:tc>
        <w:tc>
          <w:tcPr>
            <w:tcW w:w="120" w:type="dxa"/>
            <w:vAlign w:val="bottom"/>
            <w:gridSpan w:val="5"/>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580" w:type="dxa"/>
            <w:vAlign w:val="bottom"/>
            <w:gridSpan w:val="28"/>
            <w:vMerge w:val="restart"/>
          </w:tcPr>
          <w:p>
            <w:pPr>
              <w:spacing w:after="0" w:line="17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the Registrant’s Current Report on Form 8-K dated January 9,</w:t>
              </w:r>
            </w:hyperlink>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20" w:type="dxa"/>
            <w:vAlign w:val="bottom"/>
          </w:tcPr>
          <w:p>
            <w:pPr>
              <w:spacing w:after="0"/>
              <w:rPr>
                <w:sz w:val="11"/>
                <w:szCs w:val="11"/>
                <w:color w:val="auto"/>
              </w:rPr>
            </w:pPr>
          </w:p>
        </w:tc>
        <w:tc>
          <w:tcPr>
            <w:tcW w:w="4580" w:type="dxa"/>
            <w:vAlign w:val="bottom"/>
            <w:tcBorders>
              <w:bottom w:val="single" w:sz="8" w:color="0000EE"/>
            </w:tcBorders>
            <w:gridSpan w:val="28"/>
            <w:vMerge w:val="continue"/>
          </w:tcPr>
          <w:p>
            <w:pPr>
              <w:spacing w:after="0"/>
              <w:rPr>
                <w:sz w:val="11"/>
                <w:szCs w:val="11"/>
                <w:color w:val="auto"/>
              </w:rPr>
            </w:pPr>
          </w:p>
        </w:tc>
        <w:tc>
          <w:tcPr>
            <w:tcW w:w="1780" w:type="dxa"/>
            <w:vAlign w:val="bottom"/>
            <w:tcBorders>
              <w:bottom w:val="single" w:sz="8" w:color="0000EE"/>
            </w:tcBorders>
            <w:gridSpan w:val="8"/>
          </w:tcPr>
          <w:p>
            <w:pPr>
              <w:spacing w:after="0" w:line="136" w:lineRule="exact"/>
              <w:rPr>
                <w:rFonts w:ascii="Arial" w:cs="Arial" w:eastAsia="Arial" w:hAnsi="Arial"/>
                <w:sz w:val="15"/>
                <w:szCs w:val="15"/>
                <w:color w:val="0000EE"/>
              </w:rPr>
            </w:pPr>
            <w:hyperlink r:id="rId196">
              <w:r>
                <w:rPr>
                  <w:rFonts w:ascii="Arial" w:cs="Arial" w:eastAsia="Arial" w:hAnsi="Arial"/>
                  <w:sz w:val="15"/>
                  <w:szCs w:val="15"/>
                  <w:color w:val="0000EE"/>
                </w:rPr>
                <w:t>2013 (File No. 0-50189)).</w:t>
              </w:r>
            </w:hyperlink>
          </w:p>
        </w:tc>
        <w:tc>
          <w:tcPr>
            <w:tcW w:w="3500" w:type="dxa"/>
            <w:vAlign w:val="bottom"/>
            <w:gridSpan w:val="23"/>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4.k</w:t>
            </w:r>
          </w:p>
        </w:tc>
        <w:tc>
          <w:tcPr>
            <w:tcW w:w="9860" w:type="dxa"/>
            <w:vAlign w:val="bottom"/>
            <w:gridSpan w:val="59"/>
          </w:tcPr>
          <w:p>
            <w:pPr>
              <w:spacing w:after="0"/>
              <w:rPr>
                <w:rFonts w:ascii="Arial" w:cs="Arial" w:eastAsia="Arial" w:hAnsi="Arial"/>
                <w:sz w:val="18"/>
                <w:szCs w:val="18"/>
                <w:color w:val="0000EE"/>
                <w:w w:val="94"/>
              </w:rPr>
            </w:pPr>
            <w:hyperlink r:id="rId197">
              <w:r>
                <w:rPr>
                  <w:rFonts w:ascii="Arial" w:cs="Arial" w:eastAsia="Arial" w:hAnsi="Arial"/>
                  <w:sz w:val="18"/>
                  <w:szCs w:val="18"/>
                  <w:color w:val="0000EE"/>
                  <w:w w:val="94"/>
                </w:rPr>
                <w:t>Indenture, dated as of January 9, 2013, by and among Crown Americas LLC and Crown Americas Capital Corp. IV, as Issuers,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80" w:type="dxa"/>
            <w:vAlign w:val="bottom"/>
            <w:gridSpan w:val="23"/>
            <w:shd w:val="clear" w:color="auto" w:fill="0000EE"/>
          </w:tcPr>
          <w:p>
            <w:pPr>
              <w:spacing w:after="0" w:line="20" w:lineRule="exact"/>
              <w:rPr>
                <w:sz w:val="1"/>
                <w:szCs w:val="1"/>
                <w:color w:val="auto"/>
              </w:rPr>
            </w:pPr>
          </w:p>
        </w:tc>
        <w:tc>
          <w:tcPr>
            <w:tcW w:w="3540" w:type="dxa"/>
            <w:vAlign w:val="bottom"/>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8180" w:type="dxa"/>
            <w:vAlign w:val="bottom"/>
            <w:gridSpan w:val="40"/>
            <w:vMerge w:val="restart"/>
          </w:tcPr>
          <w:p>
            <w:pPr>
              <w:spacing w:after="0" w:line="182"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Guarantors named therein and The Bank of New York Mellon Trust Company, N.A., as Trustee, relating to the 4</w:t>
              </w:r>
            </w:hyperlink>
          </w:p>
        </w:tc>
        <w:tc>
          <w:tcPr>
            <w:tcW w:w="80" w:type="dxa"/>
            <w:vAlign w:val="bottom"/>
            <w:tcBorders>
              <w:bottom w:val="single" w:sz="8" w:color="0000EE"/>
            </w:tcBorders>
          </w:tcPr>
          <w:p>
            <w:pPr>
              <w:jc w:val="right"/>
              <w:spacing w:after="0" w:line="156" w:lineRule="exact"/>
              <w:rPr>
                <w:rFonts w:ascii="Arial" w:cs="Arial" w:eastAsia="Arial" w:hAnsi="Arial"/>
                <w:sz w:val="15"/>
                <w:szCs w:val="15"/>
                <w:color w:val="0000EE"/>
                <w:w w:val="71"/>
              </w:rPr>
            </w:pPr>
            <w:hyperlink r:id="rId197">
              <w:r>
                <w:rPr>
                  <w:rFonts w:ascii="Arial" w:cs="Arial" w:eastAsia="Arial" w:hAnsi="Arial"/>
                  <w:sz w:val="15"/>
                  <w:szCs w:val="15"/>
                  <w:color w:val="0000EE"/>
                  <w:w w:val="71"/>
                </w:rPr>
                <w:t>1</w:t>
              </w:r>
            </w:hyperlink>
          </w:p>
        </w:tc>
        <w:tc>
          <w:tcPr>
            <w:tcW w:w="100" w:type="dxa"/>
            <w:vAlign w:val="bottom"/>
            <w:gridSpan w:val="2"/>
            <w:vMerge w:val="restart"/>
          </w:tcPr>
          <w:p>
            <w:pPr>
              <w:spacing w:after="0" w:line="197" w:lineRule="exact"/>
              <w:rPr>
                <w:rFonts w:ascii="Arial" w:cs="Arial" w:eastAsia="Arial" w:hAnsi="Arial"/>
                <w:sz w:val="14"/>
                <w:szCs w:val="14"/>
                <w:color w:val="0000EE"/>
                <w:w w:val="75"/>
              </w:rPr>
            </w:pPr>
            <w:hyperlink r:id="rId197">
              <w:r>
                <w:rPr>
                  <w:rFonts w:ascii="Arial" w:cs="Arial" w:eastAsia="Arial" w:hAnsi="Arial"/>
                  <w:sz w:val="14"/>
                  <w:szCs w:val="14"/>
                  <w:u w:val="single" w:color="auto"/>
                  <w:color w:val="0000EE"/>
                  <w:w w:val="75"/>
                </w:rPr>
                <w:t>⁄</w:t>
              </w:r>
              <w:r>
                <w:rPr>
                  <w:rFonts w:ascii="Arial" w:cs="Arial" w:eastAsia="Arial" w:hAnsi="Arial"/>
                  <w:sz w:val="22"/>
                  <w:szCs w:val="22"/>
                  <w:color w:val="0000EE"/>
                  <w:w w:val="75"/>
                  <w:vertAlign w:val="subscript"/>
                </w:rPr>
                <w:t>2</w:t>
              </w:r>
            </w:hyperlink>
          </w:p>
        </w:tc>
        <w:tc>
          <w:tcPr>
            <w:tcW w:w="1440" w:type="dxa"/>
            <w:vAlign w:val="bottom"/>
            <w:gridSpan w:val="15"/>
            <w:vMerge w:val="restart"/>
          </w:tcPr>
          <w:p>
            <w:pPr>
              <w:spacing w:after="0" w:line="182" w:lineRule="exact"/>
              <w:rPr>
                <w:rFonts w:ascii="Arial" w:cs="Arial" w:eastAsia="Arial" w:hAnsi="Arial"/>
                <w:sz w:val="18"/>
                <w:szCs w:val="18"/>
                <w:color w:val="0000EE"/>
                <w:w w:val="88"/>
              </w:rPr>
            </w:pPr>
            <w:hyperlink r:id="rId197">
              <w:r>
                <w:rPr>
                  <w:rFonts w:ascii="Arial" w:cs="Arial" w:eastAsia="Arial" w:hAnsi="Arial"/>
                  <w:sz w:val="18"/>
                  <w:szCs w:val="18"/>
                  <w:color w:val="0000EE"/>
                  <w:w w:val="88"/>
                </w:rPr>
                <w:t>% Senior Notes due</w:t>
              </w:r>
            </w:hyperlink>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line="20" w:lineRule="exact"/>
              <w:rPr>
                <w:sz w:val="1"/>
                <w:szCs w:val="1"/>
                <w:color w:val="auto"/>
              </w:rPr>
            </w:pPr>
          </w:p>
        </w:tc>
        <w:tc>
          <w:tcPr>
            <w:tcW w:w="8180" w:type="dxa"/>
            <w:vAlign w:val="bottom"/>
            <w:tcBorders>
              <w:bottom w:val="single" w:sz="8" w:color="0000EE"/>
            </w:tcBorders>
            <w:gridSpan w:val="40"/>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440" w:type="dxa"/>
            <w:vAlign w:val="bottom"/>
            <w:tcBorders>
              <w:bottom w:val="single" w:sz="8" w:color="0000EE"/>
            </w:tcBorders>
            <w:gridSpan w:val="15"/>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gridSpan w:val="23"/>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9860" w:type="dxa"/>
            <w:vAlign w:val="bottom"/>
            <w:gridSpan w:val="59"/>
          </w:tcPr>
          <w:p>
            <w:pPr>
              <w:spacing w:after="0" w:line="143" w:lineRule="exact"/>
              <w:rPr>
                <w:rFonts w:ascii="Arial" w:cs="Arial" w:eastAsia="Arial" w:hAnsi="Arial"/>
                <w:sz w:val="16"/>
                <w:szCs w:val="16"/>
                <w:color w:val="0000EE"/>
              </w:rPr>
            </w:pPr>
            <w:hyperlink r:id="rId197">
              <w:r>
                <w:rPr>
                  <w:rFonts w:ascii="Arial" w:cs="Arial" w:eastAsia="Arial" w:hAnsi="Arial"/>
                  <w:sz w:val="16"/>
                  <w:szCs w:val="16"/>
                  <w:color w:val="0000EE"/>
                </w:rPr>
                <w:t>2023 (incorporated by reference to Exhibit 4.2 of the Registrant’s Current Report on Form 8-K dated January 9, 2013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860" w:type="dxa"/>
            <w:vAlign w:val="bottom"/>
            <w:tcBorders>
              <w:top w:val="single" w:sz="8" w:color="0000EE"/>
            </w:tcBorders>
            <w:gridSpan w:val="44"/>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No. 0-50189)).</w:t>
              </w:r>
            </w:hyperlink>
          </w:p>
        </w:tc>
        <w:tc>
          <w:tcPr>
            <w:tcW w:w="1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80" w:type="dxa"/>
            <w:vAlign w:val="bottom"/>
            <w:gridSpan w:val="23"/>
          </w:tcPr>
          <w:p>
            <w:pPr>
              <w:spacing w:after="0" w:line="20" w:lineRule="exact"/>
              <w:rPr>
                <w:sz w:val="1"/>
                <w:szCs w:val="1"/>
                <w:color w:val="auto"/>
              </w:rPr>
            </w:pPr>
          </w:p>
        </w:tc>
        <w:tc>
          <w:tcPr>
            <w:tcW w:w="522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4.l</w:t>
            </w:r>
          </w:p>
        </w:tc>
        <w:tc>
          <w:tcPr>
            <w:tcW w:w="760" w:type="dxa"/>
            <w:vAlign w:val="bottom"/>
            <w:gridSpan w:val="2"/>
            <w:vMerge w:val="restart"/>
          </w:tcPr>
          <w:p>
            <w:pPr>
              <w:spacing w:after="0"/>
              <w:rPr>
                <w:rFonts w:ascii="Arial" w:cs="Arial" w:eastAsia="Arial" w:hAnsi="Arial"/>
                <w:sz w:val="18"/>
                <w:szCs w:val="18"/>
                <w:color w:val="0000EE"/>
                <w:w w:val="96"/>
              </w:rPr>
            </w:pPr>
            <w:hyperlink r:id="rId197">
              <w:r>
                <w:rPr>
                  <w:rFonts w:ascii="Arial" w:cs="Arial" w:eastAsia="Arial" w:hAnsi="Arial"/>
                  <w:sz w:val="18"/>
                  <w:szCs w:val="18"/>
                  <w:color w:val="0000EE"/>
                  <w:w w:val="96"/>
                </w:rPr>
                <w:t>Form of 4</w:t>
              </w:r>
            </w:hyperlink>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r:id="rId197">
              <w:r>
                <w:rPr>
                  <w:rFonts w:ascii="Arial" w:cs="Arial" w:eastAsia="Arial" w:hAnsi="Arial"/>
                  <w:sz w:val="15"/>
                  <w:szCs w:val="15"/>
                  <w:color w:val="0000EE"/>
                  <w:w w:val="71"/>
                </w:rPr>
                <w:t>1</w:t>
              </w:r>
            </w:hyperlink>
          </w:p>
        </w:tc>
        <w:tc>
          <w:tcPr>
            <w:tcW w:w="100" w:type="dxa"/>
            <w:vAlign w:val="bottom"/>
            <w:gridSpan w:val="2"/>
            <w:vMerge w:val="restart"/>
          </w:tcPr>
          <w:p>
            <w:pPr>
              <w:spacing w:after="0"/>
              <w:rPr>
                <w:rFonts w:ascii="Arial" w:cs="Arial" w:eastAsia="Arial" w:hAnsi="Arial"/>
                <w:sz w:val="15"/>
                <w:szCs w:val="15"/>
                <w:color w:val="0000EE"/>
                <w:w w:val="72"/>
              </w:rPr>
            </w:pPr>
            <w:hyperlink r:id="rId197">
              <w:r>
                <w:rPr>
                  <w:rFonts w:ascii="Arial" w:cs="Arial" w:eastAsia="Arial" w:hAnsi="Arial"/>
                  <w:sz w:val="15"/>
                  <w:szCs w:val="15"/>
                  <w:u w:val="single" w:color="auto"/>
                  <w:color w:val="0000EE"/>
                  <w:w w:val="72"/>
                </w:rPr>
                <w:t>⁄</w:t>
              </w:r>
            </w:hyperlink>
            <w:r>
              <w:rPr>
                <w:rFonts w:ascii="Arial" w:cs="Arial" w:eastAsia="Arial" w:hAnsi="Arial"/>
                <w:sz w:val="23"/>
                <w:szCs w:val="23"/>
                <w:color w:val="0000EE"/>
                <w:w w:val="72"/>
                <w:vertAlign w:val="subscript"/>
              </w:rPr>
              <w:t>2</w:t>
            </w:r>
          </w:p>
        </w:tc>
        <w:tc>
          <w:tcPr>
            <w:tcW w:w="3700" w:type="dxa"/>
            <w:vAlign w:val="bottom"/>
            <w:gridSpan w:val="24"/>
            <w:vMerge w:val="restart"/>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 Senior Notes due 2023 (included in Exhibit 4.k)</w:t>
              </w:r>
            </w:hyperlink>
            <w:r>
              <w:rPr>
                <w:rFonts w:ascii="Arial" w:cs="Arial" w:eastAsia="Arial" w:hAnsi="Arial"/>
                <w:sz w:val="18"/>
                <w:szCs w:val="18"/>
                <w:color w:val="0000EE"/>
                <w:w w:val="91"/>
              </w:rPr>
              <w:t>.</w:t>
            </w:r>
          </w:p>
        </w:tc>
        <w:tc>
          <w:tcPr>
            <w:tcW w:w="5220" w:type="dxa"/>
            <w:vAlign w:val="bottom"/>
            <w:gridSpan w:val="3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20" w:type="dxa"/>
            <w:vAlign w:val="bottom"/>
            <w:vMerge w:val="continue"/>
          </w:tcPr>
          <w:p>
            <w:pPr>
              <w:spacing w:after="0" w:line="20" w:lineRule="exact"/>
              <w:rPr>
                <w:sz w:val="1"/>
                <w:szCs w:val="1"/>
                <w:color w:val="auto"/>
              </w:rPr>
            </w:pPr>
          </w:p>
        </w:tc>
        <w:tc>
          <w:tcPr>
            <w:tcW w:w="76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3700" w:type="dxa"/>
            <w:vAlign w:val="bottom"/>
            <w:tcBorders>
              <w:bottom w:val="single" w:sz="8" w:color="0000EE"/>
            </w:tcBorders>
            <w:gridSpan w:val="24"/>
            <w:vMerge w:val="continue"/>
          </w:tcPr>
          <w:p>
            <w:pPr>
              <w:spacing w:after="0" w:line="20" w:lineRule="exact"/>
              <w:rPr>
                <w:sz w:val="1"/>
                <w:szCs w:val="1"/>
                <w:color w:val="auto"/>
              </w:rPr>
            </w:pPr>
          </w:p>
        </w:tc>
        <w:tc>
          <w:tcPr>
            <w:tcW w:w="5220" w:type="dxa"/>
            <w:vAlign w:val="bottom"/>
            <w:gridSpan w:val="3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20" w:type="dxa"/>
            <w:vAlign w:val="bottom"/>
            <w:gridSpan w:val="34"/>
            <w:vMerge w:val="restart"/>
          </w:tcPr>
          <w:p>
            <w:pPr>
              <w:ind w:left="2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line="20" w:lineRule="exact"/>
              <w:rPr>
                <w:sz w:val="1"/>
                <w:szCs w:val="1"/>
                <w:color w:val="auto"/>
              </w:rPr>
            </w:pPr>
          </w:p>
        </w:tc>
      </w:tr>
      <w:tr>
        <w:trPr>
          <w:trHeight w:val="332"/>
        </w:trPr>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34"/>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4.m</w:t>
            </w:r>
          </w:p>
        </w:tc>
        <w:tc>
          <w:tcPr>
            <w:tcW w:w="9320" w:type="dxa"/>
            <w:vAlign w:val="bottom"/>
            <w:tcBorders>
              <w:bottom w:val="single" w:sz="8" w:color="0000EE"/>
            </w:tcBorders>
            <w:gridSpan w:val="17"/>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Registration Rights Agreement, dated as of January 15, 2013, by and among Crown Holdings, Crown Americas LLC and Crown</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Americas Capital Corp. IV, Deutsche Bank Securities Inc., as the Initial Purchaser, and the Guarantors (as defined therein), relating to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60" w:type="dxa"/>
            <w:vAlign w:val="bottom"/>
            <w:vMerge w:val="restart"/>
          </w:tcPr>
          <w:p>
            <w:pPr>
              <w:spacing w:after="0" w:line="182" w:lineRule="exact"/>
              <w:rPr>
                <w:rFonts w:ascii="Arial" w:cs="Arial" w:eastAsia="Arial" w:hAnsi="Arial"/>
                <w:sz w:val="18"/>
                <w:szCs w:val="18"/>
                <w:color w:val="0000EE"/>
                <w:w w:val="93"/>
              </w:rPr>
            </w:pPr>
            <w:hyperlink r:id="rId199">
              <w:r>
                <w:rPr>
                  <w:rFonts w:ascii="Arial" w:cs="Arial" w:eastAsia="Arial" w:hAnsi="Arial"/>
                  <w:sz w:val="18"/>
                  <w:szCs w:val="18"/>
                  <w:u w:val="single" w:color="auto"/>
                  <w:color w:val="0000EE"/>
                  <w:w w:val="93"/>
                </w:rPr>
                <w:t>$</w:t>
              </w:r>
              <w:r>
                <w:rPr>
                  <w:rFonts w:ascii="Arial" w:cs="Arial" w:eastAsia="Arial" w:hAnsi="Arial"/>
                  <w:sz w:val="18"/>
                  <w:szCs w:val="18"/>
                  <w:color w:val="0000EE"/>
                  <w:w w:val="93"/>
                </w:rPr>
                <w:t>200 million 4</w:t>
              </w:r>
            </w:hyperlink>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jc w:val="right"/>
              <w:spacing w:after="0"/>
              <w:rPr>
                <w:rFonts w:ascii="Arial" w:cs="Arial" w:eastAsia="Arial" w:hAnsi="Arial"/>
                <w:sz w:val="5"/>
                <w:szCs w:val="5"/>
                <w:color w:val="0000EE"/>
                <w:w w:val="70"/>
              </w:rPr>
            </w:pPr>
            <w:hyperlink r:id="rId199">
              <w:r>
                <w:rPr>
                  <w:rFonts w:ascii="Arial" w:cs="Arial" w:eastAsia="Arial" w:hAnsi="Arial"/>
                  <w:sz w:val="5"/>
                  <w:szCs w:val="5"/>
                  <w:color w:val="0000EE"/>
                  <w:w w:val="70"/>
                </w:rPr>
                <w:t>1</w:t>
              </w:r>
            </w:hyperlink>
          </w:p>
        </w:tc>
        <w:tc>
          <w:tcPr>
            <w:tcW w:w="120" w:type="dxa"/>
            <w:vAlign w:val="bottom"/>
            <w:gridSpan w:val="2"/>
            <w:vMerge w:val="restart"/>
          </w:tcPr>
          <w:p>
            <w:pPr>
              <w:spacing w:after="0" w:line="197" w:lineRule="exact"/>
              <w:rPr>
                <w:rFonts w:ascii="Arial" w:cs="Arial" w:eastAsia="Arial" w:hAnsi="Arial"/>
                <w:sz w:val="14"/>
                <w:szCs w:val="14"/>
                <w:color w:val="0000EE"/>
                <w:w w:val="94"/>
              </w:rPr>
            </w:pPr>
            <w:hyperlink r:id="rId199">
              <w:r>
                <w:rPr>
                  <w:rFonts w:ascii="Arial" w:cs="Arial" w:eastAsia="Arial" w:hAnsi="Arial"/>
                  <w:sz w:val="14"/>
                  <w:szCs w:val="14"/>
                  <w:u w:val="single" w:color="auto"/>
                  <w:color w:val="0000EE"/>
                  <w:w w:val="94"/>
                </w:rPr>
                <w:t>⁄</w:t>
              </w:r>
              <w:r>
                <w:rPr>
                  <w:rFonts w:ascii="Arial" w:cs="Arial" w:eastAsia="Arial" w:hAnsi="Arial"/>
                  <w:sz w:val="22"/>
                  <w:szCs w:val="22"/>
                  <w:color w:val="0000EE"/>
                  <w:w w:val="94"/>
                  <w:vertAlign w:val="subscript"/>
                </w:rPr>
                <w:t>2</w:t>
              </w:r>
            </w:hyperlink>
          </w:p>
        </w:tc>
        <w:tc>
          <w:tcPr>
            <w:tcW w:w="8360" w:type="dxa"/>
            <w:vAlign w:val="bottom"/>
            <w:gridSpan w:val="18"/>
            <w:vMerge w:val="restart"/>
          </w:tcPr>
          <w:p>
            <w:pPr>
              <w:spacing w:after="0" w:line="182"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 Senior Notes due 2023 (incorporated by reference to Exhibit 4.1 of the Registrant’s Current Report on Form 8-K</w:t>
              </w:r>
            </w:hyperlink>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6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360" w:type="dxa"/>
            <w:vAlign w:val="bottom"/>
            <w:tcBorders>
              <w:bottom w:val="single" w:sz="8" w:color="0000EE"/>
            </w:tcBorders>
            <w:gridSpan w:val="1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vMerge w:val="restart"/>
          </w:tcPr>
          <w:p>
            <w:pPr>
              <w:ind w:left="40"/>
              <w:spacing w:after="0" w:line="183"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2013 (File No. 0.-50189)).</w:t>
              </w:r>
            </w:hyperlink>
          </w:p>
        </w:tc>
        <w:tc>
          <w:tcPr>
            <w:tcW w:w="6660" w:type="dxa"/>
            <w:vAlign w:val="bottom"/>
            <w:gridSpan w:val="2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1240" w:type="dxa"/>
            <w:vAlign w:val="bottom"/>
            <w:tcBorders>
              <w:bottom w:val="single" w:sz="8" w:color="0000EE"/>
            </w:tcBorders>
            <w:gridSpan w:val="5"/>
          </w:tcPr>
          <w:p>
            <w:pPr>
              <w:spacing w:after="0" w:line="143" w:lineRule="exact"/>
              <w:rPr>
                <w:rFonts w:ascii="Arial" w:cs="Arial" w:eastAsia="Arial" w:hAnsi="Arial"/>
                <w:sz w:val="16"/>
                <w:szCs w:val="16"/>
                <w:color w:val="0000EE"/>
                <w:w w:val="95"/>
              </w:rPr>
            </w:pPr>
            <w:hyperlink r:id="rId199">
              <w:r>
                <w:rPr>
                  <w:rFonts w:ascii="Arial" w:cs="Arial" w:eastAsia="Arial" w:hAnsi="Arial"/>
                  <w:sz w:val="16"/>
                  <w:szCs w:val="16"/>
                  <w:color w:val="0000EE"/>
                  <w:w w:val="95"/>
                </w:rPr>
                <w:t>dated January 15,</w:t>
              </w:r>
            </w:hyperlink>
          </w:p>
        </w:tc>
        <w:tc>
          <w:tcPr>
            <w:tcW w:w="20" w:type="dxa"/>
            <w:vAlign w:val="bottom"/>
            <w:tcBorders>
              <w:bottom w:val="single" w:sz="8" w:color="0000EE"/>
            </w:tcBorders>
          </w:tcPr>
          <w:p>
            <w:pPr>
              <w:spacing w:after="0"/>
              <w:rPr>
                <w:sz w:val="12"/>
                <w:szCs w:val="12"/>
                <w:color w:val="auto"/>
              </w:rPr>
            </w:pPr>
          </w:p>
        </w:tc>
        <w:tc>
          <w:tcPr>
            <w:tcW w:w="1960" w:type="dxa"/>
            <w:vAlign w:val="bottom"/>
            <w:tcBorders>
              <w:bottom w:val="single" w:sz="8" w:color="0000EE"/>
            </w:tcBorders>
            <w:vMerge w:val="continue"/>
          </w:tcPr>
          <w:p>
            <w:pPr>
              <w:spacing w:after="0"/>
              <w:rPr>
                <w:sz w:val="12"/>
                <w:szCs w:val="12"/>
                <w:color w:val="auto"/>
              </w:rPr>
            </w:pPr>
          </w:p>
        </w:tc>
        <w:tc>
          <w:tcPr>
            <w:tcW w:w="6660" w:type="dxa"/>
            <w:vAlign w:val="bottom"/>
            <w:gridSpan w:val="2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4.n</w:t>
            </w:r>
          </w:p>
        </w:tc>
        <w:tc>
          <w:tcPr>
            <w:tcW w:w="9640" w:type="dxa"/>
            <w:vAlign w:val="bottom"/>
            <w:tcBorders>
              <w:bottom w:val="single" w:sz="8" w:color="0000EE"/>
            </w:tcBorders>
            <w:gridSpan w:val="25"/>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Amended &amp; Restated Credit Agreement, dated April 7, 2017, by and among Crown Americas LLC, Crown European Holdings S.A.,</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Crown Metal Packaging Canada LP, each of the Subsidiary Borrowers from time to time party thereto, Crown Holdings, Inc., Crown</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Cork &amp; Seal Company, Inc., Crown International Holdings, Inc., each other Credit Party from time to time party thereto, Deutsche Bank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AG Canada Branch, Deutsche Bank AG London Branch, Deutsche Bank AG New York Branch, and various Lenders referred to therein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(incorporated by reference to Exhibit 4 of the Registrant’s Quarterly Report on Form 10-Q for the quarter ended March 31, 2017 (File</w:t>
              </w:r>
            </w:hyperlink>
          </w:p>
        </w:tc>
        <w:tc>
          <w:tcPr>
            <w:tcW w:w="14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No. 000-50189)).</w:t>
              </w:r>
            </w:hyperlink>
          </w:p>
        </w:tc>
        <w:tc>
          <w:tcPr>
            <w:tcW w:w="8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4.o</w:t>
            </w:r>
          </w:p>
        </w:tc>
        <w:tc>
          <w:tcPr>
            <w:tcW w:w="9880" w:type="dxa"/>
            <w:vAlign w:val="bottom"/>
            <w:gridSpan w:val="32"/>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Indenture, dated as of July 8, 2014, by and among Crown European Holdings S.A., as Issuer, the Guarantors named therein, U.S. Bank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 xml:space="preserve">National Association, as Trustee, and the other parties thereto, relating to the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650 million 4% Senior Notes due 2022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7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reference to Exhibit 4.1 of the Registrant’s Current Report on Form 8-K dated July 11, 2014 (File No. 000-50189)).</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4.p</w:t>
            </w:r>
          </w:p>
        </w:tc>
        <w:tc>
          <w:tcPr>
            <w:tcW w:w="44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Form of 4% Senior Notes due 2022 (included in Exhibit 4.o).</w:t>
              </w:r>
            </w:hyperlink>
          </w:p>
        </w:tc>
        <w:tc>
          <w:tcPr>
            <w:tcW w:w="3920" w:type="dxa"/>
            <w:vAlign w:val="bottom"/>
            <w:tcBorders>
              <w:top w:val="single" w:sz="8" w:color="0000EE"/>
            </w:tcBorders>
            <w:gridSpan w:val="7"/>
          </w:tcPr>
          <w:p>
            <w:pPr>
              <w:spacing w:after="0"/>
              <w:rPr>
                <w:sz w:val="24"/>
                <w:szCs w:val="24"/>
                <w:color w:val="auto"/>
              </w:rPr>
            </w:pPr>
          </w:p>
        </w:tc>
        <w:tc>
          <w:tcPr>
            <w:tcW w:w="15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4.q</w:t>
            </w:r>
          </w:p>
        </w:tc>
        <w:tc>
          <w:tcPr>
            <w:tcW w:w="9560" w:type="dxa"/>
            <w:vAlign w:val="bottom"/>
            <w:tcBorders>
              <w:bottom w:val="single" w:sz="8" w:color="0000EE"/>
            </w:tcBorders>
            <w:gridSpan w:val="21"/>
          </w:tcPr>
          <w:p>
            <w:pPr>
              <w:spacing w:after="0"/>
              <w:rPr>
                <w:rFonts w:ascii="Arial" w:cs="Arial" w:eastAsia="Arial" w:hAnsi="Arial"/>
                <w:sz w:val="18"/>
                <w:szCs w:val="18"/>
                <w:color w:val="0000EE"/>
                <w:w w:val="89"/>
              </w:rPr>
            </w:pPr>
            <w:hyperlink r:id="rId202">
              <w:r>
                <w:rPr>
                  <w:rFonts w:ascii="Arial" w:cs="Arial" w:eastAsia="Arial" w:hAnsi="Arial"/>
                  <w:sz w:val="18"/>
                  <w:szCs w:val="18"/>
                  <w:color w:val="0000EE"/>
                  <w:w w:val="89"/>
                </w:rPr>
                <w:t>Indenture, dated as of September 15, 2016, by and among Crown European Holdings, S.A., as Issuer, the Guarantors named therein,</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 xml:space="preserve">U.S. Bank National Association, as Trustee, and the other parties thereto,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600 million 2.625% Senior Notes due 2024</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(incorporated by reference to Exhibit 4.1 of the Registrant’s Current Report on Form 8-K dated September 19, 2016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No. 000-50189)).</w:t>
              </w:r>
            </w:hyperlink>
          </w:p>
        </w:tc>
        <w:tc>
          <w:tcPr>
            <w:tcW w:w="7500" w:type="dxa"/>
            <w:vAlign w:val="bottom"/>
            <w:tcBorders>
              <w:top w:val="single" w:sz="8" w:color="0000EE"/>
            </w:tcBorders>
            <w:gridSpan w:val="10"/>
          </w:tcPr>
          <w:p>
            <w:pPr>
              <w:spacing w:after="0"/>
              <w:rPr>
                <w:sz w:val="17"/>
                <w:szCs w:val="17"/>
                <w:color w:val="auto"/>
              </w:rPr>
            </w:pPr>
          </w:p>
        </w:tc>
        <w:tc>
          <w:tcPr>
            <w:tcW w:w="1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4.r</w:t>
            </w:r>
          </w:p>
        </w:tc>
        <w:tc>
          <w:tcPr>
            <w:tcW w:w="4740" w:type="dxa"/>
            <w:vAlign w:val="bottom"/>
            <w:tcBorders>
              <w:bottom w:val="single" w:sz="8" w:color="0000EE"/>
            </w:tcBorders>
            <w:gridSpan w:val="11"/>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Form of 2.625% Senior Notes due 2024 (included in Exhibit 4.q).</w:t>
              </w:r>
            </w:hyperlink>
          </w:p>
        </w:tc>
        <w:tc>
          <w:tcPr>
            <w:tcW w:w="51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4.s</w:t>
            </w:r>
          </w:p>
        </w:tc>
        <w:tc>
          <w:tcPr>
            <w:tcW w:w="9740" w:type="dxa"/>
            <w:vAlign w:val="bottom"/>
            <w:tcBorders>
              <w:bottom w:val="single" w:sz="8" w:color="0000EE"/>
            </w:tcBorders>
            <w:gridSpan w:val="27"/>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Indenture, dated as of September 15, 2016, by and among Crown Americas LLC and Crown Americas Capital Corp. V, as Issuers, the</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 xml:space="preserve">Guarantors named therein and U.S. Bank National Association, as Trustee,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400 million 4.25% Senior Notes due 2026</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(incorporated by reference to Exhibit 4.2 of the Registrant’s Current Report on Form 8-K dated September 19, 2016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No. 000-50189)).</w:t>
              </w:r>
            </w:hyperlink>
          </w:p>
        </w:tc>
        <w:tc>
          <w:tcPr>
            <w:tcW w:w="7500" w:type="dxa"/>
            <w:vAlign w:val="bottom"/>
            <w:tcBorders>
              <w:top w:val="single" w:sz="8" w:color="0000EE"/>
            </w:tcBorders>
            <w:gridSpan w:val="10"/>
          </w:tcPr>
          <w:p>
            <w:pPr>
              <w:spacing w:after="0"/>
              <w:rPr>
                <w:sz w:val="17"/>
                <w:szCs w:val="17"/>
                <w:color w:val="auto"/>
              </w:rPr>
            </w:pPr>
          </w:p>
        </w:tc>
        <w:tc>
          <w:tcPr>
            <w:tcW w:w="1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4.t</w:t>
            </w:r>
          </w:p>
        </w:tc>
        <w:tc>
          <w:tcPr>
            <w:tcW w:w="4620" w:type="dxa"/>
            <w:vAlign w:val="bottom"/>
            <w:tcBorders>
              <w:bottom w:val="single" w:sz="8" w:color="0000EE"/>
            </w:tcBorders>
            <w:gridSpan w:val="9"/>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Form of 4.25% Senior Notes due 2026 (included in Exhibit 4.s).</w:t>
              </w:r>
            </w:hyperlink>
          </w:p>
        </w:tc>
        <w:tc>
          <w:tcPr>
            <w:tcW w:w="52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4.u</w:t>
            </w:r>
          </w:p>
        </w:tc>
        <w:tc>
          <w:tcPr>
            <w:tcW w:w="9880" w:type="dxa"/>
            <w:vAlign w:val="bottom"/>
            <w:gridSpan w:val="32"/>
          </w:tcPr>
          <w:p>
            <w:pPr>
              <w:spacing w:after="0"/>
              <w:rPr>
                <w:rFonts w:ascii="Arial" w:cs="Arial" w:eastAsia="Arial" w:hAnsi="Arial"/>
                <w:sz w:val="18"/>
                <w:szCs w:val="18"/>
                <w:color w:val="0000EE"/>
                <w:w w:val="94"/>
              </w:rPr>
            </w:pPr>
            <w:hyperlink r:id="rId204">
              <w:r>
                <w:rPr>
                  <w:rFonts w:ascii="Arial" w:cs="Arial" w:eastAsia="Arial" w:hAnsi="Arial"/>
                  <w:sz w:val="18"/>
                  <w:szCs w:val="18"/>
                  <w:color w:val="0000EE"/>
                  <w:w w:val="94"/>
                </w:rPr>
                <w:t>Registration Rights Agreement, dated as of September 15, 2016, by and among Crown Holdings, Crown Americas LLC and Crown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20" w:type="dxa"/>
            <w:vAlign w:val="bottom"/>
            <w:tcBorders>
              <w:top w:val="single" w:sz="8" w:color="0000EE"/>
            </w:tcBorders>
            <w:gridSpan w:val="19"/>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Americas Capital Corp. V, Citigroup Capital Markets Inc., as representative of the initial purchasers, and the Guarantors (as defined</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 xml:space="preserve">therein),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400 million 4.25% Senior Notes due 2026 (incorporated by reference to Exhibit 4.3 of the Registrant’s Current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Report on Form 8-K dated September 19, 2016 (File No. 000-50189)).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4.v</w:t>
            </w:r>
          </w:p>
        </w:tc>
        <w:tc>
          <w:tcPr>
            <w:tcW w:w="9580" w:type="dxa"/>
            <w:vAlign w:val="bottom"/>
            <w:tcBorders>
              <w:bottom w:val="single" w:sz="8" w:color="0000EE"/>
            </w:tcBorders>
            <w:gridSpan w:val="22"/>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Indenture, dated as of May 5, 2015, among Crown European Holdings S.A., the Guarantors (as defined therein), U.S. Bank National</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5"/>
              </w:rPr>
            </w:pPr>
            <w:hyperlink r:id="rId205">
              <w:r>
                <w:rPr>
                  <w:rFonts w:ascii="Arial" w:cs="Arial" w:eastAsia="Arial" w:hAnsi="Arial"/>
                  <w:sz w:val="18"/>
                  <w:szCs w:val="18"/>
                  <w:color w:val="0000EE"/>
                  <w:w w:val="95"/>
                </w:rPr>
                <w:t>Association, as trustee, Elavon Financial Services Limited, UK Branch, as paying agent, and Elavon Financial Services Limited,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 xml:space="preserve">registrar and transfer agent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600 million 3.375% Senior Notes due 2025 (incorporated by reference to Exhibit 10.1 of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Registrant’s Quarterly Report on Form 10-Q dated July 30, 2015 (File No. 000-50189)).</w:t>
              </w:r>
            </w:hyperlink>
          </w:p>
        </w:tc>
        <w:tc>
          <w:tcPr>
            <w:tcW w:w="3420" w:type="dxa"/>
            <w:vAlign w:val="bottom"/>
            <w:tcBorders>
              <w:top w:val="single" w:sz="8" w:color="0000EE"/>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4.w</w:t>
            </w:r>
          </w:p>
        </w:tc>
        <w:tc>
          <w:tcPr>
            <w:tcW w:w="9880" w:type="dxa"/>
            <w:vAlign w:val="bottom"/>
            <w:gridSpan w:val="32"/>
          </w:tcPr>
          <w:p>
            <w:pPr>
              <w:spacing w:after="0"/>
              <w:rPr>
                <w:rFonts w:ascii="Arial" w:cs="Arial" w:eastAsia="Arial" w:hAnsi="Arial"/>
                <w:sz w:val="18"/>
                <w:szCs w:val="18"/>
                <w:color w:val="0000EE"/>
              </w:rPr>
            </w:pPr>
            <w:hyperlink r:id="rId205">
              <w:r>
                <w:rPr>
                  <w:rFonts w:ascii="Arial" w:cs="Arial" w:eastAsia="Arial" w:hAnsi="Arial"/>
                  <w:sz w:val="18"/>
                  <w:szCs w:val="18"/>
                  <w:color w:val="0000EE"/>
                </w:rPr>
                <w:t>Form of 3.375% Senior Notes due 2025 (included in Exhibit 4.v).</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4.x</w:t>
            </w:r>
          </w:p>
        </w:tc>
        <w:tc>
          <w:tcPr>
            <w:tcW w:w="9680" w:type="dxa"/>
            <w:vAlign w:val="bottom"/>
            <w:tcBorders>
              <w:bottom w:val="single" w:sz="8" w:color="0000EE"/>
            </w:tcBorders>
            <w:gridSpan w:val="26"/>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Registration Rights Agreement, dated as of January 26, 2018, by and among Crown Holdings, Inc., Crown Americas LLC and Crown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Americas Capital Corp. VI, Citigroup Global Markets Inc., as representative of the initial purchasers, and the Guarantors (as defined</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 xml:space="preserve">therein),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875 million 4.750% Senior Notes due 2026 (incorporated by reference to Exhibit 4.3 of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9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Report on Form 8-K dated February 1, 2018 (File No. 000-50189)).</w:t>
              </w:r>
            </w:hyperlink>
          </w:p>
        </w:tc>
        <w:tc>
          <w:tcPr>
            <w:tcW w:w="4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4.y</w:t>
            </w:r>
          </w:p>
        </w:tc>
        <w:tc>
          <w:tcPr>
            <w:tcW w:w="9900" w:type="dxa"/>
            <w:vAlign w:val="bottom"/>
            <w:gridSpan w:val="18"/>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Indenture, dated as of January 26, 2018, by and among Crown European Holdings S.A., as Issuer, the Guarantors named therein, U.S.</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 xml:space="preserve">Bank National Association, as Trustee, and the other parties thereto,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335 million 2.250% Senior Notes due 2023 and the</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7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u w:val="single" w:color="auto"/>
                  <w:color w:val="0000EE"/>
                  <w:w w:val="91"/>
                </w:rPr>
                <w:t>€</w:t>
              </w:r>
              <w:r>
                <w:rPr>
                  <w:rFonts w:ascii="Arial" w:cs="Arial" w:eastAsia="Arial" w:hAnsi="Arial"/>
                  <w:sz w:val="18"/>
                  <w:szCs w:val="18"/>
                  <w:color w:val="0000EE"/>
                  <w:w w:val="91"/>
                </w:rPr>
                <w:t>500 million 2.875% Senior Notes due 2026 (incorporated by reference to Exhibit 4.1 of the Registrant’s Current Report on Form 8-K</w:t>
              </w:r>
            </w:hyperlink>
          </w:p>
        </w:tc>
        <w:tc>
          <w:tcPr>
            <w:tcW w:w="1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dated February 1, 2018 (File No. 000-50189)).</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4.z</w:t>
            </w:r>
          </w:p>
        </w:tc>
        <w:tc>
          <w:tcPr>
            <w:tcW w:w="9560" w:type="dxa"/>
            <w:vAlign w:val="bottom"/>
            <w:tcBorders>
              <w:bottom w:val="single" w:sz="8" w:color="0000EE"/>
            </w:tcBorders>
            <w:gridSpan w:val="9"/>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Indenture, dated as of January 26, 2018, by and among Crown Americas LLC and Crown Americas Capital Corp. VI, as Issuers, the</w:t>
              </w:r>
            </w:hyperlink>
          </w:p>
        </w:tc>
        <w:tc>
          <w:tcPr>
            <w:tcW w:w="34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2"/>
              </w:rPr>
            </w:pPr>
            <w:hyperlink r:id="rId209">
              <w:r>
                <w:rPr>
                  <w:rFonts w:ascii="Arial" w:cs="Arial" w:eastAsia="Arial" w:hAnsi="Arial"/>
                  <w:sz w:val="18"/>
                  <w:szCs w:val="18"/>
                  <w:color w:val="0000EE"/>
                  <w:w w:val="92"/>
                </w:rPr>
                <w:t xml:space="preserve">Guarantors named therein and U.S. Bank National Association, as Trustee, relating to the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875 million 4.750% Senior Notes due 2026</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(incorporated by reference to Exhibit 4.2 of the Registrant’s Current Report on Form 8-K dated February 1, 2018 (File No. 000-50189)).</w:t>
              </w:r>
            </w:hyperlink>
          </w:p>
        </w:tc>
        <w:tc>
          <w:tcPr>
            <w:tcW w:w="40" w:type="dxa"/>
            <w:vAlign w:val="bottom"/>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4.aa</w:t>
            </w:r>
          </w:p>
        </w:tc>
        <w:tc>
          <w:tcPr>
            <w:tcW w:w="4680" w:type="dxa"/>
            <w:vAlign w:val="bottom"/>
            <w:tcBorders>
              <w:bottom w:val="single" w:sz="8" w:color="0000EE"/>
            </w:tcBorders>
            <w:gridSpan w:val="3"/>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Form of 2.250% Senior Notes due 2023 (included in Exhibit 4.z)</w:t>
              </w:r>
            </w:hyperlink>
          </w:p>
        </w:tc>
        <w:tc>
          <w:tcPr>
            <w:tcW w:w="5220" w:type="dxa"/>
            <w:vAlign w:val="bottom"/>
            <w:gridSpan w:val="15"/>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4.bb</w:t>
            </w:r>
          </w:p>
        </w:tc>
        <w:tc>
          <w:tcPr>
            <w:tcW w:w="9900" w:type="dxa"/>
            <w:vAlign w:val="bottom"/>
            <w:gridSpan w:val="18"/>
          </w:tcPr>
          <w:p>
            <w:pPr>
              <w:spacing w:after="0"/>
              <w:rPr>
                <w:rFonts w:ascii="Arial" w:cs="Arial" w:eastAsia="Arial" w:hAnsi="Arial"/>
                <w:sz w:val="18"/>
                <w:szCs w:val="18"/>
                <w:color w:val="0000EE"/>
              </w:rPr>
            </w:pPr>
            <w:hyperlink r:id="rId208">
              <w:r>
                <w:rPr>
                  <w:rFonts w:ascii="Arial" w:cs="Arial" w:eastAsia="Arial" w:hAnsi="Arial"/>
                  <w:sz w:val="18"/>
                  <w:szCs w:val="18"/>
                  <w:color w:val="0000EE"/>
                </w:rPr>
                <w:t>Form of 4.750% Senior Notes due 2026 (included in Exhibit 4.y)</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4.cc</w:t>
            </w:r>
          </w:p>
        </w:tc>
        <w:tc>
          <w:tcPr>
            <w:tcW w:w="9900" w:type="dxa"/>
            <w:vAlign w:val="bottom"/>
            <w:gridSpan w:val="18"/>
          </w:tcPr>
          <w:p>
            <w:pPr>
              <w:spacing w:after="0"/>
              <w:rPr>
                <w:rFonts w:ascii="Arial" w:cs="Arial" w:eastAsia="Arial" w:hAnsi="Arial"/>
                <w:sz w:val="18"/>
                <w:szCs w:val="18"/>
                <w:color w:val="0000EE"/>
              </w:rPr>
            </w:pPr>
            <w:hyperlink r:id="rId208">
              <w:r>
                <w:rPr>
                  <w:rFonts w:ascii="Arial" w:cs="Arial" w:eastAsia="Arial" w:hAnsi="Arial"/>
                  <w:sz w:val="18"/>
                  <w:szCs w:val="18"/>
                  <w:color w:val="0000EE"/>
                </w:rPr>
                <w:t>Form of 2.875% Senior Notes due 2026 (included in Exhibit 4.y)</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4.dd</w:t>
            </w:r>
          </w:p>
        </w:tc>
        <w:tc>
          <w:tcPr>
            <w:tcW w:w="9820" w:type="dxa"/>
            <w:vAlign w:val="bottom"/>
            <w:tcBorders>
              <w:bottom w:val="single" w:sz="8" w:color="0000EE"/>
            </w:tcBorders>
            <w:gridSpan w:val="16"/>
          </w:tcPr>
          <w:p>
            <w:pPr>
              <w:spacing w:after="0"/>
              <w:rPr>
                <w:rFonts w:ascii="Arial" w:cs="Arial" w:eastAsia="Arial" w:hAnsi="Arial"/>
                <w:sz w:val="18"/>
                <w:szCs w:val="18"/>
                <w:color w:val="0000EE"/>
                <w:w w:val="90"/>
              </w:rPr>
            </w:pPr>
            <w:hyperlink r:id="rId210">
              <w:r>
                <w:rPr>
                  <w:rFonts w:ascii="Arial" w:cs="Arial" w:eastAsia="Arial" w:hAnsi="Arial"/>
                  <w:sz w:val="18"/>
                  <w:szCs w:val="18"/>
                  <w:color w:val="0000EE"/>
                  <w:w w:val="90"/>
                </w:rPr>
                <w:t>Purchase Agreement, dated as of January 18, 2018, by and among the Company, Crown Americas LLC, Crown Americas Capital Corp.</w:t>
              </w:r>
            </w:hyperlink>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VI, Citigroup Global Markets Inc., as representative of the Initial Purchasers named in Schedule I thereto, and the Crown Guarantors (as</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defined therein) (incorporated by reference to Exhibit 10.1 of the Registrant’s Current Report on Form 8-K dated January 23, 2018 (File</w:t>
              </w:r>
            </w:hyperlink>
          </w:p>
        </w:tc>
        <w:tc>
          <w:tcPr>
            <w:tcW w:w="10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No. 000-50189)).</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4.ee</w:t>
            </w:r>
          </w:p>
        </w:tc>
        <w:tc>
          <w:tcPr>
            <w:tcW w:w="9900" w:type="dxa"/>
            <w:vAlign w:val="bottom"/>
            <w:gridSpan w:val="18"/>
          </w:tcPr>
          <w:p>
            <w:pPr>
              <w:spacing w:after="0"/>
              <w:rPr>
                <w:rFonts w:ascii="Arial" w:cs="Arial" w:eastAsia="Arial" w:hAnsi="Arial"/>
                <w:sz w:val="18"/>
                <w:szCs w:val="18"/>
                <w:color w:val="0000EE"/>
                <w:w w:val="94"/>
              </w:rPr>
            </w:pPr>
            <w:hyperlink r:id="rId211">
              <w:r>
                <w:rPr>
                  <w:rFonts w:ascii="Arial" w:cs="Arial" w:eastAsia="Arial" w:hAnsi="Arial"/>
                  <w:sz w:val="18"/>
                  <w:szCs w:val="18"/>
                  <w:color w:val="0000EE"/>
                  <w:w w:val="94"/>
                </w:rPr>
                <w:t>Purchase Agreement, dated as of January 18, 2018, by and among the Company, Crown European Holdings S.A., Citigroup Global</w:t>
              </w:r>
            </w:hyperlink>
          </w:p>
        </w:tc>
      </w:tr>
      <w:tr>
        <w:trPr>
          <w:trHeight w:val="20"/>
        </w:trPr>
        <w:tc>
          <w:tcPr>
            <w:tcW w:w="1020" w:type="dxa"/>
            <w:vAlign w:val="bottom"/>
          </w:tcPr>
          <w:p>
            <w:pPr>
              <w:spacing w:after="0" w:line="20" w:lineRule="exact"/>
              <w:rPr>
                <w:sz w:val="1"/>
                <w:szCs w:val="1"/>
                <w:color w:val="auto"/>
              </w:rPr>
            </w:pPr>
          </w:p>
        </w:tc>
        <w:tc>
          <w:tcPr>
            <w:tcW w:w="7520" w:type="dxa"/>
            <w:vAlign w:val="bottom"/>
            <w:gridSpan w:val="4"/>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Markets Limited, as representative of the Initial Purchasers named in Schedule I thereto, and the Crown Guarantors (as defined therein)</w:t>
              </w:r>
            </w:hyperlink>
          </w:p>
        </w:tc>
        <w:tc>
          <w:tcPr>
            <w:tcW w:w="14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(incorporated by reference to Exhibit 10.2 of the Registrant’s Current Report on Form 8-K dated January 23, 2018 (File No. 000-50189)).</w:t>
              </w:r>
            </w:hyperlink>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4.ff</w:t>
            </w:r>
          </w:p>
        </w:tc>
        <w:tc>
          <w:tcPr>
            <w:tcW w:w="9900" w:type="dxa"/>
            <w:vAlign w:val="bottom"/>
            <w:gridSpan w:val="18"/>
          </w:tcPr>
          <w:p>
            <w:pPr>
              <w:spacing w:after="0"/>
              <w:rPr>
                <w:rFonts w:ascii="Arial" w:cs="Arial" w:eastAsia="Arial" w:hAnsi="Arial"/>
                <w:sz w:val="18"/>
                <w:szCs w:val="18"/>
                <w:color w:val="0000EE"/>
                <w:w w:val="93"/>
              </w:rPr>
            </w:pPr>
            <w:hyperlink r:id="rId212">
              <w:r>
                <w:rPr>
                  <w:rFonts w:ascii="Arial" w:cs="Arial" w:eastAsia="Arial" w:hAnsi="Arial"/>
                  <w:sz w:val="18"/>
                  <w:szCs w:val="18"/>
                  <w:color w:val="0000EE"/>
                  <w:w w:val="93"/>
                </w:rPr>
                <w:t>First Amendment to Amended &amp; Restated Credit Agreement, dated December 28, 2017, by and among Crown Americas LLC, Crown</w:t>
              </w:r>
            </w:hyperlink>
          </w:p>
        </w:tc>
      </w:tr>
      <w:tr>
        <w:trPr>
          <w:trHeight w:val="196"/>
        </w:trPr>
        <w:tc>
          <w:tcPr>
            <w:tcW w:w="1020" w:type="dxa"/>
            <w:vAlign w:val="bottom"/>
          </w:tcPr>
          <w:p>
            <w:pPr>
              <w:spacing w:after="0"/>
              <w:rPr>
                <w:sz w:val="17"/>
                <w:szCs w:val="17"/>
                <w:color w:val="auto"/>
              </w:rPr>
            </w:pPr>
          </w:p>
        </w:tc>
        <w:tc>
          <w:tcPr>
            <w:tcW w:w="972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European Holdings S.A., Crown Metal Packaging Canada LP, each of the Subsidiary Borrowers party thereto, Crown Holdings, Inc.,</w:t>
              </w:r>
            </w:hyperlink>
          </w:p>
        </w:tc>
        <w:tc>
          <w:tcPr>
            <w:tcW w:w="1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Crown Cork &amp; Seal Company, Inc., Crown International Holdings, Inc., Deutsche Bank AG Canada Branch, Deutsche Bank AG</w:t>
              </w:r>
            </w:hyperlink>
          </w:p>
        </w:tc>
        <w:tc>
          <w:tcPr>
            <w:tcW w:w="240" w:type="dxa"/>
            <w:vAlign w:val="bottom"/>
            <w:tcBorders>
              <w:top w:val="single" w:sz="8" w:color="0000EE"/>
            </w:tcBorders>
            <w:gridSpan w:val="4"/>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London Branch, Deutsche Bank AG New York Branch, and the Lenders party thereto (incorporated by reference to Exhibit 4.x of the</w:t>
              </w:r>
            </w:hyperlink>
          </w:p>
        </w:tc>
        <w:tc>
          <w:tcPr>
            <w:tcW w:w="24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Registrant’s Annual Report on Form 10-K for the year ended December 31, 2017 (File No. 000-50189)).</w:t>
              </w:r>
            </w:hyperlink>
          </w:p>
        </w:tc>
      </w:tr>
      <w:tr>
        <w:trPr>
          <w:trHeight w:val="20"/>
        </w:trPr>
        <w:tc>
          <w:tcPr>
            <w:tcW w:w="1020" w:type="dxa"/>
            <w:vAlign w:val="bottom"/>
          </w:tcPr>
          <w:p>
            <w:pPr>
              <w:spacing w:after="0" w:line="20" w:lineRule="exact"/>
              <w:rPr>
                <w:sz w:val="1"/>
                <w:szCs w:val="1"/>
                <w:color w:val="auto"/>
              </w:rPr>
            </w:pPr>
          </w:p>
        </w:tc>
        <w:tc>
          <w:tcPr>
            <w:tcW w:w="7520" w:type="dxa"/>
            <w:vAlign w:val="bottom"/>
            <w:gridSpan w:val="4"/>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4.gg</w:t>
            </w:r>
          </w:p>
        </w:tc>
        <w:tc>
          <w:tcPr>
            <w:tcW w:w="9540" w:type="dxa"/>
            <w:vAlign w:val="bottom"/>
            <w:tcBorders>
              <w:bottom w:val="single" w:sz="8" w:color="0000EE"/>
            </w:tcBorders>
            <w:gridSpan w:val="8"/>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Incremental Amendment No. 1 to Amended &amp; Restated Credit Agreement, dated January 29, 2018, by and among Crown Americas</w:t>
              </w:r>
            </w:hyperlink>
          </w:p>
        </w:tc>
        <w:tc>
          <w:tcPr>
            <w:tcW w:w="36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4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LLC, Crown European Holdings S.A., Crown Metal Packaging Canada LP, each of the Subsidiary Borrowers party thereto, Crown</w:t>
              </w:r>
            </w:hyperlink>
          </w:p>
        </w:tc>
        <w:tc>
          <w:tcPr>
            <w:tcW w:w="4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Holdings, Inc., Crown Cork &amp; Seal Company, Inc., Crown International Holdings, Inc., each other Credit Party party thereto, Deutsche</w:t>
              </w:r>
            </w:hyperlink>
          </w:p>
        </w:tc>
        <w:tc>
          <w:tcPr>
            <w:tcW w:w="12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4"/>
              </w:rPr>
            </w:pPr>
            <w:hyperlink r:id="rId213">
              <w:r>
                <w:rPr>
                  <w:rFonts w:ascii="Arial" w:cs="Arial" w:eastAsia="Arial" w:hAnsi="Arial"/>
                  <w:sz w:val="18"/>
                  <w:szCs w:val="18"/>
                  <w:color w:val="0000EE"/>
                  <w:w w:val="94"/>
                </w:rPr>
                <w:t>Bank AG Canada Branch, Deutsche Bank AG London Branch, Deutsche Bank AG New York Branch, and the Lenders party thereto</w:t>
              </w:r>
            </w:hyperlink>
          </w:p>
        </w:tc>
      </w:tr>
      <w:tr>
        <w:trPr>
          <w:trHeight w:val="20"/>
        </w:trPr>
        <w:tc>
          <w:tcPr>
            <w:tcW w:w="1020" w:type="dxa"/>
            <w:vAlign w:val="bottom"/>
          </w:tcPr>
          <w:p>
            <w:pPr>
              <w:spacing w:after="0" w:line="20" w:lineRule="exact"/>
              <w:rPr>
                <w:sz w:val="1"/>
                <w:szCs w:val="1"/>
                <w:color w:val="auto"/>
              </w:rPr>
            </w:pPr>
          </w:p>
        </w:tc>
        <w:tc>
          <w:tcPr>
            <w:tcW w:w="9520" w:type="dxa"/>
            <w:vAlign w:val="bottom"/>
            <w:gridSpan w:val="7"/>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(incorporated by reference to Exhibit 4.y of the Registrant’s Annual Report on Form 10-K for the year ended December 31, 2017 (File</w:t>
              </w:r>
            </w:hyperlink>
          </w:p>
        </w:tc>
        <w:tc>
          <w:tcPr>
            <w:tcW w:w="22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No. 000-50189)).</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r>
      <w:tr>
        <w:trPr>
          <w:trHeight w:val="438"/>
        </w:trPr>
        <w:tc>
          <w:tcPr>
            <w:tcW w:w="10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Arial" w:cs="Arial" w:eastAsia="Arial" w:hAnsi="Arial"/>
                <w:sz w:val="18"/>
                <w:szCs w:val="18"/>
                <w:color w:val="auto"/>
                <w:w w:val="91"/>
              </w:rPr>
              <w:t>Other long-term agreements of the Registrant are not filed pursuant to Item 601(b)(4)(iii)(A) of Regulation S-K and the Registrant agrees</w:t>
            </w:r>
          </w:p>
        </w:tc>
      </w:tr>
      <w:tr>
        <w:trPr>
          <w:trHeight w:val="230"/>
        </w:trPr>
        <w:tc>
          <w:tcPr>
            <w:tcW w:w="1020" w:type="dxa"/>
            <w:vAlign w:val="bottom"/>
          </w:tcPr>
          <w:p>
            <w:pPr>
              <w:spacing w:after="0"/>
              <w:rPr>
                <w:sz w:val="20"/>
                <w:szCs w:val="20"/>
                <w:color w:val="auto"/>
              </w:rPr>
            </w:pPr>
          </w:p>
        </w:tc>
        <w:tc>
          <w:tcPr>
            <w:tcW w:w="9900" w:type="dxa"/>
            <w:vAlign w:val="bottom"/>
            <w:gridSpan w:val="18"/>
          </w:tcPr>
          <w:p>
            <w:pPr>
              <w:spacing w:after="0"/>
              <w:rPr>
                <w:sz w:val="20"/>
                <w:szCs w:val="20"/>
                <w:color w:val="auto"/>
              </w:rPr>
            </w:pPr>
            <w:r>
              <w:rPr>
                <w:rFonts w:ascii="Arial" w:cs="Arial" w:eastAsia="Arial" w:hAnsi="Arial"/>
                <w:sz w:val="18"/>
                <w:szCs w:val="18"/>
                <w:color w:val="auto"/>
              </w:rPr>
              <w:t>to furnish copies of such agreements to the Securities and Exchange Commission upon its requests.</w:t>
            </w:r>
          </w:p>
        </w:tc>
      </w:tr>
    </w:tbl>
    <w:p>
      <w:pPr>
        <w:spacing w:after="0" w:line="202" w:lineRule="exact"/>
        <w:rPr>
          <w:sz w:val="20"/>
          <w:szCs w:val="20"/>
          <w:color w:val="auto"/>
        </w:rPr>
      </w:pPr>
    </w:p>
    <w:p>
      <w:pPr>
        <w:ind w:left="1320" w:hanging="1026"/>
        <w:spacing w:after="0"/>
        <w:tabs>
          <w:tab w:leader="none" w:pos="1320" w:val="left"/>
        </w:tabs>
        <w:numPr>
          <w:ilvl w:val="0"/>
          <w:numId w:val="102"/>
        </w:numPr>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Opinion of Dechert LLP, Philadelphia, Pennsylvania.*</w:t>
        </w:r>
      </w:hyperlink>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23.a</w:t>
            </w:r>
          </w:p>
        </w:tc>
        <w:tc>
          <w:tcPr>
            <w:tcW w:w="3100" w:type="dxa"/>
            <w:vAlign w:val="bottom"/>
            <w:tcBorders>
              <w:bottom w:val="single" w:sz="8" w:color="0000EE"/>
            </w:tcBorders>
            <w:gridSpan w:val="2"/>
          </w:tcPr>
          <w:p>
            <w:pPr>
              <w:spacing w:after="0"/>
              <w:rPr>
                <w:rFonts w:ascii="Arial" w:cs="Arial" w:eastAsia="Arial" w:hAnsi="Arial"/>
                <w:sz w:val="18"/>
                <w:szCs w:val="18"/>
                <w:color w:val="0000EE"/>
                <w:w w:val="89"/>
              </w:rPr>
            </w:pPr>
            <w:hyperlink r:id="rId215">
              <w:r>
                <w:rPr>
                  <w:rFonts w:ascii="Arial" w:cs="Arial" w:eastAsia="Arial" w:hAnsi="Arial"/>
                  <w:sz w:val="18"/>
                  <w:szCs w:val="18"/>
                  <w:color w:val="0000EE"/>
                  <w:w w:val="89"/>
                </w:rPr>
                <w:t>Consent of PricewaterhouseCoopers LLP.*</w:t>
              </w:r>
            </w:hyperlink>
          </w:p>
        </w:tc>
        <w:tc>
          <w:tcPr>
            <w:tcW w:w="2400" w:type="dxa"/>
            <w:vAlign w:val="bottom"/>
          </w:tcPr>
          <w:p>
            <w:pPr>
              <w:spacing w:after="0"/>
              <w:rPr>
                <w:sz w:val="18"/>
                <w:szCs w:val="18"/>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23.b</w:t>
            </w:r>
          </w:p>
        </w:tc>
        <w:tc>
          <w:tcPr>
            <w:tcW w:w="2640" w:type="dxa"/>
            <w:vAlign w:val="bottom"/>
            <w:tcBorders>
              <w:bottom w:val="single" w:sz="8" w:color="0000EE"/>
            </w:tcBorders>
          </w:tcPr>
          <w:p>
            <w:pPr>
              <w:spacing w:after="0"/>
              <w:rPr>
                <w:rFonts w:ascii="Arial" w:cs="Arial" w:eastAsia="Arial" w:hAnsi="Arial"/>
                <w:sz w:val="18"/>
                <w:szCs w:val="18"/>
                <w:color w:val="0000EE"/>
                <w:w w:val="92"/>
              </w:rPr>
            </w:pPr>
            <w:hyperlink r:id="rId216">
              <w:r>
                <w:rPr>
                  <w:rFonts w:ascii="Arial" w:cs="Arial" w:eastAsia="Arial" w:hAnsi="Arial"/>
                  <w:sz w:val="18"/>
                  <w:szCs w:val="18"/>
                  <w:color w:val="0000EE"/>
                  <w:w w:val="92"/>
                </w:rPr>
                <w:t>Consent of Deloitte &amp; Touche LLP.*</w:t>
              </w:r>
            </w:hyperlink>
          </w:p>
        </w:tc>
        <w:tc>
          <w:tcPr>
            <w:tcW w:w="2860" w:type="dxa"/>
            <w:vAlign w:val="bottom"/>
            <w:gridSpan w:val="2"/>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23.c</w:t>
            </w:r>
          </w:p>
        </w:tc>
        <w:tc>
          <w:tcPr>
            <w:tcW w:w="5500" w:type="dxa"/>
            <w:vAlign w:val="bottom"/>
            <w:tcBorders>
              <w:bottom w:val="single" w:sz="8" w:color="0000EE"/>
            </w:tcBorders>
            <w:gridSpan w:val="3"/>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Consent of Dechert LLP, Philadelphia, Pennsylvania (included in Exhibit 5).</w:t>
              </w:r>
            </w:hyperlink>
          </w:p>
        </w:tc>
      </w:tr>
    </w:tbl>
    <w:p>
      <w:pPr>
        <w:spacing w:after="0" w:line="121" w:lineRule="exact"/>
        <w:rPr>
          <w:sz w:val="20"/>
          <w:szCs w:val="20"/>
          <w:color w:val="auto"/>
        </w:rPr>
      </w:pPr>
    </w:p>
    <w:p>
      <w:pPr>
        <w:ind w:left="1320" w:hanging="1116"/>
        <w:spacing w:after="0"/>
        <w:tabs>
          <w:tab w:leader="none" w:pos="1320" w:val="left"/>
        </w:tabs>
        <w:numPr>
          <w:ilvl w:val="0"/>
          <w:numId w:val="103"/>
        </w:numPr>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Powers of Attorney (included on the signature pages hereto).*</w:t>
        </w:r>
      </w:hyperlink>
    </w:p>
    <w:p>
      <w:pPr>
        <w:spacing w:after="0" w:line="117" w:lineRule="exact"/>
        <w:rPr>
          <w:rFonts w:ascii="Arial" w:cs="Arial" w:eastAsia="Arial" w:hAnsi="Arial"/>
          <w:sz w:val="18"/>
          <w:szCs w:val="18"/>
          <w:u w:val="single" w:color="auto"/>
          <w:color w:val="0000EE"/>
        </w:rPr>
      </w:pPr>
    </w:p>
    <w:p>
      <w:pPr>
        <w:ind w:left="1320" w:hanging="1116"/>
        <w:spacing w:after="0"/>
        <w:tabs>
          <w:tab w:leader="none" w:pos="1320" w:val="left"/>
        </w:tabs>
        <w:numPr>
          <w:ilvl w:val="0"/>
          <w:numId w:val="103"/>
        </w:numPr>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Statements of Eligibility of U.S. Bank National Association.*</w:t>
        </w:r>
      </w:hyperlink>
    </w:p>
    <w:p>
      <w:pPr>
        <w:spacing w:after="0" w:line="117" w:lineRule="exact"/>
        <w:rPr>
          <w:rFonts w:ascii="Arial" w:cs="Arial" w:eastAsia="Arial" w:hAnsi="Arial"/>
          <w:sz w:val="18"/>
          <w:szCs w:val="18"/>
          <w:color w:val="auto"/>
        </w:rPr>
      </w:pPr>
    </w:p>
    <w:p>
      <w:pPr>
        <w:ind w:left="2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99.a</w:t>
      </w:r>
      <w:r>
        <w:rPr>
          <w:sz w:val="20"/>
          <w:szCs w:val="20"/>
          <w:color w:val="auto"/>
        </w:rPr>
        <w:tab/>
      </w:r>
      <w:hyperlink r:id="rId218">
        <w:r>
          <w:rPr>
            <w:rFonts w:ascii="Arial" w:cs="Arial" w:eastAsia="Arial" w:hAnsi="Arial"/>
            <w:sz w:val="16"/>
            <w:szCs w:val="16"/>
            <w:u w:val="single" w:color="auto"/>
            <w:color w:val="0000EE"/>
          </w:rPr>
          <w:t>Form of Letter of Transmittal.*</w:t>
        </w:r>
      </w:hyperlink>
    </w:p>
    <w:p>
      <w:pPr>
        <w:spacing w:after="0" w:line="158"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99.b</w:t>
            </w:r>
          </w:p>
        </w:tc>
        <w:tc>
          <w:tcPr>
            <w:tcW w:w="8300" w:type="dxa"/>
            <w:vAlign w:val="bottom"/>
            <w:gridSpan w:val="3"/>
          </w:tcPr>
          <w:p>
            <w:pPr>
              <w:spacing w:after="0"/>
              <w:rPr>
                <w:rFonts w:ascii="Arial" w:cs="Arial" w:eastAsia="Arial" w:hAnsi="Arial"/>
                <w:sz w:val="18"/>
                <w:szCs w:val="18"/>
                <w:color w:val="0000EE"/>
              </w:rPr>
            </w:pPr>
            <w:hyperlink r:id="rId220">
              <w:r>
                <w:rPr>
                  <w:rFonts w:ascii="Arial" w:cs="Arial" w:eastAsia="Arial" w:hAnsi="Arial"/>
                  <w:sz w:val="18"/>
                  <w:szCs w:val="18"/>
                  <w:color w:val="0000EE"/>
                </w:rPr>
                <w:t>Form of Letter to Holders.*</w:t>
              </w:r>
            </w:hyperlink>
          </w:p>
        </w:tc>
      </w:tr>
      <w:tr>
        <w:trPr>
          <w:trHeight w:val="20"/>
        </w:trPr>
        <w:tc>
          <w:tcPr>
            <w:tcW w:w="11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5040" w:type="dxa"/>
            <w:vAlign w:val="bottom"/>
            <w:tcBorders>
              <w:left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99.c</w:t>
            </w:r>
          </w:p>
        </w:tc>
        <w:tc>
          <w:tcPr>
            <w:tcW w:w="6960" w:type="dxa"/>
            <w:vAlign w:val="bottom"/>
            <w:tcBorders>
              <w:bottom w:val="single" w:sz="8" w:color="0000EE"/>
            </w:tcBorders>
            <w:gridSpan w:val="2"/>
          </w:tcPr>
          <w:p>
            <w:pPr>
              <w:spacing w:after="0"/>
              <w:rPr>
                <w:rFonts w:ascii="Arial" w:cs="Arial" w:eastAsia="Arial" w:hAnsi="Arial"/>
                <w:sz w:val="18"/>
                <w:szCs w:val="18"/>
                <w:color w:val="0000EE"/>
                <w:w w:val="90"/>
              </w:rPr>
            </w:pPr>
            <w:hyperlink r:id="rId221">
              <w:r>
                <w:rPr>
                  <w:rFonts w:ascii="Arial" w:cs="Arial" w:eastAsia="Arial" w:hAnsi="Arial"/>
                  <w:sz w:val="18"/>
                  <w:szCs w:val="18"/>
                  <w:color w:val="0000EE"/>
                  <w:w w:val="90"/>
                </w:rPr>
                <w:t>Form of Letter to Brokers, Dealers, Commercial Banks, Trust Companies and Other Nominees.*</w:t>
              </w:r>
            </w:hyperlink>
          </w:p>
        </w:tc>
        <w:tc>
          <w:tcPr>
            <w:tcW w:w="1340" w:type="dxa"/>
            <w:vAlign w:val="bottom"/>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99.d</w:t>
            </w:r>
          </w:p>
        </w:tc>
        <w:tc>
          <w:tcPr>
            <w:tcW w:w="8300" w:type="dxa"/>
            <w:vAlign w:val="bottom"/>
            <w:gridSpan w:val="3"/>
          </w:tcPr>
          <w:p>
            <w:pPr>
              <w:spacing w:after="0"/>
              <w:rPr>
                <w:rFonts w:ascii="Arial" w:cs="Arial" w:eastAsia="Arial" w:hAnsi="Arial"/>
                <w:sz w:val="18"/>
                <w:szCs w:val="18"/>
                <w:color w:val="0000EE"/>
              </w:rPr>
            </w:pPr>
            <w:hyperlink r:id="rId222">
              <w:r>
                <w:rPr>
                  <w:rFonts w:ascii="Arial" w:cs="Arial" w:eastAsia="Arial" w:hAnsi="Arial"/>
                  <w:sz w:val="18"/>
                  <w:szCs w:val="18"/>
                  <w:color w:val="0000EE"/>
                </w:rPr>
                <w:t>Form of Letter to Clients.*</w:t>
              </w:r>
            </w:hyperlink>
          </w:p>
        </w:tc>
      </w:tr>
      <w:tr>
        <w:trPr>
          <w:trHeight w:val="20"/>
        </w:trPr>
        <w:tc>
          <w:tcPr>
            <w:tcW w:w="11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99.e</w:t>
            </w:r>
          </w:p>
        </w:tc>
        <w:tc>
          <w:tcPr>
            <w:tcW w:w="8300" w:type="dxa"/>
            <w:vAlign w:val="bottom"/>
            <w:tcBorders>
              <w:bottom w:val="single" w:sz="8" w:color="0000EE"/>
            </w:tcBorders>
            <w:gridSpan w:val="3"/>
          </w:tcPr>
          <w:p>
            <w:pPr>
              <w:spacing w:after="0"/>
              <w:rPr>
                <w:rFonts w:ascii="Arial" w:cs="Arial" w:eastAsia="Arial" w:hAnsi="Arial"/>
                <w:sz w:val="18"/>
                <w:szCs w:val="18"/>
                <w:color w:val="0000EE"/>
                <w:w w:val="93"/>
              </w:rPr>
            </w:pPr>
            <w:hyperlink r:id="rId218">
              <w:r>
                <w:rPr>
                  <w:rFonts w:ascii="Arial" w:cs="Arial" w:eastAsia="Arial" w:hAnsi="Arial"/>
                  <w:sz w:val="18"/>
                  <w:szCs w:val="18"/>
                  <w:color w:val="0000EE"/>
                  <w:w w:val="93"/>
                </w:rPr>
                <w:t>Guidelines for Certification of Taxpayer Identification Number on Substitute Form W-9 (included in Exhibit 99.a).</w:t>
              </w:r>
            </w:hyperlink>
          </w:p>
        </w:tc>
      </w:tr>
    </w:tbl>
    <w:p>
      <w:pPr>
        <w:spacing w:after="0" w:line="256"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schedules have been incorporated herein by reference or omitted because they are not applicable or not required.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22.UNDERTAKINGS.</w:t>
      </w:r>
    </w:p>
    <w:p>
      <w:pPr>
        <w:spacing w:after="0" w:line="121" w:lineRule="exact"/>
        <w:rPr>
          <w:sz w:val="20"/>
          <w:szCs w:val="20"/>
          <w:color w:val="auto"/>
        </w:rPr>
      </w:pPr>
    </w:p>
    <w:p>
      <w:pPr>
        <w:ind w:left="880" w:hanging="236"/>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9"/>
        <w:spacing w:after="0"/>
        <w:tabs>
          <w:tab w:leader="none" w:pos="17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right="60" w:firstLine="411"/>
        <w:spacing w:after="0" w:line="255" w:lineRule="auto"/>
        <w:tabs>
          <w:tab w:leader="none" w:pos="175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1080" w:right="180" w:firstLine="411"/>
        <w:spacing w:after="0" w:line="277" w:lineRule="auto"/>
        <w:tabs>
          <w:tab w:leader="none" w:pos="18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jc w:val="both"/>
        <w:ind w:left="640" w:right="20" w:firstLine="428"/>
        <w:spacing w:after="0" w:line="264" w:lineRule="auto"/>
        <w:tabs>
          <w:tab w:leader="none" w:pos="131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640" w:right="220" w:firstLine="428"/>
        <w:spacing w:after="0" w:line="277" w:lineRule="auto"/>
        <w:tabs>
          <w:tab w:leader="none" w:pos="13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640" w:firstLine="428"/>
        <w:spacing w:after="0" w:line="271" w:lineRule="auto"/>
        <w:tabs>
          <w:tab w:leader="none" w:pos="131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640" w:right="80" w:firstLine="428"/>
        <w:spacing w:after="0" w:line="277" w:lineRule="auto"/>
        <w:tabs>
          <w:tab w:leader="none" w:pos="13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of the undersigned registrant pursuant to this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color w:val="auto"/>
        </w:rPr>
        <w:t>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3" w:lineRule="exact"/>
        <w:rPr>
          <w:sz w:val="20"/>
          <w:szCs w:val="20"/>
          <w:color w:val="auto"/>
        </w:rPr>
      </w:pPr>
    </w:p>
    <w:p>
      <w:pPr>
        <w:ind w:left="1080" w:right="380" w:firstLine="411"/>
        <w:spacing w:after="0" w:line="277" w:lineRule="auto"/>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registrants relating to the offering required to be filed pursuant to Rule 424;</w:t>
      </w:r>
    </w:p>
    <w:p>
      <w:pPr>
        <w:spacing w:after="0" w:line="62" w:lineRule="exact"/>
        <w:rPr>
          <w:rFonts w:ascii="Arial" w:cs="Arial" w:eastAsia="Arial" w:hAnsi="Arial"/>
          <w:sz w:val="18"/>
          <w:szCs w:val="18"/>
          <w:color w:val="auto"/>
        </w:rPr>
      </w:pPr>
    </w:p>
    <w:p>
      <w:pPr>
        <w:ind w:left="1080" w:firstLine="411"/>
        <w:spacing w:after="0" w:line="277" w:lineRule="auto"/>
        <w:tabs>
          <w:tab w:leader="none" w:pos="175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62" w:lineRule="exact"/>
        <w:rPr>
          <w:rFonts w:ascii="Arial" w:cs="Arial" w:eastAsia="Arial" w:hAnsi="Arial"/>
          <w:sz w:val="18"/>
          <w:szCs w:val="18"/>
          <w:color w:val="auto"/>
        </w:rPr>
      </w:pPr>
    </w:p>
    <w:p>
      <w:pPr>
        <w:ind w:left="1080" w:right="320" w:firstLine="411"/>
        <w:spacing w:after="0" w:line="277" w:lineRule="auto"/>
        <w:tabs>
          <w:tab w:leader="none" w:pos="18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62" w:lineRule="exact"/>
        <w:rPr>
          <w:rFonts w:ascii="Arial" w:cs="Arial" w:eastAsia="Arial" w:hAnsi="Arial"/>
          <w:sz w:val="18"/>
          <w:szCs w:val="18"/>
          <w:color w:val="auto"/>
        </w:rPr>
      </w:pPr>
    </w:p>
    <w:p>
      <w:pPr>
        <w:ind w:left="1800" w:hanging="309"/>
        <w:spacing w:after="0"/>
        <w:tabs>
          <w:tab w:leader="none" w:pos="18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225" w:lineRule="exact"/>
        <w:rPr>
          <w:rFonts w:ascii="Arial" w:cs="Arial" w:eastAsia="Arial" w:hAnsi="Arial"/>
          <w:sz w:val="18"/>
          <w:szCs w:val="18"/>
          <w:color w:val="auto"/>
        </w:rPr>
      </w:pPr>
    </w:p>
    <w:p>
      <w:pPr>
        <w:ind w:left="200" w:firstLine="444"/>
        <w:spacing w:after="0" w:line="257" w:lineRule="auto"/>
        <w:tabs>
          <w:tab w:leader="none" w:pos="8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200" w:right="20" w:firstLine="444"/>
        <w:spacing w:after="0" w:line="271" w:lineRule="auto"/>
        <w:tabs>
          <w:tab w:leader="none" w:pos="88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200" w:right="300" w:firstLine="444"/>
        <w:spacing w:after="0" w:line="259" w:lineRule="auto"/>
        <w:tabs>
          <w:tab w:leader="none" w:pos="8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200" w:right="100" w:firstLine="444"/>
        <w:spacing w:after="0" w:line="342" w:lineRule="auto"/>
        <w:tabs>
          <w:tab w:leader="none" w:pos="8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 Donahue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Timothy J. Donahue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President &amp; Chief Executive Officer</w:t>
            </w: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/s/ Timothy J. Donahue</w:t>
            </w: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Timothy J. Donahue</w:t>
            </w: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Thomas A. Kelly</w:t>
            </w: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Thomas A. Kelly</w:t>
            </w: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(Principal Financial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w w:val="98"/>
              </w:rPr>
              <w:t>Vice President and Corporate Controller (Principal</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David A. Beaver</w:t>
            </w: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3"/>
              </w:rPr>
              <w:t>Andrea J. Funk</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0"/>
              </w:rPr>
              <w:t>John W. Conway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2"/>
              </w:rPr>
              <w:t>Arnold W. Donald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4"/>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Signature</w:t>
            </w:r>
          </w:p>
        </w:tc>
        <w:tc>
          <w:tcPr>
            <w:tcW w:w="2140" w:type="dxa"/>
            <w:vAlign w:val="bottom"/>
            <w:gridSpan w:val="2"/>
          </w:tcPr>
          <w:p>
            <w:pPr>
              <w:ind w:left="184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87"/>
              </w:rPr>
              <w:t>Rose Lee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7"/>
              </w:rPr>
              <w:t>William G. Little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Hans J. Löliger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4"/>
              </w:rPr>
              <w:t>James H. Miller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3"/>
              </w:rPr>
              <w:t>Josef M. Müller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89"/>
              </w:rPr>
              <w:t>Caesar F. Sweitzer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4"/>
              </w:rPr>
              <w:t>Jim L. Turner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17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5"/>
              </w:rPr>
              <w:t>William S. Urkiel</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4"/>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0920"/>
          </w:cols>
          <w:pgMar w:left="240" w:top="459" w:right="7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89"/>
              </w:rPr>
              <w:t>/s/ Djalma Novaes, Jr.</w:t>
            </w: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 (Principal</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Djalma Novaes, Jr.</w:t>
            </w:r>
          </w:p>
        </w:tc>
        <w:tc>
          <w:tcPr>
            <w:tcW w:w="400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1"/>
              </w:rPr>
              <w:t>/s/ Timothy P. Aust</w:t>
            </w: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Vice President and Chief Financial Officer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20" w:type="dxa"/>
            <w:vAlign w:val="bottom"/>
            <w:gridSpan w:val="4"/>
          </w:tcPr>
          <w:p>
            <w:pPr>
              <w:jc w:val="center"/>
              <w:ind w:right="500"/>
              <w:spacing w:after="0" w:line="182" w:lineRule="exact"/>
              <w:rPr>
                <w:sz w:val="20"/>
                <w:szCs w:val="20"/>
                <w:color w:val="auto"/>
              </w:rPr>
            </w:pPr>
            <w:r>
              <w:rPr>
                <w:rFonts w:ascii="Arial" w:cs="Arial" w:eastAsia="Arial" w:hAnsi="Arial"/>
                <w:sz w:val="18"/>
                <w:szCs w:val="18"/>
                <w:b w:val="1"/>
                <w:bCs w:val="1"/>
                <w:color w:val="auto"/>
                <w:w w:val="90"/>
              </w:rPr>
              <w:t>Timothy P. Aust</w:t>
            </w:r>
          </w:p>
        </w:tc>
        <w:tc>
          <w:tcPr>
            <w:tcW w:w="400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4"/>
              </w:rPr>
              <w:t>/s/ Thomas A. Kelly</w:t>
            </w: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0"/>
              </w:rPr>
              <w:t>/s/ Timothy J. Donahue</w:t>
            </w: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Timothy J. Donahue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C</w:t>
      </w:r>
      <w:r>
        <w:rPr>
          <w:rFonts w:ascii="Arial" w:cs="Arial" w:eastAsia="Arial" w:hAnsi="Arial"/>
          <w:sz w:val="15"/>
          <w:szCs w:val="15"/>
          <w:color w:val="auto"/>
        </w:rPr>
        <w:t>ORP</w:t>
      </w:r>
      <w:r>
        <w:rPr>
          <w:rFonts w:ascii="Arial" w:cs="Arial" w:eastAsia="Arial" w:hAnsi="Arial"/>
          <w:sz w:val="18"/>
          <w:szCs w:val="18"/>
          <w:color w:val="auto"/>
        </w:rPr>
        <w:t>. VI</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C</w:t>
      </w:r>
      <w:r>
        <w:rPr>
          <w:rFonts w:ascii="Arial" w:cs="Arial" w:eastAsia="Arial" w:hAnsi="Arial"/>
          <w:sz w:val="15"/>
          <w:szCs w:val="15"/>
          <w:color w:val="auto"/>
        </w:rPr>
        <w:t>ORK</w:t>
      </w:r>
      <w:r>
        <w:rPr>
          <w:rFonts w:ascii="Arial" w:cs="Arial" w:eastAsia="Arial" w:hAnsi="Arial"/>
          <w:sz w:val="18"/>
          <w:szCs w:val="18"/>
          <w:color w:val="auto"/>
        </w:rPr>
        <w:t xml:space="preserve"> &amp; S</w:t>
      </w:r>
      <w:r>
        <w:rPr>
          <w:rFonts w:ascii="Arial" w:cs="Arial" w:eastAsia="Arial" w:hAnsi="Arial"/>
          <w:sz w:val="15"/>
          <w:szCs w:val="15"/>
          <w:color w:val="auto"/>
        </w:rPr>
        <w:t>EAL</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 Donahue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Timothy J. Donahue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8"/>
                <w:szCs w:val="18"/>
                <w:color w:val="auto"/>
                <w:w w:val="90"/>
              </w:rPr>
              <w:t>/s/ Timothy J. Donahue</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2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1"/>
              </w:rPr>
              <w:t>Timothy J. Donahue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320" w:type="dxa"/>
            <w:vAlign w:val="bottom"/>
            <w:gridSpan w:val="4"/>
          </w:tcPr>
          <w:p>
            <w:pPr>
              <w:jc w:val="center"/>
              <w:ind w:right="620"/>
              <w:spacing w:after="0" w:line="182" w:lineRule="exact"/>
              <w:rPr>
                <w:sz w:val="20"/>
                <w:szCs w:val="20"/>
                <w:color w:val="auto"/>
              </w:rPr>
            </w:pPr>
            <w:r>
              <w:rPr>
                <w:rFonts w:ascii="Arial" w:cs="Arial" w:eastAsia="Arial" w:hAnsi="Arial"/>
                <w:sz w:val="18"/>
                <w:szCs w:val="18"/>
                <w:b w:val="1"/>
                <w:bCs w:val="1"/>
                <w:color w:val="auto"/>
                <w:w w:val="92"/>
              </w:rPr>
              <w:t>Thomas A. Kelly</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Director (Principal Financial Officer and</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Principal 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General Counsel and</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gridSpan w:val="4"/>
          </w:tcPr>
          <w:p>
            <w:pPr>
              <w:jc w:val="center"/>
              <w:ind w:right="620"/>
              <w:spacing w:after="0"/>
              <w:rPr>
                <w:sz w:val="20"/>
                <w:szCs w:val="20"/>
                <w:color w:val="auto"/>
              </w:rPr>
            </w:pPr>
            <w:r>
              <w:rPr>
                <w:rFonts w:ascii="Arial" w:cs="Arial" w:eastAsia="Arial" w:hAnsi="Arial"/>
                <w:sz w:val="18"/>
                <w:szCs w:val="18"/>
                <w:b w:val="1"/>
                <w:bCs w:val="1"/>
                <w:color w:val="auto"/>
                <w:w w:val="94"/>
              </w:rPr>
              <w:t>William T. Gallagher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70"/>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B</w:t>
      </w:r>
      <w:r>
        <w:rPr>
          <w:rFonts w:ascii="Arial" w:cs="Arial" w:eastAsia="Arial" w:hAnsi="Arial"/>
          <w:sz w:val="15"/>
          <w:szCs w:val="15"/>
          <w:color w:val="auto"/>
        </w:rPr>
        <w:t>EVERAGE</w:t>
      </w:r>
      <w:r>
        <w:rPr>
          <w:rFonts w:ascii="Arial" w:cs="Arial" w:eastAsia="Arial" w:hAnsi="Arial"/>
          <w:sz w:val="18"/>
          <w:szCs w:val="18"/>
          <w:color w:val="auto"/>
        </w:rPr>
        <w:t xml:space="preserve"> P</w:t>
      </w:r>
      <w:r>
        <w:rPr>
          <w:rFonts w:ascii="Arial" w:cs="Arial" w:eastAsia="Arial" w:hAnsi="Arial"/>
          <w:sz w:val="15"/>
          <w:szCs w:val="15"/>
          <w:color w:val="auto"/>
        </w:rPr>
        <w:t>ACKAGING</w:t>
      </w:r>
      <w:r>
        <w:rPr>
          <w:rFonts w:ascii="Arial" w:cs="Arial" w:eastAsia="Arial" w:hAnsi="Arial"/>
          <w:sz w:val="18"/>
          <w:szCs w:val="18"/>
          <w:color w:val="auto"/>
        </w:rPr>
        <w:t>,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Mark Ketcheson</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1"/>
              </w:rPr>
              <w:t>/s/ Timothy P. Aust</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Chief Financial Officer, Treasurer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20" w:type="dxa"/>
            <w:vAlign w:val="bottom"/>
            <w:gridSpan w:val="4"/>
          </w:tcPr>
          <w:p>
            <w:pPr>
              <w:jc w:val="center"/>
              <w:ind w:right="500"/>
              <w:spacing w:after="0" w:line="182" w:lineRule="exact"/>
              <w:rPr>
                <w:sz w:val="20"/>
                <w:szCs w:val="20"/>
                <w:color w:val="auto"/>
              </w:rPr>
            </w:pPr>
            <w:r>
              <w:rPr>
                <w:rFonts w:ascii="Arial" w:cs="Arial" w:eastAsia="Arial" w:hAnsi="Arial"/>
                <w:sz w:val="18"/>
                <w:szCs w:val="18"/>
                <w:b w:val="1"/>
                <w:bCs w:val="1"/>
                <w:color w:val="auto"/>
                <w:w w:val="90"/>
              </w:rPr>
              <w:t>Timothy P. Aust</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w w:val="98"/>
              </w:rPr>
              <w:t>and Director of Sole Member (Principal Financial</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92"/>
              </w:rPr>
              <w:t>Alfred J. Dermody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92"/>
              </w:rPr>
              <w:t>Mark Ketcheson</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C</w:t>
      </w:r>
      <w:r>
        <w:rPr>
          <w:rFonts w:ascii="Arial" w:cs="Arial" w:eastAsia="Arial" w:hAnsi="Arial"/>
          <w:sz w:val="15"/>
          <w:szCs w:val="15"/>
          <w:color w:val="auto"/>
        </w:rPr>
        <w:t>ONSULTANTS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A. Kelly</w:t>
            </w:r>
          </w:p>
        </w:tc>
      </w:tr>
      <w:tr>
        <w:trPr>
          <w:trHeight w:val="178"/>
        </w:trPr>
        <w:tc>
          <w:tcPr>
            <w:tcW w:w="580" w:type="dxa"/>
            <w:vAlign w:val="bottom"/>
          </w:tcPr>
          <w:p>
            <w:pPr>
              <w:spacing w:after="0" w:line="178"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2"/>
              </w:rPr>
              <w:t>Thomas A. Kelly</w:t>
            </w:r>
          </w:p>
        </w:tc>
      </w:tr>
      <w:tr>
        <w:trPr>
          <w:trHeight w:val="248"/>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70"/>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OREIGN</w:t>
      </w:r>
      <w:r>
        <w:rPr>
          <w:rFonts w:ascii="Arial" w:cs="Arial" w:eastAsia="Arial" w:hAnsi="Arial"/>
          <w:sz w:val="18"/>
          <w:szCs w:val="18"/>
          <w:color w:val="auto"/>
        </w:rPr>
        <w:t xml:space="preserve"> M</w:t>
      </w:r>
      <w:r>
        <w:rPr>
          <w:rFonts w:ascii="Arial" w:cs="Arial" w:eastAsia="Arial" w:hAnsi="Arial"/>
          <w:sz w:val="15"/>
          <w:szCs w:val="15"/>
          <w:color w:val="auto"/>
        </w:rPr>
        <w:t>ANUFACTURERS</w:t>
      </w:r>
      <w:r>
        <w:rPr>
          <w:rFonts w:ascii="Arial" w:cs="Arial" w:eastAsia="Arial" w:hAnsi="Arial"/>
          <w:sz w:val="18"/>
          <w:szCs w:val="18"/>
          <w:color w:val="auto"/>
        </w:rPr>
        <w:t xml:space="preserve"> F</w:t>
      </w:r>
      <w:r>
        <w:rPr>
          <w:rFonts w:ascii="Arial" w:cs="Arial" w:eastAsia="Arial" w:hAnsi="Arial"/>
          <w:sz w:val="15"/>
          <w:szCs w:val="15"/>
          <w:color w:val="auto"/>
        </w:rPr>
        <w:t>INANCE</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P. Aust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Timothy P. Aust</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/s/ Timothy P. Aust</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Treasurer and Director (Principal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500" w:type="dxa"/>
            <w:vAlign w:val="bottom"/>
            <w:gridSpan w:val="4"/>
          </w:tcPr>
          <w:p>
            <w:pPr>
              <w:jc w:val="center"/>
              <w:ind w:right="440"/>
              <w:spacing w:after="0" w:line="182" w:lineRule="exact"/>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C</w:t>
      </w:r>
      <w:r>
        <w:rPr>
          <w:rFonts w:ascii="Arial" w:cs="Arial" w:eastAsia="Arial" w:hAnsi="Arial"/>
          <w:sz w:val="15"/>
          <w:szCs w:val="15"/>
          <w:color w:val="auto"/>
        </w:rPr>
        <w:t>ORK</w:t>
      </w:r>
      <w:r>
        <w:rPr>
          <w:rFonts w:ascii="Arial" w:cs="Arial" w:eastAsia="Arial" w:hAnsi="Arial"/>
          <w:sz w:val="18"/>
          <w:szCs w:val="18"/>
          <w:color w:val="auto"/>
        </w:rPr>
        <w:t xml:space="preserve"> &amp; S</w:t>
      </w:r>
      <w:r>
        <w:rPr>
          <w:rFonts w:ascii="Arial" w:cs="Arial" w:eastAsia="Arial" w:hAnsi="Arial"/>
          <w:sz w:val="15"/>
          <w:szCs w:val="15"/>
          <w:color w:val="auto"/>
        </w:rPr>
        <w:t>EAL</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(DE),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Mark Ketcheson</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Signature</w:t>
            </w:r>
          </w:p>
        </w:tc>
        <w:tc>
          <w:tcPr>
            <w:tcW w:w="402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President (Principal Executive Officer)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2"/>
              </w:rPr>
              <w:t>Mark Ketcheson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Vice President and Manager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/s/ Timothy P. Aust</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Manager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/s/ Kevin Clothier</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w w:val="99"/>
              </w:rPr>
              <w:t>Vice President and Treasurer (Principal Financial</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Kevin Clothier</w:t>
            </w: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89"/>
              </w:rPr>
              <w:t>/s/ Djalma Novaes, Jr.</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Manager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CROWN C</w:t>
      </w:r>
      <w:r>
        <w:rPr>
          <w:rFonts w:ascii="Arial" w:cs="Arial" w:eastAsia="Arial" w:hAnsi="Arial"/>
          <w:sz w:val="15"/>
          <w:szCs w:val="15"/>
          <w:color w:val="auto"/>
        </w:rPr>
        <w:t>ORK</w:t>
      </w:r>
      <w:r>
        <w:rPr>
          <w:rFonts w:ascii="Arial" w:cs="Arial" w:eastAsia="Arial" w:hAnsi="Arial"/>
          <w:sz w:val="18"/>
          <w:szCs w:val="18"/>
          <w:color w:val="auto"/>
        </w:rPr>
        <w:t xml:space="preserve"> &amp; S</w:t>
      </w:r>
      <w:r>
        <w:rPr>
          <w:rFonts w:ascii="Arial" w:cs="Arial" w:eastAsia="Arial" w:hAnsi="Arial"/>
          <w:sz w:val="15"/>
          <w:szCs w:val="15"/>
          <w:color w:val="auto"/>
        </w:rPr>
        <w:t>EAL</w:t>
      </w:r>
      <w:r>
        <w:rPr>
          <w:rFonts w:ascii="Arial" w:cs="Arial" w:eastAsia="Arial" w:hAnsi="Arial"/>
          <w:sz w:val="18"/>
          <w:szCs w:val="18"/>
          <w:color w:val="auto"/>
        </w:rPr>
        <w:t xml:space="preserve"> USA,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President and Chief Executive</w:t>
            </w:r>
          </w:p>
        </w:tc>
      </w:tr>
      <w:tr>
        <w:trPr>
          <w:trHeight w:val="234"/>
        </w:trPr>
        <w:tc>
          <w:tcPr>
            <w:tcW w:w="58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bl>
    <w:p>
      <w:pPr>
        <w:spacing w:after="0" w:line="20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Chief Executive Officer, Chairman of the</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Djalma Novaes, Jr.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Board and Director (Principal Executive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/s/ Timothy P. Aust</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Chief Financial Officer, Treasurer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500" w:type="dxa"/>
            <w:vAlign w:val="bottom"/>
            <w:gridSpan w:val="4"/>
          </w:tcPr>
          <w:p>
            <w:pPr>
              <w:jc w:val="center"/>
              <w:ind w:right="420"/>
              <w:spacing w:after="0" w:line="182" w:lineRule="exact"/>
              <w:rPr>
                <w:sz w:val="20"/>
                <w:szCs w:val="20"/>
                <w:color w:val="auto"/>
              </w:rPr>
            </w:pPr>
            <w:r>
              <w:rPr>
                <w:rFonts w:ascii="Arial" w:cs="Arial" w:eastAsia="Arial" w:hAnsi="Arial"/>
                <w:sz w:val="18"/>
                <w:szCs w:val="18"/>
                <w:b w:val="1"/>
                <w:bCs w:val="1"/>
                <w:color w:val="auto"/>
                <w:w w:val="90"/>
              </w:rPr>
              <w:t>Timothy P. Aust</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and Director (Principal Financial Officer and</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Principal 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Secretary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2"/>
              </w:rPr>
              <w:t>Alfred J. Dermody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4"/>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8"/>
        </w:trPr>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9"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CROWN P</w:t>
      </w:r>
      <w:r>
        <w:rPr>
          <w:rFonts w:ascii="Arial" w:cs="Arial" w:eastAsia="Arial" w:hAnsi="Arial"/>
          <w:sz w:val="15"/>
          <w:szCs w:val="15"/>
          <w:color w:val="auto"/>
        </w:rPr>
        <w:t>ACKAGING</w:t>
      </w:r>
      <w:r>
        <w:rPr>
          <w:rFonts w:ascii="Arial" w:cs="Arial" w:eastAsia="Arial" w:hAnsi="Arial"/>
          <w:sz w:val="18"/>
          <w:szCs w:val="18"/>
          <w:color w:val="auto"/>
        </w:rPr>
        <w:t xml:space="preserve"> T</w:t>
      </w:r>
      <w:r>
        <w:rPr>
          <w:rFonts w:ascii="Arial" w:cs="Arial" w:eastAsia="Arial" w:hAnsi="Arial"/>
          <w:sz w:val="15"/>
          <w:szCs w:val="15"/>
          <w:color w:val="auto"/>
        </w:rPr>
        <w:t>ECHNOLOGY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A. Abramowicz</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Daniel A. Abramowicz</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3"/>
              </w:rPr>
              <w:t>/s/ Daniel A. Abramowicz</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Daniel A. Abramowicz</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General Counsel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60" w:type="dxa"/>
            <w:vAlign w:val="bottom"/>
            <w:tcBorders>
              <w:top w:val="single" w:sz="8" w:color="auto"/>
            </w:tcBorders>
            <w:gridSpan w:val="4"/>
          </w:tcPr>
          <w:p>
            <w:pPr>
              <w:jc w:val="center"/>
              <w:ind w:right="48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3960" w:type="dxa"/>
            <w:vAlign w:val="bottom"/>
            <w:tcBorders>
              <w:top w:val="single" w:sz="8" w:color="auto"/>
            </w:tcBorders>
            <w:gridSpan w:val="3"/>
          </w:tcPr>
          <w:p>
            <w:pPr>
              <w:ind w:left="6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CROWN B</w:t>
      </w:r>
      <w:r>
        <w:rPr>
          <w:rFonts w:ascii="Arial" w:cs="Arial" w:eastAsia="Arial" w:hAnsi="Arial"/>
          <w:sz w:val="15"/>
          <w:szCs w:val="15"/>
          <w:color w:val="auto"/>
        </w:rPr>
        <w:t>EVERAGE</w:t>
      </w:r>
      <w:r>
        <w:rPr>
          <w:rFonts w:ascii="Arial" w:cs="Arial" w:eastAsia="Arial" w:hAnsi="Arial"/>
          <w:sz w:val="18"/>
          <w:szCs w:val="18"/>
          <w:color w:val="auto"/>
        </w:rPr>
        <w:t xml:space="preserve"> P</w:t>
      </w:r>
      <w:r>
        <w:rPr>
          <w:rFonts w:ascii="Arial" w:cs="Arial" w:eastAsia="Arial" w:hAnsi="Arial"/>
          <w:sz w:val="15"/>
          <w:szCs w:val="15"/>
          <w:color w:val="auto"/>
        </w:rPr>
        <w:t>ACKAGING</w:t>
      </w:r>
      <w:r>
        <w:rPr>
          <w:rFonts w:ascii="Arial" w:cs="Arial" w:eastAsia="Arial" w:hAnsi="Arial"/>
          <w:sz w:val="18"/>
          <w:szCs w:val="18"/>
          <w:color w:val="auto"/>
        </w:rPr>
        <w:t xml:space="preserve"> P</w:t>
      </w:r>
      <w:r>
        <w:rPr>
          <w:rFonts w:ascii="Arial" w:cs="Arial" w:eastAsia="Arial" w:hAnsi="Arial"/>
          <w:sz w:val="15"/>
          <w:szCs w:val="15"/>
          <w:color w:val="auto"/>
        </w:rPr>
        <w:t>UERTO</w:t>
      </w:r>
      <w:r>
        <w:rPr>
          <w:rFonts w:ascii="Arial" w:cs="Arial" w:eastAsia="Arial" w:hAnsi="Arial"/>
          <w:sz w:val="18"/>
          <w:szCs w:val="18"/>
          <w:color w:val="auto"/>
        </w:rPr>
        <w:t xml:space="preserve"> R</w:t>
      </w:r>
      <w:r>
        <w:rPr>
          <w:rFonts w:ascii="Arial" w:cs="Arial" w:eastAsia="Arial" w:hAnsi="Arial"/>
          <w:sz w:val="15"/>
          <w:szCs w:val="15"/>
          <w:color w:val="auto"/>
        </w:rPr>
        <w:t>ICO</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/s/ Timothy P. Aust</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F</w:t>
      </w:r>
      <w:r>
        <w:rPr>
          <w:rFonts w:ascii="Arial" w:cs="Arial" w:eastAsia="Arial" w:hAnsi="Arial"/>
          <w:sz w:val="15"/>
          <w:szCs w:val="15"/>
          <w:color w:val="auto"/>
        </w:rPr>
        <w:t>INANCIAL</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A. Kelly</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Thomas A. Kelly</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General Counsel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7"/>
              </w:rPr>
              <w:t>Vice President and Controller (Principal Accounting</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David A. Beaver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 Donahue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Timothy J. Donahue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0"/>
              </w:rPr>
              <w:t>/s/ Timothy J. Donahue</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Timothy J. Donahue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General Counsel and</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4"/>
              </w:rPr>
              <w:t>William T. Gallagher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20" w:type="dxa"/>
            <w:vAlign w:val="bottom"/>
            <w:gridSpan w:val="4"/>
          </w:tcPr>
          <w:p>
            <w:pPr>
              <w:jc w:val="center"/>
              <w:ind w:right="520"/>
              <w:spacing w:after="0" w:line="182" w:lineRule="exact"/>
              <w:rPr>
                <w:sz w:val="20"/>
                <w:szCs w:val="20"/>
                <w:color w:val="auto"/>
              </w:rPr>
            </w:pPr>
            <w:r>
              <w:rPr>
                <w:rFonts w:ascii="Arial" w:cs="Arial" w:eastAsia="Arial" w:hAnsi="Arial"/>
                <w:sz w:val="18"/>
                <w:szCs w:val="18"/>
                <w:b w:val="1"/>
                <w:bCs w:val="1"/>
                <w:color w:val="auto"/>
                <w:w w:val="92"/>
              </w:rPr>
              <w:t>Thomas A. Kelly</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81"/>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14, 2018.</w:t>
      </w:r>
    </w:p>
    <w:p>
      <w:pPr>
        <w:spacing w:after="0" w:line="174"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CR USA, I</w:t>
            </w:r>
            <w:r>
              <w:rPr>
                <w:rFonts w:ascii="Arial" w:cs="Arial" w:eastAsia="Arial" w:hAnsi="Arial"/>
                <w:sz w:val="15"/>
                <w:szCs w:val="15"/>
                <w:color w:val="auto"/>
              </w:rPr>
              <w:t>NC</w:t>
            </w:r>
            <w:r>
              <w:rPr>
                <w:rFonts w:ascii="Arial" w:cs="Arial" w:eastAsia="Arial" w:hAnsi="Arial"/>
                <w:sz w:val="18"/>
                <w:szCs w:val="18"/>
                <w:color w:val="auto"/>
              </w:rPr>
              <w:t>.</w:t>
            </w:r>
          </w:p>
        </w:tc>
        <w:tc>
          <w:tcPr>
            <w:tcW w:w="30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040" w:type="dxa"/>
            <w:vAlign w:val="bottom"/>
          </w:tcPr>
          <w:p>
            <w:pPr>
              <w:jc w:val="center"/>
              <w:ind w:right="690"/>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8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690"/>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040" w:type="dxa"/>
            <w:vAlign w:val="bottom"/>
          </w:tcPr>
          <w:p>
            <w:pPr>
              <w:jc w:val="center"/>
              <w:ind w:right="670"/>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89"/>
              </w:rPr>
              <w:t>/s/ Djalma Novaes, Jr.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4"/>
              </w:rPr>
              <w:t>/s/ Kevin Clothier</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3"/>
              </w:rPr>
              <w:t>Kevin Clothier</w:t>
            </w: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1"/>
              </w:rPr>
              <w:t>/s/ Timothy P. Aust</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Secretary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76"/>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5"/>
                <w:szCs w:val="15"/>
                <w:color w:val="auto"/>
              </w:rPr>
              <w:t>IWIPLAN</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tc>
        <w:tc>
          <w:tcPr>
            <w:tcW w:w="2920" w:type="dxa"/>
            <w:vAlign w:val="bottom"/>
          </w:tcPr>
          <w:p>
            <w:pPr>
              <w:spacing w:after="0"/>
              <w:rPr>
                <w:sz w:val="20"/>
                <w:szCs w:val="20"/>
                <w:color w:val="auto"/>
              </w:rPr>
            </w:pP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color w:val="auto"/>
              </w:rPr>
              <w:t>By:</w:t>
            </w:r>
          </w:p>
        </w:tc>
        <w:tc>
          <w:tcPr>
            <w:tcW w:w="2920" w:type="dxa"/>
            <w:vAlign w:val="bottom"/>
          </w:tcPr>
          <w:p>
            <w:pPr>
              <w:jc w:val="center"/>
              <w:ind w:right="810"/>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9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810"/>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920" w:type="dxa"/>
            <w:vAlign w:val="bottom"/>
          </w:tcPr>
          <w:p>
            <w:pPr>
              <w:jc w:val="center"/>
              <w:ind w:right="790"/>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Signature</w:t>
            </w:r>
          </w:p>
        </w:tc>
        <w:tc>
          <w:tcPr>
            <w:tcW w:w="412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Treasurer and Director (Principal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gridSpan w:val="4"/>
          </w:tcPr>
          <w:p>
            <w:pPr>
              <w:jc w:val="center"/>
              <w:ind w:right="52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0"/>
              </w:rPr>
              <w:t>Charles Seymour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76"/>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ACKAGE</w:t>
      </w:r>
      <w:r>
        <w:rPr>
          <w:rFonts w:ascii="Arial" w:cs="Arial" w:eastAsia="Arial" w:hAnsi="Arial"/>
          <w:sz w:val="18"/>
          <w:szCs w:val="18"/>
          <w:color w:val="auto"/>
        </w:rPr>
        <w:t xml:space="preserve"> D</w:t>
      </w:r>
      <w:r>
        <w:rPr>
          <w:rFonts w:ascii="Arial" w:cs="Arial" w:eastAsia="Arial" w:hAnsi="Arial"/>
          <w:sz w:val="15"/>
          <w:szCs w:val="15"/>
          <w:color w:val="auto"/>
        </w:rPr>
        <w:t>ESIGN AND</w:t>
      </w:r>
      <w:r>
        <w:rPr>
          <w:rFonts w:ascii="Arial" w:cs="Arial" w:eastAsia="Arial" w:hAnsi="Arial"/>
          <w:sz w:val="18"/>
          <w:szCs w:val="18"/>
          <w:color w:val="auto"/>
        </w:rPr>
        <w:t xml:space="preserve"> M</w:t>
      </w:r>
      <w:r>
        <w:rPr>
          <w:rFonts w:ascii="Arial" w:cs="Arial" w:eastAsia="Arial" w:hAnsi="Arial"/>
          <w:sz w:val="15"/>
          <w:szCs w:val="15"/>
          <w:color w:val="auto"/>
        </w:rPr>
        <w:t>ANUFACTURING</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Keith Kushner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Signature</w:t>
            </w:r>
          </w:p>
        </w:tc>
        <w:tc>
          <w:tcPr>
            <w:tcW w:w="400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President (Principal Executive Officer)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2"/>
              </w:rPr>
              <w:t>Keith Kushner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Vice President, Treasurer and Director (Principal</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gridSpan w:val="4"/>
          </w:tcPr>
          <w:p>
            <w:pPr>
              <w:jc w:val="center"/>
              <w:ind w:right="52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0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4"/>
              </w:rPr>
              <w:t>/s/ Thomas A. Kelly</w:t>
            </w: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89"/>
              </w:rPr>
              <w:t>Aldo Brandon Tesi</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76"/>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NDUSTRIAL</w:t>
      </w:r>
      <w:r>
        <w:rPr>
          <w:rFonts w:ascii="Arial" w:cs="Arial" w:eastAsia="Arial" w:hAnsi="Arial"/>
          <w:sz w:val="18"/>
          <w:szCs w:val="18"/>
          <w:color w:val="auto"/>
        </w:rPr>
        <w:t xml:space="preserve"> G</w:t>
      </w:r>
      <w:r>
        <w:rPr>
          <w:rFonts w:ascii="Arial" w:cs="Arial" w:eastAsia="Arial" w:hAnsi="Arial"/>
          <w:sz w:val="15"/>
          <w:szCs w:val="15"/>
          <w:color w:val="auto"/>
        </w:rPr>
        <w:t>ROUP</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Signature</w:t>
            </w:r>
          </w:p>
        </w:tc>
        <w:tc>
          <w:tcPr>
            <w:tcW w:w="406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1"/>
              </w:rPr>
              <w:t>Robert Bourque</w:t>
            </w: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w w:val="99"/>
              </w:rPr>
              <w:t>Senior Vice President, Chief Financial Officer and</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gridSpan w:val="4"/>
          </w:tcPr>
          <w:p>
            <w:pPr>
              <w:jc w:val="center"/>
              <w:ind w:right="52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6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Director of Sole Member (Principal Financial</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4"/>
              </w:rPr>
              <w:t>/s/ Thomas A. Kelly</w:t>
            </w: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76"/>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P</w:t>
      </w:r>
      <w:r>
        <w:rPr>
          <w:rFonts w:ascii="Arial" w:cs="Arial" w:eastAsia="Arial" w:hAnsi="Arial"/>
          <w:sz w:val="15"/>
          <w:szCs w:val="15"/>
          <w:color w:val="auto"/>
        </w:rPr>
        <w:t>ICKLING</w:t>
      </w:r>
      <w:r>
        <w:rPr>
          <w:rFonts w:ascii="Arial" w:cs="Arial" w:eastAsia="Arial" w:hAnsi="Arial"/>
          <w:sz w:val="18"/>
          <w:szCs w:val="18"/>
          <w:color w:val="auto"/>
        </w:rPr>
        <w:t xml:space="preserve"> H</w:t>
      </w:r>
      <w:r>
        <w:rPr>
          <w:rFonts w:ascii="Arial" w:cs="Arial" w:eastAsia="Arial" w:hAnsi="Arial"/>
          <w:sz w:val="15"/>
          <w:szCs w:val="15"/>
          <w:color w:val="auto"/>
        </w:rPr>
        <w:t>OLDING</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Joseph Cummons</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Signature</w:t>
            </w:r>
          </w:p>
        </w:tc>
        <w:tc>
          <w:tcPr>
            <w:tcW w:w="402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President (Principal Executive Officer)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60" w:type="dxa"/>
            <w:vAlign w:val="bottom"/>
            <w:tcBorders>
              <w:top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87"/>
              </w:rPr>
              <w:t>Joseph Cummons</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8"/>
                <w:szCs w:val="18"/>
                <w:color w:val="auto"/>
                <w:w w:val="94"/>
              </w:rPr>
              <w:t>/s/ Kevin C. Clothier</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w w:val="99"/>
              </w:rPr>
              <w:t>Vice President and Assistant Treasurer (Principal</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gridSpan w:val="4"/>
          </w:tcPr>
          <w:p>
            <w:pPr>
              <w:jc w:val="center"/>
              <w:ind w:right="460"/>
              <w:spacing w:after="0" w:line="182" w:lineRule="exact"/>
              <w:rPr>
                <w:sz w:val="20"/>
                <w:szCs w:val="20"/>
                <w:color w:val="auto"/>
              </w:rPr>
            </w:pPr>
            <w:r>
              <w:rPr>
                <w:rFonts w:ascii="Arial" w:cs="Arial" w:eastAsia="Arial" w:hAnsi="Arial"/>
                <w:sz w:val="18"/>
                <w:szCs w:val="18"/>
                <w:b w:val="1"/>
                <w:bCs w:val="1"/>
                <w:color w:val="auto"/>
                <w:w w:val="93"/>
              </w:rPr>
              <w:t>Kevin C. Clothier</w:t>
            </w:r>
          </w:p>
        </w:tc>
        <w:tc>
          <w:tcPr>
            <w:tcW w:w="40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Vice President, Secretary and Director of Sole</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60" w:type="dxa"/>
            <w:vAlign w:val="bottom"/>
            <w:tcBorders>
              <w:top w:val="single" w:sz="8" w:color="auto"/>
            </w:tcBorders>
            <w:gridSpan w:val="4"/>
          </w:tcPr>
          <w:p>
            <w:pPr>
              <w:jc w:val="center"/>
              <w:ind w:right="480"/>
              <w:spacing w:after="0"/>
              <w:rPr>
                <w:sz w:val="20"/>
                <w:szCs w:val="20"/>
                <w:color w:val="auto"/>
              </w:rPr>
            </w:pPr>
            <w:r>
              <w:rPr>
                <w:rFonts w:ascii="Arial" w:cs="Arial" w:eastAsia="Arial" w:hAnsi="Arial"/>
                <w:sz w:val="18"/>
                <w:szCs w:val="18"/>
                <w:b w:val="1"/>
                <w:bCs w:val="1"/>
                <w:color w:val="auto"/>
                <w:w w:val="94"/>
              </w:rPr>
              <w:t>Ronald D. Kropp</w:t>
            </w: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Member of Sole Member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 of Sole Member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60" w:type="dxa"/>
            <w:vAlign w:val="bottom"/>
            <w:tcBorders>
              <w:top w:val="single" w:sz="8" w:color="auto"/>
            </w:tcBorders>
            <w:gridSpan w:val="4"/>
          </w:tcPr>
          <w:p>
            <w:pPr>
              <w:jc w:val="center"/>
              <w:ind w:right="48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8"/>
                <w:szCs w:val="18"/>
                <w:color w:val="auto"/>
                <w:w w:val="94"/>
              </w:rPr>
              <w:t>/s/ Thomas A. Kelly</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 of Sole Member</w:t>
            </w:r>
          </w:p>
        </w:tc>
        <w:tc>
          <w:tcPr>
            <w:tcW w:w="1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60" w:type="dxa"/>
            <w:vAlign w:val="bottom"/>
            <w:gridSpan w:val="2"/>
          </w:tcPr>
          <w:p>
            <w:pPr>
              <w:spacing w:after="0" w:line="182" w:lineRule="exact"/>
              <w:rPr>
                <w:sz w:val="20"/>
                <w:szCs w:val="20"/>
                <w:color w:val="auto"/>
              </w:rPr>
            </w:pPr>
            <w:r>
              <w:rPr>
                <w:rFonts w:ascii="Arial" w:cs="Arial" w:eastAsia="Arial" w:hAnsi="Arial"/>
                <w:sz w:val="18"/>
                <w:szCs w:val="18"/>
                <w:color w:val="auto"/>
                <w:w w:val="82"/>
              </w:rPr>
              <w:t>Name:</w:t>
            </w:r>
          </w:p>
        </w:tc>
        <w:tc>
          <w:tcPr>
            <w:tcW w:w="3960" w:type="dxa"/>
            <w:vAlign w:val="bottom"/>
            <w:tcBorders>
              <w:top w:val="single" w:sz="8" w:color="auto"/>
            </w:tcBorders>
            <w:gridSpan w:val="3"/>
          </w:tcPr>
          <w:p>
            <w:pPr>
              <w:ind w:left="6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US IP H</w:t>
      </w:r>
      <w:r>
        <w:rPr>
          <w:rFonts w:ascii="Arial" w:cs="Arial" w:eastAsia="Arial" w:hAnsi="Arial"/>
          <w:sz w:val="15"/>
          <w:szCs w:val="15"/>
          <w:color w:val="auto"/>
        </w:rPr>
        <w:t>OLDINGS</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Signature</w:t>
            </w:r>
          </w:p>
        </w:tc>
        <w:tc>
          <w:tcPr>
            <w:tcW w:w="406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Robert Bourque</w:t>
            </w: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w w:val="99"/>
              </w:rPr>
              <w:t>Senior Vice President, Chief Financial Officer and</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500" w:type="dxa"/>
            <w:vAlign w:val="bottom"/>
            <w:tcBorders>
              <w:top w:val="single" w:sz="8" w:color="auto"/>
            </w:tcBorders>
            <w:gridSpan w:val="4"/>
          </w:tcPr>
          <w:p>
            <w:pPr>
              <w:jc w:val="center"/>
              <w:ind w:right="4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6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Director of Sole Member (Principal Financial</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Thomas A. Kelly</w:t>
            </w: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NDUSTRIAL</w:t>
      </w:r>
      <w:r>
        <w:rPr>
          <w:rFonts w:ascii="Arial" w:cs="Arial" w:eastAsia="Arial" w:hAnsi="Arial"/>
          <w:sz w:val="18"/>
          <w:szCs w:val="18"/>
          <w:color w:val="auto"/>
        </w:rPr>
        <w:t xml:space="preserve"> G</w:t>
      </w:r>
      <w:r>
        <w:rPr>
          <w:rFonts w:ascii="Arial" w:cs="Arial" w:eastAsia="Arial" w:hAnsi="Arial"/>
          <w:sz w:val="15"/>
          <w:szCs w:val="15"/>
          <w:color w:val="auto"/>
        </w:rPr>
        <w:t>ROUP</w:t>
      </w:r>
      <w:r>
        <w:rPr>
          <w:rFonts w:ascii="Arial" w:cs="Arial" w:eastAsia="Arial" w:hAnsi="Arial"/>
          <w:sz w:val="18"/>
          <w:szCs w:val="18"/>
          <w:color w:val="auto"/>
        </w:rPr>
        <w:t xml:space="preserve"> US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Signature</w:t>
            </w:r>
          </w:p>
        </w:tc>
        <w:tc>
          <w:tcPr>
            <w:tcW w:w="412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Treasurer, Chief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500" w:type="dxa"/>
            <w:vAlign w:val="bottom"/>
            <w:tcBorders>
              <w:top w:val="single" w:sz="8" w:color="auto"/>
            </w:tcBorders>
            <w:gridSpan w:val="4"/>
          </w:tcPr>
          <w:p>
            <w:pPr>
              <w:jc w:val="center"/>
              <w:ind w:right="4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 (Principal Financial Officer</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and Principal 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NDUSTRIAL</w:t>
      </w:r>
      <w:r>
        <w:rPr>
          <w:rFonts w:ascii="Arial" w:cs="Arial" w:eastAsia="Arial" w:hAnsi="Arial"/>
          <w:sz w:val="18"/>
          <w:szCs w:val="18"/>
          <w:color w:val="auto"/>
        </w:rPr>
        <w:t xml:space="preserve"> G</w:t>
      </w:r>
      <w:r>
        <w:rPr>
          <w:rFonts w:ascii="Arial" w:cs="Arial" w:eastAsia="Arial" w:hAnsi="Arial"/>
          <w:sz w:val="15"/>
          <w:szCs w:val="15"/>
          <w:color w:val="auto"/>
        </w:rPr>
        <w:t>ROUP</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xml:space="preserve"> US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Signature</w:t>
            </w:r>
          </w:p>
        </w:tc>
        <w:tc>
          <w:tcPr>
            <w:tcW w:w="412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Treasurer, Chief Financial</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500" w:type="dxa"/>
            <w:vAlign w:val="bottom"/>
            <w:tcBorders>
              <w:top w:val="single" w:sz="8" w:color="auto"/>
            </w:tcBorders>
            <w:gridSpan w:val="4"/>
          </w:tcPr>
          <w:p>
            <w:pPr>
              <w:jc w:val="center"/>
              <w:ind w:right="4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1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 (Principal Financial Officer</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gridSpan w:val="3"/>
          </w:tcPr>
          <w:p>
            <w:pPr>
              <w:ind w:left="280"/>
              <w:spacing w:after="0"/>
              <w:rPr>
                <w:sz w:val="20"/>
                <w:szCs w:val="20"/>
                <w:color w:val="auto"/>
              </w:rPr>
            </w:pPr>
            <w:r>
              <w:rPr>
                <w:rFonts w:ascii="Arial" w:cs="Arial" w:eastAsia="Arial" w:hAnsi="Arial"/>
                <w:sz w:val="18"/>
                <w:szCs w:val="18"/>
                <w:color w:val="auto"/>
              </w:rPr>
              <w:t>and Principal 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Thomas A. Kelly</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20" w:type="dxa"/>
            <w:vAlign w:val="bottom"/>
            <w:gridSpan w:val="2"/>
          </w:tcPr>
          <w:p>
            <w:pPr>
              <w:spacing w:after="0" w:line="182" w:lineRule="exact"/>
              <w:rPr>
                <w:sz w:val="20"/>
                <w:szCs w:val="20"/>
                <w:color w:val="auto"/>
              </w:rPr>
            </w:pPr>
            <w:r>
              <w:rPr>
                <w:rFonts w:ascii="Arial" w:cs="Arial" w:eastAsia="Arial" w:hAnsi="Arial"/>
                <w:sz w:val="18"/>
                <w:szCs w:val="18"/>
                <w:color w:val="auto"/>
                <w:w w:val="75"/>
              </w:rPr>
              <w:t>Name:</w:t>
            </w:r>
          </w:p>
        </w:tc>
        <w:tc>
          <w:tcPr>
            <w:tcW w:w="40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8"/>
                <w:szCs w:val="18"/>
                <w:color w:val="auto"/>
              </w:rPr>
              <w:t>Thomas A. Kelly</w:t>
            </w:r>
          </w:p>
        </w:tc>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IP H</w:t>
      </w:r>
      <w:r>
        <w:rPr>
          <w:rFonts w:ascii="Arial" w:cs="Arial" w:eastAsia="Arial" w:hAnsi="Arial"/>
          <w:sz w:val="15"/>
          <w:szCs w:val="15"/>
          <w:color w:val="auto"/>
        </w:rPr>
        <w:t>OLDINGS</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Signature</w:t>
            </w:r>
          </w:p>
        </w:tc>
        <w:tc>
          <w:tcPr>
            <w:tcW w:w="406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6"/>
        </w:trPr>
        <w:tc>
          <w:tcPr>
            <w:tcW w:w="21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1"/>
              </w:rPr>
              <w:t>Robert Bourque</w:t>
            </w: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760" w:type="dxa"/>
            <w:vAlign w:val="bottom"/>
            <w:gridSpan w:val="4"/>
          </w:tcPr>
          <w:p>
            <w:pPr>
              <w:jc w:val="center"/>
              <w:ind w:left="207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Senior Vice President, Treasurer, Chief Financial</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182"/>
        </w:trPr>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gridSpan w:val="4"/>
          </w:tcPr>
          <w:p>
            <w:pPr>
              <w:jc w:val="center"/>
              <w:ind w:right="52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6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 of Sole Member (Principal</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Financial Officer and Principal Accounting</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6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color w:val="auto"/>
                <w:w w:val="94"/>
              </w:rPr>
              <w:t>/s/ Thomas A. Kelly</w:t>
            </w:r>
          </w:p>
        </w:tc>
        <w:tc>
          <w:tcPr>
            <w:tcW w:w="406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7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December 14, 2018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4920" w:type="dxa"/>
            <w:vAlign w:val="bottom"/>
            <w:gridSpan w:val="6"/>
          </w:tcPr>
          <w:p>
            <w:pPr>
              <w:spacing w:after="0"/>
              <w:rPr>
                <w:sz w:val="20"/>
                <w:szCs w:val="20"/>
                <w:color w:val="auto"/>
              </w:rPr>
            </w:pPr>
            <w:r>
              <w:rPr>
                <w:rFonts w:ascii="Arial" w:cs="Arial" w:eastAsia="Arial" w:hAnsi="Arial"/>
                <w:sz w:val="18"/>
                <w:szCs w:val="18"/>
                <w:color w:val="auto"/>
              </w:rPr>
              <w:t>* By:  /s/ Thomas A. Kelly</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 w:type="dxa"/>
            <w:vAlign w:val="bottom"/>
            <w:gridSpan w:val="2"/>
          </w:tcPr>
          <w:p>
            <w:pPr>
              <w:spacing w:after="0" w:line="182" w:lineRule="exact"/>
              <w:rPr>
                <w:sz w:val="20"/>
                <w:szCs w:val="20"/>
                <w:color w:val="auto"/>
              </w:rPr>
            </w:pPr>
            <w:r>
              <w:rPr>
                <w:rFonts w:ascii="Arial" w:cs="Arial" w:eastAsia="Arial" w:hAnsi="Arial"/>
                <w:sz w:val="18"/>
                <w:szCs w:val="18"/>
                <w:color w:val="auto"/>
                <w:w w:val="90"/>
              </w:rPr>
              <w:t>Name:</w:t>
            </w:r>
          </w:p>
        </w:tc>
        <w:tc>
          <w:tcPr>
            <w:tcW w:w="436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Thomas A. Kelly</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i w:val="1"/>
                <w:iCs w:val="1"/>
                <w:color w:val="auto"/>
              </w:rPr>
              <w:t>As attorney-in-fact</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1)"/>
      <w:numFmt w:val="lowerRoman"/>
      <w:start w:val="7"/>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4"/>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lvl w:ilvl="1">
      <w:lvlJc w:val="left"/>
      <w:lvlText w:val="•"/>
      <w:numFmt w:val="bullet"/>
      <w:start w:val="1"/>
    </w:lvl>
  </w:abstractNum>
  <w:abstractNum w:abstractNumId="6">
    <w:nsid w:val="1CF10FD8"/>
    <w:multiLevelType w:val="hybridMultilevel"/>
    <w:lvl w:ilvl="0">
      <w:lvlJc w:val="left"/>
      <w:lvlText w:val="(%1)"/>
      <w:numFmt w:val="lowerLetter"/>
      <w:start w:val="1"/>
    </w:lvl>
  </w:abstractNum>
  <w:abstractNum w:abstractNumId="7">
    <w:nsid w:val="180115BE"/>
    <w:multiLevelType w:val="hybridMultilevel"/>
    <w:lvl w:ilvl="0">
      <w:lvlJc w:val="left"/>
      <w:lvlText w:val="(%1)"/>
      <w:numFmt w:val="lowerLetter"/>
      <w:start w:val="4"/>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1)"/>
      <w:numFmt w:val="lowerLetter"/>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lowerRoman"/>
      <w:start w:val="6"/>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lvl w:ilvl="1">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1)"/>
      <w:numFmt w:val="decimal"/>
      <w:start w:val="2"/>
    </w:lvl>
  </w:abstractNum>
  <w:abstractNum w:abstractNumId="52">
    <w:nsid w:val="68EB2F63"/>
    <w:multiLevelType w:val="hybridMultilevel"/>
    <w:lvl w:ilvl="0">
      <w:lvlJc w:val="left"/>
      <w:lvlText w:val="%1"/>
      <w:numFmt w:val="lowerLetter"/>
      <w:start w:val="1"/>
    </w:lvl>
    <w:lvl w:ilvl="1">
      <w:lvlJc w:val="left"/>
      <w:lvlText w:val="(%2)"/>
      <w:numFmt w:val="decimal"/>
      <w:start w:val="1"/>
    </w:lvl>
  </w:abstractNum>
  <w:abstractNum w:abstractNumId="53">
    <w:nsid w:val="4962813B"/>
    <w:multiLevelType w:val="hybridMultilevel"/>
    <w:lvl w:ilvl="0">
      <w:lvlJc w:val="left"/>
      <w:lvlText w:val="(%1)"/>
      <w:numFmt w:val="lowerLetter"/>
      <w:start w:val="2"/>
    </w:lvl>
    <w:lvl w:ilvl="1">
      <w:lvlJc w:val="left"/>
      <w:lvlText w:val="(%2)"/>
      <w:numFmt w:val="decimal"/>
      <w:start w:val="3"/>
    </w:lvl>
  </w:abstractNum>
  <w:abstractNum w:abstractNumId="54">
    <w:nsid w:val="60B6DF70"/>
    <w:multiLevelType w:val="hybridMultilevel"/>
    <w:lvl w:ilvl="0">
      <w:lvlJc w:val="left"/>
      <w:lvlText w:val="%1"/>
      <w:numFmt w:val="lowerRoman"/>
      <w:start w:val="1"/>
    </w:lvl>
    <w:lvl w:ilvl="1">
      <w:lvlJc w:val="left"/>
      <w:lvlText w:val="(%2)"/>
      <w:numFmt w:val="decimal"/>
      <w:start w:val="5"/>
    </w:lvl>
  </w:abstractNum>
  <w:abstractNum w:abstractNumId="55">
    <w:nsid w:val="6A5EE64"/>
    <w:multiLevelType w:val="hybridMultilevel"/>
    <w:lvl w:ilvl="0">
      <w:lvlJc w:val="left"/>
      <w:lvlText w:val="(%1)"/>
      <w:numFmt w:val="lowerRoman"/>
      <w:start w:val="2"/>
    </w:lvl>
    <w:lvl w:ilvl="1">
      <w:lvlJc w:val="left"/>
      <w:lvlText w:val="(%2)"/>
      <w:numFmt w:val="decimal"/>
      <w:start w:val="8"/>
    </w:lvl>
  </w:abstractNum>
  <w:abstractNum w:abstractNumId="56">
    <w:nsid w:val="14330624"/>
    <w:multiLevelType w:val="hybridMultilevel"/>
    <w:lvl w:ilvl="0">
      <w:lvlJc w:val="left"/>
      <w:lvlText w:val="(%1)"/>
      <w:numFmt w:val="decimal"/>
      <w:start w:val="15"/>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lowerLetter"/>
      <w:start w:val="2"/>
    </w:lvl>
  </w:abstractNum>
  <w:abstractNum w:abstractNumId="60">
    <w:nsid w:val="100F59DC"/>
    <w:multiLevelType w:val="hybridMultilevel"/>
    <w:lvl w:ilvl="0">
      <w:lvlJc w:val="left"/>
      <w:lvlText w:val="(%1)"/>
      <w:numFmt w:val="decimal"/>
      <w:start w:val="2"/>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7"/>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4"/>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4"/>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2"/>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1"/>
      <w:numFmt w:val="decimal"/>
      <w:start w:val="1"/>
    </w:lvl>
    <w:lvl w:ilvl="1">
      <w:lvlJc w:val="left"/>
      <w:lvlText w:val="(%2)"/>
      <w:numFmt w:val="decimal"/>
      <w:start w:val="3"/>
    </w:lvl>
  </w:abstractNum>
  <w:abstractNum w:abstractNumId="85">
    <w:nsid w:val="5FB8370B"/>
    <w:multiLevelType w:val="hybridMultilevel"/>
    <w:lvl w:ilvl="0">
      <w:lvlJc w:val="left"/>
      <w:lvlText w:val="(%1)"/>
      <w:numFmt w:val="decimal"/>
      <w:start w:val="2"/>
    </w:lvl>
    <w:lvl w:ilvl="1">
      <w:lvlJc w:val="left"/>
      <w:lvlText w:val="%2"/>
      <w:numFmt w:val="decimal"/>
      <w:start w:val="1"/>
    </w:lvl>
  </w:abstractNum>
  <w:abstractNum w:abstractNumId="86">
    <w:nsid w:val="50801EE1"/>
    <w:multiLevelType w:val="hybridMultilevel"/>
    <w:lvl w:ilvl="0">
      <w:lvlJc w:val="left"/>
      <w:lvlText w:val="(%1)"/>
      <w:numFmt w:val="decimal"/>
      <w:start w:val="1"/>
    </w:lvl>
    <w:lvl w:ilvl="1">
      <w:lvlJc w:val="left"/>
      <w:lvlText w:val="(%2)"/>
      <w:numFmt w:val="lowerLetter"/>
      <w:start w:val="1"/>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lowerLetter"/>
      <w:start w:val="1"/>
    </w:lvl>
    <w:lvl w:ilvl="1">
      <w:lvlJc w:val="left"/>
      <w:lvlText w:val="(%2)"/>
      <w:numFmt w:val="decimal"/>
      <w:start w:val="1"/>
    </w:lvl>
  </w:abstractNum>
  <w:abstractNum w:abstractNumId="89">
    <w:nsid w:val="6AA78F7F"/>
    <w:multiLevelType w:val="hybridMultilevel"/>
    <w:lvl w:ilvl="0">
      <w:lvlJc w:val="left"/>
      <w:lvlText w:val="(%1)"/>
      <w:numFmt w:val="lowerLetter"/>
      <w:start w:val="2"/>
    </w:lvl>
    <w:lvl w:ilvl="1">
      <w:lvlJc w:val="left"/>
      <w:lvlText w:val="%2"/>
      <w:numFmt w:val="decimal"/>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1)"/>
      <w:numFmt w:val="decimal"/>
      <w:start w:val="2"/>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lvl w:ilvl="1">
      <w:lvlJc w:val="left"/>
      <w:lvlText w:val="(%2)"/>
      <w:numFmt w:val="decimal"/>
      <w:start w:val="1"/>
    </w:lvl>
  </w:abstractNum>
  <w:abstractNum w:abstractNumId="101">
    <w:nsid w:val="71C91298"/>
    <w:multiLevelType w:val="hybridMultilevel"/>
    <w:lvl w:ilvl="0">
      <w:lvlJc w:val="left"/>
      <w:lvlText w:val="5"/>
      <w:numFmt w:val="bullet"/>
      <w:start w:val="1"/>
    </w:lvl>
  </w:abstractNum>
  <w:abstractNum w:abstractNumId="102">
    <w:nsid w:val="9DAF632"/>
    <w:multiLevelType w:val="hybridMultilevel"/>
    <w:lvl w:ilvl="0">
      <w:lvlJc w:val="left"/>
      <w:lvlText w:val="%1"/>
      <w:numFmt w:val="decimal"/>
      <w:start w:val="24"/>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5">
    <w:nsid w:val="5092CA79"/>
    <w:multiLevelType w:val="hybridMultilevel"/>
    <w:lvl w:ilvl="0">
      <w:lvlJc w:val="left"/>
      <w:lvlText w:val="%1"/>
      <w:numFmt w:val="lowerLetter"/>
      <w:start w:val="1"/>
    </w:lvl>
    <w:lvl w:ilvl="1">
      <w:lvlJc w:val="left"/>
      <w:lvlText w:val="(%2)"/>
      <w:numFmt w:val="lowerRoman"/>
      <w:start w:val="1"/>
    </w:lvl>
  </w:abstractNum>
  <w:abstractNum w:abstractNumId="106">
    <w:nsid w:val="1D545C4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1" Type="http://schemas.openxmlformats.org/officeDocument/2006/relationships/image" Target="media/image138.png"/><Relationship Id="rId183" Type="http://schemas.openxmlformats.org/officeDocument/2006/relationships/image" Target="media/image139.png"/><Relationship Id="rId198" Type="http://schemas.openxmlformats.org/officeDocument/2006/relationships/image" Target="media/image140.png"/><Relationship Id="rId207" Type="http://schemas.openxmlformats.org/officeDocument/2006/relationships/image" Target="media/image141.png"/><Relationship Id="rId219" Type="http://schemas.openxmlformats.org/officeDocument/2006/relationships/image" Target="media/image142.png"/><Relationship Id="rId223" Type="http://schemas.openxmlformats.org/officeDocument/2006/relationships/image" Target="media/image143.png"/><Relationship Id="rId224" Type="http://schemas.openxmlformats.org/officeDocument/2006/relationships/image" Target="media/image144.png"/><Relationship Id="rId225" Type="http://schemas.openxmlformats.org/officeDocument/2006/relationships/image" Target="media/image145.png"/><Relationship Id="rId226" Type="http://schemas.openxmlformats.org/officeDocument/2006/relationships/image" Target="media/image146.png"/><Relationship Id="rId227" Type="http://schemas.openxmlformats.org/officeDocument/2006/relationships/image" Target="media/image147.png"/><Relationship Id="rId228" Type="http://schemas.openxmlformats.org/officeDocument/2006/relationships/image" Target="media/image148.png"/><Relationship Id="rId229" Type="http://schemas.openxmlformats.org/officeDocument/2006/relationships/image" Target="media/image149.png"/><Relationship Id="rId230" Type="http://schemas.openxmlformats.org/officeDocument/2006/relationships/image" Target="media/image150.png"/><Relationship Id="rId231" Type="http://schemas.openxmlformats.org/officeDocument/2006/relationships/image" Target="media/image151.png"/><Relationship Id="rId232" Type="http://schemas.openxmlformats.org/officeDocument/2006/relationships/image" Target="media/image152.png"/><Relationship Id="rId233" Type="http://schemas.openxmlformats.org/officeDocument/2006/relationships/image" Target="media/image153.png"/><Relationship Id="rId234" Type="http://schemas.openxmlformats.org/officeDocument/2006/relationships/image" Target="media/image154.png"/><Relationship Id="rId235" Type="http://schemas.openxmlformats.org/officeDocument/2006/relationships/image" Target="media/image155.png"/><Relationship Id="rId236" Type="http://schemas.openxmlformats.org/officeDocument/2006/relationships/image" Target="media/image156.png"/><Relationship Id="rId237" Type="http://schemas.openxmlformats.org/officeDocument/2006/relationships/image" Target="media/image157.png"/><Relationship Id="rId238" Type="http://schemas.openxmlformats.org/officeDocument/2006/relationships/image" Target="media/image158.png"/><Relationship Id="rId239" Type="http://schemas.openxmlformats.org/officeDocument/2006/relationships/image" Target="media/image159.png"/><Relationship Id="rId240" Type="http://schemas.openxmlformats.org/officeDocument/2006/relationships/image" Target="media/image160.png"/><Relationship Id="rId241" Type="http://schemas.openxmlformats.org/officeDocument/2006/relationships/image" Target="media/image161.png"/><Relationship Id="rId242" Type="http://schemas.openxmlformats.org/officeDocument/2006/relationships/image" Target="media/image162.png"/><Relationship Id="rId243" Type="http://schemas.openxmlformats.org/officeDocument/2006/relationships/image" Target="media/image163.png"/><Relationship Id="rId244" Type="http://schemas.openxmlformats.org/officeDocument/2006/relationships/image" Target="media/image164.png"/><Relationship Id="rId245" Type="http://schemas.openxmlformats.org/officeDocument/2006/relationships/image" Target="media/image165.png"/><Relationship Id="rId246" Type="http://schemas.openxmlformats.org/officeDocument/2006/relationships/image" Target="media/image166.png"/><Relationship Id="rId145" Type="http://schemas.openxmlformats.org/officeDocument/2006/relationships/hyperlink" Target="http://www.sec.gov/Archives/edgar/data/1219601/000121960105000069/ex3a2004.htm" TargetMode="External"/><Relationship Id="rId146" Type="http://schemas.openxmlformats.org/officeDocument/2006/relationships/hyperlink" Target="http://www.sec.gov/Archives/edgar/data/1219601/000121960116000043/ex3ii.htm" TargetMode="External"/><Relationship Id="rId147" Type="http://schemas.openxmlformats.org/officeDocument/2006/relationships/hyperlink" Target="http://www.sec.gov/Archives/edgar/data/25890/000119312513373308/d582401dex3c.htm" TargetMode="External"/><Relationship Id="rId148" Type="http://schemas.openxmlformats.org/officeDocument/2006/relationships/hyperlink" Target="http://www.sec.gov/Archives/edgar/data/25890/000119312513373308/d582401dex3d.htm" TargetMode="External"/><Relationship Id="rId149" Type="http://schemas.openxmlformats.org/officeDocument/2006/relationships/hyperlink" Target="http://www.sec.gov/Archives/edgar/data/0001219601/000119312518343804/d651519dex3e.htm" TargetMode="External"/><Relationship Id="rId150" Type="http://schemas.openxmlformats.org/officeDocument/2006/relationships/hyperlink" Target="http://www.sec.gov/Archives/edgar/data/0001219601/000119312518343804/d651519dex3f.htm" TargetMode="External"/><Relationship Id="rId151" Type="http://schemas.openxmlformats.org/officeDocument/2006/relationships/hyperlink" Target="http://www.sec.gov/Archives/edgar/data/25890/000119312513373308/d582401dex3g.htm" TargetMode="External"/><Relationship Id="rId152" Type="http://schemas.openxmlformats.org/officeDocument/2006/relationships/hyperlink" Target="http://www.sec.gov/Archives/edgar/data/25890/000119312513373308/d582401dex3h.htm" TargetMode="External"/><Relationship Id="rId153" Type="http://schemas.openxmlformats.org/officeDocument/2006/relationships/hyperlink" Target="http://www.sec.gov/Archives/edgar/data/25890/000119312513373308/d582401dex3i.htm" TargetMode="External"/><Relationship Id="rId154" Type="http://schemas.openxmlformats.org/officeDocument/2006/relationships/hyperlink" Target="http://www.sec.gov/Archives/edgar/data/25890/000119312513373308/d582401dex3j.htm" TargetMode="External"/><Relationship Id="rId155" Type="http://schemas.openxmlformats.org/officeDocument/2006/relationships/hyperlink" Target="http://www.sec.gov/Archives/edgar/data/25890/000119312513373308/d582401dex3k.htm" TargetMode="External"/><Relationship Id="rId156" Type="http://schemas.openxmlformats.org/officeDocument/2006/relationships/hyperlink" Target="http://www.sec.gov/Archives/edgar/data/25890/000119312513373308/d582401dex3l.htm" TargetMode="External"/><Relationship Id="rId157" Type="http://schemas.openxmlformats.org/officeDocument/2006/relationships/hyperlink" Target="http://www.sec.gov/Archives/edgar/data/25890/000119312513373308/d582401dex3m.htm" TargetMode="External"/><Relationship Id="rId158" Type="http://schemas.openxmlformats.org/officeDocument/2006/relationships/hyperlink" Target="http://www.sec.gov/Archives/edgar/data/25890/000119312513373308/d582401dex3n.htm" TargetMode="External"/><Relationship Id="rId159" Type="http://schemas.openxmlformats.org/officeDocument/2006/relationships/hyperlink" Target="http://www.sec.gov/Archives/edgar/data/25890/000119312513373308/d582401dex3o.htm" TargetMode="External"/><Relationship Id="rId160" Type="http://schemas.openxmlformats.org/officeDocument/2006/relationships/hyperlink" Target="http://www.sec.gov/Archives/edgar/data/25890/000119312513373308/d582401dex3p.htm" TargetMode="External"/><Relationship Id="rId162" Type="http://schemas.openxmlformats.org/officeDocument/2006/relationships/hyperlink" Target="http://www.sec.gov/Archives/edgar/data/25890/000119312513373308/d582401dex3q.htm" TargetMode="External"/><Relationship Id="rId163" Type="http://schemas.openxmlformats.org/officeDocument/2006/relationships/hyperlink" Target="http://www.sec.gov/Archives/edgar/data/25890/000119312513373308/d582401dex3r.htm" TargetMode="External"/><Relationship Id="rId164" Type="http://schemas.openxmlformats.org/officeDocument/2006/relationships/hyperlink" Target="http://www.sec.gov/Archives/edgar/data/25890/000119312513373308/d582401dex3s.htm" TargetMode="External"/><Relationship Id="rId165" Type="http://schemas.openxmlformats.org/officeDocument/2006/relationships/hyperlink" Target="http://www.sec.gov/Archives/edgar/data/25890/000119312513373308/d582401dex3t.htm" TargetMode="External"/><Relationship Id="rId166" Type="http://schemas.openxmlformats.org/officeDocument/2006/relationships/hyperlink" Target="http://www.sec.gov/Archives/edgar/data/25890/000119312513373308/d582401dex3u.htm" TargetMode="External"/><Relationship Id="rId167" Type="http://schemas.openxmlformats.org/officeDocument/2006/relationships/hyperlink" Target="http://www.sec.gov/Archives/edgar/data/25890/000119312513373308/d582401dex3v.htm" TargetMode="External"/><Relationship Id="rId168" Type="http://schemas.openxmlformats.org/officeDocument/2006/relationships/hyperlink" Target="http://www.sec.gov/Archives/edgar/data/25890/000119312513373308/d582401dex3y.htm" TargetMode="External"/><Relationship Id="rId169" Type="http://schemas.openxmlformats.org/officeDocument/2006/relationships/hyperlink" Target="http://www.sec.gov/Archives/edgar/data/25890/000119312513373308/d582401dex3z.htm" TargetMode="External"/><Relationship Id="rId170" Type="http://schemas.openxmlformats.org/officeDocument/2006/relationships/hyperlink" Target="http://www.sec.gov/Archives/edgar/data/25890/000119312513373308/d582401dex3aa.htm" TargetMode="External"/><Relationship Id="rId171" Type="http://schemas.openxmlformats.org/officeDocument/2006/relationships/hyperlink" Target="http://www.sec.gov/Archives/edgar/data/25890/000119312513373308/d582401dex3bb.htm" TargetMode="External"/><Relationship Id="rId172" Type="http://schemas.openxmlformats.org/officeDocument/2006/relationships/hyperlink" Target="http://www.sec.gov/Archives/edgar/data/25890/000119312513373308/d582401dex3cc.htm" TargetMode="External"/><Relationship Id="rId173" Type="http://schemas.openxmlformats.org/officeDocument/2006/relationships/hyperlink" Target="http://www.sec.gov/Archives/edgar/data/25890/000119312513373308/d582401dex3dd.htm" TargetMode="External"/><Relationship Id="rId174" Type="http://schemas.openxmlformats.org/officeDocument/2006/relationships/hyperlink" Target="http://www.sec.gov/Archives/edgar/data/0001219601/000119312518343804/d651519dex3cc.htm" TargetMode="External"/><Relationship Id="rId175" Type="http://schemas.openxmlformats.org/officeDocument/2006/relationships/hyperlink" Target="http://www.sec.gov/Archives/edgar/data/0001219601/000119312518343804/d651519dex3dd.htm" TargetMode="External"/><Relationship Id="rId176" Type="http://schemas.openxmlformats.org/officeDocument/2006/relationships/hyperlink" Target="http://www.sec.gov/Archives/edgar/data/0001219601/000119312518343804/d651519dex3ee.htm" TargetMode="External"/><Relationship Id="rId177" Type="http://schemas.openxmlformats.org/officeDocument/2006/relationships/hyperlink" Target="http://www.sec.gov/Archives/edgar/data/0001219601/000119312518343804/d651519dex3ff.htm" TargetMode="External"/><Relationship Id="rId178" Type="http://schemas.openxmlformats.org/officeDocument/2006/relationships/hyperlink" Target="http://www.sec.gov/Archives/edgar/data/0001219601/000119312518343804/d651519dex3gg.htm" TargetMode="External"/><Relationship Id="rId179" Type="http://schemas.openxmlformats.org/officeDocument/2006/relationships/hyperlink" Target="http://www.sec.gov/Archives/edgar/data/0001219601/000119312518343804/d651519dex3hh.htm" TargetMode="External"/><Relationship Id="rId180" Type="http://schemas.openxmlformats.org/officeDocument/2006/relationships/hyperlink" Target="http://www.sec.gov/Archives/edgar/data/0001219601/000119312518343804/d651519dex3ii.htm" TargetMode="External"/><Relationship Id="rId181" Type="http://schemas.openxmlformats.org/officeDocument/2006/relationships/hyperlink" Target="http://www.sec.gov/Archives/edgar/data/0001219601/000119312518343804/d651519dex3jj.htm" TargetMode="External"/><Relationship Id="rId182" Type="http://schemas.openxmlformats.org/officeDocument/2006/relationships/hyperlink" Target="http://www.sec.gov/Archives/edgar/data/0001219601/000119312518343804/d651519dex3kk.htm" TargetMode="External"/><Relationship Id="rId184" Type="http://schemas.openxmlformats.org/officeDocument/2006/relationships/hyperlink" Target="http://www.sec.gov/Archives/edgar/data/0001219601/000119312518343804/d651519dex3ll.htm" TargetMode="External"/><Relationship Id="rId185" Type="http://schemas.openxmlformats.org/officeDocument/2006/relationships/hyperlink" Target="http://www.sec.gov/Archives/edgar/data/0001219601/000119312518343804/d651519dex3mm.htm" TargetMode="External"/><Relationship Id="rId186" Type="http://schemas.openxmlformats.org/officeDocument/2006/relationships/hyperlink" Target="http://www.sec.gov/Archives/edgar/data/0001219601/000119312518343804/d651519dex3nn.htm" TargetMode="External"/><Relationship Id="rId187" Type="http://schemas.openxmlformats.org/officeDocument/2006/relationships/hyperlink" Target="http://www.sec.gov/Archives/edgar/data/0001219601/000119312518343804/d651519dex3oo.htm" TargetMode="External"/><Relationship Id="rId188" Type="http://schemas.openxmlformats.org/officeDocument/2006/relationships/hyperlink" Target="http://www.sec.gov/Archives/edgar/data/0001219601/000119312518343804/d651519dex3pp.htm" TargetMode="External"/><Relationship Id="rId189" Type="http://schemas.openxmlformats.org/officeDocument/2006/relationships/hyperlink" Target="http://www.sec.gov/Archives/edgar/data/0001219601/000119312518343804/d651519dex3qq.htm" TargetMode="External"/><Relationship Id="rId190" Type="http://schemas.openxmlformats.org/officeDocument/2006/relationships/hyperlink" Target="http://www.sec.gov/Archives/edgar/data/0001219601/000119312518343804/d651519dex3rr.htm" TargetMode="External"/><Relationship Id="rId191" Type="http://schemas.openxmlformats.org/officeDocument/2006/relationships/hyperlink" Target="http://www.sec.gov/Archives/edgar/data/25890/0000950159-96-000046.txt" TargetMode="External"/><Relationship Id="rId192" Type="http://schemas.openxmlformats.org/officeDocument/2006/relationships/hyperlink" Target="http://www.sec.gov/Archives/edgar/data/25890/0000950109-96-008580.txt" TargetMode="External"/><Relationship Id="rId193" Type="http://schemas.openxmlformats.org/officeDocument/2006/relationships/hyperlink" Target="http://www.sec.gov/Archives/edgar/data/25890/0000950109-96-008460.txt" TargetMode="External"/><Relationship Id="rId194" Type="http://schemas.openxmlformats.org/officeDocument/2006/relationships/hyperlink" Target="http://www.sec.gov/Archives/edgar/data/25890/0000950109-96-008181.txt" TargetMode="External"/><Relationship Id="rId195" Type="http://schemas.openxmlformats.org/officeDocument/2006/relationships/hyperlink" Target="http://www.sec.gov/Archives/edgar/data/1219601/000095016803000549/dex45.htm" TargetMode="External"/><Relationship Id="rId196" Type="http://schemas.openxmlformats.org/officeDocument/2006/relationships/hyperlink" Target="http://www.sec.gov/Archives/edgar/data/1219601/000119312513010869/d465899dex41.htm" TargetMode="External"/><Relationship Id="rId197" Type="http://schemas.openxmlformats.org/officeDocument/2006/relationships/hyperlink" Target="http://www.sec.gov/Archives/edgar/data/1219601/000119312513010869/d465899dex42.htm" TargetMode="External"/><Relationship Id="rId199" Type="http://schemas.openxmlformats.org/officeDocument/2006/relationships/hyperlink" Target="http://www.sec.gov/Archives/edgar/data/1219601/000119312513016125/d468305dex41.htm" TargetMode="External"/><Relationship Id="rId200" Type="http://schemas.openxmlformats.org/officeDocument/2006/relationships/hyperlink" Target="http://www.sec.gov/Archives/edgar/data/1219601/000121960117000016/ex4march2017.htm" TargetMode="External"/><Relationship Id="rId201" Type="http://schemas.openxmlformats.org/officeDocument/2006/relationships/hyperlink" Target="http://www.sec.gov/Archives/edgar/data/1219601/000119312514266345/d755738dex41.htm" TargetMode="External"/><Relationship Id="rId202" Type="http://schemas.openxmlformats.org/officeDocument/2006/relationships/hyperlink" Target="http://www.sec.gov/Archives/edgar/data/1219601/000119312516712850/d213162dex41.htm" TargetMode="External"/><Relationship Id="rId203" Type="http://schemas.openxmlformats.org/officeDocument/2006/relationships/hyperlink" Target="http://www.sec.gov/Archives/edgar/data/1219601/000119312516712850/d213162dex42.htm" TargetMode="External"/><Relationship Id="rId204" Type="http://schemas.openxmlformats.org/officeDocument/2006/relationships/hyperlink" Target="http://www.sec.gov/Archives/edgar/data/1219601/000119312516712850/d213162dex43.htm" TargetMode="External"/><Relationship Id="rId205" Type="http://schemas.openxmlformats.org/officeDocument/2006/relationships/hyperlink" Target="http://www.sec.gov/Archives/edgar/data/1219601/000121960115000034/ex10.htm" TargetMode="External"/><Relationship Id="rId206" Type="http://schemas.openxmlformats.org/officeDocument/2006/relationships/hyperlink" Target="http://www.sec.gov/Archives/edgar/data/1219601/000119312518029266/d470596dex43.htm" TargetMode="External"/><Relationship Id="rId208" Type="http://schemas.openxmlformats.org/officeDocument/2006/relationships/hyperlink" Target="http://www.sec.gov/Archives/edgar/data/1219601/000119312518029266/d470596dex41.htm" TargetMode="External"/><Relationship Id="rId209" Type="http://schemas.openxmlformats.org/officeDocument/2006/relationships/hyperlink" Target="http://www.sec.gov/Archives/edgar/data/1219601/000119312518029266/d470596dex42.htm" TargetMode="External"/><Relationship Id="rId210" Type="http://schemas.openxmlformats.org/officeDocument/2006/relationships/hyperlink" Target="http://www.sec.gov/Archives/edgar/data/1219601/000119312518017584/d364167dex101.htm" TargetMode="External"/><Relationship Id="rId211" Type="http://schemas.openxmlformats.org/officeDocument/2006/relationships/hyperlink" Target="http://www.sec.gov/Archives/edgar/data/1219601/000119312518017584/d364167dex102.htm" TargetMode="External"/><Relationship Id="rId212" Type="http://schemas.openxmlformats.org/officeDocument/2006/relationships/hyperlink" Target="http://www.sec.gov/Archives/edgar/data/1219601/000121960118000009/ex4dec2017.htm" TargetMode="External"/><Relationship Id="rId213" Type="http://schemas.openxmlformats.org/officeDocument/2006/relationships/hyperlink" Target="http://www.sec.gov/Archives/edgar/data/1219601/000121960118000009/ex41dec2017.htm" TargetMode="External"/><Relationship Id="rId214" Type="http://schemas.openxmlformats.org/officeDocument/2006/relationships/hyperlink" Target="http://www.sec.gov/Archives/edgar/data/0001219601/000119312518343804/d651519dex5.htm" TargetMode="External"/><Relationship Id="rId215" Type="http://schemas.openxmlformats.org/officeDocument/2006/relationships/hyperlink" Target="http://www.sec.gov/Archives/edgar/data/0001219601/000119312518343804/d651519dex23a.htm" TargetMode="External"/><Relationship Id="rId216" Type="http://schemas.openxmlformats.org/officeDocument/2006/relationships/hyperlink" Target="http://www.sec.gov/Archives/edgar/data/0001219601/000119312518343804/d651519dex23b.htm" TargetMode="External"/><Relationship Id="rId217" Type="http://schemas.openxmlformats.org/officeDocument/2006/relationships/hyperlink" Target="http://www.sec.gov/Archives/edgar/data/0001219601/000119312518343804/d651519dex25.htm" TargetMode="External"/><Relationship Id="rId218" Type="http://schemas.openxmlformats.org/officeDocument/2006/relationships/hyperlink" Target="http://www.sec.gov/Archives/edgar/data/0001219601/000119312518343804/d651519dex99a.htm" TargetMode="External"/><Relationship Id="rId220" Type="http://schemas.openxmlformats.org/officeDocument/2006/relationships/hyperlink" Target="http://www.sec.gov/Archives/edgar/data/0001219601/000119312518343804/d651519dex99b.htm" TargetMode="External"/><Relationship Id="rId221" Type="http://schemas.openxmlformats.org/officeDocument/2006/relationships/hyperlink" Target="http://www.sec.gov/Archives/edgar/data/0001219601/000119312518343804/d651519dex99c.htm" TargetMode="External"/><Relationship Id="rId222" Type="http://schemas.openxmlformats.org/officeDocument/2006/relationships/hyperlink" Target="http://www.sec.gov/Archives/edgar/data/0001219601/000119312518343804/d651519dex99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2019-12-06T20:53:16Z</dcterms:created>
  <dcterms:modified xsi:type="dcterms:W3CDTF">2019-12-06T20:53:16Z</dcterms:modified>
</cp:coreProperties>
</file>