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Gifford Gerard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5,576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168,923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157,515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February 28, 2020, the Reporting Person owned 5,576 shares of CCK Common Stock under the CCK 401(k)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7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difference between 20,712 performance-based shares of Restricted Common Stock that vested on February 28, 2020 and 17,080 performance-based shares of Restricted Common Stock whose grant was originally reported on a Form 4 filed with the U.S. Securities and Exchange Commission on March 2, 2017 (the "Original Form 4"). As reported on the Original Form 4, such performance-based shares were originally granted to the Reporting Person based on the Company's Total Shareholder Return versus a defined group of companies with the final number of performance-based vested shares varying from 0 to 200% of 8,771 and on the Return on Invested Capital achieved by the Company compared to the ROIC target varying from 0 to 200% of 8,309.</w:t>
      </w:r>
    </w:p>
    <w:p>
      <w:pPr>
        <w:spacing w:after="0" w:line="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both time-based and performance-based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2020-03-03T14:51:42Z</dcterms:created>
  <dcterms:modified xsi:type="dcterms:W3CDTF">2020-03-03T14:51:42Z</dcterms:modified>
</cp:coreProperties>
</file>