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gridSpan w:val="1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19067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1,423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02/25/2021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14,188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96.45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636,256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9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6"/>
              </w:rPr>
              <w:t>1. Represents shares transferred to the Company for tax withholding in connection with vesting of performance-based stock.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Rosemary M. Haselroth, by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02/26/2021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Power of Attorney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-4095115</wp:posOffset>
            </wp:positionV>
            <wp:extent cx="7031355" cy="31394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139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11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2021-02-26T15:22:49Z</dcterms:created>
  <dcterms:modified xsi:type="dcterms:W3CDTF">2021-02-26T15:22:49Z</dcterms:modified>
</cp:coreProperties>
</file>