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2021</w:t>
      </w:r>
    </w:p>
    <w:p>
      <w:pPr>
        <w:spacing w:after="0" w:line="220"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131,367,768 shares of Common Stock outstanding as of 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60" w:type="dxa"/>
        <w:tblCellMar>
          <w:top w:w="0" w:type="dxa"/>
          <w:left w:w="0" w:type="dxa"/>
          <w:bottom w:w="0" w:type="dxa"/>
          <w:right w:w="0" w:type="dxa"/>
        </w:tblCellMar>
      </w:tblPr>
      <w:tr>
        <w:trPr>
          <w:trHeight w:val="234"/>
        </w:trPr>
        <w:tc>
          <w:tcPr>
            <w:tcW w:w="6300" w:type="dxa"/>
            <w:vAlign w:val="bottom"/>
            <w:gridSpan w:val="2"/>
          </w:tcPr>
          <w:p>
            <w:pPr>
              <w:jc w:val="center"/>
              <w:ind w:left="453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affiliates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Net income from continuing operations attributable to noncontrolling interests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5"/>
        </w:trPr>
        <w:tc>
          <w:tcPr>
            <w:tcW w:w="6000" w:type="dxa"/>
            <w:vAlign w:val="bottom"/>
          </w:tcPr>
          <w:p>
            <w:pPr>
              <w:ind w:left="34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30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Net (loss) / income from discontinued operations attributable to Crown Holdings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4"/>
        </w:trPr>
        <w:tc>
          <w:tcPr>
            <w:tcW w:w="6300" w:type="dxa"/>
            <w:vAlign w:val="bottom"/>
            <w:gridSpan w:val="2"/>
          </w:tcPr>
          <w:p>
            <w:pPr>
              <w:jc w:val="center"/>
              <w:ind w:left="453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913"/>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000" w:type="dxa"/>
            <w:vAlign w:val="bottom"/>
          </w:tcPr>
          <w:p>
            <w:pPr>
              <w:jc w:val="center"/>
              <w:ind w:left="4850"/>
              <w:spacing w:after="0"/>
              <w:rPr>
                <w:sz w:val="20"/>
                <w:szCs w:val="20"/>
                <w:color w:val="auto"/>
              </w:rPr>
            </w:pPr>
            <w:r>
              <w:rPr>
                <w:rFonts w:ascii="Arial" w:cs="Arial" w:eastAsia="Arial" w:hAnsi="Arial"/>
                <w:sz w:val="18"/>
                <w:szCs w:val="18"/>
                <w:b w:val="1"/>
                <w:bCs w:val="1"/>
                <w:color w:val="auto"/>
                <w:w w:val="93"/>
              </w:rPr>
              <w:t>(In millions)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2"/>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0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Crown Holdings, Inc.</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13"/>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4"/>
          </w:tcPr>
          <w:p>
            <w:pPr>
              <w:jc w:val="center"/>
              <w:ind w:right="144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3"/>
              </w:rPr>
              <w:t>(In millions)</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(Unaudited)</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2"/>
              </w:rPr>
              <w:t>December 31,</w:t>
            </w:r>
          </w:p>
        </w:tc>
      </w:tr>
      <w:tr>
        <w:trPr>
          <w:trHeight w:val="229"/>
        </w:trPr>
        <w:tc>
          <w:tcPr>
            <w:tcW w:w="2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9"/>
        </w:trPr>
        <w:tc>
          <w:tcPr>
            <w:tcW w:w="3540" w:type="dxa"/>
            <w:vAlign w:val="bottom"/>
            <w:gridSpan w:val="3"/>
          </w:tcPr>
          <w:p>
            <w:pPr>
              <w:ind w:left="360"/>
              <w:spacing w:after="0"/>
              <w:rPr>
                <w:sz w:val="20"/>
                <w:szCs w:val="20"/>
                <w:color w:val="auto"/>
              </w:rPr>
            </w:pPr>
            <w:r>
              <w:rPr>
                <w:rFonts w:ascii="Arial" w:cs="Arial" w:eastAsia="Arial" w:hAnsi="Arial"/>
                <w:sz w:val="18"/>
                <w:szCs w:val="18"/>
                <w:color w:val="auto"/>
                <w:w w:val="92"/>
              </w:rPr>
              <w:t>Prepaid expenses and other current assets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36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r>
      <w:tr>
        <w:trPr>
          <w:trHeight w:val="250"/>
        </w:trPr>
        <w:tc>
          <w:tcPr>
            <w:tcW w:w="2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3"/>
        </w:trPr>
        <w:tc>
          <w:tcPr>
            <w:tcW w:w="35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w:t>
            </w:r>
          </w:p>
        </w:tc>
        <w:tc>
          <w:tcPr>
            <w:tcW w:w="3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16,695</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3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w w:val="92"/>
              </w:rPr>
              <w:t>Current portion of operating lease liabilities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3540" w:type="dxa"/>
            <w:vAlign w:val="bottom"/>
            <w:gridSpan w:val="3"/>
          </w:tcPr>
          <w:p>
            <w:pPr>
              <w:ind w:left="360"/>
              <w:spacing w:after="0"/>
              <w:rPr>
                <w:sz w:val="20"/>
                <w:szCs w:val="20"/>
                <w:color w:val="auto"/>
              </w:rPr>
            </w:pPr>
            <w:r>
              <w:rPr>
                <w:rFonts w:ascii="Arial" w:cs="Arial" w:eastAsia="Arial" w:hAnsi="Arial"/>
                <w:sz w:val="18"/>
                <w:szCs w:val="18"/>
                <w:color w:val="auto"/>
              </w:rPr>
              <w:t>Accrued liabilities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3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36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r>
      <w:tr>
        <w:trPr>
          <w:trHeight w:val="250"/>
        </w:trPr>
        <w:tc>
          <w:tcPr>
            <w:tcW w:w="2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w w:val="99"/>
              </w:rPr>
              <w:t>Long-term debt, excluding current maturities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Non-current portion of operating lease liabilities</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Postretirement and pension liabilities</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Non-current liabilities held for sale</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0"/>
        </w:trPr>
        <w:tc>
          <w:tcPr>
            <w:tcW w:w="3540" w:type="dxa"/>
            <w:vAlign w:val="bottom"/>
            <w:gridSpan w:val="3"/>
            <w:shd w:val="clear" w:color="auto" w:fill="CCEEFF"/>
          </w:tcPr>
          <w:p>
            <w:pPr>
              <w:ind w:left="20"/>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Commitments and contingent liabilities </w:t>
            </w:r>
            <w:r>
              <w:rPr>
                <w:rFonts w:ascii="Arial" w:cs="Arial" w:eastAsia="Arial" w:hAnsi="Arial"/>
                <w:sz w:val="18"/>
                <w:szCs w:val="18"/>
                <w:i w:val="1"/>
                <w:iCs w:val="1"/>
                <w:color w:val="auto"/>
                <w:w w:val="93"/>
              </w:rPr>
              <w:t>(</w:t>
            </w:r>
            <w:hyperlink w:anchor="page13">
              <w:r>
                <w:rPr>
                  <w:rFonts w:ascii="Arial" w:cs="Arial" w:eastAsia="Arial" w:hAnsi="Arial"/>
                  <w:sz w:val="18"/>
                  <w:szCs w:val="18"/>
                  <w:i w:val="1"/>
                  <w:iCs w:val="1"/>
                  <w:color w:val="0000FF"/>
                  <w:w w:val="93"/>
                </w:rPr>
                <w:t>Note J</w:t>
              </w:r>
            </w:hyperlink>
            <w:r>
              <w:rPr>
                <w:rFonts w:ascii="Arial" w:cs="Arial" w:eastAsia="Arial" w:hAnsi="Arial"/>
                <w:sz w:val="18"/>
                <w:szCs w:val="18"/>
                <w:i w:val="1"/>
                <w:iCs w:val="1"/>
                <w:color w:val="auto"/>
                <w:w w:val="93"/>
              </w:rPr>
              <w:t>)</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462</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36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23"/>
        </w:trPr>
        <w:tc>
          <w:tcPr>
            <w:tcW w:w="35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3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r>
      <w:tr>
        <w:trPr>
          <w:trHeight w:val="248"/>
        </w:trPr>
        <w:tc>
          <w:tcPr>
            <w:tcW w:w="3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3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46"/>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2"/>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classification as held for sale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 (used for)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Common stock issued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2021 and the results of its operations for the three and six months ended June 30, 2021 and 2020 and of its cash flows for the six months ended June 30, 2021 and 2020.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2020.</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Reporting Developments</w:t>
      </w:r>
    </w:p>
    <w:p>
      <w:pPr>
        <w:spacing w:after="0" w:line="25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April 8, 2021, the Company entered into a Share and Asset Purchase Agreement which provides for the sale (the “Transaction”) of its European Tinplate business (the “Business”) to Kouti B.V., an affiliate of KPS Capital Partners LP. The Business comprises the Company’s European Food segment and its European Aerosol and Promotional Packaging reporting unit which is reported in the Company's other segments. The Company expects to receive pre-tax proceeds of approximately €1.9 billion ($2.2 billion at June 30, 2021) from the Transaction and retain a 20% minority interest in the Business.</w:t>
      </w:r>
    </w:p>
    <w:p>
      <w:pPr>
        <w:spacing w:after="0" w:line="215"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completion of the Transaction is subject to the fulfillment of various conditions, including, among others, receipt of approvals from antitrust regulators in certain jurisdictions. Completion of the Transaction is expected to occur during the third quarter of 2021. However, given the number of jurisdictions in which antitrust approval is required, there is no assurance that the Transaction can be completed on that timeframe.</w:t>
      </w:r>
    </w:p>
    <w:p>
      <w:pPr>
        <w:spacing w:after="0" w:line="17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Beginning with the quarterly period ended June 30, 2021, the assets and liabilities of the Business were presented as held for sale in the Company's Consolidated Balance Sheet and the results of operations were reported as discontinued operations in the Consolidated Statement of Operations. Upon reclassification of the assets and liabilities of the Business to held for sale, the Company recorded a loss of $70, primarily due to $600 of currency translation adjustments which will be reclassified from accumulated other comprehensive income upon completion of the sale. In connection with the closing of the Transaction, the Company expects to record additional charges including income tax expense related to taxable gains on the sale of the Business and pension settlement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net (loss) / income from discontinued operations were as follows: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58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660" w:type="dxa"/>
            <w:vAlign w:val="bottom"/>
            <w:gridSpan w:val="8"/>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June 30,</w:t>
            </w:r>
          </w:p>
        </w:tc>
        <w:tc>
          <w:tcPr>
            <w:tcW w:w="7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605</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w w:val="91"/>
              </w:rPr>
              <w:t>Cost of products sold, excluding depreciation and amortization</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490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w:t>
            </w:r>
          </w:p>
        </w:tc>
        <w:tc>
          <w:tcPr>
            <w:tcW w:w="30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classification as held for sale</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7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 income from discontinued operations</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1"/>
                <w:szCs w:val="2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28"/>
        </w:trPr>
        <w:tc>
          <w:tcPr>
            <w:tcW w:w="7160" w:type="dxa"/>
            <w:vAlign w:val="bottom"/>
            <w:gridSpan w:val="8"/>
          </w:tcPr>
          <w:p>
            <w:pPr>
              <w:spacing w:after="0"/>
              <w:rPr>
                <w:sz w:val="20"/>
                <w:szCs w:val="20"/>
                <w:color w:val="auto"/>
              </w:rPr>
            </w:pPr>
            <w:r>
              <w:rPr>
                <w:rFonts w:ascii="Arial" w:cs="Arial" w:eastAsia="Arial" w:hAnsi="Arial"/>
                <w:sz w:val="18"/>
                <w:szCs w:val="18"/>
                <w:color w:val="auto"/>
                <w:w w:val="93"/>
              </w:rPr>
              <w:t>Major classes of assets and liabilities of the Business classified as held for sale were as follows.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45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8"/>
              </w:rPr>
              <w:t>June 30, 2021</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w w:val="88"/>
              </w:rPr>
              <w:t>December 31, 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classification as held for sale</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Total assets held for sale</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2,954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Postretirement and pension liabilities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7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excludes assets held for sale unrelated to the Business that are not material for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capital expenditures of the Business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June 30, 2021</w:t>
            </w:r>
          </w:p>
        </w:tc>
        <w:tc>
          <w:tcPr>
            <w:tcW w:w="28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June 30, 2020</w:t>
            </w:r>
          </w:p>
        </w:tc>
      </w:tr>
      <w:tr>
        <w:trPr>
          <w:trHeight w:val="223"/>
        </w:trPr>
        <w:tc>
          <w:tcPr>
            <w:tcW w:w="660" w:type="dxa"/>
            <w:vAlign w:val="bottom"/>
          </w:tcPr>
          <w:p>
            <w:pPr>
              <w:spacing w:after="0"/>
              <w:rPr>
                <w:sz w:val="19"/>
                <w:szCs w:val="19"/>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9"/>
                <w:szCs w:val="19"/>
                <w:color w:val="auto"/>
              </w:rPr>
            </w:pPr>
          </w:p>
        </w:tc>
      </w:tr>
      <w:tr>
        <w:trPr>
          <w:trHeight w:val="864"/>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8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2021</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December 31, 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70"/>
        </w:trPr>
        <w:tc>
          <w:tcPr>
            <w:tcW w:w="58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8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E.  Receivables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5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principally determined under the first-in first-out ("FIFO") or average cost method.</w:t>
      </w: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53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30, 2021</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income from continuing operations for the three and six months ended June 30, 2021 and 2020 included amortization expense of $41 and $83 and $39 and $80.</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6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4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June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Other (income) / costs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For the three and six months ended June 30, 2021, other income includes gains of $30 arising from favorable court rulings in lawsuits brought by certain of the Company's Brazilian subsidiaries asserting they were overcharged by the local tax authorities for indirect taxes paid in prior years.</w:t>
      </w:r>
    </w:p>
    <w:p>
      <w:pPr>
        <w:spacing w:after="0" w:line="151" w:lineRule="exact"/>
        <w:rPr>
          <w:sz w:val="20"/>
          <w:szCs w:val="20"/>
          <w:color w:val="auto"/>
        </w:rPr>
      </w:pPr>
    </w:p>
    <w:p>
      <w:pPr>
        <w:ind w:left="660" w:right="2280"/>
        <w:spacing w:after="0" w:line="277" w:lineRule="auto"/>
        <w:rPr>
          <w:sz w:val="20"/>
          <w:szCs w:val="20"/>
          <w:color w:val="auto"/>
        </w:rPr>
      </w:pPr>
      <w:r>
        <w:rPr>
          <w:rFonts w:ascii="Arial" w:cs="Arial" w:eastAsia="Arial" w:hAnsi="Arial"/>
          <w:sz w:val="18"/>
          <w:szCs w:val="18"/>
          <w:color w:val="auto"/>
        </w:rPr>
        <w:t>For the three and six months ended June 30, 2020, restructuring included charges related to internal reorganizations within the Transit Packaging division, including headcount reductions.</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June 30, 2021, the Company had restructuring accruals of $9, primarily related to headcount reductions in its European and Transit Packaging divisions. The Company expects to pay these amounts over the next twelve months.</w:t>
      </w:r>
    </w:p>
    <w:p>
      <w:pPr>
        <w:spacing w:after="0" w:line="200" w:lineRule="exact"/>
        <w:rPr>
          <w:sz w:val="20"/>
          <w:szCs w:val="20"/>
          <w:color w:val="auto"/>
        </w:rPr>
      </w:pPr>
    </w:p>
    <w:p>
      <w:pPr>
        <w:spacing w:after="0" w:line="236"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paid $5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2020,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2021.</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2021, the Company’s accrual for pending and future asbestos-related claims and related legal costs was $245, including $199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2020),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$10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2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$6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20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0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21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June 30, 2021,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ind w:left="660" w:right="7480" w:hanging="652"/>
        <w:spacing w:after="0" w:line="566" w:lineRule="auto"/>
        <w:tabs>
          <w:tab w:leader="none" w:pos="37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Derivative and Other Financial Instruments </w:t>
      </w:r>
      <w:r>
        <w:rPr>
          <w:rFonts w:ascii="Arial" w:cs="Arial" w:eastAsia="Arial" w:hAnsi="Arial"/>
          <w:sz w:val="17"/>
          <w:szCs w:val="17"/>
          <w:u w:val="single" w:color="auto"/>
          <w:color w:val="auto"/>
        </w:rPr>
        <w:t>Fair Value Measurements</w:t>
      </w:r>
    </w:p>
    <w:p>
      <w:pPr>
        <w:jc w:val="both"/>
        <w:ind w:left="660"/>
        <w:spacing w:after="0" w:line="259" w:lineRule="auto"/>
        <w:rPr>
          <w:sz w:val="20"/>
          <w:szCs w:val="20"/>
          <w:color w:val="auto"/>
        </w:rPr>
      </w:pPr>
      <w:r>
        <w:rPr>
          <w:rFonts w:ascii="Arial" w:cs="Arial" w:eastAsia="Arial" w:hAnsi="Arial"/>
          <w:sz w:val="18"/>
          <w:szCs w:val="18"/>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reporting date. Level 3 includes unobservable pricing inputs that are not corroborated by market data or other objective sources. The Company has no recurring items valued using Level 3 inputs other than certain pension plan assets.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9">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2021 mature between one and twenty-three months.</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52"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recognized in OCI</w:t>
            </w: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recognized in OCI</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center"/>
              <w:ind w:right="30"/>
              <w:spacing w:after="0" w:line="169"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4"/>
          </w:tcPr>
          <w:p>
            <w:pPr>
              <w:jc w:val="right"/>
              <w:ind w:right="350"/>
              <w:spacing w:after="0" w:line="169"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9"/>
              </w:rPr>
              <w:t>income</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income</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center"/>
              <w:ind w:right="30"/>
              <w:spacing w:after="0" w:line="169"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50"/>
              <w:spacing w:after="0" w:line="169"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vMerge w:val="restart"/>
          </w:tcPr>
          <w:p>
            <w:pPr>
              <w:ind w:left="200"/>
              <w:spacing w:after="0"/>
              <w:rPr>
                <w:sz w:val="20"/>
                <w:szCs w:val="20"/>
                <w:color w:val="auto"/>
              </w:rPr>
            </w:pPr>
            <w:r>
              <w:rPr>
                <w:rFonts w:ascii="Arial" w:cs="Arial" w:eastAsia="Arial" w:hAnsi="Arial"/>
                <w:sz w:val="18"/>
                <w:szCs w:val="18"/>
                <w:color w:val="auto"/>
                <w:w w:val="98"/>
              </w:rPr>
              <w:t>Affected line items in the Statement of</w:t>
            </w:r>
          </w:p>
        </w:tc>
        <w:tc>
          <w:tcPr>
            <w:tcW w:w="0" w:type="dxa"/>
            <w:vAlign w:val="bottom"/>
          </w:tcPr>
          <w:p>
            <w:pPr>
              <w:spacing w:after="0"/>
              <w:rPr>
                <w:sz w:val="1"/>
                <w:szCs w:val="1"/>
                <w:color w:val="auto"/>
              </w:rPr>
            </w:pPr>
          </w:p>
        </w:tc>
      </w:tr>
      <w:tr>
        <w:trPr>
          <w:trHeight w:val="156"/>
        </w:trPr>
        <w:tc>
          <w:tcPr>
            <w:tcW w:w="282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13"/>
                <w:szCs w:val="13"/>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120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3"/>
                <w:szCs w:val="13"/>
                <w:color w:val="auto"/>
              </w:rPr>
            </w:pPr>
          </w:p>
        </w:tc>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Income from continuing operations before</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0" w:type="dxa"/>
            <w:vAlign w:val="bottom"/>
          </w:tcPr>
          <w:p>
            <w:pPr>
              <w:spacing w:after="0"/>
              <w:rPr>
                <w:sz w:val="1"/>
                <w:szCs w:val="1"/>
                <w:color w:val="auto"/>
              </w:rPr>
            </w:pPr>
          </w:p>
        </w:tc>
      </w:tr>
      <w:tr>
        <w:trPr>
          <w:trHeight w:val="155"/>
        </w:trPr>
        <w:tc>
          <w:tcPr>
            <w:tcW w:w="282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3200" w:type="dxa"/>
            <w:vAlign w:val="bottom"/>
          </w:tcPr>
          <w:p>
            <w:pPr>
              <w:ind w:left="20"/>
              <w:spacing w:after="0" w:line="156" w:lineRule="exact"/>
              <w:rPr>
                <w:sz w:val="20"/>
                <w:szCs w:val="20"/>
                <w:color w:val="auto"/>
              </w:rPr>
            </w:pPr>
            <w:r>
              <w:rPr>
                <w:rFonts w:ascii="Arial" w:cs="Arial" w:eastAsia="Arial" w:hAnsi="Arial"/>
                <w:sz w:val="18"/>
                <w:szCs w:val="18"/>
                <w:color w:val="auto"/>
              </w:rPr>
              <w:t>Net (loss) / income from discontinued</w:t>
            </w:r>
          </w:p>
        </w:tc>
        <w:tc>
          <w:tcPr>
            <w:tcW w:w="0" w:type="dxa"/>
            <w:vAlign w:val="bottom"/>
          </w:tcPr>
          <w:p>
            <w:pPr>
              <w:spacing w:after="0"/>
              <w:rPr>
                <w:sz w:val="1"/>
                <w:szCs w:val="1"/>
                <w:color w:val="auto"/>
              </w:rPr>
            </w:pPr>
          </w:p>
        </w:tc>
      </w:tr>
      <w:tr>
        <w:trPr>
          <w:trHeight w:val="230"/>
        </w:trPr>
        <w:tc>
          <w:tcPr>
            <w:tcW w:w="2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175"/>
        </w:trPr>
        <w:tc>
          <w:tcPr>
            <w:tcW w:w="28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 income from discontinued</w:t>
            </w:r>
          </w:p>
        </w:tc>
        <w:tc>
          <w:tcPr>
            <w:tcW w:w="0" w:type="dxa"/>
            <w:vAlign w:val="bottom"/>
          </w:tcPr>
          <w:p>
            <w:pPr>
              <w:spacing w:after="0"/>
              <w:rPr>
                <w:sz w:val="1"/>
                <w:szCs w:val="1"/>
                <w:color w:val="auto"/>
              </w:rPr>
            </w:pPr>
          </w:p>
        </w:tc>
      </w:tr>
      <w:tr>
        <w:trPr>
          <w:trHeight w:val="230"/>
        </w:trPr>
        <w:tc>
          <w:tcPr>
            <w:tcW w:w="2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For the twelve-month period ending June 30, 2022, a net gain of $63 ($51, net of tax) is expected to be reclassified to earnings for commodity and foreign exchange contracts. No material amounts were reclassified during the six months ended June 30, 2021 and 2020 in connection with anticipated transactions that were no longer considered probable.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2021, the Company recorded losses of $13 and $6 from foreign exchange contracts designated as fair value hedges. For both the three and six months ended June 30, 2020, the Company recorded a loss of $2 related to these contracts. These adjustments were reported within foreign exchange in the Consolidated Statements of Operations.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Pre-tax amounts of</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Pre-tax amounts of gain/(loss)</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center"/>
              <w:ind w:right="260"/>
              <w:spacing w:after="0" w:line="176" w:lineRule="exact"/>
              <w:rPr>
                <w:sz w:val="20"/>
                <w:szCs w:val="20"/>
                <w:color w:val="auto"/>
              </w:rPr>
            </w:pPr>
            <w:r>
              <w:rPr>
                <w:rFonts w:ascii="Arial" w:cs="Arial" w:eastAsia="Arial" w:hAnsi="Arial"/>
                <w:sz w:val="18"/>
                <w:szCs w:val="18"/>
                <w:color w:val="auto"/>
                <w:w w:val="91"/>
              </w:rPr>
              <w:t>gain/(loss) recognized in</w:t>
            </w:r>
          </w:p>
        </w:tc>
        <w:tc>
          <w:tcPr>
            <w:tcW w:w="2220" w:type="dxa"/>
            <w:vAlign w:val="bottom"/>
            <w:gridSpan w:val="5"/>
          </w:tcPr>
          <w:p>
            <w:pPr>
              <w:jc w:val="center"/>
              <w:spacing w:after="0" w:line="176" w:lineRule="exact"/>
              <w:rPr>
                <w:sz w:val="20"/>
                <w:szCs w:val="20"/>
                <w:color w:val="auto"/>
              </w:rPr>
            </w:pPr>
            <w:r>
              <w:rPr>
                <w:rFonts w:ascii="Arial" w:cs="Arial" w:eastAsia="Arial" w:hAnsi="Arial"/>
                <w:sz w:val="18"/>
                <w:szCs w:val="18"/>
                <w:color w:val="auto"/>
                <w:w w:val="91"/>
              </w:rPr>
              <w:t>recognized in income on</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income on derivative</w:t>
            </w:r>
          </w:p>
        </w:tc>
        <w:tc>
          <w:tcPr>
            <w:tcW w:w="700" w:type="dxa"/>
            <w:vAlign w:val="bottom"/>
          </w:tcPr>
          <w:p>
            <w:pPr>
              <w:spacing w:after="0"/>
              <w:rPr>
                <w:sz w:val="19"/>
                <w:szCs w:val="19"/>
                <w:color w:val="auto"/>
              </w:rPr>
            </w:pPr>
          </w:p>
        </w:tc>
        <w:tc>
          <w:tcPr>
            <w:tcW w:w="1220" w:type="dxa"/>
            <w:vAlign w:val="bottom"/>
            <w:gridSpan w:val="3"/>
          </w:tcPr>
          <w:p>
            <w:pPr>
              <w:jc w:val="center"/>
              <w:ind w:right="330"/>
              <w:spacing w:after="0"/>
              <w:rPr>
                <w:sz w:val="20"/>
                <w:szCs w:val="20"/>
                <w:color w:val="auto"/>
              </w:rPr>
            </w:pPr>
            <w:r>
              <w:rPr>
                <w:rFonts w:ascii="Arial" w:cs="Arial" w:eastAsia="Arial" w:hAnsi="Arial"/>
                <w:sz w:val="18"/>
                <w:szCs w:val="18"/>
                <w:color w:val="auto"/>
                <w:w w:val="93"/>
              </w:rPr>
              <w:t>derivative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 June 30,</w:t>
            </w:r>
          </w:p>
        </w:tc>
        <w:tc>
          <w:tcPr>
            <w:tcW w:w="120" w:type="dxa"/>
            <w:vAlign w:val="bottom"/>
          </w:tcPr>
          <w:p>
            <w:pPr>
              <w:spacing w:after="0"/>
              <w:rPr>
                <w:sz w:val="19"/>
                <w:szCs w:val="19"/>
                <w:color w:val="auto"/>
              </w:rPr>
            </w:pPr>
          </w:p>
        </w:tc>
        <w:tc>
          <w:tcPr>
            <w:tcW w:w="222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Six Months Ended June 30,</w:t>
            </w:r>
          </w:p>
        </w:tc>
        <w:tc>
          <w:tcPr>
            <w:tcW w:w="100" w:type="dxa"/>
            <w:vAlign w:val="bottom"/>
          </w:tcPr>
          <w:p>
            <w:pPr>
              <w:spacing w:after="0"/>
              <w:rPr>
                <w:sz w:val="19"/>
                <w:szCs w:val="19"/>
                <w:color w:val="auto"/>
              </w:rPr>
            </w:pPr>
          </w:p>
        </w:tc>
        <w:tc>
          <w:tcPr>
            <w:tcW w:w="2380" w:type="dxa"/>
            <w:vAlign w:val="bottom"/>
            <w:vMerge w:val="restart"/>
          </w:tcPr>
          <w:p>
            <w:pPr>
              <w:ind w:left="32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15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176"/>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Net (loss) / income from</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2021, the Company recorded a loss of $13 ($13, net of tax) and a gain of $41 ($41, net of tax) in other comprehensive income for certain debt instruments that are designated as hedges of its net investment in a euro-based subsidiary. During the three and six months ended June 30, 2020, the Company recorded a loss of $26 ($26, net of tax) and a loss of less than $1 ($1, net of tax) in other comprehensive income for these net investment hedges. As of June 30, 2021 and December 31, 2020, cumulative gains of $8 ($31, net of tax) and losses of $33 ($10, net of tax) were recognized in accumulated other comprehensive income related to these net investment hedges and the carrying amount of the hedged net investment was €1,138 ($1,348) at June 30,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Amount of gain / (loss) recognized</w:t>
            </w:r>
          </w:p>
        </w:tc>
        <w:tc>
          <w:tcPr>
            <w:tcW w:w="274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Amount of gain / (loss) recognized</w:t>
            </w:r>
          </w:p>
        </w:tc>
      </w:tr>
      <w:tr>
        <w:trPr>
          <w:trHeight w:val="230"/>
        </w:trPr>
        <w:tc>
          <w:tcPr>
            <w:tcW w:w="4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in AOCI</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8"/>
              </w:rPr>
              <w:t>in AOCI</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Three months ended June 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8"/>
              </w:rPr>
              <w:t>Six months ended June 30,</w:t>
            </w:r>
          </w:p>
        </w:tc>
        <w:tc>
          <w:tcPr>
            <w:tcW w:w="120" w:type="dxa"/>
            <w:vAlign w:val="bottom"/>
          </w:tcPr>
          <w:p>
            <w:pPr>
              <w:spacing w:after="0"/>
              <w:rPr>
                <w:sz w:val="19"/>
                <w:szCs w:val="19"/>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ind w:left="480"/>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2021 and December 31, 2020, respectively. The fair values of these financial instruments were reported under Level 2 of the fair value hierarchy.</w:t>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Balance Sheet</w:t>
            </w: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Balance Sheet</w:t>
            </w: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classification</w:t>
            </w:r>
          </w:p>
        </w:tc>
        <w:tc>
          <w:tcPr>
            <w:tcW w:w="22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classification</w:t>
            </w:r>
          </w:p>
        </w:tc>
        <w:tc>
          <w:tcPr>
            <w:tcW w:w="22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6"/>
        </w:trPr>
        <w:tc>
          <w:tcPr>
            <w:tcW w:w="18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87"/>
              </w:rPr>
              <w:t>Derivatives designated as</w:t>
            </w:r>
          </w:p>
        </w:tc>
        <w:tc>
          <w:tcPr>
            <w:tcW w:w="1340" w:type="dxa"/>
            <w:vAlign w:val="bottom"/>
            <w:tcBorders>
              <w:top w:val="single" w:sz="8" w:color="auto"/>
            </w:tcBorders>
            <w:shd w:val="clear" w:color="auto" w:fill="CCEEFF"/>
          </w:tcPr>
          <w:p>
            <w:pPr>
              <w:ind w:left="60"/>
              <w:spacing w:after="0" w:line="156" w:lineRule="exact"/>
              <w:rPr>
                <w:sz w:val="20"/>
                <w:szCs w:val="20"/>
                <w:color w:val="auto"/>
              </w:rPr>
            </w:pPr>
            <w:r>
              <w:rPr>
                <w:rFonts w:ascii="Arial" w:cs="Arial" w:eastAsia="Arial" w:hAnsi="Arial"/>
                <w:sz w:val="18"/>
                <w:szCs w:val="18"/>
                <w:color w:val="auto"/>
              </w:rPr>
              <w:t>hedging</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40" w:type="dxa"/>
            <w:vAlign w:val="bottom"/>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current</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fair value</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Commodities contracts</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cash flow</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 for sale</w:t>
            </w: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2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rate contracts</w:t>
            </w: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2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2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Net investment hedge</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55"/>
        </w:trPr>
        <w:tc>
          <w:tcPr>
            <w:tcW w:w="328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Derivatives not designated as hedging</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instruments</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Arial" w:cs="Arial" w:eastAsia="Arial" w:hAnsi="Arial"/>
                <w:sz w:val="18"/>
                <w:szCs w:val="18"/>
                <w:color w:val="auto"/>
              </w:rPr>
              <w:t>Fair Value Hedge Carrying Amounts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tcPr>
          <w:p>
            <w:pPr>
              <w:spacing w:after="0"/>
              <w:rPr>
                <w:sz w:val="19"/>
                <w:szCs w:val="19"/>
                <w:color w:val="auto"/>
              </w:rPr>
            </w:pPr>
          </w:p>
        </w:tc>
        <w:tc>
          <w:tcPr>
            <w:tcW w:w="3940" w:type="dxa"/>
            <w:vAlign w:val="bottom"/>
          </w:tcPr>
          <w:p>
            <w:pPr>
              <w:spacing w:after="0"/>
              <w:rPr>
                <w:sz w:val="19"/>
                <w:szCs w:val="19"/>
                <w:color w:val="auto"/>
              </w:rPr>
            </w:pPr>
          </w:p>
        </w:tc>
        <w:tc>
          <w:tcPr>
            <w:tcW w:w="3240" w:type="dxa"/>
            <w:vAlign w:val="bottom"/>
            <w:gridSpan w:val="5"/>
          </w:tcPr>
          <w:p>
            <w:pPr>
              <w:jc w:val="center"/>
              <w:spacing w:after="0"/>
              <w:rPr>
                <w:sz w:val="20"/>
                <w:szCs w:val="20"/>
                <w:color w:val="auto"/>
              </w:rPr>
            </w:pPr>
            <w:r>
              <w:rPr>
                <w:rFonts w:ascii="Arial" w:cs="Arial" w:eastAsia="Arial" w:hAnsi="Arial"/>
                <w:sz w:val="18"/>
                <w:szCs w:val="18"/>
                <w:color w:val="auto"/>
                <w:w w:val="89"/>
              </w:rPr>
              <w:t>Carrying amount of the hedged assets /</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6"/>
              </w:rPr>
              <w:t>liabilities</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000" w:type="dxa"/>
            <w:vAlign w:val="bottom"/>
          </w:tcPr>
          <w:p>
            <w:pPr>
              <w:jc w:val="center"/>
              <w:ind w:left="270"/>
              <w:spacing w:after="0" w:line="182" w:lineRule="exact"/>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As of June 30, 2021 and December 31, 2020, the cumulative amount of fair value hedging adjustments included in the carrying amount of the hedge assets and liabilities were net gains of $7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tbl>
      <w:tblPr>
        <w:tblLayout w:type="fixed"/>
        <w:tblInd w:w="6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tcPr>
          <w:p>
            <w:pPr>
              <w:jc w:val="center"/>
              <w:ind w:left="450"/>
              <w:spacing w:after="0" w:line="188" w:lineRule="exact"/>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line="188" w:lineRule="exact"/>
              <w:rPr>
                <w:sz w:val="20"/>
                <w:szCs w:val="20"/>
                <w:color w:val="auto"/>
              </w:rPr>
            </w:pPr>
            <w:r>
              <w:rPr>
                <w:rFonts w:ascii="Arial" w:cs="Arial" w:eastAsia="Arial" w:hAnsi="Arial"/>
                <w:sz w:val="18"/>
                <w:szCs w:val="18"/>
                <w:color w:val="auto"/>
                <w:w w:val="89"/>
              </w:rPr>
              <w:t>Gross amounts not offset in the</w:t>
            </w:r>
          </w:p>
        </w:tc>
        <w:tc>
          <w:tcPr>
            <w:tcW w:w="148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June 30, 2021</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$144</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$25</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64</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25</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2020</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76</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52</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240"/>
        <w:spacing w:after="0" w:line="273"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June 30, 2021 and December 31, 2020 were: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2020</w:t>
            </w:r>
          </w:p>
        </w:tc>
      </w:tr>
      <w:tr>
        <w:trPr>
          <w:trHeight w:val="209"/>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850</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1,127</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Interest rate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1,028</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722</w:t>
            </w:r>
          </w:p>
        </w:tc>
        <w:tc>
          <w:tcPr>
            <w:tcW w:w="760" w:type="dxa"/>
            <w:vAlign w:val="bottom"/>
          </w:tcPr>
          <w:p>
            <w:pPr>
              <w:spacing w:after="0"/>
              <w:rPr>
                <w:sz w:val="20"/>
                <w:szCs w:val="20"/>
                <w:color w:val="auto"/>
              </w:rPr>
            </w:pPr>
          </w:p>
        </w:tc>
      </w:tr>
      <w:tr>
        <w:trPr>
          <w:trHeight w:val="850"/>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7"/>
          </w:tcPr>
          <w:p>
            <w:pPr>
              <w:spacing w:after="0"/>
              <w:rPr>
                <w:sz w:val="20"/>
                <w:szCs w:val="20"/>
                <w:color w:val="auto"/>
              </w:rPr>
            </w:pPr>
            <w:r>
              <w:rPr>
                <w:rFonts w:ascii="Arial" w:cs="Arial" w:eastAsia="Arial" w:hAnsi="Arial"/>
                <w:sz w:val="18"/>
                <w:szCs w:val="18"/>
                <w:b w:val="1"/>
                <w:bCs w:val="1"/>
                <w:color w:val="auto"/>
              </w:rPr>
              <w:t>L.  Debt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7"/>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20" w:type="dxa"/>
            <w:vAlign w:val="bottom"/>
            <w:gridSpan w:val="5"/>
          </w:tcPr>
          <w:p>
            <w:pPr>
              <w:ind w:left="680"/>
              <w:spacing w:after="0"/>
              <w:rPr>
                <w:sz w:val="20"/>
                <w:szCs w:val="20"/>
                <w:color w:val="auto"/>
              </w:rPr>
            </w:pPr>
            <w:r>
              <w:rPr>
                <w:rFonts w:ascii="Arial" w:cs="Arial" w:eastAsia="Arial" w:hAnsi="Arial"/>
                <w:sz w:val="18"/>
                <w:szCs w:val="18"/>
                <w:color w:val="auto"/>
              </w:rPr>
              <w:t>June 30, 2021</w:t>
            </w:r>
          </w:p>
        </w:tc>
        <w:tc>
          <w:tcPr>
            <w:tcW w:w="420" w:type="dxa"/>
            <w:vAlign w:val="bottom"/>
          </w:tcPr>
          <w:p>
            <w:pPr>
              <w:spacing w:after="0"/>
              <w:rPr>
                <w:sz w:val="22"/>
                <w:szCs w:val="22"/>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6"/>
              </w:rPr>
              <w:t>Carrying</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amount</w:t>
            </w: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3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340" w:type="dxa"/>
            <w:vAlign w:val="bottom"/>
            <w:gridSpan w:val="3"/>
            <w:shd w:val="clear" w:color="auto" w:fill="CCEEFF"/>
          </w:tcPr>
          <w:p>
            <w:pPr>
              <w:ind w:left="660"/>
              <w:spacing w:after="0" w:line="176" w:lineRule="exact"/>
              <w:rPr>
                <w:sz w:val="20"/>
                <w:szCs w:val="20"/>
                <w:color w:val="auto"/>
              </w:rPr>
            </w:pPr>
            <w:r>
              <w:rPr>
                <w:rFonts w:ascii="Arial" w:cs="Arial" w:eastAsia="Arial" w:hAnsi="Arial"/>
                <w:sz w:val="18"/>
                <w:szCs w:val="18"/>
                <w:color w:val="auto"/>
              </w:rPr>
              <w:t>U.S. dollar at LIBOR + 1.2% due</w:t>
            </w: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980" w:type="dxa"/>
            <w:vAlign w:val="bottom"/>
            <w:gridSpan w:val="3"/>
          </w:tcPr>
          <w:p>
            <w:pPr>
              <w:spacing w:after="0"/>
              <w:rPr>
                <w:sz w:val="19"/>
                <w:szCs w:val="19"/>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3"/>
          </w:tcPr>
          <w:p>
            <w:pPr>
              <w:ind w:left="660"/>
              <w:spacing w:after="0" w:line="176" w:lineRule="exact"/>
              <w:rPr>
                <w:sz w:val="20"/>
                <w:szCs w:val="20"/>
                <w:color w:val="auto"/>
              </w:rPr>
            </w:pPr>
            <w:r>
              <w:rPr>
                <w:rFonts w:ascii="Arial" w:cs="Arial" w:eastAsia="Arial" w:hAnsi="Arial"/>
                <w:sz w:val="18"/>
                <w:szCs w:val="18"/>
                <w:color w:val="auto"/>
              </w:rPr>
              <w:t>Euro at EURIBOR + 1.2% due</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440" w:type="dxa"/>
            <w:vAlign w:val="bottom"/>
            <w:gridSpan w:val="5"/>
          </w:tcPr>
          <w:p>
            <w:pPr>
              <w:ind w:left="1640"/>
              <w:spacing w:after="0" w:line="230"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€650 at 4.0% due 2022</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 S. dollar at 4.50%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€335at 2.25% due 2023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€550 at 0.75%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2.875%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7.50% due 2096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660"/>
              <w:spacing w:after="0"/>
              <w:rPr>
                <w:sz w:val="20"/>
                <w:szCs w:val="20"/>
                <w:color w:val="auto"/>
              </w:rPr>
            </w:pPr>
            <w:r>
              <w:rPr>
                <w:rFonts w:ascii="Arial" w:cs="Arial" w:eastAsia="Arial" w:hAnsi="Arial"/>
                <w:sz w:val="18"/>
                <w:szCs w:val="18"/>
                <w:color w:val="auto"/>
              </w:rPr>
              <w:t>Total long-term debt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40" w:type="dxa"/>
            <w:vAlign w:val="bottom"/>
            <w:gridSpan w:val="3"/>
          </w:tcPr>
          <w:p>
            <w:pPr>
              <w:ind w:left="660"/>
              <w:spacing w:after="0" w:line="156" w:lineRule="exact"/>
              <w:rPr>
                <w:sz w:val="20"/>
                <w:szCs w:val="20"/>
                <w:color w:val="auto"/>
              </w:rPr>
            </w:pPr>
            <w:r>
              <w:rPr>
                <w:rFonts w:ascii="Arial" w:cs="Arial" w:eastAsia="Arial" w:hAnsi="Arial"/>
                <w:sz w:val="18"/>
                <w:szCs w:val="18"/>
                <w:color w:val="auto"/>
              </w:rPr>
              <w:t>Total long-term debt, less current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7,922</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7,879</w:t>
            </w:r>
          </w:p>
        </w:tc>
        <w:tc>
          <w:tcPr>
            <w:tcW w:w="3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8,074</w:t>
            </w:r>
          </w:p>
        </w:tc>
        <w:tc>
          <w:tcPr>
            <w:tcW w:w="2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maturities</w:t>
            </w: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€311 and €317 at June 30, 2021 and December 31, 2020</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$8,417 at June 30, 2021 and $8,617 at December 31, 2020.</w:t>
      </w:r>
    </w:p>
    <w:p>
      <w:pPr>
        <w:spacing w:after="0" w:line="200" w:lineRule="exact"/>
        <w:rPr>
          <w:sz w:val="20"/>
          <w:szCs w:val="20"/>
          <w:color w:val="auto"/>
        </w:rPr>
      </w:pPr>
    </w:p>
    <w:p>
      <w:pPr>
        <w:spacing w:after="0" w:line="25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six months ended June 30, 2021 and 2020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9"/>
                <w:szCs w:val="19"/>
                <w:color w:val="auto"/>
              </w:rPr>
            </w:pPr>
          </w:p>
        </w:tc>
        <w:tc>
          <w:tcPr>
            <w:tcW w:w="298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r>
      <w:tr>
        <w:trPr>
          <w:trHeight w:val="230"/>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r>
      <w:tr>
        <w:trPr>
          <w:trHeight w:val="183"/>
        </w:trPr>
        <w:tc>
          <w:tcPr>
            <w:tcW w:w="680" w:type="dxa"/>
            <w:vAlign w:val="bottom"/>
          </w:tcPr>
          <w:p>
            <w:pPr>
              <w:spacing w:after="0"/>
              <w:rPr>
                <w:sz w:val="15"/>
                <w:szCs w:val="15"/>
                <w:color w:val="auto"/>
              </w:rPr>
            </w:pPr>
          </w:p>
        </w:tc>
        <w:tc>
          <w:tcPr>
            <w:tcW w:w="4620" w:type="dxa"/>
            <w:vAlign w:val="bottom"/>
            <w:gridSpan w:val="2"/>
          </w:tcPr>
          <w:p>
            <w:pPr>
              <w:spacing w:after="0" w:line="182" w:lineRule="exact"/>
              <w:rPr>
                <w:sz w:val="20"/>
                <w:szCs w:val="20"/>
                <w:color w:val="auto"/>
              </w:rPr>
            </w:pPr>
            <w:r>
              <w:rPr>
                <w:rFonts w:ascii="Arial" w:cs="Arial" w:eastAsia="Arial" w:hAnsi="Arial"/>
                <w:sz w:val="18"/>
                <w:szCs w:val="18"/>
                <w:color w:val="auto"/>
              </w:rPr>
              <w:t>Pension benefits – U.S. plans</w:t>
            </w:r>
          </w:p>
        </w:tc>
        <w:tc>
          <w:tcPr>
            <w:tcW w:w="180" w:type="dxa"/>
            <w:vAlign w:val="bottom"/>
          </w:tcPr>
          <w:p>
            <w:pPr>
              <w:spacing w:after="0"/>
              <w:rPr>
                <w:sz w:val="15"/>
                <w:szCs w:val="15"/>
                <w:color w:val="auto"/>
              </w:rPr>
            </w:pPr>
          </w:p>
        </w:tc>
        <w:tc>
          <w:tcPr>
            <w:tcW w:w="86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2020</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88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79"/>
              </w:rPr>
              <w:t>11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10</w:t>
            </w:r>
          </w:p>
        </w:tc>
        <w:tc>
          <w:tcPr>
            <w:tcW w:w="8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90"/>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center"/>
              <w:ind w:left="390"/>
              <w:spacing w:after="0"/>
              <w:rPr>
                <w:sz w:val="20"/>
                <w:szCs w:val="20"/>
                <w:color w:val="auto"/>
              </w:rPr>
            </w:pPr>
            <w:r>
              <w:rPr>
                <w:rFonts w:ascii="Arial" w:cs="Arial" w:eastAsia="Arial" w:hAnsi="Arial"/>
                <w:sz w:val="18"/>
                <w:szCs w:val="18"/>
                <w:color w:val="auto"/>
                <w:w w:val="89"/>
              </w:rPr>
              <w:t>19</w:t>
            </w:r>
          </w:p>
        </w:tc>
        <w:tc>
          <w:tcPr>
            <w:tcW w:w="880" w:type="dxa"/>
            <w:vAlign w:val="bottom"/>
          </w:tcPr>
          <w:p>
            <w:pPr>
              <w:spacing w:after="0"/>
              <w:rPr>
                <w:sz w:val="19"/>
                <w:szCs w:val="19"/>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(31)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(37)</w:t>
            </w:r>
          </w:p>
        </w:tc>
        <w:tc>
          <w:tcPr>
            <w:tcW w:w="88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loss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30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28</w:t>
            </w:r>
          </w:p>
        </w:tc>
        <w:tc>
          <w:tcPr>
            <w:tcW w:w="880" w:type="dxa"/>
            <w:vAlign w:val="bottom"/>
          </w:tcPr>
          <w:p>
            <w:pPr>
              <w:spacing w:after="0"/>
              <w:rPr>
                <w:sz w:val="19"/>
                <w:szCs w:val="19"/>
                <w:color w:val="auto"/>
              </w:rPr>
            </w:pPr>
          </w:p>
        </w:tc>
      </w:tr>
      <w:tr>
        <w:trPr>
          <w:trHeight w:val="248"/>
        </w:trPr>
        <w:tc>
          <w:tcPr>
            <w:tcW w:w="680" w:type="dxa"/>
            <w:vAlign w:val="bottom"/>
            <w:tcBorders>
              <w:right w:val="single" w:sz="8" w:color="CCEEFF"/>
            </w:tcBorders>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20</w:t>
            </w:r>
          </w:p>
        </w:tc>
        <w:tc>
          <w:tcPr>
            <w:tcW w:w="88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851"/>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4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0" w:type="dxa"/>
            <w:vAlign w:val="bottom"/>
            <w:gridSpan w:val="6"/>
          </w:tcPr>
          <w:p>
            <w:pPr>
              <w:ind w:left="820"/>
              <w:spacing w:after="0"/>
              <w:rPr>
                <w:sz w:val="20"/>
                <w:szCs w:val="20"/>
                <w:color w:val="auto"/>
              </w:rPr>
            </w:pPr>
            <w:r>
              <w:rPr>
                <w:rFonts w:ascii="Arial" w:cs="Arial" w:eastAsia="Arial" w:hAnsi="Arial"/>
                <w:sz w:val="18"/>
                <w:szCs w:val="18"/>
                <w:b w:val="1"/>
                <w:bCs w:val="1"/>
                <w:color w:val="auto"/>
                <w:w w:val="98"/>
              </w:rPr>
              <w:t>Crown Holdings, Inc.</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90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7"/>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2020</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Settlement loss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13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13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7"/>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30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2020</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6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136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80" w:right="2160"/>
        <w:spacing w:after="0" w:line="277" w:lineRule="auto"/>
        <w:rPr>
          <w:sz w:val="20"/>
          <w:szCs w:val="20"/>
          <w:color w:val="auto"/>
        </w:rPr>
      </w:pPr>
      <w:r>
        <w:rPr>
          <w:rFonts w:ascii="Arial" w:cs="Arial" w:eastAsia="Arial" w:hAnsi="Arial"/>
          <w:sz w:val="18"/>
          <w:szCs w:val="18"/>
          <w:color w:val="auto"/>
        </w:rPr>
        <w:t>In the three and six months ended June 30, 2020, the Company recorded settlement charges related to the payment of lump sum buy-outs to settle certain non-U.S. pension obligations using plan assets.</w:t>
      </w:r>
    </w:p>
    <w:p>
      <w:pPr>
        <w:spacing w:after="0" w:line="197" w:lineRule="exact"/>
        <w:rPr>
          <w:sz w:val="20"/>
          <w:szCs w:val="20"/>
          <w:color w:val="auto"/>
        </w:rPr>
      </w:pPr>
    </w:p>
    <w:p>
      <w:pPr>
        <w:jc w:val="both"/>
        <w:ind w:left="480" w:right="20"/>
        <w:spacing w:after="0" w:line="263" w:lineRule="auto"/>
        <w:rPr>
          <w:sz w:val="20"/>
          <w:szCs w:val="20"/>
          <w:color w:val="auto"/>
        </w:rPr>
      </w:pPr>
      <w:r>
        <w:rPr>
          <w:rFonts w:ascii="Arial" w:cs="Arial" w:eastAsia="Arial" w:hAnsi="Arial"/>
          <w:sz w:val="18"/>
          <w:szCs w:val="18"/>
          <w:color w:val="auto"/>
        </w:rPr>
        <w:t>The Company is currently in negotiations to transfer the outstanding benefit obligations related to one of its non-U.S. pension plans to an insurance company. If an agreement is reached, the Company will record a material settlement charge. As of December 31, 2020, the plan had a funded status of $510 and net actuarial losses in accumulated other comprehensive income of $750.</w:t>
      </w:r>
    </w:p>
    <w:p>
      <w:pPr>
        <w:spacing w:after="0" w:line="211"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5"/>
          </w:tcPr>
          <w:p>
            <w:pPr>
              <w:ind w:left="6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9"/>
                <w:szCs w:val="19"/>
                <w:color w:val="auto"/>
              </w:rPr>
            </w:pPr>
          </w:p>
        </w:tc>
        <w:tc>
          <w:tcPr>
            <w:tcW w:w="1800" w:type="dxa"/>
            <w:vAlign w:val="bottom"/>
            <w:gridSpan w:val="4"/>
          </w:tcPr>
          <w:p>
            <w:pPr>
              <w:jc w:val="right"/>
              <w:ind w:right="250"/>
              <w:spacing w:after="0"/>
              <w:rPr>
                <w:sz w:val="20"/>
                <w:szCs w:val="20"/>
                <w:color w:val="auto"/>
              </w:rPr>
            </w:pPr>
            <w:r>
              <w:rPr>
                <w:rFonts w:ascii="Arial" w:cs="Arial" w:eastAsia="Arial" w:hAnsi="Arial"/>
                <w:sz w:val="18"/>
                <w:szCs w:val="18"/>
                <w:color w:val="auto"/>
                <w:w w:val="98"/>
              </w:rPr>
              <w:t>Six Months Ended</w:t>
            </w: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restart"/>
          </w:tcPr>
          <w:p>
            <w:pPr>
              <w:ind w:left="360"/>
              <w:spacing w:after="0"/>
              <w:rPr>
                <w:sz w:val="20"/>
                <w:szCs w:val="20"/>
                <w:color w:val="auto"/>
              </w:rPr>
            </w:pPr>
            <w:r>
              <w:rPr>
                <w:rFonts w:ascii="Arial" w:cs="Arial" w:eastAsia="Arial" w:hAnsi="Arial"/>
                <w:sz w:val="18"/>
                <w:szCs w:val="18"/>
                <w:color w:val="auto"/>
              </w:rPr>
              <w:t>Details about accumulated other</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89"/>
              </w:rPr>
              <w:t>June 30,</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vMerge w:val="restart"/>
          </w:tcPr>
          <w:p>
            <w:pPr>
              <w:ind w:left="260"/>
              <w:spacing w:after="0"/>
              <w:rPr>
                <w:sz w:val="20"/>
                <w:szCs w:val="20"/>
                <w:color w:val="auto"/>
              </w:rPr>
            </w:pPr>
            <w:r>
              <w:rPr>
                <w:rFonts w:ascii="Arial" w:cs="Arial" w:eastAsia="Arial" w:hAnsi="Arial"/>
                <w:sz w:val="18"/>
                <w:szCs w:val="18"/>
                <w:color w:val="auto"/>
              </w:rPr>
              <w:t>Affected line items in the</w:t>
            </w:r>
          </w:p>
        </w:tc>
        <w:tc>
          <w:tcPr>
            <w:tcW w:w="0" w:type="dxa"/>
            <w:vAlign w:val="bottom"/>
          </w:tcPr>
          <w:p>
            <w:pPr>
              <w:spacing w:after="0"/>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6"/>
              </w:rPr>
              <w:t>comprehensive income components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169"/>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5"/>
                <w:szCs w:val="15"/>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680" w:type="dxa"/>
            <w:vAlign w:val="bottom"/>
            <w:vMerge w:val="restart"/>
          </w:tcPr>
          <w:p>
            <w:pPr>
              <w:ind w:left="4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5"/>
                <w:szCs w:val="15"/>
                <w:color w:val="auto"/>
              </w:rPr>
            </w:pPr>
          </w:p>
        </w:tc>
        <w:tc>
          <w:tcPr>
            <w:tcW w:w="2340" w:type="dxa"/>
            <w:vAlign w:val="bottom"/>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5"/>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ind w:left="4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3"/>
                <w:szCs w:val="13"/>
                <w:color w:val="auto"/>
              </w:rPr>
            </w:pPr>
          </w:p>
        </w:tc>
        <w:tc>
          <w:tcPr>
            <w:tcW w:w="234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operations before taxes</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9"/>
              </w:rPr>
              <w:t>(5)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ind w:left="20"/>
              <w:spacing w:after="0" w:line="156" w:lineRule="exact"/>
              <w:rPr>
                <w:sz w:val="20"/>
                <w:szCs w:val="20"/>
                <w:color w:val="auto"/>
              </w:rPr>
            </w:pPr>
            <w:r>
              <w:rPr>
                <w:rFonts w:ascii="Arial" w:cs="Arial" w:eastAsia="Arial" w:hAnsi="Arial"/>
                <w:sz w:val="18"/>
                <w:szCs w:val="18"/>
                <w:color w:val="auto"/>
              </w:rPr>
              <w:t>Net income from continuing</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reclassified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ind w:left="5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ind w:left="4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5"/>
                <w:szCs w:val="15"/>
                <w:color w:val="auto"/>
              </w:rPr>
            </w:pPr>
          </w:p>
        </w:tc>
        <w:tc>
          <w:tcPr>
            <w:tcW w:w="2340" w:type="dxa"/>
            <w:vAlign w:val="bottom"/>
          </w:tcPr>
          <w:p>
            <w:pPr>
              <w:ind w:left="20"/>
              <w:spacing w:after="0" w:line="176" w:lineRule="exact"/>
              <w:rPr>
                <w:sz w:val="20"/>
                <w:szCs w:val="20"/>
                <w:color w:val="auto"/>
              </w:rPr>
            </w:pPr>
            <w:r>
              <w:rPr>
                <w:rFonts w:ascii="Arial" w:cs="Arial" w:eastAsia="Arial" w:hAnsi="Arial"/>
                <w:sz w:val="18"/>
                <w:szCs w:val="18"/>
                <w:color w:val="auto"/>
              </w:rPr>
              <w:t>operations attributable to</w:t>
            </w:r>
          </w:p>
        </w:tc>
        <w:tc>
          <w:tcPr>
            <w:tcW w:w="0" w:type="dxa"/>
            <w:vAlign w:val="bottom"/>
          </w:tcPr>
          <w:p>
            <w:pPr>
              <w:spacing w:after="0"/>
              <w:rPr>
                <w:sz w:val="1"/>
                <w:szCs w:val="1"/>
                <w:color w:val="auto"/>
              </w:rPr>
            </w:pPr>
          </w:p>
        </w:tc>
      </w:tr>
      <w:tr>
        <w:trPr>
          <w:trHeight w:val="208"/>
        </w:trPr>
        <w:tc>
          <w:tcPr>
            <w:tcW w:w="3160" w:type="dxa"/>
            <w:vAlign w:val="bottom"/>
            <w:gridSpan w:val="2"/>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rPr>
              <w:t>Crown Holdings</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(14)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93"/>
              </w:rPr>
              <w:t>(35)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(11)</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(25)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4">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0">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O.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gridSpan w:val="11"/>
          </w:tcPr>
          <w:p>
            <w:pPr>
              <w:spacing w:after="0"/>
              <w:rPr>
                <w:sz w:val="20"/>
                <w:szCs w:val="20"/>
                <w:color w:val="auto"/>
              </w:rPr>
            </w:pPr>
            <w:r>
              <w:rPr>
                <w:rFonts w:ascii="Arial" w:cs="Arial" w:eastAsia="Arial" w:hAnsi="Arial"/>
                <w:sz w:val="18"/>
                <w:szCs w:val="18"/>
                <w:color w:val="auto"/>
                <w:w w:val="99"/>
              </w:rPr>
              <w:t>For the three and six months ended June 30, 2021 and 2020, the Company recognized revenue as follows: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1"/>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3">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8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w:t>
      </w:r>
    </w:p>
    <w:p>
      <w:pPr>
        <w:spacing w:after="0" w:line="185"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 recorded contract assets of $23 and $20 in prepaid and other current assets as of June 30, 2021 and December 31, 2020. For the three and six months, the Company satisfied performance obligations related to contract assets at December 31, 2020 related to customized work-in-process inventory for the Company's equipment business and also recorded new contract assets related to this business.</w:t>
      </w:r>
    </w:p>
    <w:p>
      <w:pPr>
        <w:spacing w:after="0" w:line="200" w:lineRule="exact"/>
        <w:rPr>
          <w:sz w:val="20"/>
          <w:szCs w:val="20"/>
          <w:color w:val="auto"/>
        </w:rPr>
      </w:pPr>
    </w:p>
    <w:p>
      <w:pPr>
        <w:spacing w:after="0" w:line="21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243"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For the three and six months ended June 30, 2021, the Company recorded income tax charges of $31 in continuing operations for reorganizations and other transactions required to prepare the European Tinplate business for sale. The Company also recorded an income tax charge of $40 to establish a valuation allowance for deferred tax assets related to tax loss carryforwards in France. The Company believes that it is more likely than not that these tax loss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ind w:left="66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carryforwards will not be utilized after the sale of the European Tinplate business. See </w:t>
      </w:r>
      <w:hyperlink w:anchor="page8">
        <w:r>
          <w:rPr>
            <w:rFonts w:ascii="Arial" w:cs="Arial" w:eastAsia="Arial" w:hAnsi="Arial"/>
            <w:sz w:val="18"/>
            <w:szCs w:val="18"/>
            <w:u w:val="single" w:color="auto"/>
            <w:color w:val="0000FF"/>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regarding the sale of the European Tinplate business.</w:t>
      </w:r>
    </w:p>
    <w:p>
      <w:pPr>
        <w:spacing w:after="0" w:line="197"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During the three and six months ended June 30, 2021, the Company also recorded an income tax benefit of $5 related to a tax law change in the U.K.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Q.  Earnings Per Share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w w:val="91"/>
              </w:rPr>
              <w:t>The following table summarizes the computations of basic and diluted earnings per share attributable to the Company.</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2"/>
                <w:szCs w:val="22"/>
                <w:color w:val="auto"/>
              </w:rPr>
            </w:pPr>
          </w:p>
        </w:tc>
        <w:tc>
          <w:tcPr>
            <w:tcW w:w="2000" w:type="dxa"/>
            <w:vAlign w:val="bottom"/>
            <w:gridSpan w:val="4"/>
          </w:tcPr>
          <w:p>
            <w:pPr>
              <w:jc w:val="right"/>
              <w:ind w:right="3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(loss) / income from discontinued operations attributable to Crown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Holdings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Dilutive restricted stock</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4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earnings per common share from discontinued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earnings per common share from discontinued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31, 2020, 0.3 million and 0.7 million contingently issuable common shares were excluded from the computation of diluted earnings per share because the effect would be anti-dilutive.</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2021, the Company declared and paid cash dividends of $.20 per share and $.40 per share. Additionally, on July 22, 2021, the Company's Board of Directors declared a dividend of $.20 per share payable on August 19, 2021 to shareholders of record on August 5, 2021.</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22"/>
        </w:trPr>
        <w:tc>
          <w:tcPr>
            <w:tcW w:w="4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sources of revenue included in other segments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7"/>
              </w:rPr>
              <w:t>Intersegment Sales</w:t>
            </w:r>
          </w:p>
        </w:tc>
        <w:tc>
          <w:tcPr>
            <w:tcW w:w="3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Intersegment Sales</w:t>
            </w:r>
          </w:p>
        </w:tc>
      </w:tr>
      <w:tr>
        <w:trPr>
          <w:trHeight w:val="222"/>
        </w:trPr>
        <w:tc>
          <w:tcPr>
            <w:tcW w:w="4620" w:type="dxa"/>
            <w:vAlign w:val="bottom"/>
          </w:tcPr>
          <w:p>
            <w:pPr>
              <w:spacing w:after="0"/>
              <w:rPr>
                <w:sz w:val="19"/>
                <w:szCs w:val="19"/>
                <w:color w:val="auto"/>
              </w:rPr>
            </w:pPr>
          </w:p>
        </w:tc>
        <w:tc>
          <w:tcPr>
            <w:tcW w:w="204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6"/>
              </w:rPr>
              <w:t>June 30,</w:t>
            </w:r>
          </w:p>
        </w:tc>
        <w:tc>
          <w:tcPr>
            <w:tcW w:w="3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0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Segment Income</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Segment Income</w:t>
            </w:r>
          </w:p>
        </w:tc>
      </w:tr>
      <w:tr>
        <w:trPr>
          <w:trHeight w:val="222"/>
        </w:trPr>
        <w:tc>
          <w:tcPr>
            <w:tcW w:w="4620" w:type="dxa"/>
            <w:vAlign w:val="bottom"/>
          </w:tcPr>
          <w:p>
            <w:pPr>
              <w:spacing w:after="0"/>
              <w:rPr>
                <w:sz w:val="19"/>
                <w:szCs w:val="19"/>
                <w:color w:val="auto"/>
              </w:rPr>
            </w:pPr>
          </w:p>
        </w:tc>
        <w:tc>
          <w:tcPr>
            <w:tcW w:w="200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197</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4" w:name="page25"/>
    <w:bookmarkEnd w:id="2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Six Months Ended</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8"/>
              </w:rPr>
              <w:t>June 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660"/>
              <w:spacing w:after="0" w:line="156" w:lineRule="exact"/>
              <w:rPr>
                <w:sz w:val="20"/>
                <w:szCs w:val="20"/>
                <w:color w:val="auto"/>
              </w:rPr>
            </w:pPr>
            <w:r>
              <w:rPr>
                <w:rFonts w:ascii="Arial" w:cs="Arial" w:eastAsia="Arial" w:hAnsi="Arial"/>
                <w:sz w:val="18"/>
                <w:szCs w:val="18"/>
                <w:color w:val="auto"/>
              </w:rPr>
              <w:t>Segment income of</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48"/>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reportable segments</w:t>
            </w:r>
          </w:p>
        </w:tc>
        <w:tc>
          <w:tcPr>
            <w:tcW w:w="8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74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660"/>
              <w:spacing w:after="0" w:line="176" w:lineRule="exact"/>
              <w:rPr>
                <w:sz w:val="20"/>
                <w:szCs w:val="20"/>
                <w:color w:val="auto"/>
              </w:rPr>
            </w:pPr>
            <w:r>
              <w:rPr>
                <w:rFonts w:ascii="Arial" w:cs="Arial" w:eastAsia="Arial" w:hAnsi="Arial"/>
                <w:sz w:val="18"/>
                <w:szCs w:val="18"/>
                <w:color w:val="auto"/>
              </w:rPr>
              <w:t>Segment income of other</w:t>
            </w:r>
          </w:p>
        </w:tc>
        <w:tc>
          <w:tcPr>
            <w:tcW w:w="8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segments</w:t>
            </w:r>
          </w:p>
        </w:tc>
        <w:tc>
          <w:tcPr>
            <w:tcW w:w="8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7"/>
              </w:rPr>
              <w:t>Corporate and unallocated</w:t>
            </w:r>
          </w:p>
        </w:tc>
        <w:tc>
          <w:tcPr>
            <w:tcW w:w="8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35"/>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items</w:t>
            </w:r>
          </w:p>
        </w:tc>
        <w:tc>
          <w:tcPr>
            <w:tcW w:w="8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40" w:type="dxa"/>
            <w:vAlign w:val="bottom"/>
            <w:vMerge w:val="continue"/>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660"/>
              <w:spacing w:after="0"/>
              <w:rPr>
                <w:sz w:val="20"/>
                <w:szCs w:val="20"/>
                <w:color w:val="auto"/>
              </w:rPr>
            </w:pPr>
            <w:r>
              <w:rPr>
                <w:rFonts w:ascii="Arial" w:cs="Arial" w:eastAsia="Arial" w:hAnsi="Arial"/>
                <w:sz w:val="18"/>
                <w:szCs w:val="18"/>
                <w:color w:val="auto"/>
              </w:rPr>
              <w:t>Restructuring and other</w:t>
            </w:r>
          </w:p>
        </w:tc>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Amortization of intangibles</w:t>
            </w: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75"/>
        </w:trPr>
        <w:tc>
          <w:tcPr>
            <w:tcW w:w="2740" w:type="dxa"/>
            <w:vAlign w:val="bottom"/>
          </w:tcPr>
          <w:p>
            <w:pPr>
              <w:ind w:left="660"/>
              <w:spacing w:after="0" w:line="176" w:lineRule="exact"/>
              <w:rPr>
                <w:sz w:val="20"/>
                <w:szCs w:val="20"/>
                <w:color w:val="auto"/>
              </w:rPr>
            </w:pPr>
            <w:r>
              <w:rPr>
                <w:rFonts w:ascii="Arial" w:cs="Arial" w:eastAsia="Arial" w:hAnsi="Arial"/>
                <w:sz w:val="18"/>
                <w:szCs w:val="18"/>
                <w:color w:val="auto"/>
              </w:rPr>
              <w:t>Other pension and</w:t>
            </w:r>
          </w:p>
        </w:tc>
        <w:tc>
          <w:tcPr>
            <w:tcW w:w="8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8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740" w:type="dxa"/>
            <w:vAlign w:val="bottom"/>
          </w:tcPr>
          <w:p>
            <w:pPr>
              <w:ind w:left="66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exchange</w:t>
            </w:r>
          </w:p>
        </w:tc>
        <w:tc>
          <w:tcPr>
            <w:tcW w:w="8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56"/>
        </w:trPr>
        <w:tc>
          <w:tcPr>
            <w:tcW w:w="2740" w:type="dxa"/>
            <w:vAlign w:val="bottom"/>
          </w:tcPr>
          <w:p>
            <w:pPr>
              <w:ind w:left="660"/>
              <w:spacing w:after="0" w:line="156" w:lineRule="exact"/>
              <w:rPr>
                <w:sz w:val="20"/>
                <w:szCs w:val="20"/>
                <w:color w:val="auto"/>
              </w:rPr>
            </w:pPr>
            <w:r>
              <w:rPr>
                <w:rFonts w:ascii="Arial" w:cs="Arial" w:eastAsia="Arial" w:hAnsi="Arial"/>
                <w:sz w:val="18"/>
                <w:szCs w:val="18"/>
                <w:color w:val="auto"/>
              </w:rPr>
              <w:t>Income from continuing</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operations before taxes</w:t>
            </w: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2021, intercompany profits of $2 and $4 were eliminated within segment income of other segments.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2020, intercompany profits of $5 were eliminated within segment income of other segments.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2021 compared to 2020 and changes in financial condition and liquidity from December 31, 2020. This discussion should be read in conjunction with the consolidated financial statements and notes thereto included in the Company's Annual Report on Form 10-K for the year ended December 31, 2020,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 although volumes in certain of those markets were negatively affected by the impact of the coronavirus pandemic in 2020. The Company continues to invest in capacity expansion to meet the accelerating demand.</w:t>
      </w:r>
    </w:p>
    <w:p>
      <w:pPr>
        <w:spacing w:after="0" w:line="21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Company's primary capital allocation focus has been to reduce leverage, as was successfully accomplished following previous acquisitions, and to begin to return capital to its shareholders. In April 2021, the Company announced an agreement to sell its European Tinplate business (the "Business"). The Business comprises the Company’s European Food segment and its European Aerosol and Promotional Packaging reporting unit which is reported in the Company's other segments. The Company expects to receive pre-tax proceeds of approximately €1.9 billion ($2.2 billion at June 30, 2021) from the transaction and retain a 20% ownership stake in the business. The Company expects to use the net proceeds, after closing working capital adjustments, taxes and other transaction related costs, to further reduce debt, fund capital projects and repurchase shares over time under the $1.5 billion share repurchase program approved by its Board in February 2021.</w:t>
      </w:r>
    </w:p>
    <w:p>
      <w:pPr>
        <w:spacing w:after="0" w:line="19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In response to the ongoing coronavirus pandemic, the Company continues to take actions to ensure the safety of its employees. The Company has increased safety measures in its manufacturing facilities to protect the safety of its employees and the products they produce.</w:t>
      </w:r>
    </w:p>
    <w:p>
      <w:pPr>
        <w:spacing w:after="0" w:line="17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14"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The Company continues to actively elevate its industry-leading commitment to sustainability, which is a core value of the Company. In 2020, the Company debuted Twentyby30, a robust program that outlines twenty measurable environmental, social and governance goals to be completed by 2030 or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and Transit Packaging segments and the Canadian dollar and Mexican peso in the Company's Americas Beverage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6"/>
        </w:trPr>
        <w:tc>
          <w:tcPr>
            <w:tcW w:w="2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6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2020</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higher sales unit volumes in the Company's beverage can and transit packaging businesses, the pass through of higher material costs and $125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higher sales unit volumes, the pass through of higher material costs and $177 from the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on a new beverage can line at its Toronto, Ontario plant in January 2020 and on the third line at its Nichols, NY facility in June 2020. During the second quarter of 2021, the first line in the new Bowling Green, Kentucky facility began commercial shipments and a second line is scheduled for a late third quarter 2021 start-up. To meet the expanding requirements of specialty cans in the Pacific Northwest, the Company will construct a third line in its Olympia, Washington plant which is scheduled to begin production during the fourth quarter of 2021. The Company also announced construction of a new facility in Martinsville, Virginia which is expected to commence operations during the second quarter of 2022 and a new facility in the South West which is expected to commence commercial shipments in late second quarter of 2023.</w:t>
      </w:r>
    </w:p>
    <w:p>
      <w:pPr>
        <w:spacing w:after="0" w:line="21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A second line at the Company's Rio Verde, Brazil facility is expected to commence operations during the fourth quarter of 2021. The Company has also begun construction of a two-line facility in Uberaba, Brazil, with the first line expected to begin production during the second quarter of 2022 and the second line scheduled to start up during the fourth quarter of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Net sales increased primarily due to 21% higher sales unit volumes, the pass-through of higher aluminum costs and $47 from the impact of foreign currency translation. Sales unit volumes for the three months ended June 30, 2020 were unfavorably impacted by the coronavirus pandemic in Brazil and Mexico.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$8 from the impact of foreign currency translation.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14% higher sales unit volumes, the pass-through of higher aluminum costs and $51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improved pricing.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In the second quarter of 2020, two beverage can lines in the Seville, Spain plant began commercial production of aluminum cans.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Net sales increased primarily due to 25% higher sales unit volumes, $33 from the impact of foreign currency translation and the pass-through of higher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$5 from the impact of foreign currency translation.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Net sales increased primarily due to 16% higher sales unit volumes, $54 from the impact of foreign currency translation and the pass-through of higher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$7 from the impact of foreign currency translation.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2020, however, industry volumes decreased due to the impact of the coronavirus pandemic. The Company began commercial production at a one-line beverage can plant in Nong Khae, Thailand in July 2020. Additionally, the Company has begun construction of a one-line beverage can plant in Vung Tau, Vietnam, that is expected to begin commercial production in September 2021.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Net sales increased due to 17% higher sales unit volumes, the pass-through of higher aluminum costs and $7 from the impact of foreign currency translation. Sales unit volumes for the three months ended June 30, 2020 were unfavorably impacted by the impact of the coronavirus pandemic.</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due to 14% higher sales unit volumes, $13 from the impact of foreign currency translation and the pass-through of higher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 Packaging</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Transit Packaging segment includes the Company's global consumables and equipment and tools businesses. Consumables include steel strap, plastic strap and industrial film and other related products that are used in a wide range of industries, and transit protection products that help prevent movement during transport for a wide range of industrial and consumer products. Equipment and tools includes manual, semi-automatic and automatic equipment and tools used in end-of-line operations to apply industrial solutions consumables.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462</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Net sales increased primarily due to higher sales unit volumes, the pass-through of higher raw material prices and $29 from the impact of foreign currency translation. Sales unit volumes for the three months ended June 30, 2020 were unfavorably impacted by the coronavirus pandemic.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$4 from the impact of foreign currency translation.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Net sales increased primarily due to higher sales unit volumes, the pass-through of higher raw material prices and $46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$7 from the impact of foreign currency translation.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Segments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Company's other segments include its food can, aerosol can and closures businesses in North America, and beverage tooling and equipment operations in the U.S. and U.K.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2021 compared to 2020</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to higher sales in the Company's beverage can equipment operations and $9 from the impact of foreign currency translation.</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Segment income increased due to improved cost performance in the Company's North America food can business and higher sales in the Company's beverage can equipment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2021 compared to 2020</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to higher sales in the Company's beverage can equipment operations, the pass-through of higher tinplate costs and $13 from the impact of foreign currency translation.</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Segment income increased due to lower tinplate carryover costs in the Company's North America food can business as compared to the six months ended June 30, 2020 and higher sales in the Company's beverage can equipment operations.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19"/>
        </w:trPr>
        <w:tc>
          <w:tcPr>
            <w:tcW w:w="278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27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2020</w:t>
            </w: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Corporate and unallocated expenses included lower personnel, incentive compensation and other general costs resulting from the coronavirus pandemic for the three and six months ended June 30, 2020 compared to 2021.</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and six months ended June 30, 2021 compared to 2020, interest expense decreased from $73 to $68 and from $151 to $137 a due to lower outstanding debt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43" w:lineRule="exact"/>
        <w:rPr>
          <w:sz w:val="20"/>
          <w:szCs w:val="20"/>
          <w:color w:val="auto"/>
        </w:rPr>
      </w:pPr>
    </w:p>
    <w:p>
      <w:pPr>
        <w:jc w:val="both"/>
        <w:ind w:left="660"/>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The effective rate for the three and six months ended June 30, 2021, increased as compared to 2020, primarily due to income tax charges of $31 for reorganizations and other transactions required to prepare the European Tinplate business for sale and an income tax charge of $40 to establish a valuation allowance for deferred tax assets related to tax loss carryforwards in France. The Company believes that it is more likely than not that these tax loss carryforwards will not be utilized after the sale of the European Tinplate business. See </w:t>
      </w:r>
      <w:hyperlink w:anchor="page8">
        <w:r>
          <w:rPr>
            <w:rFonts w:ascii="Arial" w:cs="Arial" w:eastAsia="Arial" w:hAnsi="Arial"/>
            <w:sz w:val="18"/>
            <w:szCs w:val="18"/>
            <w:u w:val="single" w:color="auto"/>
            <w:color w:val="0000FF"/>
          </w:rPr>
          <w:t>Note 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related to the sale of the European Tinplate business.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tax rate for the three and six months ended June 30, 2021 also included a benefit of $5 arising from a tax law change in the U.K.</w:t>
      </w:r>
    </w:p>
    <w:p>
      <w:pPr>
        <w:spacing w:after="0" w:line="248" w:lineRule="exact"/>
        <w:rPr>
          <w:sz w:val="20"/>
          <w:szCs w:val="20"/>
          <w:color w:val="auto"/>
        </w:rPr>
      </w:pPr>
    </w:p>
    <w:p>
      <w:pPr>
        <w:ind w:left="660" w:right="2020"/>
        <w:spacing w:after="0" w:line="261" w:lineRule="auto"/>
        <w:rPr>
          <w:sz w:val="20"/>
          <w:szCs w:val="20"/>
          <w:color w:val="auto"/>
        </w:rPr>
      </w:pPr>
      <w:r>
        <w:rPr>
          <w:rFonts w:ascii="Arial" w:cs="Arial" w:eastAsia="Arial" w:hAnsi="Arial"/>
          <w:sz w:val="18"/>
          <w:szCs w:val="18"/>
          <w:color w:val="auto"/>
        </w:rPr>
        <w:t>The effective tax rate for the six months ended June 30, 2020, included a benefit of $4 arising from a tax law change in India.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2021 compared to 2020, net income attributable to noncontrolling interests increased from $15 to $45 and $41 to $78 primarily due to higher earnings in the Company's beverage can operations in Brazil, including a favorable court ruling in a lawsuit brought by one of the Company's Brazilian subsidiaries asserting it was overcharged by the local tax authorities for indirect taxes paid in prior years.</w:t>
      </w:r>
    </w:p>
    <w:p>
      <w:pPr>
        <w:spacing w:after="0" w:line="2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activities used cash of $238 for the six months ended June 30, 2020 and provided cash of $169 for the six months ended June 30, 2021.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cash provided by operating activities was primarily due to higher earnings and changes in working capital.</w:t>
      </w:r>
    </w:p>
    <w:p>
      <w:pPr>
        <w:spacing w:after="0" w:line="2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39 days as of June 30, 2020 as compared to 40 days as of June 30,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turnover was 62 days at June 30, 2020 compared to 57 days at June 30,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was 81 days at June 30, 2020 compared to 90 days at June 30, 2021 due to higher raw material costs and sales unit volumes.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Cash used for investing activities increased from $184 for the six months ended June 30, 2020 to $311 for the six months ended June 30, 2021 primarily due to increased capital expenditures related to capacity expansion projects in the Americas Beverage segment.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2021 to be approximately $900.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Financing activities provided cash of $196 for the six months ended June 30, 2020 and used cash of $423 for the six months ended June 30, 2021. The Company had higher net borrowings, repurchased $297 of capital stock and paid dividends to stockholders of $53 during the six months ended June 30, 2021.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2021, $494 of the Company's $566 of cash and cash equivalents was located outside the U.S. The Company funds its cash needs in the U.S. through cash flows from operations in the U.S., distributions from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foreign subsidiaries, borrowings under its revolving credit facility and the acceleration of cash receipts under its receivable securitization facilities. Of the cash and cash equivalents located outside the U.S., $404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June 30, 2021, the Company had $1,583 of borrowing capacity available under its revolving credit facility, equal to the total facility of $1,650 less borrowings of $4 and outstanding standby letters of credit of $63. The Company could have borrowed this amount at June 30, 2021 and still have been in compliance with its leverage ratio covenants. The Company's net total leverage ratio, as defined by the credit agreement, of 3.4 to 1.0 at June 30, 2021 was in compliance with the covenant requiring a ratio of no greater than 5.0 to 1.0. The required net total leverage ratio under the agreement reduces to 4.5 to 1.0 at December 31,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June 30, 2021, the Company had approximately $219 of capital commitments primarily related to its Americas Beverage segment. The Company expects to fund these commitments primarily through cash flows from operations and proceeds from the sale of its European Tinplate 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six months ended June 30, 2021 there were no material changes to the Company's contractual obligations provided within Part II, Item 7, “Management's Discussion and Analysis of Financial Condition and Results of Operations” of the Company's Annual Report on Form 10-K for the year ended December 31, 2020,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As disclosed in </w:t>
      </w:r>
      <w:hyperlink w:anchor="page19">
        <w:r>
          <w:rPr>
            <w:rFonts w:ascii="Arial" w:cs="Arial" w:eastAsia="Arial" w:hAnsi="Arial"/>
            <w:sz w:val="17"/>
            <w:szCs w:val="17"/>
            <w:u w:val="single" w:color="auto"/>
            <w:color w:val="0000FF"/>
          </w:rPr>
          <w:t>Note L</w:t>
        </w:r>
      </w:hyperlink>
      <w:r>
        <w:rPr>
          <w:rFonts w:ascii="Arial" w:cs="Arial" w:eastAsia="Arial" w:hAnsi="Arial"/>
          <w:sz w:val="17"/>
          <w:szCs w:val="17"/>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0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30"/>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June 30, 2021</w:t>
            </w: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89" w:lineRule="exact"/>
        <w:rPr>
          <w:sz w:val="20"/>
          <w:szCs w:val="20"/>
          <w:color w:val="auto"/>
        </w:rPr>
      </w:pPr>
    </w:p>
    <w:p>
      <w:pPr>
        <w:ind w:left="860" w:hanging="204"/>
        <w:spacing w:after="0"/>
        <w:tabs>
          <w:tab w:leader="none" w:pos="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$18 of expense related to intercompany interest with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$18 of expense related to intercompany interest with non-guarantor subsidiaries and $6 of expense for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20" w:type="dxa"/>
            <w:vAlign w:val="bottom"/>
            <w:gridSpan w:val="4"/>
          </w:tcPr>
          <w:p>
            <w:pPr>
              <w:ind w:left="140"/>
              <w:spacing w:after="0"/>
              <w:rPr>
                <w:sz w:val="20"/>
                <w:szCs w:val="20"/>
                <w:color w:val="auto"/>
              </w:rPr>
            </w:pPr>
            <w:r>
              <w:rPr>
                <w:rFonts w:ascii="Arial" w:cs="Arial" w:eastAsia="Arial" w:hAnsi="Arial"/>
                <w:sz w:val="18"/>
                <w:szCs w:val="18"/>
                <w:b w:val="1"/>
                <w:bCs w:val="1"/>
                <w:color w:val="auto"/>
              </w:rPr>
              <w:t>Crown Holdings, Inc.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w w:val="92"/>
              </w:rPr>
              <w:t xml:space="preserve">Item 2. Management's Discussion and Analysis </w:t>
            </w:r>
            <w:r>
              <w:rPr>
                <w:rFonts w:ascii="Arial" w:cs="Arial" w:eastAsia="Arial" w:hAnsi="Arial"/>
                <w:sz w:val="18"/>
                <w:szCs w:val="18"/>
                <w:color w:val="auto"/>
                <w:w w:val="92"/>
              </w:rPr>
              <w:t>(Continued)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June 30, 2021</w:t>
            </w:r>
          </w:p>
        </w:tc>
        <w:tc>
          <w:tcPr>
            <w:tcW w:w="220" w:type="dxa"/>
            <w:vAlign w:val="bottom"/>
          </w:tcPr>
          <w:p>
            <w:pPr>
              <w:spacing w:after="0"/>
              <w:rPr>
                <w:sz w:val="24"/>
                <w:szCs w:val="24"/>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640" w:type="dxa"/>
            <w:vAlign w:val="bottom"/>
            <w:tcBorders>
              <w:top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64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660" w:type="dxa"/>
            <w:vAlign w:val="bottom"/>
          </w:tcPr>
          <w:p>
            <w:pPr>
              <w:ind w:left="20"/>
              <w:spacing w:after="0"/>
              <w:rPr>
                <w:sz w:val="20"/>
                <w:szCs w:val="20"/>
                <w:color w:val="auto"/>
              </w:rPr>
            </w:pPr>
            <w:r>
              <w:rPr>
                <w:rFonts w:ascii="Arial" w:cs="Arial" w:eastAsia="Arial" w:hAnsi="Arial"/>
                <w:sz w:val="18"/>
                <w:szCs w:val="18"/>
                <w:color w:val="auto"/>
              </w:rPr>
              <w:t>Current</w:t>
            </w: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9"/>
                <w:szCs w:val="19"/>
                <w:color w:val="auto"/>
              </w:rPr>
            </w:pP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64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4,662</w:t>
            </w:r>
          </w:p>
        </w:tc>
        <w:tc>
          <w:tcPr>
            <w:tcW w:w="180" w:type="dxa"/>
            <w:vAlign w:val="bottom"/>
          </w:tcPr>
          <w:p>
            <w:pPr>
              <w:spacing w:after="0"/>
              <w:rPr>
                <w:sz w:val="24"/>
                <w:szCs w:val="24"/>
                <w:color w:val="auto"/>
              </w:rPr>
            </w:pP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8740" w:type="dxa"/>
            <w:vAlign w:val="bottom"/>
            <w:gridSpan w:val="10"/>
          </w:tcPr>
          <w:p>
            <w:pPr>
              <w:spacing w:after="0"/>
              <w:rPr>
                <w:sz w:val="20"/>
                <w:szCs w:val="20"/>
                <w:color w:val="auto"/>
              </w:rPr>
            </w:pPr>
            <w:r>
              <w:rPr>
                <w:rFonts w:ascii="Arial" w:cs="Arial" w:eastAsia="Arial" w:hAnsi="Arial"/>
                <w:sz w:val="14"/>
                <w:szCs w:val="14"/>
                <w:color w:val="auto"/>
              </w:rPr>
              <w:t>(1) Includes payables of $3,981 and $3,623 due to non-guarantor subsidiaries as of June 30, 2021 and December 31, 2020</w:t>
            </w:r>
          </w:p>
        </w:tc>
        <w:tc>
          <w:tcPr>
            <w:tcW w:w="0" w:type="dxa"/>
            <w:vAlign w:val="bottom"/>
          </w:tcPr>
          <w:p>
            <w:pPr>
              <w:spacing w:after="0"/>
              <w:rPr>
                <w:sz w:val="1"/>
                <w:szCs w:val="1"/>
                <w:color w:val="auto"/>
              </w:rPr>
            </w:pPr>
          </w:p>
        </w:tc>
      </w:tr>
      <w:tr>
        <w:trPr>
          <w:trHeight w:val="417"/>
        </w:trPr>
        <w:tc>
          <w:tcPr>
            <w:tcW w:w="6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Crown Americas Obligor Group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Six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color w:val="auto"/>
                <w:w w:val="87"/>
              </w:rPr>
              <w:t>June 30, 2021</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2,150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Net income attributable to Crown Holdings</w:t>
            </w:r>
            <w:r>
              <w:rPr>
                <w:rFonts w:ascii="Arial" w:cs="Arial" w:eastAsia="Arial" w:hAnsi="Arial"/>
                <w:sz w:val="23"/>
                <w:szCs w:val="23"/>
                <w:color w:val="auto"/>
                <w:w w:val="96"/>
                <w:vertAlign w:val="superscript"/>
              </w:rPr>
              <w:t>4</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$228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$23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$37 of income related to intercompany interest and technology royalties with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$37 of income related to intercompany interest and technology royalties with non-guarantor subsidiaries and $9 of expense for discontinued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2021</w:t>
            </w: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2020</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1,001</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3,404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1,174</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312"/>
        </w:trPr>
        <w:tc>
          <w:tcPr>
            <w:tcW w:w="446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6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4,859</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4,491</w:t>
            </w:r>
          </w:p>
        </w:tc>
      </w:tr>
    </w:tbl>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$50 and $45 due from non-guarantor subsidiaries as of June 30, 2021 and December 31, 2020</w:t>
      </w:r>
    </w:p>
    <w:p>
      <w:pPr>
        <w:spacing w:after="0" w:line="6"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$188 and $142 due from non-guarantor subsidiaries as of June 30,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$38 and $54 due to non-guarantor subsidiaries as of June 30,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$439 and $31 due to non-guarantor subsidiaries as of June 30, 2021 and December 31, 2020</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3">
        <w:r>
          <w:rPr>
            <w:rFonts w:ascii="Arial" w:cs="Arial" w:eastAsia="Arial" w:hAnsi="Arial"/>
            <w:sz w:val="18"/>
            <w:szCs w:val="18"/>
            <w:u w:val="single" w:color="auto"/>
            <w:color w:val="0000FF"/>
          </w:rPr>
          <w:t>Note J</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2020 describe the significant accounting estimates and policies used in the preparation of the consolidated financial statements. Updates to the Company's accounting policies related to new accounting pronouncements are included in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hyperlink w:anchor="page11">
        <w:r>
          <w:rPr>
            <w:rFonts w:ascii="Arial" w:cs="Arial" w:eastAsia="Arial" w:hAnsi="Arial"/>
            <w:sz w:val="17"/>
            <w:szCs w:val="17"/>
            <w:u w:val="single" w:color="auto"/>
            <w:color w:val="0000FF"/>
          </w:rPr>
          <w:t>Note 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3">
        <w:r>
          <w:rPr>
            <w:rFonts w:ascii="Arial" w:cs="Arial" w:eastAsia="Arial" w:hAnsi="Arial"/>
            <w:sz w:val="17"/>
            <w:szCs w:val="17"/>
            <w:u w:val="single" w:color="auto"/>
            <w:color w:val="0000FF"/>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2020, which are not historical facts (including any statements concerning the direct or indirect impact of the COVID-19 pandemic, plans, the sale of the Company's European Tinplate business (including whether the sale will ultimately be consummated within the expected timeframe or at all and whether the sale will ultimately prove to be beneficial to the Company)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2020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2021, see </w:t>
      </w:r>
      <w:hyperlink w:anchor="page14">
        <w:r>
          <w:rPr>
            <w:rFonts w:ascii="Arial" w:cs="Arial" w:eastAsia="Arial" w:hAnsi="Arial"/>
            <w:sz w:val="17"/>
            <w:szCs w:val="17"/>
            <w:u w:val="single" w:color="auto"/>
            <w:color w:val="0000FF"/>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2021, the Company had $1.5 billion principal floating interest rate debt. A change of 0.25% in these floating interest rates would change annual interest expense by approximately $4 million before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1">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3">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2020.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jc w:val="both"/>
        <w:ind w:left="660" w:right="20"/>
        <w:spacing w:after="0" w:line="290" w:lineRule="auto"/>
        <w:rPr>
          <w:sz w:val="20"/>
          <w:szCs w:val="20"/>
          <w:color w:val="auto"/>
        </w:rPr>
      </w:pPr>
      <w:r>
        <w:rPr>
          <w:rFonts w:ascii="Arial" w:cs="Arial" w:eastAsia="Arial" w:hAnsi="Arial"/>
          <w:sz w:val="17"/>
          <w:szCs w:val="17"/>
          <w:color w:val="auto"/>
        </w:rPr>
        <w:t>The following table provides information about the Company's purchases of equity securities during the three months ended June 30, 2021. The table excludes 5,318 shares surrendered to cover taxes on the vesting of restricted stock during the three months ended June 30,2021.</w:t>
      </w:r>
    </w:p>
    <w:tbl>
      <w:tblPr>
        <w:tblLayout w:type="fixed"/>
        <w:tblInd w:w="660" w:type="dxa"/>
        <w:tblCellMar>
          <w:top w:w="0" w:type="dxa"/>
          <w:left w:w="0" w:type="dxa"/>
          <w:bottom w:w="0" w:type="dxa"/>
          <w:right w:w="0" w:type="dxa"/>
        </w:tblCellMar>
      </w:tblPr>
      <w:tr>
        <w:trPr>
          <w:trHeight w:val="176"/>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Average</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5"/>
              </w:rPr>
              <w:t>Total 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0"/>
              </w:rPr>
              <w:t>may yet be purchased under the programs</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1"/>
              </w:rPr>
              <w:t>price per</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86"/>
              </w:rPr>
              <w:t>shares purchased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share</w:t>
            </w:r>
          </w:p>
        </w:tc>
        <w:tc>
          <w:tcPr>
            <w:tcW w:w="2020" w:type="dxa"/>
            <w:vAlign w:val="bottom"/>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Arial" w:cs="Arial" w:eastAsia="Arial" w:hAnsi="Arial"/>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May</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2,953,718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2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2,953,718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2,953,718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2,953,718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660" w:hanging="4"/>
        <w:spacing w:after="0" w:line="263" w:lineRule="auto"/>
        <w:tabs>
          <w:tab w:leader="none" w:pos="9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2021, the Company's Board of Directors authorized the repurchase of an aggregate amount of $1.5 billion of Company common stock through the end of 2023.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events required to be reported under Item 3 for the three months ended June 30, 2021.</w:t>
      </w:r>
    </w:p>
    <w:p>
      <w:pPr>
        <w:spacing w:after="0" w:line="248" w:lineRule="exact"/>
        <w:rPr>
          <w:sz w:val="20"/>
          <w:szCs w:val="20"/>
          <w:color w:val="auto"/>
        </w:rPr>
      </w:pPr>
    </w:p>
    <w:p>
      <w:pPr>
        <w:jc w:val="center"/>
        <w:ind w:right="8700"/>
        <w:spacing w:after="0"/>
        <w:rPr>
          <w:sz w:val="20"/>
          <w:szCs w:val="20"/>
          <w:color w:val="auto"/>
        </w:rPr>
      </w:pPr>
      <w:r>
        <w:rPr>
          <w:rFonts w:ascii="Arial" w:cs="Arial" w:eastAsia="Arial" w:hAnsi="Arial"/>
          <w:sz w:val="17"/>
          <w:szCs w:val="17"/>
          <w:b w:val="1"/>
          <w:bCs w:val="1"/>
          <w:color w:val="auto"/>
        </w:rPr>
        <w:t>Item 4. Mine Safety Disclosures</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ind w:left="760" w:right="260"/>
        <w:spacing w:after="0" w:line="282" w:lineRule="auto"/>
        <w:rPr>
          <w:sz w:val="20"/>
          <w:szCs w:val="20"/>
          <w:color w:val="auto"/>
        </w:rPr>
      </w:pP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On April 16, 2021, the Company entered into a Transaction Bonus Agreement with Didier Sourisseau which makes Mr. Sourisseau eligible for an exceptional bonus payment upon completion of the sale of the Company's European Tinplate business. Additionally, on May 27, 2021, the Company entered into a Consulting Agreement with Mr. Sourisseau which requires Mr. Sourisseau to perform various consulting services over a four year period. The Transaction Bonus and Consulting Agreement are attached as exhibits to this Form 10-Q and are incorporated by reference.</w:t>
      </w:r>
    </w:p>
    <w:p>
      <w:pPr>
        <w:spacing w:after="0" w:line="180"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ind w:left="440" w:hanging="440"/>
        <w:spacing w:after="0"/>
        <w:tabs>
          <w:tab w:leader="none" w:pos="440" w:val="left"/>
        </w:tabs>
        <w:numPr>
          <w:ilvl w:val="0"/>
          <w:numId w:val="19"/>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Transaction Bonus Agreement, effective April 16, 2021, by, and between Crown Holdings, Inc. and Didier Sourisseau</w:t>
        </w:r>
      </w:hyperlink>
    </w:p>
    <w:p>
      <w:pPr>
        <w:spacing w:after="0" w:line="333" w:lineRule="exact"/>
        <w:rPr>
          <w:rFonts w:ascii="Arial" w:cs="Arial" w:eastAsia="Arial" w:hAnsi="Arial"/>
          <w:sz w:val="18"/>
          <w:szCs w:val="18"/>
          <w:u w:val="single" w:color="auto"/>
          <w:color w:val="0000FF"/>
        </w:rPr>
      </w:pPr>
    </w:p>
    <w:p>
      <w:pPr>
        <w:ind w:left="440" w:right="2920" w:hanging="440"/>
        <w:spacing w:after="0" w:line="594" w:lineRule="auto"/>
        <w:tabs>
          <w:tab w:leader="none" w:pos="440" w:val="left"/>
        </w:tabs>
        <w:numPr>
          <w:ilvl w:val="0"/>
          <w:numId w:val="19"/>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Consulting Agreement, effective August 1, 2021, by, and between Crown Holdings, Inc. and Didier Sourisseau</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List of Guarantor Subsidiaries</w:t>
        </w:r>
      </w:hyperlink>
    </w:p>
    <w:p>
      <w:pPr>
        <w:spacing w:after="0" w:line="1" w:lineRule="exact"/>
        <w:rPr>
          <w:rFonts w:ascii="Arial" w:cs="Arial" w:eastAsia="Arial" w:hAnsi="Arial"/>
          <w:sz w:val="18"/>
          <w:szCs w:val="18"/>
          <w:u w:val="single" w:color="auto"/>
          <w:color w:val="0000FF"/>
        </w:rPr>
      </w:pPr>
    </w:p>
    <w:p>
      <w:pPr>
        <w:ind w:left="1080" w:right="1060" w:hanging="648"/>
        <w:spacing w:after="0" w:line="277" w:lineRule="auto"/>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pursuant to Section 302 of the Sarbanes-Oxley Act of 2002.</w:t>
        </w:r>
      </w:hyperlink>
    </w:p>
    <w:p>
      <w:pPr>
        <w:spacing w:after="0" w:line="224" w:lineRule="exact"/>
        <w:rPr>
          <w:rFonts w:ascii="Arial" w:cs="Arial" w:eastAsia="Arial" w:hAnsi="Arial"/>
          <w:sz w:val="18"/>
          <w:szCs w:val="18"/>
          <w:u w:val="single" w:color="auto"/>
          <w:color w:val="0000FF"/>
        </w:rPr>
      </w:pPr>
    </w:p>
    <w:p>
      <w:pPr>
        <w:ind w:left="1080" w:right="1060" w:hanging="648"/>
        <w:spacing w:after="0" w:line="277"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pursuant to Section 302 of the Sarbanes-Oxley Act of 2002.</w:t>
        </w:r>
      </w:hyperlink>
    </w:p>
    <w:p>
      <w:pPr>
        <w:spacing w:after="0" w:line="224" w:lineRule="exact"/>
        <w:rPr>
          <w:rFonts w:ascii="Arial" w:cs="Arial" w:eastAsia="Arial" w:hAnsi="Arial"/>
          <w:sz w:val="18"/>
          <w:szCs w:val="18"/>
          <w:u w:val="single" w:color="auto"/>
          <w:color w:val="0000FF"/>
        </w:rPr>
      </w:pPr>
    </w:p>
    <w:p>
      <w:pPr>
        <w:ind w:left="1080" w:right="1060" w:hanging="648"/>
        <w:spacing w:after="0" w:line="263" w:lineRule="auto"/>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Timothy J. Donahue, President and Chief Executive Officer of Crown Holdings, Inc. and Thomas A. Kelly, Senior Vice</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President and Chief Financial Officer of Crown Holdings, Inc.</w:t>
        </w:r>
      </w:hyperlink>
    </w:p>
    <w:p>
      <w:pPr>
        <w:spacing w:after="0" w:line="237" w:lineRule="exact"/>
        <w:rPr>
          <w:rFonts w:ascii="Arial" w:cs="Arial" w:eastAsia="Arial" w:hAnsi="Arial"/>
          <w:sz w:val="18"/>
          <w:szCs w:val="18"/>
          <w:u w:val="single" w:color="auto"/>
          <w:color w:val="0000FF"/>
        </w:rPr>
      </w:pPr>
    </w:p>
    <w:p>
      <w:pPr>
        <w:ind w:left="1080" w:right="1060" w:hanging="648"/>
        <w:spacing w:after="0" w:line="254" w:lineRule="auto"/>
        <w:rPr>
          <w:rFonts w:ascii="Arial" w:cs="Arial" w:eastAsia="Arial" w:hAnsi="Arial"/>
          <w:sz w:val="18"/>
          <w:szCs w:val="18"/>
          <w:u w:val="single" w:color="auto"/>
          <w:color w:val="0000FF"/>
        </w:rPr>
      </w:pPr>
      <w:r>
        <w:rPr>
          <w:rFonts w:ascii="Arial" w:cs="Arial" w:eastAsia="Arial" w:hAnsi="Arial"/>
          <w:sz w:val="18"/>
          <w:szCs w:val="18"/>
          <w:color w:val="auto"/>
        </w:rPr>
        <w:t>The following financial information from the Registrant's Quarterly Report on Form 10-Q for the quarter ended June 30, 2021 formatted in inline XBRL (eXtensible Business Reporting Language): (i) Consolidated Statements of Operations for the three and six months ended June 30, 2021 and 2020, (ii) Consolidated Statements of Comprehensive Income for the three and six months ended June 30, 2021 and 2020, (iii) Consolidated Balance Sheets as of June 30, 2021 and December 31, 2020, (iv) Consolidated Statements of Cash Flows for the three months ended June 30, 2021 and 2020, (v) Consolidated Statements of Changes in Equity for the three and six months ended June 30, 2021 and 2020 and (vi) Notes to Consolidated Financial Statements.</w:t>
      </w:r>
    </w:p>
    <w:p>
      <w:pPr>
        <w:spacing w:after="0" w:line="248" w:lineRule="exact"/>
        <w:rPr>
          <w:rFonts w:ascii="Arial" w:cs="Arial" w:eastAsia="Arial" w:hAnsi="Arial"/>
          <w:sz w:val="18"/>
          <w:szCs w:val="18"/>
          <w:u w:val="single" w:color="auto"/>
          <w:color w:val="0000FF"/>
        </w:rPr>
      </w:pPr>
    </w:p>
    <w:p>
      <w:pPr>
        <w:ind w:left="440"/>
        <w:spacing w:after="0"/>
        <w:rPr>
          <w:rFonts w:ascii="Arial" w:cs="Arial" w:eastAsia="Arial" w:hAnsi="Arial"/>
          <w:sz w:val="18"/>
          <w:szCs w:val="18"/>
          <w:u w:val="single" w:color="auto"/>
          <w:color w:val="0000FF"/>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6" w:name="page37"/>
    <w:bookmarkEnd w:id="3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58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Beaver</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David A. Beaver</w:t>
            </w:r>
          </w:p>
        </w:tc>
      </w:tr>
      <w:tr>
        <w:trPr>
          <w:trHeight w:val="229"/>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0"/>
          </w:cols>
          <w:pgMar w:left="980" w:top="121" w:right="339" w:bottom="1440" w:gutter="0" w:footer="0" w:header="0"/>
        </w:sectPr>
      </w:pPr>
    </w:p>
    <w:bookmarkStart w:id="37" w:name="page38"/>
    <w:bookmarkEnd w:id="37"/>
    <w:p>
      <w:pPr>
        <w:ind w:left="4600"/>
        <w:spacing w:after="0"/>
        <w:rPr>
          <w:sz w:val="20"/>
          <w:szCs w:val="20"/>
          <w:color w:val="auto"/>
        </w:rPr>
      </w:pPr>
      <w:r>
        <w:rPr>
          <w:rFonts w:ascii="Arial" w:cs="Arial" w:eastAsia="Arial" w:hAnsi="Arial"/>
          <w:sz w:val="22"/>
          <w:szCs w:val="22"/>
          <w:color w:val="auto"/>
        </w:rPr>
        <w:t>Didier Sourisseau</w:t>
      </w:r>
    </w:p>
    <w:p>
      <w:pPr>
        <w:ind w:left="4600"/>
        <w:spacing w:after="0" w:line="217" w:lineRule="auto"/>
        <w:rPr>
          <w:sz w:val="20"/>
          <w:szCs w:val="20"/>
          <w:color w:val="auto"/>
        </w:rPr>
      </w:pPr>
      <w:r>
        <w:rPr>
          <w:rFonts w:ascii="Arial" w:cs="Arial" w:eastAsia="Arial" w:hAnsi="Arial"/>
          <w:sz w:val="22"/>
          <w:szCs w:val="22"/>
          <w:color w:val="auto"/>
        </w:rPr>
        <w:t>Stockenstrasse 27</w:t>
      </w:r>
    </w:p>
    <w:p>
      <w:pPr>
        <w:ind w:left="4600"/>
        <w:spacing w:after="0" w:line="218" w:lineRule="auto"/>
        <w:rPr>
          <w:sz w:val="20"/>
          <w:szCs w:val="20"/>
          <w:color w:val="auto"/>
        </w:rPr>
      </w:pPr>
      <w:r>
        <w:rPr>
          <w:rFonts w:ascii="Arial" w:cs="Arial" w:eastAsia="Arial" w:hAnsi="Arial"/>
          <w:sz w:val="22"/>
          <w:szCs w:val="22"/>
          <w:color w:val="auto"/>
        </w:rPr>
        <w:t>8802 Zürich</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Switzerland</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In Zug, on April 15,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Subject</w:t>
      </w:r>
      <w:r>
        <w:rPr>
          <w:rFonts w:ascii="Arial" w:cs="Arial" w:eastAsia="Arial" w:hAnsi="Arial"/>
          <w:sz w:val="22"/>
          <w:szCs w:val="22"/>
          <w:b w:val="1"/>
          <w:bCs w:val="1"/>
          <w:color w:val="auto"/>
        </w:rPr>
        <w:t>: Titan transaction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Dear Didier,</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Taking into account your efforts and your specific dedication to our sale project of the Food, Closures, Aerosols and Promotional Packaging business subject of the SAPA signed on 8 April 2021 between Crown Holdings, Inc. (hereinafter the “</w:t>
      </w:r>
      <w:r>
        <w:rPr>
          <w:rFonts w:ascii="Arial" w:cs="Arial" w:eastAsia="Arial" w:hAnsi="Arial"/>
          <w:sz w:val="22"/>
          <w:szCs w:val="22"/>
          <w:b w:val="1"/>
          <w:bCs w:val="1"/>
          <w:color w:val="auto"/>
        </w:rPr>
        <w:t>Company</w:t>
      </w:r>
      <w:r>
        <w:rPr>
          <w:rFonts w:ascii="Arial" w:cs="Arial" w:eastAsia="Arial" w:hAnsi="Arial"/>
          <w:sz w:val="22"/>
          <w:szCs w:val="22"/>
          <w:color w:val="auto"/>
        </w:rPr>
        <w:t>”) and Crown Cork &amp; Seal Deutschland Holdings GmbH on the one hand, and Kouti B.V., Blitz F21-387 GmbH and Macsco 20.10 Limited on the other hand (hereinafter the “</w:t>
      </w:r>
      <w:r>
        <w:rPr>
          <w:rFonts w:ascii="Arial" w:cs="Arial" w:eastAsia="Arial" w:hAnsi="Arial"/>
          <w:sz w:val="22"/>
          <w:szCs w:val="22"/>
          <w:b w:val="1"/>
          <w:bCs w:val="1"/>
          <w:color w:val="auto"/>
        </w:rPr>
        <w:t>Transaction</w:t>
      </w:r>
      <w:r>
        <w:rPr>
          <w:rFonts w:ascii="Arial" w:cs="Arial" w:eastAsia="Arial" w:hAnsi="Arial"/>
          <w:sz w:val="22"/>
          <w:szCs w:val="22"/>
          <w:color w:val="auto"/>
        </w:rPr>
        <w:t>”), we are pleased to announce in this letter the following specific rewards.</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Transaction Bonus</w:t>
      </w: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We have unilaterally and discretionarily decided to make you eligible to an exceptional bonus payment in view of that Transaction (hereinafter the “</w:t>
      </w:r>
      <w:r>
        <w:rPr>
          <w:rFonts w:ascii="Arial" w:cs="Arial" w:eastAsia="Arial" w:hAnsi="Arial"/>
          <w:sz w:val="22"/>
          <w:szCs w:val="22"/>
          <w:b w:val="1"/>
          <w:bCs w:val="1"/>
          <w:color w:val="auto"/>
        </w:rPr>
        <w:t>Transaction Bonus</w:t>
      </w:r>
      <w:r>
        <w:rPr>
          <w:rFonts w:ascii="Arial" w:cs="Arial" w:eastAsia="Arial" w:hAnsi="Arial"/>
          <w:sz w:val="22"/>
          <w:szCs w:val="22"/>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Please find below the terms and conditions of eligibility, calculation and payment of this bonus.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It should be noted as a preliminary point that:</w:t>
      </w:r>
    </w:p>
    <w:p>
      <w:pPr>
        <w:spacing w:after="0" w:line="220" w:lineRule="exact"/>
        <w:rPr>
          <w:sz w:val="20"/>
          <w:szCs w:val="20"/>
          <w:color w:val="auto"/>
        </w:rPr>
      </w:pPr>
    </w:p>
    <w:p>
      <w:pPr>
        <w:ind w:left="660" w:right="20" w:hanging="328"/>
        <w:spacing w:after="0" w:line="239"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this Transaction Bonus constitutes an exceptional payment which has been decided unilaterally and discretionarily. On this basis, it will not be considered nor treated as part of your contractual remuneration ;</w:t>
      </w:r>
    </w:p>
    <w:p>
      <w:pPr>
        <w:spacing w:after="0" w:line="198"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payment of a Transactional Bonus would not give rise to any right to further similar payments to you in the future ;</w:t>
      </w:r>
    </w:p>
    <w:p>
      <w:pPr>
        <w:spacing w:after="0" w:line="254" w:lineRule="exact"/>
        <w:rPr>
          <w:rFonts w:ascii="Arial" w:cs="Arial" w:eastAsia="Arial" w:hAnsi="Arial"/>
          <w:sz w:val="19"/>
          <w:szCs w:val="19"/>
          <w:color w:val="auto"/>
        </w:rPr>
      </w:pPr>
    </w:p>
    <w:p>
      <w:pPr>
        <w:ind w:left="660" w:hanging="328"/>
        <w:spacing w:after="0" w:line="239"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Transaction Bonus paid would not be taken into account for the calculation of any components of your remuneration, as well as for any termination indemnity.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Amount of the Transaction Bonus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You are eligible to receive a Transaction Bonus of a gross amount of 1’000’000.- CHF (one million) Swiss Francs.</w:t>
      </w:r>
    </w:p>
    <w:p>
      <w:pPr>
        <w:sectPr>
          <w:pgSz w:w="11900" w:h="16838" w:orient="portrait"/>
          <w:cols w:equalWidth="0" w:num="1">
            <w:col w:w="11240"/>
          </w:cols>
          <w:pgMar w:left="320" w:top="1125"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Terms of acquisition of the Transaction Bonus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You will benefit of the Transaction Bonus if the following conditions are satisfied:</w:t>
      </w:r>
    </w:p>
    <w:p>
      <w:pPr>
        <w:spacing w:after="0" w:line="22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completion of the Transaction ;</w:t>
      </w:r>
    </w:p>
    <w:p>
      <w:pPr>
        <w:spacing w:after="0" w:line="219"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having conducted all the actions you will be entrusted and having provided all the necessary cooperation for a successful completion of the Transaction ;</w:t>
      </w:r>
    </w:p>
    <w:p>
      <w:pPr>
        <w:spacing w:after="0" w:line="198" w:lineRule="exact"/>
        <w:rPr>
          <w:rFonts w:ascii="Arial" w:cs="Arial" w:eastAsia="Arial" w:hAnsi="Arial"/>
          <w:sz w:val="22"/>
          <w:szCs w:val="22"/>
          <w:color w:val="auto"/>
        </w:rPr>
      </w:pPr>
    </w:p>
    <w:p>
      <w:pPr>
        <w:jc w:val="both"/>
        <w:ind w:left="660" w:hanging="328"/>
        <w:spacing w:after="0" w:line="231"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being effectively present at work for the whole period between the date of this letter and until the date on which the Transaction will be completed, without any notification of a termination of your employment contract by either of the parties.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of payment of the Transaction Bonus</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If all the conditions for acquiring the Transaction Bonus are satisfied, its payment will be made on the usual pay date of the month following the month during which it was acquired. This payment will be taxable and subject to taxes and social security contributions. We, as your Employer, will make any deductions from the above mentioned payments to you or on your behalf as required by law.</w:t>
      </w:r>
    </w:p>
    <w:p>
      <w:pPr>
        <w:spacing w:after="0" w:line="200"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In case of absence or suspension of your employment contract during that period, for any reason but with the exception of your paid leave or rest time, the Transaction Bonus will not be due and no prorata will apply, even if the Transaction is completed.</w:t>
      </w:r>
    </w:p>
    <w:p>
      <w:pPr>
        <w:spacing w:after="0" w:line="36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Bonus</w:t>
      </w:r>
    </w:p>
    <w:p>
      <w:pPr>
        <w:spacing w:after="0" w:line="200" w:lineRule="exact"/>
        <w:rPr>
          <w:sz w:val="20"/>
          <w:szCs w:val="20"/>
          <w:color w:val="auto"/>
        </w:rPr>
      </w:pPr>
    </w:p>
    <w:p>
      <w:pPr>
        <w:spacing w:after="0" w:line="26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confirm that the terms of your employment contract in relation to an annual bonus for 2021 will continue to apply after completion of the Transaction between you and your new employer in the KPS Capital group. Your annual bonus for 2021 will therefore be determined and paid in accordance with the rules described in your employment contract.</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rights</w:t>
      </w:r>
    </w:p>
    <w:p>
      <w:pPr>
        <w:spacing w:after="0" w:line="200" w:lineRule="exact"/>
        <w:rPr>
          <w:sz w:val="20"/>
          <w:szCs w:val="20"/>
          <w:color w:val="auto"/>
        </w:rPr>
      </w:pP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Pursuant to the letter agreements, dated January 7, 2019, January 9, 2020 and January 8, 2021 by and between you and the Company (the “</w:t>
      </w:r>
      <w:r>
        <w:rPr>
          <w:rFonts w:ascii="Arial" w:cs="Arial" w:eastAsia="Arial" w:hAnsi="Arial"/>
          <w:sz w:val="19"/>
          <w:szCs w:val="19"/>
          <w:b w:val="1"/>
          <w:bCs w:val="1"/>
          <w:color w:val="auto"/>
        </w:rPr>
        <w:t>Award Letter</w:t>
      </w:r>
      <w:r>
        <w:rPr>
          <w:rFonts w:ascii="Arial" w:cs="Arial" w:eastAsia="Arial" w:hAnsi="Arial"/>
          <w:sz w:val="19"/>
          <w:szCs w:val="19"/>
          <w:color w:val="auto"/>
        </w:rPr>
        <w:t>”), all deferred shares awarded to you under the Award Letters for which the deferral period has not ended as of the completion of the Transaction will be totally and permanently forfeited without further compensation.</w:t>
      </w:r>
    </w:p>
    <w:p>
      <w:pPr>
        <w:spacing w:after="0" w:line="39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SERP</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Subject to the terms and conditions of Amendment No. 1 to the Senior Executive Retirement Agreement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the Company shall cause you to become 100% fully vested in your retirement benefits under the Crown Senior</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Retirement Plan, upon the completion of the Transaction.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w:t>
      </w: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882"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Consideration</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consideration for the rewards mentioned in this letter, by counter-signing this letter, you irrevocably accept the transfer of your employment contract to a company of the Crown group which is expected to be transferred to one the companies of the KPS Capital group upon completion of the Transaction. Your acceptance of transfer is not dependent on completion of the Transaction.</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You also acknowledge and accept that the payments and concessions referred to in this agreement shall fully and finally satisfy any and all claims, and any and all entitlements that you have, or may have, against us as your employer or any of our affiliates and/or group companies, arising out of or in connection with the employment relationship and/or your employment contract.</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Agreement is construed under and exclusively governed by Swiss law. Any controversy or dispute shall be resolved by the competent court in Zug.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Best regards,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0"/>
                <w:szCs w:val="20"/>
                <w:color w:val="auto"/>
              </w:rPr>
            </w:pPr>
            <w:r>
              <w:rPr>
                <w:rFonts w:ascii="Arial" w:cs="Arial" w:eastAsia="Arial" w:hAnsi="Arial"/>
                <w:sz w:val="22"/>
                <w:szCs w:val="22"/>
                <w:color w:val="auto"/>
                <w:w w:val="88"/>
              </w:rPr>
              <w:t>/s/Sidonie Lécluse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Arial" w:cs="Arial" w:eastAsia="Arial" w:hAnsi="Arial"/>
                <w:sz w:val="22"/>
                <w:szCs w:val="22"/>
                <w:color w:val="auto"/>
              </w:rPr>
              <w:t>/s/ Gerard H. Gifford</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0" w:type="dxa"/>
            <w:vAlign w:val="bottom"/>
          </w:tcPr>
          <w:p>
            <w:pPr>
              <w:spacing w:after="0" w:line="216" w:lineRule="exact"/>
              <w:rPr>
                <w:sz w:val="20"/>
                <w:szCs w:val="20"/>
                <w:color w:val="auto"/>
              </w:rPr>
            </w:pPr>
            <w:r>
              <w:rPr>
                <w:rFonts w:ascii="Arial" w:cs="Arial" w:eastAsia="Arial" w:hAnsi="Arial"/>
                <w:sz w:val="22"/>
                <w:szCs w:val="22"/>
                <w:color w:val="auto"/>
              </w:rPr>
              <w:t>Sidonie Lécluse</w:t>
            </w:r>
          </w:p>
        </w:tc>
        <w:tc>
          <w:tcPr>
            <w:tcW w:w="60" w:type="dxa"/>
            <w:vAlign w:val="bottom"/>
            <w:vMerge w:val="continue"/>
          </w:tcPr>
          <w:p>
            <w:pPr>
              <w:spacing w:after="0"/>
              <w:rPr>
                <w:sz w:val="18"/>
                <w:szCs w:val="18"/>
                <w:color w:val="auto"/>
              </w:rPr>
            </w:pPr>
          </w:p>
        </w:tc>
        <w:tc>
          <w:tcPr>
            <w:tcW w:w="3100" w:type="dxa"/>
            <w:vAlign w:val="bottom"/>
            <w:gridSpan w:val="5"/>
          </w:tcPr>
          <w:p>
            <w:pPr>
              <w:ind w:left="60"/>
              <w:spacing w:after="0" w:line="216" w:lineRule="exact"/>
              <w:rPr>
                <w:sz w:val="20"/>
                <w:szCs w:val="20"/>
                <w:color w:val="auto"/>
              </w:rPr>
            </w:pPr>
            <w:r>
              <w:rPr>
                <w:rFonts w:ascii="Arial" w:cs="Arial" w:eastAsia="Arial" w:hAnsi="Arial"/>
                <w:sz w:val="22"/>
                <w:szCs w:val="22"/>
                <w:color w:val="auto"/>
              </w:rPr>
              <w:t>Gerard H. Gifford</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gridSpan w:val="4"/>
          </w:tcPr>
          <w:p>
            <w:pPr>
              <w:spacing w:after="0" w:line="229" w:lineRule="exact"/>
              <w:rPr>
                <w:sz w:val="20"/>
                <w:szCs w:val="20"/>
                <w:color w:val="auto"/>
              </w:rPr>
            </w:pPr>
            <w:r>
              <w:rPr>
                <w:rFonts w:ascii="Arial" w:cs="Arial" w:eastAsia="Arial" w:hAnsi="Arial"/>
                <w:sz w:val="22"/>
                <w:szCs w:val="22"/>
                <w:color w:val="auto"/>
                <w:w w:val="93"/>
              </w:rPr>
              <w:t>SVP Human Resources EMEA</w:t>
            </w:r>
          </w:p>
        </w:tc>
        <w:tc>
          <w:tcPr>
            <w:tcW w:w="120" w:type="dxa"/>
            <w:vAlign w:val="bottom"/>
          </w:tcPr>
          <w:p>
            <w:pPr>
              <w:spacing w:after="0"/>
              <w:rPr>
                <w:sz w:val="19"/>
                <w:szCs w:val="19"/>
                <w:color w:val="auto"/>
              </w:rPr>
            </w:pPr>
          </w:p>
        </w:tc>
        <w:tc>
          <w:tcPr>
            <w:tcW w:w="4680" w:type="dxa"/>
            <w:vAlign w:val="bottom"/>
            <w:gridSpan w:val="3"/>
          </w:tcPr>
          <w:p>
            <w:pPr>
              <w:ind w:left="80"/>
              <w:spacing w:after="0" w:line="229" w:lineRule="exact"/>
              <w:rPr>
                <w:sz w:val="20"/>
                <w:szCs w:val="20"/>
                <w:color w:val="auto"/>
              </w:rPr>
            </w:pPr>
            <w:r>
              <w:rPr>
                <w:rFonts w:ascii="Arial" w:cs="Arial" w:eastAsia="Arial" w:hAnsi="Arial"/>
                <w:sz w:val="22"/>
                <w:szCs w:val="22"/>
                <w:color w:val="auto"/>
              </w:rPr>
              <w:t>Executive Vice President</w:t>
            </w:r>
          </w:p>
        </w:tc>
        <w:tc>
          <w:tcPr>
            <w:tcW w:w="0" w:type="dxa"/>
            <w:vAlign w:val="bottom"/>
          </w:tcPr>
          <w:p>
            <w:pPr>
              <w:spacing w:after="0"/>
              <w:rPr>
                <w:sz w:val="1"/>
                <w:szCs w:val="1"/>
                <w:color w:val="auto"/>
              </w:rPr>
            </w:pPr>
          </w:p>
        </w:tc>
      </w:tr>
      <w:tr>
        <w:trPr>
          <w:trHeight w:val="274"/>
        </w:trPr>
        <w:tc>
          <w:tcPr>
            <w:tcW w:w="1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60" w:type="dxa"/>
            <w:vAlign w:val="bottom"/>
          </w:tcPr>
          <w:p>
            <w:pPr>
              <w:ind w:left="440"/>
              <w:spacing w:after="0"/>
              <w:rPr>
                <w:sz w:val="20"/>
                <w:szCs w:val="20"/>
                <w:color w:val="auto"/>
              </w:rPr>
            </w:pPr>
            <w:r>
              <w:rPr>
                <w:rFonts w:ascii="Arial" w:cs="Arial" w:eastAsia="Arial" w:hAnsi="Arial"/>
                <w:sz w:val="22"/>
                <w:szCs w:val="22"/>
                <w:color w:val="auto"/>
                <w:w w:val="89"/>
              </w:rPr>
              <w:t>and Chief Operating Officer</w:t>
            </w:r>
          </w:p>
        </w:tc>
        <w:tc>
          <w:tcPr>
            <w:tcW w:w="0" w:type="dxa"/>
            <w:vAlign w:val="bottom"/>
          </w:tcPr>
          <w:p>
            <w:pPr>
              <w:spacing w:after="0"/>
              <w:rPr>
                <w:sz w:val="1"/>
                <w:szCs w:val="1"/>
                <w:color w:val="auto"/>
              </w:rPr>
            </w:pPr>
          </w:p>
        </w:tc>
      </w:tr>
      <w:tr>
        <w:trPr>
          <w:trHeight w:val="473"/>
        </w:trPr>
        <w:tc>
          <w:tcPr>
            <w:tcW w:w="2820" w:type="dxa"/>
            <w:vAlign w:val="bottom"/>
            <w:gridSpan w:val="4"/>
          </w:tcPr>
          <w:p>
            <w:pPr>
              <w:spacing w:after="0"/>
              <w:rPr>
                <w:sz w:val="20"/>
                <w:szCs w:val="20"/>
                <w:color w:val="auto"/>
              </w:rPr>
            </w:pPr>
            <w:r>
              <w:rPr>
                <w:rFonts w:ascii="Arial" w:cs="Arial" w:eastAsia="Arial" w:hAnsi="Arial"/>
                <w:sz w:val="22"/>
                <w:szCs w:val="22"/>
                <w:color w:val="auto"/>
              </w:rPr>
              <w:t>Agreed &amp; accepted: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2820" w:type="dxa"/>
            <w:vAlign w:val="bottom"/>
            <w:gridSpan w:val="4"/>
          </w:tcPr>
          <w:p>
            <w:pPr>
              <w:spacing w:after="0"/>
              <w:rPr>
                <w:sz w:val="20"/>
                <w:szCs w:val="20"/>
                <w:color w:val="auto"/>
              </w:rPr>
            </w:pPr>
            <w:r>
              <w:rPr>
                <w:rFonts w:ascii="Arial" w:cs="Arial" w:eastAsia="Arial" w:hAnsi="Arial"/>
                <w:sz w:val="22"/>
                <w:szCs w:val="22"/>
                <w:color w:val="auto"/>
              </w:rPr>
              <w:t>/s/ Didier Sourisseau</w:t>
            </w:r>
          </w:p>
        </w:tc>
        <w:tc>
          <w:tcPr>
            <w:tcW w:w="120" w:type="dxa"/>
            <w:vAlign w:val="bottom"/>
          </w:tcPr>
          <w:p>
            <w:pPr>
              <w:spacing w:after="0"/>
              <w:rPr>
                <w:sz w:val="24"/>
                <w:szCs w:val="24"/>
                <w:color w:val="auto"/>
              </w:rPr>
            </w:pPr>
          </w:p>
        </w:tc>
        <w:tc>
          <w:tcPr>
            <w:tcW w:w="4680" w:type="dxa"/>
            <w:vAlign w:val="bottom"/>
            <w:gridSpan w:val="3"/>
          </w:tcPr>
          <w:p>
            <w:pPr>
              <w:ind w:left="220"/>
              <w:spacing w:after="0"/>
              <w:rPr>
                <w:sz w:val="20"/>
                <w:szCs w:val="20"/>
                <w:color w:val="auto"/>
              </w:rPr>
            </w:pPr>
            <w:r>
              <w:rPr>
                <w:rFonts w:ascii="Arial" w:cs="Arial" w:eastAsia="Arial" w:hAnsi="Arial"/>
                <w:sz w:val="22"/>
                <w:szCs w:val="22"/>
                <w:color w:val="auto"/>
              </w:rPr>
              <w:t>Date : 04/16/2021</w:t>
            </w:r>
          </w:p>
        </w:tc>
        <w:tc>
          <w:tcPr>
            <w:tcW w:w="0" w:type="dxa"/>
            <w:vAlign w:val="bottom"/>
          </w:tcPr>
          <w:p>
            <w:pPr>
              <w:spacing w:after="0"/>
              <w:rPr>
                <w:sz w:val="1"/>
                <w:szCs w:val="1"/>
                <w:color w:val="auto"/>
              </w:rPr>
            </w:pPr>
          </w:p>
        </w:tc>
      </w:tr>
      <w:tr>
        <w:trPr>
          <w:trHeight w:val="274"/>
        </w:trPr>
        <w:tc>
          <w:tcPr>
            <w:tcW w:w="16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94"/>
              </w:rPr>
              <w:t>Didier Sourisseau</w:t>
            </w:r>
          </w:p>
        </w:tc>
        <w:tc>
          <w:tcPr>
            <w:tcW w:w="140" w:type="dxa"/>
            <w:vAlign w:val="bottom"/>
            <w:tcBorders>
              <w:top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Crown Packaging European Division GmbH</w:t>
      </w:r>
      <w:r>
        <w:rPr>
          <w:rFonts w:ascii="Arial" w:cs="Arial" w:eastAsia="Arial" w:hAnsi="Arial"/>
          <w:sz w:val="22"/>
          <w:szCs w:val="22"/>
          <w:color w:val="auto"/>
        </w:rPr>
        <w:t>, Baarermatte, 6340 Baar, Switzerland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Didier Sourisseau Consulting GmbH, </w:t>
      </w:r>
      <w:r>
        <w:rPr>
          <w:rFonts w:ascii="Arial" w:cs="Arial" w:eastAsia="Arial" w:hAnsi="Arial"/>
          <w:sz w:val="22"/>
          <w:szCs w:val="22"/>
          <w:color w:val="auto"/>
        </w:rPr>
        <w:t>Stockenstrasse 27, 8802 Kilchberg, Switzerland (in formation)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Consultant</w:t>
      </w:r>
      <w:r>
        <w:rPr>
          <w:rFonts w:ascii="Arial" w:cs="Arial" w:eastAsia="Arial" w:hAnsi="Arial"/>
          <w:sz w:val="22"/>
          <w:szCs w:val="22"/>
          <w:color w:val="auto"/>
        </w:rPr>
        <w:t>”)</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(each a "</w:t>
      </w:r>
      <w:r>
        <w:rPr>
          <w:rFonts w:ascii="Arial" w:cs="Arial" w:eastAsia="Arial" w:hAnsi="Arial"/>
          <w:sz w:val="22"/>
          <w:szCs w:val="22"/>
          <w:b w:val="1"/>
          <w:bCs w:val="1"/>
          <w:color w:val="auto"/>
        </w:rPr>
        <w:t>Party</w:t>
      </w:r>
      <w:r>
        <w:rPr>
          <w:rFonts w:ascii="Arial" w:cs="Arial" w:eastAsia="Arial" w:hAnsi="Arial"/>
          <w:sz w:val="22"/>
          <w:szCs w:val="22"/>
          <w:color w:val="auto"/>
        </w:rPr>
        <w:t>", jointly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concerning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Services</w:t>
      </w:r>
    </w:p>
    <w:p>
      <w:pPr>
        <w:sectPr>
          <w:pgSz w:w="11900" w:h="16838" w:orient="portrait"/>
          <w:cols w:equalWidth="0" w:num="1">
            <w:col w:w="11240"/>
          </w:cols>
          <w:pgMar w:left="320" w:top="1408" w:right="339" w:bottom="1440" w:gutter="0" w:footer="0" w:header="0"/>
        </w:sectPr>
      </w:pPr>
    </w:p>
    <w:bookmarkStart w:id="41" w:name="page42"/>
    <w:bookmarkEnd w:id="41"/>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160" w:type="dxa"/>
            <w:vAlign w:val="bottom"/>
            <w:gridSpan w:val="2"/>
          </w:tcPr>
          <w:p>
            <w:pPr>
              <w:spacing w:after="0"/>
              <w:rPr>
                <w:sz w:val="20"/>
                <w:szCs w:val="20"/>
                <w:color w:val="auto"/>
              </w:rPr>
            </w:pPr>
            <w:r>
              <w:rPr>
                <w:rFonts w:ascii="Arial" w:cs="Arial" w:eastAsia="Arial" w:hAnsi="Arial"/>
                <w:sz w:val="22"/>
                <w:szCs w:val="22"/>
                <w:color w:val="auto"/>
              </w:rPr>
              <w:t>Preamble</w:t>
            </w:r>
          </w:p>
        </w:tc>
        <w:tc>
          <w:tcPr>
            <w:tcW w:w="1560" w:type="dxa"/>
            <w:vAlign w:val="bottom"/>
          </w:tcPr>
          <w:p>
            <w:pPr>
              <w:jc w:val="right"/>
              <w:ind w:right="1252"/>
              <w:spacing w:after="0"/>
              <w:rPr>
                <w:sz w:val="20"/>
                <w:szCs w:val="20"/>
                <w:color w:val="auto"/>
              </w:rPr>
            </w:pPr>
            <w:r>
              <w:rPr>
                <w:rFonts w:ascii="Arial" w:cs="Arial" w:eastAsia="Arial" w:hAnsi="Arial"/>
                <w:sz w:val="22"/>
                <w:szCs w:val="22"/>
                <w:color w:val="auto"/>
              </w:rPr>
              <w:t>3</w:t>
            </w:r>
          </w:p>
        </w:tc>
      </w:tr>
      <w:tr>
        <w:trPr>
          <w:trHeight w:val="500"/>
        </w:trPr>
        <w:tc>
          <w:tcPr>
            <w:tcW w:w="200" w:type="dxa"/>
            <w:vAlign w:val="bottom"/>
          </w:tcPr>
          <w:p>
            <w:pPr>
              <w:spacing w:after="0"/>
              <w:rPr>
                <w:sz w:val="20"/>
                <w:szCs w:val="20"/>
                <w:color w:val="auto"/>
              </w:rPr>
            </w:pPr>
            <w:r>
              <w:rPr>
                <w:rFonts w:ascii="Arial" w:cs="Arial" w:eastAsia="Arial" w:hAnsi="Arial"/>
                <w:sz w:val="22"/>
                <w:szCs w:val="22"/>
                <w:color w:val="auto"/>
                <w:w w:val="97"/>
              </w:rPr>
              <w:t>1.</w:t>
            </w:r>
          </w:p>
        </w:tc>
        <w:tc>
          <w:tcPr>
            <w:tcW w:w="2960" w:type="dxa"/>
            <w:vAlign w:val="bottom"/>
          </w:tcPr>
          <w:p>
            <w:pPr>
              <w:ind w:left="20"/>
              <w:spacing w:after="0"/>
              <w:rPr>
                <w:sz w:val="20"/>
                <w:szCs w:val="20"/>
                <w:color w:val="auto"/>
              </w:rPr>
            </w:pPr>
            <w:r>
              <w:rPr>
                <w:rFonts w:ascii="Arial" w:cs="Arial" w:eastAsia="Arial" w:hAnsi="Arial"/>
                <w:sz w:val="22"/>
                <w:szCs w:val="22"/>
                <w:color w:val="auto"/>
              </w:rPr>
              <w:t>Engagement of Consultant</w:t>
            </w:r>
          </w:p>
        </w:tc>
        <w:tc>
          <w:tcPr>
            <w:tcW w:w="1560" w:type="dxa"/>
            <w:vAlign w:val="bottom"/>
          </w:tcPr>
          <w:p>
            <w:pPr>
              <w:jc w:val="right"/>
              <w:ind w:right="252"/>
              <w:spacing w:after="0"/>
              <w:rPr>
                <w:sz w:val="20"/>
                <w:szCs w:val="20"/>
                <w:color w:val="auto"/>
              </w:rPr>
            </w:pPr>
            <w:r>
              <w:rPr>
                <w:rFonts w:ascii="Arial" w:cs="Arial" w:eastAsia="Arial" w:hAnsi="Arial"/>
                <w:sz w:val="22"/>
                <w:szCs w:val="22"/>
                <w:color w:val="auto"/>
              </w:rPr>
              <w:t>3</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2.</w:t>
            </w:r>
          </w:p>
        </w:tc>
        <w:tc>
          <w:tcPr>
            <w:tcW w:w="2960" w:type="dxa"/>
            <w:vAlign w:val="bottom"/>
          </w:tcPr>
          <w:p>
            <w:pPr>
              <w:ind w:left="20"/>
              <w:spacing w:after="0"/>
              <w:rPr>
                <w:sz w:val="20"/>
                <w:szCs w:val="20"/>
                <w:color w:val="auto"/>
              </w:rPr>
            </w:pPr>
            <w:r>
              <w:rPr>
                <w:rFonts w:ascii="Arial" w:cs="Arial" w:eastAsia="Arial" w:hAnsi="Arial"/>
                <w:sz w:val="22"/>
                <w:szCs w:val="22"/>
                <w:color w:val="auto"/>
              </w:rPr>
              <w:t>Performance of services</w:t>
            </w:r>
          </w:p>
        </w:tc>
        <w:tc>
          <w:tcPr>
            <w:tcW w:w="1560" w:type="dxa"/>
            <w:vAlign w:val="bottom"/>
          </w:tcPr>
          <w:p>
            <w:pPr>
              <w:jc w:val="right"/>
              <w:ind w:right="412"/>
              <w:spacing w:after="0"/>
              <w:rPr>
                <w:sz w:val="20"/>
                <w:szCs w:val="20"/>
                <w:color w:val="auto"/>
              </w:rPr>
            </w:pPr>
            <w:r>
              <w:rPr>
                <w:rFonts w:ascii="Arial" w:cs="Arial" w:eastAsia="Arial" w:hAnsi="Arial"/>
                <w:sz w:val="22"/>
                <w:szCs w:val="22"/>
                <w:color w:val="auto"/>
              </w:rPr>
              <w:t>3</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3.</w:t>
            </w:r>
          </w:p>
        </w:tc>
        <w:tc>
          <w:tcPr>
            <w:tcW w:w="2960" w:type="dxa"/>
            <w:vAlign w:val="bottom"/>
          </w:tcPr>
          <w:p>
            <w:pPr>
              <w:ind w:left="20"/>
              <w:spacing w:after="0"/>
              <w:rPr>
                <w:sz w:val="20"/>
                <w:szCs w:val="20"/>
                <w:color w:val="auto"/>
              </w:rPr>
            </w:pPr>
            <w:r>
              <w:rPr>
                <w:rFonts w:ascii="Arial" w:cs="Arial" w:eastAsia="Arial" w:hAnsi="Arial"/>
                <w:sz w:val="22"/>
                <w:szCs w:val="22"/>
                <w:color w:val="auto"/>
              </w:rPr>
              <w:t>Confidentiality</w:t>
            </w:r>
          </w:p>
        </w:tc>
        <w:tc>
          <w:tcPr>
            <w:tcW w:w="1560" w:type="dxa"/>
            <w:vAlign w:val="bottom"/>
          </w:tcPr>
          <w:p>
            <w:pPr>
              <w:jc w:val="right"/>
              <w:ind w:right="752"/>
              <w:spacing w:after="0"/>
              <w:rPr>
                <w:sz w:val="20"/>
                <w:szCs w:val="20"/>
                <w:color w:val="auto"/>
              </w:rPr>
            </w:pPr>
            <w:r>
              <w:rPr>
                <w:rFonts w:ascii="Arial" w:cs="Arial" w:eastAsia="Arial" w:hAnsi="Arial"/>
                <w:sz w:val="22"/>
                <w:szCs w:val="22"/>
                <w:color w:val="auto"/>
              </w:rPr>
              <w:t>4</w:t>
            </w:r>
          </w:p>
        </w:tc>
      </w:tr>
      <w:tr>
        <w:trPr>
          <w:trHeight w:val="500"/>
        </w:trPr>
        <w:tc>
          <w:tcPr>
            <w:tcW w:w="200" w:type="dxa"/>
            <w:vAlign w:val="bottom"/>
          </w:tcPr>
          <w:p>
            <w:pPr>
              <w:spacing w:after="0"/>
              <w:rPr>
                <w:sz w:val="20"/>
                <w:szCs w:val="20"/>
                <w:color w:val="auto"/>
              </w:rPr>
            </w:pPr>
            <w:r>
              <w:rPr>
                <w:rFonts w:ascii="Arial" w:cs="Arial" w:eastAsia="Arial" w:hAnsi="Arial"/>
                <w:sz w:val="22"/>
                <w:szCs w:val="22"/>
                <w:color w:val="auto"/>
                <w:w w:val="97"/>
              </w:rPr>
              <w:t>4.</w:t>
            </w:r>
          </w:p>
        </w:tc>
        <w:tc>
          <w:tcPr>
            <w:tcW w:w="2960" w:type="dxa"/>
            <w:vAlign w:val="bottom"/>
          </w:tcPr>
          <w:p>
            <w:pPr>
              <w:ind w:left="20"/>
              <w:spacing w:after="0"/>
              <w:rPr>
                <w:sz w:val="20"/>
                <w:szCs w:val="20"/>
                <w:color w:val="auto"/>
              </w:rPr>
            </w:pPr>
            <w:r>
              <w:rPr>
                <w:rFonts w:ascii="Arial" w:cs="Arial" w:eastAsia="Arial" w:hAnsi="Arial"/>
                <w:sz w:val="22"/>
                <w:szCs w:val="22"/>
                <w:color w:val="auto"/>
              </w:rPr>
              <w:t>Intellectual property</w:t>
            </w:r>
          </w:p>
        </w:tc>
        <w:tc>
          <w:tcPr>
            <w:tcW w:w="1560" w:type="dxa"/>
            <w:vAlign w:val="bottom"/>
          </w:tcPr>
          <w:p>
            <w:pPr>
              <w:jc w:val="right"/>
              <w:ind w:right="532"/>
              <w:spacing w:after="0"/>
              <w:rPr>
                <w:sz w:val="20"/>
                <w:szCs w:val="20"/>
                <w:color w:val="auto"/>
              </w:rPr>
            </w:pPr>
            <w:r>
              <w:rPr>
                <w:rFonts w:ascii="Arial" w:cs="Arial" w:eastAsia="Arial" w:hAnsi="Arial"/>
                <w:sz w:val="22"/>
                <w:szCs w:val="22"/>
                <w:color w:val="auto"/>
              </w:rPr>
              <w:t>4</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5.</w:t>
            </w:r>
          </w:p>
        </w:tc>
        <w:tc>
          <w:tcPr>
            <w:tcW w:w="2960" w:type="dxa"/>
            <w:vAlign w:val="bottom"/>
          </w:tcPr>
          <w:p>
            <w:pPr>
              <w:ind w:left="20"/>
              <w:spacing w:after="0"/>
              <w:rPr>
                <w:sz w:val="20"/>
                <w:szCs w:val="20"/>
                <w:color w:val="auto"/>
              </w:rPr>
            </w:pPr>
            <w:r>
              <w:rPr>
                <w:rFonts w:ascii="Arial" w:cs="Arial" w:eastAsia="Arial" w:hAnsi="Arial"/>
                <w:sz w:val="22"/>
                <w:szCs w:val="22"/>
                <w:color w:val="auto"/>
              </w:rPr>
              <w:t>Compliance</w:t>
            </w:r>
          </w:p>
        </w:tc>
        <w:tc>
          <w:tcPr>
            <w:tcW w:w="1560" w:type="dxa"/>
            <w:vAlign w:val="bottom"/>
          </w:tcPr>
          <w:p>
            <w:pPr>
              <w:jc w:val="right"/>
              <w:ind w:right="1032"/>
              <w:spacing w:after="0"/>
              <w:rPr>
                <w:sz w:val="20"/>
                <w:szCs w:val="20"/>
                <w:color w:val="auto"/>
              </w:rPr>
            </w:pPr>
            <w:r>
              <w:rPr>
                <w:rFonts w:ascii="Arial" w:cs="Arial" w:eastAsia="Arial" w:hAnsi="Arial"/>
                <w:sz w:val="22"/>
                <w:szCs w:val="22"/>
                <w:color w:val="auto"/>
              </w:rPr>
              <w:t>5</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6.</w:t>
            </w:r>
          </w:p>
        </w:tc>
        <w:tc>
          <w:tcPr>
            <w:tcW w:w="2960" w:type="dxa"/>
            <w:vAlign w:val="bottom"/>
          </w:tcPr>
          <w:p>
            <w:pPr>
              <w:ind w:left="20"/>
              <w:spacing w:after="0"/>
              <w:rPr>
                <w:sz w:val="20"/>
                <w:szCs w:val="20"/>
                <w:color w:val="auto"/>
              </w:rPr>
            </w:pPr>
            <w:r>
              <w:rPr>
                <w:rFonts w:ascii="Arial" w:cs="Arial" w:eastAsia="Arial" w:hAnsi="Arial"/>
                <w:sz w:val="22"/>
                <w:szCs w:val="22"/>
                <w:color w:val="auto"/>
              </w:rPr>
              <w:t>Compensation</w:t>
            </w:r>
          </w:p>
        </w:tc>
        <w:tc>
          <w:tcPr>
            <w:tcW w:w="1560" w:type="dxa"/>
            <w:vAlign w:val="bottom"/>
          </w:tcPr>
          <w:p>
            <w:pPr>
              <w:jc w:val="right"/>
              <w:ind w:right="812"/>
              <w:spacing w:after="0"/>
              <w:rPr>
                <w:sz w:val="20"/>
                <w:szCs w:val="20"/>
                <w:color w:val="auto"/>
              </w:rPr>
            </w:pPr>
            <w:r>
              <w:rPr>
                <w:rFonts w:ascii="Arial" w:cs="Arial" w:eastAsia="Arial" w:hAnsi="Arial"/>
                <w:sz w:val="22"/>
                <w:szCs w:val="22"/>
                <w:color w:val="auto"/>
              </w:rPr>
              <w:t>5</w:t>
            </w:r>
          </w:p>
        </w:tc>
      </w:tr>
      <w:tr>
        <w:trPr>
          <w:trHeight w:val="500"/>
        </w:trPr>
        <w:tc>
          <w:tcPr>
            <w:tcW w:w="200" w:type="dxa"/>
            <w:vAlign w:val="bottom"/>
          </w:tcPr>
          <w:p>
            <w:pPr>
              <w:spacing w:after="0"/>
              <w:rPr>
                <w:sz w:val="20"/>
                <w:szCs w:val="20"/>
                <w:color w:val="auto"/>
              </w:rPr>
            </w:pPr>
            <w:r>
              <w:rPr>
                <w:rFonts w:ascii="Arial" w:cs="Arial" w:eastAsia="Arial" w:hAnsi="Arial"/>
                <w:sz w:val="22"/>
                <w:szCs w:val="22"/>
                <w:color w:val="auto"/>
                <w:w w:val="97"/>
              </w:rPr>
              <w:t>7.</w:t>
            </w:r>
          </w:p>
        </w:tc>
        <w:tc>
          <w:tcPr>
            <w:tcW w:w="2960" w:type="dxa"/>
            <w:vAlign w:val="bottom"/>
          </w:tcPr>
          <w:p>
            <w:pPr>
              <w:ind w:left="20"/>
              <w:spacing w:after="0"/>
              <w:rPr>
                <w:sz w:val="20"/>
                <w:szCs w:val="20"/>
                <w:color w:val="auto"/>
              </w:rPr>
            </w:pPr>
            <w:r>
              <w:rPr>
                <w:rFonts w:ascii="Arial" w:cs="Arial" w:eastAsia="Arial" w:hAnsi="Arial"/>
                <w:sz w:val="22"/>
                <w:szCs w:val="22"/>
                <w:color w:val="auto"/>
              </w:rPr>
              <w:t>Limited Liability</w:t>
            </w:r>
          </w:p>
        </w:tc>
        <w:tc>
          <w:tcPr>
            <w:tcW w:w="1560" w:type="dxa"/>
            <w:vAlign w:val="bottom"/>
          </w:tcPr>
          <w:p>
            <w:pPr>
              <w:jc w:val="right"/>
              <w:ind w:right="792"/>
              <w:spacing w:after="0"/>
              <w:rPr>
                <w:sz w:val="20"/>
                <w:szCs w:val="20"/>
                <w:color w:val="auto"/>
              </w:rPr>
            </w:pPr>
            <w:r>
              <w:rPr>
                <w:rFonts w:ascii="Arial" w:cs="Arial" w:eastAsia="Arial" w:hAnsi="Arial"/>
                <w:sz w:val="22"/>
                <w:szCs w:val="22"/>
                <w:color w:val="auto"/>
              </w:rPr>
              <w:t>5</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8.</w:t>
            </w:r>
          </w:p>
        </w:tc>
        <w:tc>
          <w:tcPr>
            <w:tcW w:w="2960" w:type="dxa"/>
            <w:vAlign w:val="bottom"/>
          </w:tcPr>
          <w:p>
            <w:pPr>
              <w:ind w:left="20"/>
              <w:spacing w:after="0"/>
              <w:rPr>
                <w:sz w:val="20"/>
                <w:szCs w:val="20"/>
                <w:color w:val="auto"/>
              </w:rPr>
            </w:pPr>
            <w:r>
              <w:rPr>
                <w:rFonts w:ascii="Arial" w:cs="Arial" w:eastAsia="Arial" w:hAnsi="Arial"/>
                <w:sz w:val="22"/>
                <w:szCs w:val="22"/>
                <w:color w:val="auto"/>
              </w:rPr>
              <w:t>Term and Termination</w:t>
            </w:r>
          </w:p>
        </w:tc>
        <w:tc>
          <w:tcPr>
            <w:tcW w:w="1560" w:type="dxa"/>
            <w:vAlign w:val="bottom"/>
          </w:tcPr>
          <w:p>
            <w:pPr>
              <w:jc w:val="right"/>
              <w:ind w:right="352"/>
              <w:spacing w:after="0"/>
              <w:rPr>
                <w:sz w:val="20"/>
                <w:szCs w:val="20"/>
                <w:color w:val="auto"/>
              </w:rPr>
            </w:pPr>
            <w:r>
              <w:rPr>
                <w:rFonts w:ascii="Arial" w:cs="Arial" w:eastAsia="Arial" w:hAnsi="Arial"/>
                <w:sz w:val="22"/>
                <w:szCs w:val="22"/>
                <w:color w:val="auto"/>
              </w:rPr>
              <w:t>5</w:t>
            </w:r>
          </w:p>
        </w:tc>
      </w:tr>
      <w:tr>
        <w:trPr>
          <w:trHeight w:val="499"/>
        </w:trPr>
        <w:tc>
          <w:tcPr>
            <w:tcW w:w="200" w:type="dxa"/>
            <w:vAlign w:val="bottom"/>
          </w:tcPr>
          <w:p>
            <w:pPr>
              <w:spacing w:after="0"/>
              <w:rPr>
                <w:sz w:val="20"/>
                <w:szCs w:val="20"/>
                <w:color w:val="auto"/>
              </w:rPr>
            </w:pPr>
            <w:r>
              <w:rPr>
                <w:rFonts w:ascii="Arial" w:cs="Arial" w:eastAsia="Arial" w:hAnsi="Arial"/>
                <w:sz w:val="22"/>
                <w:szCs w:val="22"/>
                <w:color w:val="auto"/>
                <w:w w:val="97"/>
              </w:rPr>
              <w:t>9.</w:t>
            </w:r>
          </w:p>
        </w:tc>
        <w:tc>
          <w:tcPr>
            <w:tcW w:w="2960" w:type="dxa"/>
            <w:vAlign w:val="bottom"/>
          </w:tcPr>
          <w:p>
            <w:pPr>
              <w:ind w:left="20"/>
              <w:spacing w:after="0"/>
              <w:rPr>
                <w:sz w:val="20"/>
                <w:szCs w:val="20"/>
                <w:color w:val="auto"/>
              </w:rPr>
            </w:pPr>
            <w:r>
              <w:rPr>
                <w:rFonts w:ascii="Arial" w:cs="Arial" w:eastAsia="Arial" w:hAnsi="Arial"/>
                <w:sz w:val="22"/>
                <w:szCs w:val="22"/>
                <w:color w:val="auto"/>
              </w:rPr>
              <w:t>Final provisions</w:t>
            </w:r>
          </w:p>
        </w:tc>
        <w:tc>
          <w:tcPr>
            <w:tcW w:w="1560" w:type="dxa"/>
            <w:vAlign w:val="bottom"/>
          </w:tcPr>
          <w:p>
            <w:pPr>
              <w:jc w:val="right"/>
              <w:ind w:right="672"/>
              <w:spacing w:after="0"/>
              <w:rPr>
                <w:sz w:val="20"/>
                <w:szCs w:val="20"/>
                <w:color w:val="auto"/>
              </w:rPr>
            </w:pPr>
            <w:r>
              <w:rPr>
                <w:rFonts w:ascii="Arial" w:cs="Arial" w:eastAsia="Arial" w:hAnsi="Arial"/>
                <w:sz w:val="22"/>
                <w:szCs w:val="22"/>
                <w:color w:val="auto"/>
              </w:rPr>
              <w:t>6</w:t>
            </w:r>
          </w:p>
        </w:tc>
      </w:tr>
      <w:tr>
        <w:trPr>
          <w:trHeight w:val="500"/>
        </w:trPr>
        <w:tc>
          <w:tcPr>
            <w:tcW w:w="3160" w:type="dxa"/>
            <w:vAlign w:val="bottom"/>
            <w:gridSpan w:val="2"/>
          </w:tcPr>
          <w:p>
            <w:pPr>
              <w:spacing w:after="0"/>
              <w:rPr>
                <w:sz w:val="20"/>
                <w:szCs w:val="20"/>
                <w:color w:val="auto"/>
              </w:rPr>
            </w:pPr>
            <w:r>
              <w:rPr>
                <w:rFonts w:ascii="Arial" w:cs="Arial" w:eastAsia="Arial" w:hAnsi="Arial"/>
                <w:sz w:val="22"/>
                <w:szCs w:val="22"/>
                <w:color w:val="auto"/>
                <w:w w:val="95"/>
              </w:rPr>
              <w:t>10. Applicable law and jurisdiction</w:t>
            </w:r>
          </w:p>
        </w:tc>
        <w:tc>
          <w:tcPr>
            <w:tcW w:w="156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0139"/>
          </w:cols>
          <w:pgMar w:left="320" w:top="1440" w:right="1440" w:bottom="1440" w:gutter="0" w:footer="0" w:header="0"/>
        </w:sectPr>
      </w:pPr>
    </w:p>
    <w:bookmarkStart w:id="42" w:name="page43"/>
    <w:bookmarkEnd w:id="42"/>
    <w:p>
      <w:pPr>
        <w:ind w:left="520"/>
        <w:spacing w:after="0"/>
        <w:rPr>
          <w:sz w:val="20"/>
          <w:szCs w:val="20"/>
          <w:color w:val="auto"/>
        </w:rPr>
      </w:pPr>
      <w:r>
        <w:rPr>
          <w:rFonts w:ascii="Arial" w:cs="Arial" w:eastAsia="Arial" w:hAnsi="Arial"/>
          <w:sz w:val="22"/>
          <w:szCs w:val="22"/>
          <w:b w:val="1"/>
          <w:bCs w:val="1"/>
          <w:color w:val="auto"/>
        </w:rPr>
        <w:t>Preamble</w:t>
      </w:r>
    </w:p>
    <w:p>
      <w:pPr>
        <w:spacing w:after="0" w:line="200" w:lineRule="exact"/>
        <w:rPr>
          <w:sz w:val="20"/>
          <w:szCs w:val="20"/>
          <w:color w:val="auto"/>
        </w:rPr>
      </w:pPr>
    </w:p>
    <w:p>
      <w:pPr>
        <w:spacing w:after="0" w:line="30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WHEREAS the Company has the need for services in the field of investigations in its field of activity;</w:t>
      </w:r>
    </w:p>
    <w:p>
      <w:pPr>
        <w:spacing w:after="0" w:line="152" w:lineRule="exact"/>
        <w:rPr>
          <w:rFonts w:ascii="Arial" w:cs="Arial" w:eastAsia="Arial" w:hAnsi="Arial"/>
          <w:sz w:val="22"/>
          <w:szCs w:val="22"/>
          <w:color w:val="auto"/>
        </w:rPr>
      </w:pPr>
    </w:p>
    <w:p>
      <w:pPr>
        <w:ind w:left="660" w:hanging="328"/>
        <w:spacing w:after="0" w:line="302" w:lineRule="auto"/>
        <w:tabs>
          <w:tab w:leader="none" w:pos="656" w:val="left"/>
        </w:tabs>
        <w:numPr>
          <w:ilvl w:val="0"/>
          <w:numId w:val="26"/>
        </w:numPr>
        <w:rPr>
          <w:rFonts w:ascii="Arial" w:cs="Arial" w:eastAsia="Arial" w:hAnsi="Arial"/>
          <w:sz w:val="22"/>
          <w:szCs w:val="22"/>
          <w:color w:val="auto"/>
        </w:rPr>
      </w:pPr>
      <w:r>
        <w:rPr>
          <w:rFonts w:ascii="Arial" w:cs="Arial" w:eastAsia="Arial" w:hAnsi="Arial"/>
          <w:sz w:val="22"/>
          <w:szCs w:val="22"/>
          <w:color w:val="auto"/>
        </w:rPr>
        <w:t>WHEREAS the Consultant has significant experience and direct knowledge of the Company's business and wishes to offer its expertise to the Company as a consultant;</w:t>
      </w:r>
    </w:p>
    <w:p>
      <w:pPr>
        <w:spacing w:after="0" w:line="65" w:lineRule="exact"/>
        <w:rPr>
          <w:rFonts w:ascii="Arial" w:cs="Arial" w:eastAsia="Arial" w:hAnsi="Arial"/>
          <w:sz w:val="22"/>
          <w:szCs w:val="22"/>
          <w:color w:val="auto"/>
        </w:rPr>
      </w:pPr>
    </w:p>
    <w:p>
      <w:pPr>
        <w:jc w:val="both"/>
        <w:ind w:left="660" w:hanging="328"/>
        <w:spacing w:after="0" w:line="291" w:lineRule="auto"/>
        <w:tabs>
          <w:tab w:leader="none" w:pos="656" w:val="left"/>
        </w:tabs>
        <w:numPr>
          <w:ilvl w:val="0"/>
          <w:numId w:val="26"/>
        </w:numPr>
        <w:rPr>
          <w:rFonts w:ascii="Arial" w:cs="Arial" w:eastAsia="Arial" w:hAnsi="Arial"/>
          <w:sz w:val="22"/>
          <w:szCs w:val="22"/>
          <w:color w:val="auto"/>
        </w:rPr>
      </w:pPr>
      <w:r>
        <w:rPr>
          <w:rFonts w:ascii="Arial" w:cs="Arial" w:eastAsia="Arial" w:hAnsi="Arial"/>
          <w:sz w:val="22"/>
          <w:szCs w:val="22"/>
          <w:color w:val="auto"/>
        </w:rPr>
        <w:t>WHEREAS the Company is of the opinion that Consultant’s expertise, know-how and experience may be useful in relation to the investigations and therefore the Parties desire that the Consultant advises, and performs services for the Company, upon the terms and conditions set forth herein;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mutually agree as follows:</w:t>
      </w:r>
    </w:p>
    <w:p>
      <w:pPr>
        <w:spacing w:after="0" w:line="14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Engagement of Consultant</w:t>
      </w:r>
    </w:p>
    <w:p>
      <w:pPr>
        <w:spacing w:after="0" w:line="15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With effect from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August 2021, the Company hereby engages the Consultant as consultant of the Company.</w:t>
      </w:r>
    </w:p>
    <w:p>
      <w:pPr>
        <w:spacing w:after="0" w:line="107" w:lineRule="exact"/>
        <w:rPr>
          <w:rFonts w:ascii="Arial" w:cs="Arial" w:eastAsia="Arial" w:hAnsi="Arial"/>
          <w:sz w:val="22"/>
          <w:szCs w:val="22"/>
          <w:color w:val="auto"/>
        </w:rPr>
      </w:pPr>
    </w:p>
    <w:p>
      <w:pPr>
        <w:ind w:left="440" w:hanging="432"/>
        <w:spacing w:after="0"/>
        <w:tabs>
          <w:tab w:leader="none" w:pos="44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Performance of services</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7"/>
          <w:szCs w:val="17"/>
          <w:b w:val="1"/>
          <w:bCs w:val="1"/>
          <w:color w:val="auto"/>
        </w:rPr>
        <w:t>Services</w:t>
      </w:r>
    </w:p>
    <w:p>
      <w:pPr>
        <w:spacing w:after="0" w:line="158" w:lineRule="exact"/>
        <w:rPr>
          <w:sz w:val="20"/>
          <w:szCs w:val="20"/>
          <w:color w:val="auto"/>
        </w:rPr>
      </w:pPr>
    </w:p>
    <w:p>
      <w:pPr>
        <w:jc w:val="both"/>
        <w:ind w:left="420"/>
        <w:spacing w:after="0" w:line="356" w:lineRule="auto"/>
        <w:rPr>
          <w:sz w:val="20"/>
          <w:szCs w:val="20"/>
          <w:color w:val="auto"/>
        </w:rPr>
      </w:pPr>
      <w:r>
        <w:rPr>
          <w:rFonts w:ascii="Arial" w:cs="Arial" w:eastAsia="Arial" w:hAnsi="Arial"/>
          <w:sz w:val="19"/>
          <w:szCs w:val="19"/>
          <w:color w:val="auto"/>
        </w:rPr>
        <w:t>During the term of this Agreement, the Consultant shall provide services to the Company as set out in Annex A hereto, which the Parties may update from time to time (collectively referred to as “</w:t>
      </w:r>
      <w:r>
        <w:rPr>
          <w:rFonts w:ascii="Arial" w:cs="Arial" w:eastAsia="Arial" w:hAnsi="Arial"/>
          <w:sz w:val="19"/>
          <w:szCs w:val="19"/>
          <w:b w:val="1"/>
          <w:bCs w:val="1"/>
          <w:color w:val="auto"/>
        </w:rPr>
        <w:t>Services</w:t>
      </w:r>
      <w:r>
        <w:rPr>
          <w:rFonts w:ascii="Arial" w:cs="Arial" w:eastAsia="Arial" w:hAnsi="Arial"/>
          <w:sz w:val="19"/>
          <w:szCs w:val="19"/>
          <w:color w:val="auto"/>
        </w:rPr>
        <w:t>”). Consultant shall designate Didier Sourisseau to provide the Services and no other person shall perform the Services unless pre-approved by the Company.</w:t>
      </w:r>
    </w:p>
    <w:p>
      <w:pPr>
        <w:spacing w:after="0" w:line="27" w:lineRule="exact"/>
        <w:rPr>
          <w:sz w:val="20"/>
          <w:szCs w:val="20"/>
          <w:color w:val="auto"/>
        </w:rPr>
      </w:pPr>
    </w:p>
    <w:p>
      <w:pPr>
        <w:jc w:val="both"/>
        <w:ind w:left="420"/>
        <w:spacing w:after="0" w:line="382" w:lineRule="auto"/>
        <w:rPr>
          <w:sz w:val="20"/>
          <w:szCs w:val="20"/>
          <w:color w:val="auto"/>
        </w:rPr>
      </w:pPr>
      <w:r>
        <w:rPr>
          <w:rFonts w:ascii="Arial" w:cs="Arial" w:eastAsia="Arial" w:hAnsi="Arial"/>
          <w:sz w:val="19"/>
          <w:szCs w:val="19"/>
          <w:color w:val="auto"/>
        </w:rPr>
        <w:t>The Consultant or any of its employees shall neither represent itself as an agent of the Company for any purpose, nor have any authority to act for or on behalf of the Company, unless expressly agreed otherwise in writing by the Parties.</w:t>
      </w:r>
    </w:p>
    <w:p>
      <w:pPr>
        <w:spacing w:after="0"/>
        <w:tabs>
          <w:tab w:leader="none" w:pos="5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Diligence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Consultant shall use best efforts in the performance of the Services.</w:t>
      </w:r>
    </w:p>
    <w:p>
      <w:pPr>
        <w:spacing w:after="0" w:line="152" w:lineRule="exact"/>
        <w:rPr>
          <w:sz w:val="20"/>
          <w:szCs w:val="20"/>
          <w:color w:val="auto"/>
        </w:rPr>
      </w:pPr>
    </w:p>
    <w:p>
      <w:pPr>
        <w:jc w:val="both"/>
        <w:ind w:left="420" w:right="20"/>
        <w:spacing w:after="0" w:line="302" w:lineRule="auto"/>
        <w:rPr>
          <w:sz w:val="20"/>
          <w:szCs w:val="20"/>
          <w:color w:val="auto"/>
        </w:rPr>
      </w:pPr>
      <w:r>
        <w:rPr>
          <w:rFonts w:ascii="Arial" w:cs="Arial" w:eastAsia="Arial" w:hAnsi="Arial"/>
          <w:sz w:val="22"/>
          <w:szCs w:val="22"/>
          <w:color w:val="auto"/>
        </w:rPr>
        <w:t>In the performance of the Services, the Consultant is committed to act in the best interests of Company and any of its subsidiaries, parents and affiliates (each a Crown Group Company, together the “</w:t>
      </w:r>
      <w:r>
        <w:rPr>
          <w:rFonts w:ascii="Arial" w:cs="Arial" w:eastAsia="Arial" w:hAnsi="Arial"/>
          <w:sz w:val="22"/>
          <w:szCs w:val="22"/>
          <w:b w:val="1"/>
          <w:bCs w:val="1"/>
          <w:color w:val="auto"/>
        </w:rPr>
        <w:t>Crown Group</w:t>
      </w:r>
      <w:r>
        <w:rPr>
          <w:rFonts w:ascii="Arial" w:cs="Arial" w:eastAsia="Arial" w:hAnsi="Arial"/>
          <w:sz w:val="22"/>
          <w:szCs w:val="22"/>
          <w:color w:val="auto"/>
        </w:rPr>
        <w:t>“).</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Consultant shall</w:t>
      </w:r>
    </w:p>
    <w:p>
      <w:pPr>
        <w:spacing w:after="0" w:line="152" w:lineRule="exact"/>
        <w:rPr>
          <w:sz w:val="20"/>
          <w:szCs w:val="20"/>
          <w:color w:val="auto"/>
        </w:rPr>
      </w:pPr>
    </w:p>
    <w:p>
      <w:pPr>
        <w:ind w:left="1140" w:hanging="484"/>
        <w:spacing w:after="0" w:line="302" w:lineRule="auto"/>
        <w:tabs>
          <w:tab w:leader="none" w:pos="1132" w:val="left"/>
        </w:tabs>
        <w:numPr>
          <w:ilvl w:val="0"/>
          <w:numId w:val="28"/>
        </w:numPr>
        <w:rPr>
          <w:rFonts w:ascii="Arial" w:cs="Arial" w:eastAsia="Arial" w:hAnsi="Arial"/>
          <w:sz w:val="22"/>
          <w:szCs w:val="22"/>
          <w:color w:val="auto"/>
        </w:rPr>
      </w:pPr>
      <w:r>
        <w:rPr>
          <w:rFonts w:ascii="Arial" w:cs="Arial" w:eastAsia="Arial" w:hAnsi="Arial"/>
          <w:sz w:val="22"/>
          <w:szCs w:val="22"/>
          <w:color w:val="auto"/>
        </w:rPr>
        <w:t>perform the Services in an ethical manner and comply with all applicable laws, regulations, codes and internal policies of the Company;</w:t>
      </w:r>
    </w:p>
    <w:p>
      <w:pPr>
        <w:sectPr>
          <w:pgSz w:w="11900" w:h="16838" w:orient="portrait"/>
          <w:cols w:equalWidth="0" w:num="1">
            <w:col w:w="11240"/>
          </w:cols>
          <w:pgMar w:left="320" w:top="1435" w:right="339" w:bottom="1440" w:gutter="0" w:footer="0" w:header="0"/>
        </w:sectPr>
      </w:pPr>
    </w:p>
    <w:bookmarkStart w:id="43" w:name="page44"/>
    <w:bookmarkEnd w:id="43"/>
    <w:p>
      <w:pPr>
        <w:spacing w:after="0" w:line="2" w:lineRule="exact"/>
        <w:rPr>
          <w:sz w:val="20"/>
          <w:szCs w:val="20"/>
          <w:color w:val="auto"/>
        </w:rPr>
      </w:pPr>
    </w:p>
    <w:p>
      <w:pPr>
        <w:ind w:left="1132" w:hanging="484"/>
        <w:spacing w:after="0" w:line="302" w:lineRule="auto"/>
        <w:tabs>
          <w:tab w:leader="none" w:pos="1131" w:val="left"/>
        </w:tabs>
        <w:numPr>
          <w:ilvl w:val="0"/>
          <w:numId w:val="29"/>
        </w:numPr>
        <w:rPr>
          <w:rFonts w:ascii="Arial" w:cs="Arial" w:eastAsia="Arial" w:hAnsi="Arial"/>
          <w:sz w:val="22"/>
          <w:szCs w:val="22"/>
          <w:color w:val="auto"/>
        </w:rPr>
      </w:pPr>
      <w:r>
        <w:rPr>
          <w:rFonts w:ascii="Arial" w:cs="Arial" w:eastAsia="Arial" w:hAnsi="Arial"/>
          <w:sz w:val="22"/>
          <w:szCs w:val="22"/>
          <w:color w:val="auto"/>
        </w:rPr>
        <w:t>promptly report to the Company any request or demand for any undue financial or other advantage of any kind received by the Consultant in connection with the performance of this Agreement.</w:t>
      </w:r>
    </w:p>
    <w:p>
      <w:pPr>
        <w:spacing w:after="0" w:line="65" w:lineRule="exact"/>
        <w:rPr>
          <w:sz w:val="20"/>
          <w:szCs w:val="20"/>
          <w:color w:val="auto"/>
        </w:rPr>
      </w:pPr>
    </w:p>
    <w:p>
      <w:pPr>
        <w:jc w:val="both"/>
        <w:ind w:left="412" w:right="20"/>
        <w:spacing w:after="0" w:line="291" w:lineRule="auto"/>
        <w:rPr>
          <w:sz w:val="20"/>
          <w:szCs w:val="20"/>
          <w:color w:val="auto"/>
        </w:rPr>
      </w:pPr>
      <w:r>
        <w:rPr>
          <w:rFonts w:ascii="Arial" w:cs="Arial" w:eastAsia="Arial" w:hAnsi="Arial"/>
          <w:sz w:val="22"/>
          <w:szCs w:val="22"/>
          <w:color w:val="auto"/>
        </w:rPr>
        <w:t>In the performance of its obligations hereunder, the Consultant shall comply with the Company's Code of Business Conduct and Ethics, including related policies on social media, use of information and communication systems and anti-harassment and bullying.</w:t>
      </w:r>
    </w:p>
    <w:p>
      <w:pPr>
        <w:spacing w:after="0" w:line="73" w:lineRule="exact"/>
        <w:rPr>
          <w:sz w:val="20"/>
          <w:szCs w:val="20"/>
          <w:color w:val="auto"/>
        </w:rPr>
      </w:pPr>
    </w:p>
    <w:p>
      <w:pPr>
        <w:ind w:left="212" w:hanging="212"/>
        <w:spacing w:after="0"/>
        <w:tabs>
          <w:tab w:leader="none" w:pos="212"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158" w:lineRule="exact"/>
        <w:rPr>
          <w:sz w:val="20"/>
          <w:szCs w:val="20"/>
          <w:color w:val="auto"/>
        </w:rPr>
      </w:pPr>
    </w:p>
    <w:p>
      <w:pPr>
        <w:jc w:val="both"/>
        <w:ind w:left="412"/>
        <w:spacing w:after="0" w:line="300" w:lineRule="auto"/>
        <w:rPr>
          <w:sz w:val="20"/>
          <w:szCs w:val="20"/>
          <w:color w:val="auto"/>
        </w:rPr>
      </w:pPr>
      <w:r>
        <w:rPr>
          <w:rFonts w:ascii="Arial" w:cs="Arial" w:eastAsia="Arial" w:hAnsi="Arial"/>
          <w:sz w:val="21"/>
          <w:szCs w:val="21"/>
          <w:color w:val="auto"/>
        </w:rPr>
        <w:t>During the term and after its termination, the Consultant shall neither disclose to third parties nor make use of any confidential information, directly or indirectly, which the Consultant receives or learns during the performance of the Services or learned during the course of the previous employment by the Crown Group. Confidential information will comprise anything for which cannot be shown that it was already in the public domain at the relevant point in time, particularly information about any kind of know-how (e.g., inventions, developments, data collections, procedures and concepts, strategy, pricing, production output or capacity, business plans and relationships and customers) which is relevant for the Crown Group, or any of the Company's business partners.</w:t>
      </w:r>
    </w:p>
    <w:p>
      <w:pPr>
        <w:spacing w:after="0" w:line="74" w:lineRule="exact"/>
        <w:rPr>
          <w:sz w:val="20"/>
          <w:szCs w:val="20"/>
          <w:color w:val="auto"/>
        </w:rPr>
      </w:pPr>
    </w:p>
    <w:p>
      <w:pPr>
        <w:jc w:val="both"/>
        <w:ind w:left="412" w:right="20"/>
        <w:spacing w:after="0" w:line="382" w:lineRule="auto"/>
        <w:rPr>
          <w:sz w:val="20"/>
          <w:szCs w:val="20"/>
          <w:color w:val="auto"/>
        </w:rPr>
      </w:pPr>
      <w:r>
        <w:rPr>
          <w:rFonts w:ascii="Arial" w:cs="Arial" w:eastAsia="Arial" w:hAnsi="Arial"/>
          <w:sz w:val="19"/>
          <w:szCs w:val="19"/>
          <w:color w:val="auto"/>
        </w:rPr>
        <w:t>The Parties agree that the contents of this Agreement shall not to be disclosed to any third party during and after the term of this Agreement, except if ordered by a governmental authority, court order, or to fulfill statutory reporting obligations.</w:t>
      </w:r>
    </w:p>
    <w:p>
      <w:pPr>
        <w:ind w:left="432" w:hanging="432"/>
        <w:spacing w:after="0"/>
        <w:tabs>
          <w:tab w:leader="none" w:pos="432"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Intellectual property</w:t>
      </w:r>
    </w:p>
    <w:p>
      <w:pPr>
        <w:spacing w:after="0" w:line="158" w:lineRule="exact"/>
        <w:rPr>
          <w:sz w:val="20"/>
          <w:szCs w:val="20"/>
          <w:color w:val="auto"/>
        </w:rPr>
      </w:pPr>
    </w:p>
    <w:p>
      <w:pPr>
        <w:jc w:val="both"/>
        <w:ind w:left="812" w:hanging="809"/>
        <w:spacing w:after="0" w:line="288" w:lineRule="auto"/>
        <w:rPr>
          <w:sz w:val="20"/>
          <w:szCs w:val="20"/>
          <w:color w:val="auto"/>
        </w:rPr>
      </w:pPr>
      <w:r>
        <w:rPr>
          <w:rFonts w:ascii="Arial" w:cs="Arial" w:eastAsia="Arial" w:hAnsi="Arial"/>
          <w:sz w:val="22"/>
          <w:szCs w:val="22"/>
          <w:color w:val="auto"/>
        </w:rPr>
        <w:t>4.1 The rights to all inventions and designs related to any of the businesses of the Company or its affiliates, made or conceived in part or wholly by the Consultant individually or jointly during the term shall belong to the Company and are hereby assigned by the Consultant to fullest extent legally possible to the Company regardless of whether they are legally protected.</w:t>
      </w:r>
    </w:p>
    <w:p>
      <w:pPr>
        <w:spacing w:after="0" w:line="82" w:lineRule="exact"/>
        <w:rPr>
          <w:sz w:val="20"/>
          <w:szCs w:val="20"/>
          <w:color w:val="auto"/>
        </w:rPr>
      </w:pPr>
    </w:p>
    <w:p>
      <w:pPr>
        <w:jc w:val="both"/>
        <w:ind w:left="632" w:hanging="809"/>
        <w:spacing w:after="0" w:line="284" w:lineRule="auto"/>
        <w:tabs>
          <w:tab w:leader="none" w:pos="61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Other rights to any work products and any know-how which the Consultant or any of its employees create or in which creation the Consultant or any of its employees participate while performing the Services belong exclusively to the Company. To the extent that work products (e.g., software, reports, documentations) are protected by copyrights, the Consultant hereby assigns, and warrants and guarantees that its employees assign, to the Company any and all rights related to such work products, particularly the copyright and any and all rights of use, including the rights of production and duplication, of publishing, to use, to license or to sell, to distribute over data or online media, to modify and develop further as well to develop new products on the basis of the Consultant's work product or on the basis of parts of such work product.</w:t>
      </w:r>
    </w:p>
    <w:p>
      <w:pPr>
        <w:sectPr>
          <w:pgSz w:w="11900" w:h="16838" w:orient="portrait"/>
          <w:cols w:equalWidth="0" w:num="1">
            <w:col w:w="11232"/>
          </w:cols>
          <w:pgMar w:left="328" w:top="1440" w:right="339" w:bottom="1440" w:gutter="0" w:footer="0" w:header="0"/>
        </w:sectPr>
      </w:pPr>
    </w:p>
    <w:bookmarkStart w:id="44" w:name="page45"/>
    <w:bookmarkEnd w:id="44"/>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The Consultant and any of its employees involved in the Services hereby waive the right to be named as author or inventor.</w:t>
      </w:r>
    </w:p>
    <w:p>
      <w:pPr>
        <w:spacing w:after="0" w:line="152" w:lineRule="exact"/>
        <w:rPr>
          <w:sz w:val="20"/>
          <w:szCs w:val="20"/>
          <w:color w:val="auto"/>
        </w:rPr>
      </w:pPr>
    </w:p>
    <w:p>
      <w:pPr>
        <w:jc w:val="both"/>
        <w:ind w:left="600" w:right="20" w:hanging="809"/>
        <w:spacing w:after="0" w:line="385" w:lineRule="auto"/>
        <w:tabs>
          <w:tab w:leader="none" w:pos="5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The Company is not obligated to exercise its rights set forth in the preceding paragraphs. The Company is entitled to designate itself as the exclusive owner of the patent rights, copyrights and other rights related to the work products.</w:t>
      </w:r>
    </w:p>
    <w:p>
      <w:pPr>
        <w:spacing w:after="0" w:line="1" w:lineRule="exact"/>
        <w:rPr>
          <w:sz w:val="20"/>
          <w:szCs w:val="20"/>
          <w:color w:val="auto"/>
        </w:rPr>
      </w:pPr>
    </w:p>
    <w:p>
      <w:pPr>
        <w:jc w:val="both"/>
        <w:ind w:left="540" w:hanging="809"/>
        <w:spacing w:after="0" w:line="291" w:lineRule="auto"/>
        <w:tabs>
          <w:tab w:leader="none" w:pos="520" w:val="left"/>
        </w:tabs>
        <w:rPr>
          <w:sz w:val="20"/>
          <w:szCs w:val="20"/>
          <w:color w:val="auto"/>
        </w:rPr>
      </w:pPr>
      <w:r>
        <w:rPr>
          <w:rFonts w:ascii="Arial" w:cs="Arial" w:eastAsia="Arial" w:hAnsi="Arial"/>
          <w:sz w:val="22"/>
          <w:szCs w:val="22"/>
          <w:color w:val="auto"/>
        </w:rPr>
        <w:t>4.5</w:t>
        <w:tab/>
        <w:t>The Consultant irrevocably appoints the Company to be its attorney in its name and on its behalf to execute documents, use the Consultant’s name and do all things which are necessary or desirable for the Company to obtain for itself or its nominee the full benefit of this clause.</w:t>
      </w:r>
    </w:p>
    <w:p>
      <w:pPr>
        <w:spacing w:after="0" w:line="73"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Compliance</w:t>
      </w:r>
    </w:p>
    <w:p>
      <w:pPr>
        <w:spacing w:after="0" w:line="158" w:lineRule="exact"/>
        <w:rPr>
          <w:sz w:val="20"/>
          <w:szCs w:val="20"/>
          <w:color w:val="auto"/>
        </w:rPr>
      </w:pPr>
    </w:p>
    <w:p>
      <w:pPr>
        <w:ind w:left="420"/>
        <w:spacing w:after="0" w:line="385" w:lineRule="auto"/>
        <w:rPr>
          <w:sz w:val="20"/>
          <w:szCs w:val="20"/>
          <w:color w:val="auto"/>
        </w:rPr>
      </w:pPr>
      <w:r>
        <w:rPr>
          <w:rFonts w:ascii="Arial" w:cs="Arial" w:eastAsia="Arial" w:hAnsi="Arial"/>
          <w:sz w:val="19"/>
          <w:szCs w:val="19"/>
          <w:color w:val="auto"/>
        </w:rPr>
        <w:t>The Consultant herewith declares that its activities under this Agreement and the Agreement itself are not in violation with any rules, laws or the terms of any other agreement previously entered into between the Consultant and any third party.</w:t>
      </w:r>
    </w:p>
    <w:p>
      <w:pPr>
        <w:spacing w:after="0" w:line="1" w:lineRule="exact"/>
        <w:rPr>
          <w:sz w:val="20"/>
          <w:szCs w:val="20"/>
          <w:color w:val="auto"/>
        </w:rPr>
      </w:pPr>
    </w:p>
    <w:p>
      <w:pPr>
        <w:ind w:left="420"/>
        <w:spacing w:after="0" w:line="327" w:lineRule="auto"/>
        <w:rPr>
          <w:sz w:val="20"/>
          <w:szCs w:val="20"/>
          <w:color w:val="auto"/>
        </w:rPr>
      </w:pPr>
      <w:r>
        <w:rPr>
          <w:rFonts w:ascii="Arial" w:cs="Arial" w:eastAsia="Arial" w:hAnsi="Arial"/>
          <w:sz w:val="21"/>
          <w:szCs w:val="21"/>
          <w:color w:val="auto"/>
        </w:rPr>
        <w:t>The Consultant warrants that any of its employee assigned to perform the Services will have a valid work permit from the Swiss competent authorities, and are insured in accordance with the requirements of statutory laws.</w:t>
      </w:r>
    </w:p>
    <w:p>
      <w:pPr>
        <w:spacing w:after="0" w:line="38"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Compensation</w:t>
      </w:r>
    </w:p>
    <w:p>
      <w:pPr>
        <w:spacing w:after="0" w:line="158" w:lineRule="exact"/>
        <w:rPr>
          <w:sz w:val="20"/>
          <w:szCs w:val="20"/>
          <w:color w:val="auto"/>
        </w:rPr>
      </w:pPr>
    </w:p>
    <w:p>
      <w:pPr>
        <w:jc w:val="both"/>
        <w:ind w:left="420"/>
        <w:spacing w:after="0" w:line="302" w:lineRule="auto"/>
        <w:rPr>
          <w:sz w:val="20"/>
          <w:szCs w:val="20"/>
          <w:color w:val="auto"/>
        </w:rPr>
      </w:pPr>
      <w:r>
        <w:rPr>
          <w:rFonts w:ascii="Arial" w:cs="Arial" w:eastAsia="Arial" w:hAnsi="Arial"/>
          <w:sz w:val="22"/>
          <w:szCs w:val="22"/>
          <w:color w:val="auto"/>
        </w:rPr>
        <w:t>Company will pay Consultant an annual fixed fee of CHF 125'000 exclusive VAT for the Services, payable in equal quarterly instalments in arrears upon presentation of an invoice.</w:t>
      </w:r>
    </w:p>
    <w:p>
      <w:pPr>
        <w:spacing w:after="0" w:line="65" w:lineRule="exact"/>
        <w:rPr>
          <w:sz w:val="20"/>
          <w:szCs w:val="20"/>
          <w:color w:val="auto"/>
        </w:rPr>
      </w:pPr>
    </w:p>
    <w:p>
      <w:pPr>
        <w:jc w:val="both"/>
        <w:ind w:left="420"/>
        <w:spacing w:after="0" w:line="302" w:lineRule="auto"/>
        <w:rPr>
          <w:sz w:val="20"/>
          <w:szCs w:val="20"/>
          <w:color w:val="auto"/>
        </w:rPr>
      </w:pPr>
      <w:r>
        <w:rPr>
          <w:rFonts w:ascii="Arial" w:cs="Arial" w:eastAsia="Arial" w:hAnsi="Arial"/>
          <w:sz w:val="22"/>
          <w:szCs w:val="22"/>
          <w:color w:val="auto"/>
        </w:rPr>
        <w:t>At the end of every quarter of a year, the Consultant shall submit an invoice to the Company (attention Sidonie Lécluse, SVP Human Resources) which shall be payable within 30 (thirty) days from receipt of the invoice.</w:t>
      </w:r>
    </w:p>
    <w:p>
      <w:pPr>
        <w:spacing w:after="0" w:line="65" w:lineRule="exact"/>
        <w:rPr>
          <w:sz w:val="20"/>
          <w:szCs w:val="20"/>
          <w:color w:val="auto"/>
        </w:rPr>
      </w:pPr>
    </w:p>
    <w:p>
      <w:pPr>
        <w:jc w:val="both"/>
        <w:ind w:left="420" w:right="20"/>
        <w:spacing w:after="0" w:line="356" w:lineRule="auto"/>
        <w:rPr>
          <w:sz w:val="20"/>
          <w:szCs w:val="20"/>
          <w:color w:val="auto"/>
        </w:rPr>
      </w:pPr>
      <w:r>
        <w:rPr>
          <w:rFonts w:ascii="Arial" w:cs="Arial" w:eastAsia="Arial" w:hAnsi="Arial"/>
          <w:sz w:val="19"/>
          <w:szCs w:val="19"/>
          <w:color w:val="auto"/>
        </w:rPr>
        <w:t>The Company will cover the Consultant’s prior approved expenses necessary for the performance of the Services, such as for travel (train: first class, plane: economy class for European flights and business class for intercontinental flights) or lodging. The expenses will be reimbursed within 30 (thirty) days against presentation of respective receipts.</w:t>
      </w:r>
    </w:p>
    <w:p>
      <w:pPr>
        <w:spacing w:after="0" w:line="21"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Limited Liability</w:t>
      </w:r>
    </w:p>
    <w:p>
      <w:pPr>
        <w:spacing w:after="0" w:line="158" w:lineRule="exact"/>
        <w:rPr>
          <w:sz w:val="20"/>
          <w:szCs w:val="20"/>
          <w:color w:val="auto"/>
        </w:rPr>
      </w:pPr>
    </w:p>
    <w:p>
      <w:pPr>
        <w:ind w:left="420" w:right="20"/>
        <w:spacing w:after="0" w:line="302" w:lineRule="auto"/>
        <w:rPr>
          <w:sz w:val="20"/>
          <w:szCs w:val="20"/>
          <w:color w:val="auto"/>
        </w:rPr>
      </w:pPr>
      <w:r>
        <w:rPr>
          <w:rFonts w:ascii="Arial" w:cs="Arial" w:eastAsia="Arial" w:hAnsi="Arial"/>
          <w:sz w:val="22"/>
          <w:szCs w:val="22"/>
          <w:color w:val="auto"/>
        </w:rPr>
        <w:t>The Consultant's liability for the performance of Services shall be limited to cases of gross negligence and wilful misconduct</w:t>
      </w:r>
      <w:r>
        <w:rPr>
          <w:rFonts w:ascii="Arial" w:cs="Arial" w:eastAsia="Arial" w:hAnsi="Arial"/>
          <w:sz w:val="22"/>
          <w:szCs w:val="22"/>
          <w:u w:val="single" w:color="auto"/>
          <w:color w:val="auto"/>
        </w:rPr>
        <w:t>[MMQ1]</w:t>
      </w:r>
      <w:r>
        <w:rPr>
          <w:rFonts w:ascii="Arial" w:cs="Arial" w:eastAsia="Arial" w:hAnsi="Arial"/>
          <w:sz w:val="22"/>
          <w:szCs w:val="22"/>
          <w:color w:val="auto"/>
        </w:rPr>
        <w:t xml:space="preserve"> .</w:t>
      </w:r>
    </w:p>
    <w:p>
      <w:pPr>
        <w:spacing w:after="0" w:line="59"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Term and Termination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Term</w:t>
      </w:r>
    </w:p>
    <w:p>
      <w:pPr>
        <w:spacing w:after="0" w:line="152" w:lineRule="exact"/>
        <w:rPr>
          <w:sz w:val="20"/>
          <w:szCs w:val="20"/>
          <w:color w:val="auto"/>
        </w:rPr>
      </w:pPr>
    </w:p>
    <w:p>
      <w:pPr>
        <w:ind w:left="420"/>
        <w:spacing w:after="0" w:line="307" w:lineRule="auto"/>
        <w:rPr>
          <w:sz w:val="20"/>
          <w:szCs w:val="20"/>
          <w:color w:val="auto"/>
        </w:rPr>
      </w:pPr>
      <w:r>
        <w:rPr>
          <w:rFonts w:ascii="Arial" w:cs="Arial" w:eastAsia="Arial" w:hAnsi="Arial"/>
          <w:sz w:val="22"/>
          <w:szCs w:val="22"/>
          <w:color w:val="auto"/>
        </w:rPr>
        <w:t>The term of this Agreement shall become effective on the date of signature by both Parties ("</w:t>
      </w:r>
      <w:r>
        <w:rPr>
          <w:rFonts w:ascii="Arial" w:cs="Arial" w:eastAsia="Arial" w:hAnsi="Arial"/>
          <w:sz w:val="22"/>
          <w:szCs w:val="22"/>
          <w:b w:val="1"/>
          <w:bCs w:val="1"/>
          <w:color w:val="auto"/>
        </w:rPr>
        <w:t>Effective Date</w:t>
      </w:r>
      <w:r>
        <w:rPr>
          <w:rFonts w:ascii="Arial" w:cs="Arial" w:eastAsia="Arial" w:hAnsi="Arial"/>
          <w:sz w:val="22"/>
          <w:szCs w:val="22"/>
          <w:color w:val="auto"/>
        </w:rPr>
        <w:t>") and shall automatically end on the fourth anniversary of the Effective</w:t>
      </w:r>
    </w:p>
    <w:p>
      <w:pPr>
        <w:sectPr>
          <w:pgSz w:w="11900" w:h="16838" w:orient="portrait"/>
          <w:cols w:equalWidth="0" w:num="1">
            <w:col w:w="11240"/>
          </w:cols>
          <w:pgMar w:left="320" w:top="1440" w:right="339" w:bottom="1440" w:gutter="0" w:footer="0" w:header="0"/>
        </w:sectPr>
      </w:pPr>
    </w:p>
    <w:bookmarkStart w:id="45" w:name="page46"/>
    <w:bookmarkEnd w:id="45"/>
    <w:p>
      <w:pPr>
        <w:jc w:val="both"/>
        <w:ind w:left="420"/>
        <w:spacing w:after="0" w:line="294" w:lineRule="auto"/>
        <w:rPr>
          <w:sz w:val="20"/>
          <w:szCs w:val="20"/>
          <w:color w:val="auto"/>
        </w:rPr>
      </w:pPr>
      <w:r>
        <w:rPr>
          <w:rFonts w:ascii="Arial" w:cs="Arial" w:eastAsia="Arial" w:hAnsi="Arial"/>
          <w:sz w:val="22"/>
          <w:szCs w:val="22"/>
          <w:color w:val="auto"/>
        </w:rPr>
        <w:t>Date ("</w:t>
      </w:r>
      <w:r>
        <w:rPr>
          <w:rFonts w:ascii="Arial" w:cs="Arial" w:eastAsia="Arial" w:hAnsi="Arial"/>
          <w:sz w:val="22"/>
          <w:szCs w:val="22"/>
          <w:b w:val="1"/>
          <w:bCs w:val="1"/>
          <w:color w:val="auto"/>
        </w:rPr>
        <w:t>Expiration Date</w:t>
      </w:r>
      <w:r>
        <w:rPr>
          <w:rFonts w:ascii="Arial" w:cs="Arial" w:eastAsia="Arial" w:hAnsi="Arial"/>
          <w:sz w:val="22"/>
          <w:szCs w:val="22"/>
          <w:color w:val="auto"/>
        </w:rPr>
        <w:t>"), unless prolonged by mutual written consent of the Parties. Notwithstanding the foregoing, this Agreement shall immediately terminate with no further payments required hereunder (except for payment in full for the current calendar quarter) on the death or disability of Didier Sourisseau.</w:t>
      </w:r>
    </w:p>
    <w:p>
      <w:pPr>
        <w:spacing w:after="0" w:line="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Termination</w:t>
      </w:r>
    </w:p>
    <w:p>
      <w:pPr>
        <w:spacing w:after="0" w:line="158" w:lineRule="exact"/>
        <w:rPr>
          <w:sz w:val="20"/>
          <w:szCs w:val="20"/>
          <w:color w:val="auto"/>
        </w:rPr>
      </w:pPr>
    </w:p>
    <w:p>
      <w:pPr>
        <w:jc w:val="both"/>
        <w:ind w:left="420"/>
        <w:spacing w:after="0" w:line="291" w:lineRule="auto"/>
        <w:rPr>
          <w:sz w:val="20"/>
          <w:szCs w:val="20"/>
          <w:color w:val="auto"/>
        </w:rPr>
      </w:pPr>
      <w:r>
        <w:rPr>
          <w:rFonts w:ascii="Arial" w:cs="Arial" w:eastAsia="Arial" w:hAnsi="Arial"/>
          <w:sz w:val="22"/>
          <w:szCs w:val="22"/>
          <w:color w:val="auto"/>
        </w:rPr>
        <w:t xml:space="preserve">Either Party may terminate this Agreement at any time by giving written notice </w:t>
      </w:r>
      <w:r>
        <w:rPr>
          <w:rFonts w:ascii="Arial" w:cs="Arial" w:eastAsia="Arial" w:hAnsi="Arial"/>
          <w:sz w:val="22"/>
          <w:szCs w:val="22"/>
          <w:u w:val="single" w:color="auto"/>
          <w:color w:val="auto"/>
        </w:rPr>
        <w:t>[MMQ2]</w:t>
      </w:r>
      <w:r>
        <w:rPr>
          <w:rFonts w:ascii="Arial" w:cs="Arial" w:eastAsia="Arial" w:hAnsi="Arial"/>
          <w:sz w:val="22"/>
          <w:szCs w:val="22"/>
          <w:color w:val="auto"/>
        </w:rPr>
        <w:t xml:space="preserve"> of termination to the other Party observing a notice period of 3 months. In the event of termination by notice before the Expiration Date, the following shall apply:</w:t>
      </w:r>
    </w:p>
    <w:p>
      <w:pPr>
        <w:spacing w:after="0" w:line="79" w:lineRule="exact"/>
        <w:rPr>
          <w:sz w:val="20"/>
          <w:szCs w:val="20"/>
          <w:color w:val="auto"/>
        </w:rPr>
      </w:pPr>
    </w:p>
    <w:p>
      <w:pPr>
        <w:ind w:left="660" w:hanging="324"/>
        <w:spacing w:after="0" w:line="291" w:lineRule="auto"/>
        <w:rPr>
          <w:sz w:val="20"/>
          <w:szCs w:val="20"/>
          <w:color w:val="auto"/>
        </w:rPr>
      </w:pPr>
      <w:r>
        <w:rPr>
          <w:rFonts w:ascii="Arial" w:cs="Arial" w:eastAsia="Arial" w:hAnsi="Arial"/>
          <w:sz w:val="22"/>
          <w:szCs w:val="22"/>
          <w:color w:val="auto"/>
        </w:rPr>
        <w:t>– If (a) the Consultant gives notice of termination without good cause or (b) the Company gives notice of termination with good cause attributable to the Consultant, the pro-rated annual fee for the then-current calendar year shall be payable until the date when this Agreement ends;</w:t>
      </w:r>
    </w:p>
    <w:p>
      <w:pPr>
        <w:spacing w:after="0" w:line="78" w:lineRule="exact"/>
        <w:rPr>
          <w:sz w:val="20"/>
          <w:szCs w:val="20"/>
          <w:color w:val="auto"/>
        </w:rPr>
      </w:pPr>
    </w:p>
    <w:p>
      <w:pPr>
        <w:ind w:left="660" w:hanging="324"/>
        <w:spacing w:after="0" w:line="311" w:lineRule="auto"/>
        <w:rPr>
          <w:sz w:val="20"/>
          <w:szCs w:val="20"/>
          <w:color w:val="auto"/>
        </w:rPr>
      </w:pPr>
      <w:r>
        <w:rPr>
          <w:rFonts w:ascii="Arial" w:cs="Arial" w:eastAsia="Arial" w:hAnsi="Arial"/>
          <w:sz w:val="21"/>
          <w:szCs w:val="21"/>
          <w:color w:val="auto"/>
        </w:rPr>
        <w:t>– If (a) the Consultant gives notice of termination with good cause attributable to the Company or (b) the Company gives notice of termination without good cause, the annual fee which would have been payable until the Expiration Date shall be paid to the Consultant in a lump sum on the date when this Agreement ends.</w:t>
      </w:r>
    </w:p>
    <w:p>
      <w:pPr>
        <w:spacing w:after="0" w:line="60" w:lineRule="exact"/>
        <w:rPr>
          <w:sz w:val="20"/>
          <w:szCs w:val="20"/>
          <w:color w:val="auto"/>
        </w:rPr>
      </w:pPr>
    </w:p>
    <w:p>
      <w:pPr>
        <w:jc w:val="both"/>
        <w:ind w:left="420"/>
        <w:spacing w:after="0" w:line="302" w:lineRule="auto"/>
        <w:rPr>
          <w:sz w:val="20"/>
          <w:szCs w:val="20"/>
          <w:color w:val="auto"/>
        </w:rPr>
      </w:pPr>
      <w:r>
        <w:rPr>
          <w:rFonts w:ascii="Arial" w:cs="Arial" w:eastAsia="Arial" w:hAnsi="Arial"/>
          <w:sz w:val="22"/>
          <w:szCs w:val="22"/>
          <w:color w:val="auto"/>
        </w:rPr>
        <w:t>Good cause means any material breach of this Agreement by the other Party, which is not cured within a period of thirty days.</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Consequence of termination</w:t>
      </w:r>
    </w:p>
    <w:p>
      <w:pPr>
        <w:spacing w:after="0" w:line="158" w:lineRule="exact"/>
        <w:rPr>
          <w:sz w:val="20"/>
          <w:szCs w:val="20"/>
          <w:color w:val="auto"/>
        </w:rPr>
      </w:pPr>
    </w:p>
    <w:p>
      <w:pPr>
        <w:jc w:val="both"/>
        <w:ind w:left="420"/>
        <w:spacing w:after="0" w:line="291" w:lineRule="auto"/>
        <w:rPr>
          <w:sz w:val="20"/>
          <w:szCs w:val="20"/>
          <w:color w:val="auto"/>
        </w:rPr>
      </w:pPr>
      <w:r>
        <w:rPr>
          <w:rFonts w:ascii="Arial" w:cs="Arial" w:eastAsia="Arial" w:hAnsi="Arial"/>
          <w:sz w:val="22"/>
          <w:szCs w:val="22"/>
          <w:color w:val="auto"/>
        </w:rPr>
        <w:t>Upon termination of this Agreement, Consultant shall immediately return to the Company all correspondence, documents, specifications, papers, media and other property as well as copies thereof which were provided to or obtained by Consultant in connection with Consultants' performance of this Agreement.</w:t>
      </w:r>
    </w:p>
    <w:p>
      <w:pPr>
        <w:spacing w:after="0" w:line="73"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Final provisions</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Independent Parties</w:t>
      </w:r>
    </w:p>
    <w:p>
      <w:pPr>
        <w:spacing w:after="0" w:line="158" w:lineRule="exact"/>
        <w:rPr>
          <w:sz w:val="20"/>
          <w:szCs w:val="20"/>
          <w:color w:val="auto"/>
        </w:rPr>
      </w:pPr>
    </w:p>
    <w:p>
      <w:pPr>
        <w:jc w:val="both"/>
        <w:ind w:left="420"/>
        <w:spacing w:after="0" w:line="382" w:lineRule="auto"/>
        <w:rPr>
          <w:sz w:val="20"/>
          <w:szCs w:val="20"/>
          <w:color w:val="auto"/>
        </w:rPr>
      </w:pPr>
      <w:r>
        <w:rPr>
          <w:rFonts w:ascii="Arial" w:cs="Arial" w:eastAsia="Arial" w:hAnsi="Arial"/>
          <w:sz w:val="19"/>
          <w:szCs w:val="19"/>
          <w:color w:val="auto"/>
        </w:rPr>
        <w:t>The Parties understand and acknowledge that they are independent parties and nothing in this Agreement is intended or shall be deemed to create a partnership, agency, employer/employee, joint venture or staff leasing relationship between the Parties.</w:t>
      </w:r>
    </w:p>
    <w:p>
      <w:pPr>
        <w:spacing w:after="0"/>
        <w:tabs>
          <w:tab w:leader="none" w:pos="5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Assignment and subcontractors</w:t>
      </w:r>
    </w:p>
    <w:p>
      <w:pPr>
        <w:spacing w:after="0" w:line="158" w:lineRule="exact"/>
        <w:rPr>
          <w:sz w:val="20"/>
          <w:szCs w:val="20"/>
          <w:color w:val="auto"/>
        </w:rPr>
      </w:pPr>
    </w:p>
    <w:p>
      <w:pPr>
        <w:ind w:firstLine="510"/>
        <w:spacing w:after="0" w:line="302" w:lineRule="auto"/>
        <w:rPr>
          <w:sz w:val="20"/>
          <w:szCs w:val="20"/>
          <w:color w:val="auto"/>
        </w:rPr>
      </w:pPr>
      <w:r>
        <w:rPr>
          <w:rFonts w:ascii="Arial" w:cs="Arial" w:eastAsia="Arial" w:hAnsi="Arial"/>
          <w:sz w:val="22"/>
          <w:szCs w:val="22"/>
          <w:color w:val="auto"/>
        </w:rPr>
        <w:t>The Consultant may not assign any right or delegate or subcontract any obligation under this Agreement without prior written consent of the Company.</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Severability</w:t>
      </w:r>
    </w:p>
    <w:p>
      <w:pPr>
        <w:sectPr>
          <w:pgSz w:w="11900" w:h="16838" w:orient="portrait"/>
          <w:cols w:equalWidth="0" w:num="1">
            <w:col w:w="11240"/>
          </w:cols>
          <w:pgMar w:left="320" w:top="1435" w:right="339" w:bottom="1440" w:gutter="0" w:footer="0" w:header="0"/>
        </w:sectPr>
      </w:pPr>
    </w:p>
    <w:bookmarkStart w:id="46" w:name="page47"/>
    <w:bookmarkEnd w:id="46"/>
    <w:p>
      <w:pPr>
        <w:spacing w:after="0" w:line="2" w:lineRule="exact"/>
        <w:rPr>
          <w:sz w:val="20"/>
          <w:szCs w:val="20"/>
          <w:color w:val="auto"/>
        </w:rPr>
      </w:pPr>
    </w:p>
    <w:p>
      <w:pPr>
        <w:jc w:val="both"/>
        <w:ind w:left="420"/>
        <w:spacing w:after="0" w:line="346" w:lineRule="auto"/>
        <w:rPr>
          <w:sz w:val="20"/>
          <w:szCs w:val="20"/>
          <w:color w:val="auto"/>
        </w:rPr>
      </w:pPr>
      <w:r>
        <w:rPr>
          <w:rFonts w:ascii="Arial" w:cs="Arial" w:eastAsia="Arial" w:hAnsi="Arial"/>
          <w:sz w:val="19"/>
          <w:szCs w:val="19"/>
          <w:color w:val="auto"/>
        </w:rPr>
        <w:t>If any court of competent jurisdiction finds any provision of this Agreement void, illegal or unenforceable the remainder of this Agreement shall remain valid and enforceable to the extent permitted by applicable law. In such a case, the parties shall use their best efforts to replace the illegal, void or unenforceable provision with a provision that, to the extent permitted by applicable law, achieves the purposes intended under the illegal, void or unenforceable provision.</w:t>
      </w:r>
    </w:p>
    <w:p>
      <w:pPr>
        <w:spacing w:after="0" w:line="3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Waiver</w:t>
      </w:r>
    </w:p>
    <w:p>
      <w:pPr>
        <w:spacing w:after="0" w:line="158" w:lineRule="exact"/>
        <w:rPr>
          <w:sz w:val="20"/>
          <w:szCs w:val="20"/>
          <w:color w:val="auto"/>
        </w:rPr>
      </w:pPr>
    </w:p>
    <w:p>
      <w:pPr>
        <w:jc w:val="both"/>
        <w:ind w:left="420"/>
        <w:spacing w:after="0" w:line="288" w:lineRule="auto"/>
        <w:rPr>
          <w:sz w:val="20"/>
          <w:szCs w:val="20"/>
          <w:color w:val="auto"/>
        </w:rPr>
      </w:pPr>
      <w:r>
        <w:rPr>
          <w:rFonts w:ascii="Arial" w:cs="Arial" w:eastAsia="Arial" w:hAnsi="Arial"/>
          <w:sz w:val="22"/>
          <w:szCs w:val="22"/>
          <w:color w:val="auto"/>
        </w:rPr>
        <w:t>The waiver by either Party of a breach by the other Party of any of the provisions of this Agreement will not be construed as a waiver of any succeeding breach of the same or other provisions; nor will any delay or omission on the part of either Party to exercise or avail itself of any right, power, or privilege that it has or may have hereunder operate as a waiver of any breach or default by the other Party.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8"/>
          <w:szCs w:val="18"/>
          <w:b w:val="1"/>
          <w:bCs w:val="1"/>
          <w:color w:val="auto"/>
        </w:rPr>
        <w:t>Notices</w:t>
      </w:r>
    </w:p>
    <w:p>
      <w:pPr>
        <w:spacing w:after="0" w:line="158" w:lineRule="exact"/>
        <w:rPr>
          <w:sz w:val="20"/>
          <w:szCs w:val="20"/>
          <w:color w:val="auto"/>
        </w:rPr>
      </w:pPr>
    </w:p>
    <w:p>
      <w:pPr>
        <w:jc w:val="both"/>
        <w:ind w:left="420"/>
        <w:spacing w:after="0" w:line="356" w:lineRule="auto"/>
        <w:rPr>
          <w:sz w:val="20"/>
          <w:szCs w:val="20"/>
          <w:color w:val="auto"/>
        </w:rPr>
      </w:pPr>
      <w:r>
        <w:rPr>
          <w:rFonts w:ascii="Arial" w:cs="Arial" w:eastAsia="Arial" w:hAnsi="Arial"/>
          <w:sz w:val="19"/>
          <w:szCs w:val="19"/>
          <w:color w:val="auto"/>
        </w:rPr>
        <w:t>Unless otherwise specifically provided, all notices required or permitted by this Agreement will be in writing and in English and may be delivered personally, or may be sent by email with certified signature, or registered mail or courier service, return receipt requested, addressed to the Party to be served at its business address last known to the Party serving the notice.</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b w:val="1"/>
          <w:bCs w:val="1"/>
          <w:color w:val="auto"/>
        </w:rPr>
        <w:t>Entire Agreement and modifications</w:t>
      </w:r>
    </w:p>
    <w:p>
      <w:pPr>
        <w:spacing w:after="0" w:line="158" w:lineRule="exact"/>
        <w:rPr>
          <w:sz w:val="20"/>
          <w:szCs w:val="20"/>
          <w:color w:val="auto"/>
        </w:rPr>
      </w:pPr>
    </w:p>
    <w:p>
      <w:pPr>
        <w:jc w:val="both"/>
        <w:ind w:left="420"/>
        <w:spacing w:after="0" w:line="385" w:lineRule="auto"/>
        <w:rPr>
          <w:sz w:val="20"/>
          <w:szCs w:val="20"/>
          <w:color w:val="auto"/>
        </w:rPr>
      </w:pPr>
      <w:r>
        <w:rPr>
          <w:rFonts w:ascii="Arial" w:cs="Arial" w:eastAsia="Arial" w:hAnsi="Arial"/>
          <w:sz w:val="19"/>
          <w:szCs w:val="19"/>
          <w:color w:val="auto"/>
        </w:rPr>
        <w:t>This Agreement constitutes the entire and only agreement between the Parties relating to the subject matter hereof and supersedes in their entirety all prior negotiations, representations, agreements and understandings between the Parties.</w:t>
      </w:r>
    </w:p>
    <w:p>
      <w:pPr>
        <w:spacing w:after="0" w:line="1" w:lineRule="exact"/>
        <w:rPr>
          <w:sz w:val="20"/>
          <w:szCs w:val="20"/>
          <w:color w:val="auto"/>
        </w:rPr>
      </w:pPr>
    </w:p>
    <w:p>
      <w:pPr>
        <w:jc w:val="both"/>
        <w:ind w:left="420"/>
        <w:spacing w:after="0" w:line="302" w:lineRule="auto"/>
        <w:rPr>
          <w:sz w:val="20"/>
          <w:szCs w:val="20"/>
          <w:color w:val="auto"/>
        </w:rPr>
      </w:pPr>
      <w:r>
        <w:rPr>
          <w:rFonts w:ascii="Arial" w:cs="Arial" w:eastAsia="Arial" w:hAnsi="Arial"/>
          <w:sz w:val="22"/>
          <w:szCs w:val="22"/>
          <w:color w:val="auto"/>
        </w:rPr>
        <w:t>The Parties agree that no oral agreement or understanding, and no alteration or variation of the Agreement, shall bind either party unless made and executed in writing by the Parties.</w:t>
      </w:r>
    </w:p>
    <w:p>
      <w:pPr>
        <w:spacing w:after="0" w:line="5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Applicable law and jurisdiction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color w:val="auto"/>
        </w:rPr>
        <w:t>Governing Law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This Agreement shall exclusively be governed by and construed in accordance with the laws of Switzerland.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Jurisdiction</w:t>
      </w:r>
    </w:p>
    <w:p>
      <w:pPr>
        <w:spacing w:after="0" w:line="158" w:lineRule="exact"/>
        <w:rPr>
          <w:sz w:val="20"/>
          <w:szCs w:val="20"/>
          <w:color w:val="auto"/>
        </w:rPr>
      </w:pPr>
    </w:p>
    <w:p>
      <w:pPr>
        <w:jc w:val="both"/>
        <w:ind w:left="420"/>
        <w:spacing w:after="0" w:line="288" w:lineRule="auto"/>
        <w:rPr>
          <w:sz w:val="20"/>
          <w:szCs w:val="20"/>
          <w:color w:val="auto"/>
        </w:rPr>
      </w:pPr>
      <w:r>
        <w:rPr>
          <w:rFonts w:ascii="Arial" w:cs="Arial" w:eastAsia="Arial" w:hAnsi="Arial"/>
          <w:sz w:val="22"/>
          <w:szCs w:val="22"/>
          <w:color w:val="auto"/>
        </w:rPr>
        <w:t>Any dispute, controversy or claim arising out of, or in relation to, this Agreement, including the validity, invalidity, breach, or termination thereof, shall be resolved by arbitration in accordance with the Swiss Rules of International Arbitration of the Swiss Chambers' Arbitration Institution in force on the date when the Notice of Arbitration is submitted in accordance with these Rules.</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The number of arbitrators shall be one and the seat of the arbitration shall be at the seat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The arbitral proceedings shall be conducted in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109855</wp:posOffset>
            </wp:positionV>
            <wp:extent cx="70808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SIGNATURE NEXT PAGE</w:t>
      </w:r>
    </w:p>
    <w:p>
      <w:pPr>
        <w:sectPr>
          <w:pgSz w:w="11900" w:h="16838" w:orient="portrait"/>
          <w:cols w:equalWidth="0" w:num="1">
            <w:col w:w="9719"/>
          </w:cols>
          <w:pgMar w:left="740" w:top="1440" w:right="1440"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t>Crown Packaging European Division GmbH</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Zug, May 27th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Sidonie Lécluse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Sidonie Lécluse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SVP Human Resources EMEA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Didier Sourisseau</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Didier Sourisseau Consulting GmbH</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Location and date : Zug, 06/07/21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Didier Sourisseau</w:t>
      </w:r>
    </w:p>
    <w:p>
      <w:pPr>
        <w:sectPr>
          <w:pgSz w:w="11900" w:h="16838" w:orient="portrait"/>
          <w:cols w:equalWidth="0" w:num="1">
            <w:col w:w="10139"/>
          </w:cols>
          <w:pgMar w:left="320" w:top="1422" w:right="1440"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June 30, 2021,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following subsidiaries of the Company were, as of June 30, 2021,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50" w:name="page51"/>
    <w:bookmarkEnd w:id="50"/>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52"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2021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360" w:type="dxa"/>
            <w:vAlign w:val="bottom"/>
          </w:tcPr>
          <w:p>
            <w:pPr>
              <w:ind w:left="120"/>
              <w:spacing w:after="0"/>
              <w:rPr>
                <w:sz w:val="20"/>
                <w:szCs w:val="20"/>
                <w:color w:val="auto"/>
              </w:rPr>
            </w:pPr>
            <w:r>
              <w:rPr>
                <w:rFonts w:ascii="Arial" w:cs="Arial" w:eastAsia="Arial" w:hAnsi="Arial"/>
                <w:sz w:val="22"/>
                <w:szCs w:val="22"/>
                <w:color w:val="auto"/>
              </w:rPr>
              <w:t>July 23, 2021</w:t>
            </w:r>
          </w:p>
        </w:tc>
        <w:tc>
          <w:tcPr>
            <w:tcW w:w="4480" w:type="dxa"/>
            <w:vAlign w:val="bottom"/>
            <w:gridSpan w:val="3"/>
          </w:tcPr>
          <w:p>
            <w:pPr>
              <w:spacing w:after="0"/>
              <w:rPr>
                <w:sz w:val="20"/>
                <w:szCs w:val="20"/>
                <w:color w:val="auto"/>
              </w:rPr>
            </w:pPr>
            <w:r>
              <w:rPr>
                <w:rFonts w:ascii="Arial" w:cs="Arial" w:eastAsia="Arial" w:hAnsi="Arial"/>
                <w:sz w:val="22"/>
                <w:szCs w:val="22"/>
                <w:color w:val="auto"/>
              </w:rPr>
              <w:t>/s/ Timothy J. Donahue</w:t>
            </w:r>
          </w:p>
        </w:tc>
      </w:tr>
      <w:tr>
        <w:trPr>
          <w:trHeight w:val="20"/>
        </w:trPr>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4"/>
        </w:trPr>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80" w:type="dxa"/>
            <w:vAlign w:val="bottom"/>
            <w:gridSpan w:val="3"/>
          </w:tcPr>
          <w:p>
            <w:pPr>
              <w:ind w:left="90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480" w:type="dxa"/>
            <w:vAlign w:val="bottom"/>
            <w:gridSpan w:val="3"/>
          </w:tcPr>
          <w:p>
            <w:pPr>
              <w:ind w:left="90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360" w:type="dxa"/>
            <w:vAlign w:val="bottom"/>
          </w:tcPr>
          <w:p>
            <w:pPr>
              <w:ind w:left="120"/>
              <w:spacing w:after="0"/>
              <w:rPr>
                <w:sz w:val="20"/>
                <w:szCs w:val="20"/>
                <w:color w:val="auto"/>
              </w:rPr>
            </w:pPr>
            <w:r>
              <w:rPr>
                <w:rFonts w:ascii="Arial" w:cs="Arial" w:eastAsia="Arial" w:hAnsi="Arial"/>
                <w:sz w:val="22"/>
                <w:szCs w:val="22"/>
                <w:color w:val="auto"/>
              </w:rPr>
              <w:t>July 23, 2021</w:t>
            </w: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8"/>
              </w:rPr>
              <w:t>/s/ Thomas A. Kelly</w:t>
            </w:r>
          </w:p>
        </w:tc>
        <w:tc>
          <w:tcPr>
            <w:tcW w:w="2600" w:type="dxa"/>
            <w:vAlign w:val="bottom"/>
            <w:gridSpan w:val="2"/>
          </w:tcPr>
          <w:p>
            <w:pPr>
              <w:spacing w:after="0"/>
              <w:rPr>
                <w:sz w:val="24"/>
                <w:szCs w:val="24"/>
                <w:color w:val="auto"/>
              </w:rPr>
            </w:pPr>
          </w:p>
        </w:tc>
      </w:tr>
    </w:tbl>
    <w:p>
      <w:pPr>
        <w:spacing w:after="0" w:line="3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Thomas A. Kelly</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1"/>
    </w:lvl>
  </w:abstractNum>
  <w:abstractNum w:abstractNumId="3">
    <w:nsid w:val="2443A858"/>
    <w:multiLevelType w:val="hybridMultilevel"/>
    <w:lvl w:ilvl="0">
      <w:lvlJc w:val="left"/>
      <w:lvlText w:val="%1."/>
      <w:numFmt w:val="upperLetter"/>
      <w:start w:val="4"/>
    </w:lvl>
  </w:abstractNum>
  <w:abstractNum w:abstractNumId="4">
    <w:nsid w:val="2D1D5AE9"/>
    <w:multiLevelType w:val="hybridMultilevel"/>
    <w:lvl w:ilvl="0">
      <w:lvlJc w:val="left"/>
      <w:lvlText w:val="%1."/>
      <w:numFmt w:val="upperLetter"/>
      <w:start w:val="6"/>
    </w:lvl>
  </w:abstractNum>
  <w:abstractNum w:abstractNumId="5">
    <w:nsid w:val="6763845E"/>
    <w:multiLevelType w:val="hybridMultilevel"/>
    <w:lvl w:ilvl="0">
      <w:lvlJc w:val="left"/>
      <w:lvlText w:val="%1."/>
      <w:numFmt w:val="upperLetter"/>
      <w:start w:val="7"/>
    </w:lvl>
  </w:abstractNum>
  <w:abstractNum w:abstractNumId="6">
    <w:nsid w:val="75A2A8D4"/>
    <w:multiLevelType w:val="hybridMultilevel"/>
    <w:lvl w:ilvl="0">
      <w:lvlJc w:val="left"/>
      <w:lvlText w:val="%1."/>
      <w:numFmt w:val="upperLetter"/>
      <w:start w:val="8"/>
    </w:lvl>
  </w:abstractNum>
  <w:abstractNum w:abstractNumId="7">
    <w:nsid w:val="8EDBDAB"/>
    <w:multiLevelType w:val="hybridMultilevel"/>
    <w:lvl w:ilvl="0">
      <w:lvlJc w:val="left"/>
      <w:lvlText w:val="%1."/>
      <w:numFmt w:val="upperLetter"/>
      <w:start w:val="9"/>
    </w:lvl>
  </w:abstractNum>
  <w:abstractNum w:abstractNumId="8">
    <w:nsid w:val="79838CB2"/>
    <w:multiLevelType w:val="hybridMultilevel"/>
    <w:lvl w:ilvl="0">
      <w:lvlJc w:val="left"/>
      <w:lvlText w:val="%1."/>
      <w:numFmt w:val="upperLetter"/>
      <w:start w:val="10"/>
    </w:lvl>
  </w:abstractNum>
  <w:abstractNum w:abstractNumId="9">
    <w:nsid w:val="4353D0CD"/>
    <w:multiLevelType w:val="hybridMultilevel"/>
    <w:lvl w:ilvl="0">
      <w:lvlJc w:val="left"/>
      <w:lvlText w:val="%1."/>
      <w:numFmt w:val="upperLetter"/>
      <w:start w:val="11"/>
    </w:lvl>
  </w:abstractNum>
  <w:abstractNum w:abstractNumId="10">
    <w:nsid w:val="B03E0C6"/>
    <w:multiLevelType w:val="hybridMultilevel"/>
    <w:lvl w:ilvl="0">
      <w:lvlJc w:val="left"/>
      <w:lvlText w:val="%1."/>
      <w:numFmt w:val="upperLetter"/>
      <w:start w:val="13"/>
    </w:lvl>
  </w:abstractNum>
  <w:abstractNum w:abstractNumId="11">
    <w:nsid w:val="189A769B"/>
    <w:multiLevelType w:val="hybridMultilevel"/>
    <w:lvl w:ilvl="0">
      <w:lvlJc w:val="left"/>
      <w:lvlText w:val="%1."/>
      <w:numFmt w:val="upperLetter"/>
      <w:start w:val="14"/>
    </w:lvl>
  </w:abstractNum>
  <w:abstractNum w:abstractNumId="12">
    <w:nsid w:val="54E49EB4"/>
    <w:multiLevelType w:val="hybridMultilevel"/>
    <w:lvl w:ilvl="0">
      <w:lvlJc w:val="left"/>
      <w:lvlText w:val="%1."/>
      <w:numFmt w:val="upperLetter"/>
      <w:start w:val="16"/>
    </w:lvl>
  </w:abstractNum>
  <w:abstractNum w:abstractNumId="13">
    <w:nsid w:val="71F32454"/>
    <w:multiLevelType w:val="hybridMultilevel"/>
    <w:lvl w:ilvl="0">
      <w:lvlJc w:val="left"/>
      <w:lvlText w:val="%1."/>
      <w:numFmt w:val="upperLetter"/>
      <w:start w:val="18"/>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2"/>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upperLetter"/>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1."/>
      <w:numFmt w:val="decimal"/>
      <w:start w:val="4"/>
    </w:lvl>
  </w:abstractNum>
  <w:abstractNum w:abstractNumId="31">
    <w:nsid w:val="3804823E"/>
    <w:multiLevelType w:val="hybridMultilevel"/>
    <w:lvl w:ilvl="0">
      <w:lvlJc w:val="left"/>
      <w:lvlText w:val="%1."/>
      <w:numFmt w:val="decimal"/>
      <w:start w:val="5"/>
    </w:lvl>
  </w:abstractNum>
  <w:abstractNum w:abstractNumId="32">
    <w:nsid w:val="77465F01"/>
    <w:multiLevelType w:val="hybridMultilevel"/>
    <w:lvl w:ilvl="0">
      <w:lvlJc w:val="left"/>
      <w:lvlText w:val="%1."/>
      <w:numFmt w:val="decimal"/>
      <w:start w:val="6"/>
    </w:lvl>
  </w:abstractNum>
  <w:abstractNum w:abstractNumId="33">
    <w:nsid w:val="7724C67E"/>
    <w:multiLevelType w:val="hybridMultilevel"/>
    <w:lvl w:ilvl="0">
      <w:lvlJc w:val="left"/>
      <w:lvlText w:val="%1."/>
      <w:numFmt w:val="decimal"/>
      <w:start w:val="7"/>
    </w:lvl>
  </w:abstractNum>
  <w:abstractNum w:abstractNumId="34">
    <w:nsid w:val="5C482A97"/>
    <w:multiLevelType w:val="hybridMultilevel"/>
    <w:lvl w:ilvl="0">
      <w:lvlJc w:val="left"/>
      <w:lvlText w:val="%1."/>
      <w:numFmt w:val="decimal"/>
      <w:start w:val="8"/>
    </w:lvl>
  </w:abstractNum>
  <w:abstractNum w:abstractNumId="35">
    <w:nsid w:val="2463B9EA"/>
    <w:multiLevelType w:val="hybridMultilevel"/>
    <w:lvl w:ilvl="0">
      <w:lvlJc w:val="left"/>
      <w:lvlText w:val="\endash "/>
      <w:numFmt w:val="bullet"/>
      <w:start w:val="1"/>
    </w:lvl>
  </w:abstractNum>
  <w:abstractNum w:abstractNumId="36">
    <w:nsid w:val="5E884ADC"/>
    <w:multiLevelType w:val="hybridMultilevel"/>
    <w:lvl w:ilvl="0">
      <w:lvlJc w:val="left"/>
      <w:lvlText w:val="%1."/>
      <w:numFmt w:val="decimal"/>
      <w:start w:val="9"/>
    </w:lvl>
  </w:abstractNum>
  <w:abstractNum w:abstractNumId="37">
    <w:nsid w:val="51EAD36B"/>
    <w:multiLevelType w:val="hybridMultilevel"/>
    <w:lvl w:ilvl="0">
      <w:lvlJc w:val="left"/>
      <w:lvlText w:val="%1."/>
      <w:numFmt w:val="decimal"/>
      <w:start w:val="10"/>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2021-07-23T13:51:37Z</dcterms:created>
  <dcterms:modified xsi:type="dcterms:W3CDTF">2021-07-23T13:51:37Z</dcterms:modified>
</cp:coreProperties>
</file>