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DONAHUE TIMOTHY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9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CROWN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CCK</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800" w:type="dxa"/>
            <w:vAlign w:val="bottom"/>
            <w:gridSpan w:val="6"/>
            <w:vMerge w:val="continue"/>
          </w:tcPr>
          <w:p>
            <w:pPr>
              <w:spacing w:after="0"/>
              <w:rPr>
                <w:sz w:val="11"/>
                <w:szCs w:val="11"/>
                <w:color w:val="auto"/>
              </w:rPr>
            </w:pPr>
          </w:p>
        </w:tc>
        <w:tc>
          <w:tcPr>
            <w:tcW w:w="35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YARDLEY</w:t>
            </w:r>
          </w:p>
        </w:tc>
        <w:tc>
          <w:tcPr>
            <w:tcW w:w="280" w:type="dxa"/>
            <w:vAlign w:val="bottom"/>
          </w:tcPr>
          <w:p>
            <w:pPr>
              <w:ind w:left="40"/>
              <w:spacing w:after="0"/>
              <w:rPr>
                <w:sz w:val="20"/>
                <w:szCs w:val="20"/>
                <w:color w:val="auto"/>
              </w:rPr>
            </w:pPr>
            <w:r>
              <w:rPr>
                <w:rFonts w:ascii="Arial" w:cs="Arial" w:eastAsia="Arial" w:hAnsi="Arial"/>
                <w:sz w:val="17"/>
                <w:szCs w:val="17"/>
                <w:color w:val="0000FF"/>
                <w:w w:val="96"/>
              </w:rPr>
              <w:t>PA</w:t>
            </w:r>
          </w:p>
        </w:tc>
        <w:tc>
          <w:tcPr>
            <w:tcW w:w="84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19067</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9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5"/>
              </w:rPr>
              <w:t>Common</w:t>
            </w: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01/05/2022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66,529</w:t>
            </w:r>
            <w:r>
              <w:rPr>
                <w:rFonts w:ascii="Arial" w:cs="Arial" w:eastAsia="Arial" w:hAnsi="Arial"/>
                <w:sz w:val="22"/>
                <w:szCs w:val="22"/>
                <w:color w:val="008000"/>
                <w:w w:val="8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80" w:type="dxa"/>
            <w:vAlign w:val="bottom"/>
            <w:tcBorders>
              <w:bottom w:val="single" w:sz="8" w:color="2C2C2C"/>
            </w:tcBorders>
            <w:gridSpan w:val="3"/>
          </w:tcPr>
          <w:p>
            <w:pPr>
              <w:jc w:val="right"/>
              <w:ind w:right="280"/>
              <w:spacing w:after="0"/>
              <w:rPr>
                <w:sz w:val="20"/>
                <w:szCs w:val="20"/>
                <w:color w:val="auto"/>
              </w:rPr>
            </w:pPr>
            <w:r>
              <w:rPr>
                <w:rFonts w:ascii="Arial" w:cs="Arial" w:eastAsia="Arial" w:hAnsi="Arial"/>
                <w:sz w:val="17"/>
                <w:szCs w:val="17"/>
                <w:color w:val="0000FF"/>
              </w:rPr>
              <w:t>544,168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7"/>
                <w:szCs w:val="17"/>
                <w:color w:val="0000FF"/>
                <w:w w:val="95"/>
              </w:rPr>
              <w:t>Common</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360"/>
              <w:spacing w:after="0" w:line="213" w:lineRule="exact"/>
              <w:rPr>
                <w:sz w:val="20"/>
                <w:szCs w:val="20"/>
                <w:color w:val="auto"/>
              </w:rPr>
            </w:pPr>
            <w:r>
              <w:rPr>
                <w:rFonts w:ascii="Arial" w:cs="Arial" w:eastAsia="Arial" w:hAnsi="Arial"/>
                <w:sz w:val="17"/>
                <w:szCs w:val="17"/>
                <w:color w:val="0000FF"/>
              </w:rPr>
              <w:t>721</w:t>
            </w:r>
            <w:r>
              <w:rPr>
                <w:rFonts w:ascii="Arial" w:cs="Arial" w:eastAsia="Arial" w:hAnsi="Arial"/>
                <w:sz w:val="22"/>
                <w:szCs w:val="22"/>
                <w:color w:val="008000"/>
                <w:vertAlign w:val="superscript"/>
              </w:rPr>
              <w:t>(2)</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66,529 shares of Restricted Common Stock under the 2013 Stock-Based Compensation Plan. 22,703 time-vested restricted shares vest over a three year period as follows: 7,568 time-vested restricted shares on January 5, 2023 and 2024, respectively, and 7,567 time-vested restricted shares on January 6, 2025. 21,123 performance-based restricted shares are targeted to vest on January 6, 2025 based on the Company's Total Shareholder Return versus a defined peer group of companies, with the final number of performance-based vested shares varying from 0 to 200% of 21,123. 22,703 performance-based restricted shares are targeted to vest on January 6, 2025 based on the Return on Invested Capital achieved by the Company compared to the ROIC target, with the final number of performance-based vested shares varying from 0 to 22,703.</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At December 31, 2021, the Reporting Person owned 721 shares of CCK Common Stock under the CCK 401(k) Plan.</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01/07/2022</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11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2022-01-07T10:53:56Z</dcterms:created>
  <dcterms:modified xsi:type="dcterms:W3CDTF">2022-01-07T10:53:56Z</dcterms:modified>
</cp:coreProperties>
</file>