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50" w:lineRule="exact"/>
        <w:rPr>
          <w:sz w:val="24"/>
          <w:szCs w:val="24"/>
          <w:color w:val="auto"/>
        </w:rPr>
      </w:pPr>
    </w:p>
    <w:p>
      <w:pPr>
        <w:ind w:left="440" w:right="1660" w:hanging="414"/>
        <w:spacing w:after="0" w:line="239" w:lineRule="auto"/>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Pennsylvania</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75-3099507</w:t>
            </w:r>
          </w:p>
        </w:tc>
      </w:tr>
      <w:tr>
        <w:trPr>
          <w:trHeight w:val="163"/>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1"/>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14025 Riveredge Drive, Suite 300</w:t>
            </w:r>
          </w:p>
        </w:tc>
        <w:tc>
          <w:tcPr>
            <w:tcW w:w="20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Tampa</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w:t>
            </w: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33637-2015</w:t>
            </w:r>
          </w:p>
        </w:tc>
      </w:tr>
      <w:tr>
        <w:trPr>
          <w:trHeight w:val="203"/>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0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3660" w:type="dxa"/>
            <w:vAlign w:val="bottom"/>
          </w:tcPr>
          <w:p>
            <w:pPr>
              <w:spacing w:after="0"/>
              <w:rPr>
                <w:sz w:val="23"/>
                <w:szCs w:val="23"/>
                <w:color w:val="auto"/>
              </w:rPr>
            </w:pPr>
          </w:p>
        </w:tc>
        <w:tc>
          <w:tcPr>
            <w:tcW w:w="7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Registrant’s telephone number, including area code: 215-698-5100</w:t>
            </w:r>
          </w:p>
        </w:tc>
      </w:tr>
      <w:tr>
        <w:trPr>
          <w:trHeight w:val="188"/>
        </w:trPr>
        <w:tc>
          <w:tcPr>
            <w:tcW w:w="3660" w:type="dxa"/>
            <w:vAlign w:val="bottom"/>
          </w:tcPr>
          <w:p>
            <w:pPr>
              <w:spacing w:after="0"/>
              <w:rPr>
                <w:sz w:val="16"/>
                <w:szCs w:val="16"/>
                <w:color w:val="auto"/>
              </w:rPr>
            </w:pPr>
          </w:p>
        </w:tc>
        <w:tc>
          <w:tcPr>
            <w:tcW w:w="28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____________________</w:t>
            </w:r>
          </w:p>
        </w:tc>
        <w:tc>
          <w:tcPr>
            <w:tcW w:w="4700" w:type="dxa"/>
            <w:vAlign w:val="bottom"/>
          </w:tcPr>
          <w:p>
            <w:pPr>
              <w:spacing w:after="0"/>
              <w:rPr>
                <w:sz w:val="16"/>
                <w:szCs w:val="16"/>
                <w:color w:val="auto"/>
              </w:rPr>
            </w:pPr>
          </w:p>
        </w:tc>
      </w:tr>
      <w:tr>
        <w:trPr>
          <w:trHeight w:val="288"/>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4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28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w:t>
            </w:r>
          </w:p>
        </w:tc>
        <w:tc>
          <w:tcPr>
            <w:tcW w:w="820" w:type="dxa"/>
            <w:vAlign w:val="bottom"/>
          </w:tcPr>
          <w:p>
            <w:pPr>
              <w:spacing w:after="0"/>
              <w:rPr>
                <w:sz w:val="17"/>
                <w:szCs w:val="17"/>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CCK26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CCK96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1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07" w:lineRule="exact"/>
        <w:rPr>
          <w:sz w:val="24"/>
          <w:szCs w:val="24"/>
          <w:color w:val="auto"/>
        </w:rPr>
      </w:pPr>
    </w:p>
    <w:p>
      <w:pPr>
        <w:spacing w:after="0" w:line="161" w:lineRule="exact"/>
        <w:tabs>
          <w:tab w:leader="none" w:pos="6880" w:val="left"/>
          <w:tab w:leader="none" w:pos="740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line="161" w:lineRule="exact"/>
        <w:tabs>
          <w:tab w:leader="none" w:pos="7620" w:val="left"/>
          <w:tab w:leader="none" w:pos="814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6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2"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18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1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As of June 30, 2023 120,102,654 shares of the Registrant’s Common Stock, excluding shares held in Treasury, were issued and outstanding, and the aggregate market value of such shares held by non-affiliates of the Registrant on such date was $10,433,317,553 based on the New York Stock Exchange closing price for such shares on that date.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26, 2024, 120,783,239 shares of the Registrant’s Common Stock were issued and outstanding.</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42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2"/>
        </w:trPr>
        <w:tc>
          <w:tcPr>
            <w:tcW w:w="340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Document</w:t>
            </w:r>
          </w:p>
        </w:tc>
        <w:tc>
          <w:tcPr>
            <w:tcW w:w="3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Parts Into Which Incorporated</w:t>
            </w:r>
          </w:p>
        </w:tc>
      </w:tr>
      <w:tr>
        <w:trPr>
          <w:trHeight w:val="20"/>
        </w:trPr>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3"/>
        </w:trPr>
        <w:tc>
          <w:tcPr>
            <w:tcW w:w="76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Proxy Statement for the Annual Meeting of Shareholders to be held May 2, 2024</w:t>
            </w:r>
          </w:p>
        </w:tc>
        <w:tc>
          <w:tcPr>
            <w:tcW w:w="3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Part III to the extent described therein</w:t>
            </w:r>
          </w:p>
        </w:tc>
      </w:tr>
      <w:tr>
        <w:trPr>
          <w:trHeight w:val="233"/>
        </w:trPr>
        <w:tc>
          <w:tcPr>
            <w:tcW w:w="3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6"/>
        </w:trPr>
        <w:tc>
          <w:tcPr>
            <w:tcW w:w="3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695"/>
        </w:trPr>
        <w:tc>
          <w:tcPr>
            <w:tcW w:w="3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90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gridSpan w:val="12"/>
          </w:tcPr>
          <w:p>
            <w:pPr>
              <w:jc w:val="center"/>
              <w:ind w:right="2260"/>
              <w:spacing w:after="0"/>
              <w:rPr>
                <w:sz w:val="20"/>
                <w:szCs w:val="20"/>
                <w:color w:val="auto"/>
              </w:rPr>
            </w:pPr>
            <w:r>
              <w:rPr>
                <w:rFonts w:ascii="Times New Roman" w:cs="Times New Roman" w:eastAsia="Times New Roman" w:hAnsi="Times New Roman"/>
                <w:sz w:val="18"/>
                <w:szCs w:val="18"/>
                <w:color w:val="auto"/>
                <w:w w:val="99"/>
              </w:rPr>
              <w:t>2023 FORM 10-K ANNUAL REPORT</w:t>
            </w:r>
          </w:p>
        </w:tc>
        <w:tc>
          <w:tcPr>
            <w:tcW w:w="110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00" w:type="dxa"/>
            <w:vAlign w:val="bottom"/>
          </w:tcPr>
          <w:p>
            <w:pPr>
              <w:spacing w:after="0"/>
              <w:rPr>
                <w:sz w:val="20"/>
                <w:szCs w:val="20"/>
                <w:color w:val="auto"/>
              </w:rPr>
            </w:pPr>
          </w:p>
        </w:tc>
      </w:tr>
      <w:tr>
        <w:trPr>
          <w:trHeight w:val="256"/>
        </w:trPr>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8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color w:val="auto"/>
                <w:w w:val="95"/>
              </w:rPr>
              <w:t>PART I</w:t>
            </w:r>
          </w:p>
        </w:tc>
        <w:tc>
          <w:tcPr>
            <w:tcW w:w="1100" w:type="dxa"/>
            <w:vAlign w:val="bottom"/>
          </w:tcPr>
          <w:p>
            <w:pPr>
              <w:spacing w:after="0"/>
              <w:rPr>
                <w:sz w:val="22"/>
                <w:szCs w:val="22"/>
                <w:color w:val="auto"/>
              </w:rPr>
            </w:pPr>
          </w:p>
        </w:tc>
      </w:tr>
      <w:tr>
        <w:trPr>
          <w:trHeight w:val="33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680" w:type="dxa"/>
            <w:vAlign w:val="bottom"/>
            <w:gridSpan w:val="5"/>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540" w:type="dxa"/>
            <w:vAlign w:val="bottom"/>
            <w:gridSpan w:val="2"/>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1B</w:t>
            </w:r>
          </w:p>
        </w:tc>
        <w:tc>
          <w:tcPr>
            <w:tcW w:w="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1C</w:t>
            </w:r>
          </w:p>
        </w:tc>
        <w:tc>
          <w:tcPr>
            <w:tcW w:w="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Cybersecurity</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2</w:t>
            </w:r>
          </w:p>
        </w:tc>
        <w:tc>
          <w:tcPr>
            <w:tcW w:w="62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3</w:t>
            </w:r>
          </w:p>
        </w:tc>
        <w:tc>
          <w:tcPr>
            <w:tcW w:w="680" w:type="dxa"/>
            <w:vAlign w:val="bottom"/>
            <w:gridSpan w:val="5"/>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680" w:type="dxa"/>
            <w:vAlign w:val="bottom"/>
            <w:gridSpan w:val="5"/>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r>
      <w:tr>
        <w:trPr>
          <w:trHeight w:val="399"/>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color w:val="auto"/>
                <w:w w:val="95"/>
              </w:rPr>
              <w:t>PART II</w:t>
            </w:r>
          </w:p>
        </w:tc>
        <w:tc>
          <w:tcPr>
            <w:tcW w:w="110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00" w:type="dxa"/>
            <w:vAlign w:val="bottom"/>
            <w:gridSpan w:val="4"/>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6</w:t>
            </w:r>
          </w:p>
        </w:tc>
        <w:tc>
          <w:tcPr>
            <w:tcW w:w="80" w:type="dxa"/>
            <w:vAlign w:val="bottom"/>
          </w:tcPr>
          <w:p>
            <w:pPr>
              <w:spacing w:after="0"/>
              <w:rPr>
                <w:sz w:val="24"/>
                <w:szCs w:val="24"/>
                <w:color w:val="auto"/>
              </w:rPr>
            </w:pPr>
          </w:p>
        </w:tc>
        <w:tc>
          <w:tcPr>
            <w:tcW w:w="600" w:type="dxa"/>
            <w:vAlign w:val="bottom"/>
            <w:gridSpan w:val="4"/>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7</w:t>
            </w:r>
          </w:p>
        </w:tc>
        <w:tc>
          <w:tcPr>
            <w:tcW w:w="680" w:type="dxa"/>
            <w:vAlign w:val="bottom"/>
            <w:gridSpan w:val="5"/>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540" w:type="dxa"/>
            <w:vAlign w:val="bottom"/>
            <w:gridSpan w:val="2"/>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8</w:t>
            </w:r>
          </w:p>
        </w:tc>
        <w:tc>
          <w:tcPr>
            <w:tcW w:w="140" w:type="dxa"/>
            <w:vAlign w:val="bottom"/>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9</w:t>
            </w:r>
          </w:p>
        </w:tc>
        <w:tc>
          <w:tcPr>
            <w:tcW w:w="680" w:type="dxa"/>
            <w:vAlign w:val="bottom"/>
            <w:gridSpan w:val="5"/>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9A</w:t>
            </w:r>
          </w:p>
        </w:tc>
        <w:tc>
          <w:tcPr>
            <w:tcW w:w="540" w:type="dxa"/>
            <w:vAlign w:val="bottom"/>
            <w:gridSpan w:val="2"/>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9B</w:t>
            </w:r>
          </w:p>
        </w:tc>
        <w:tc>
          <w:tcPr>
            <w:tcW w:w="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9C</w:t>
            </w:r>
          </w:p>
        </w:tc>
        <w:tc>
          <w:tcPr>
            <w:tcW w:w="560" w:type="dxa"/>
            <w:vAlign w:val="bottom"/>
            <w:gridSpan w:val="3"/>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r>
      <w:tr>
        <w:trPr>
          <w:trHeight w:val="399"/>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6"/>
              </w:rPr>
              <w:t>PART III</w:t>
            </w:r>
          </w:p>
        </w:tc>
        <w:tc>
          <w:tcPr>
            <w:tcW w:w="390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11</w:t>
            </w:r>
          </w:p>
        </w:tc>
        <w:tc>
          <w:tcPr>
            <w:tcW w:w="600" w:type="dxa"/>
            <w:vAlign w:val="bottom"/>
            <w:gridSpan w:val="4"/>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60" w:type="dxa"/>
            <w:vAlign w:val="bottom"/>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14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60" w:type="dxa"/>
            <w:vAlign w:val="bottom"/>
          </w:tcPr>
          <w:p>
            <w:pPr>
              <w:spacing w:after="0"/>
              <w:rPr>
                <w:sz w:val="24"/>
                <w:szCs w:val="24"/>
                <w:color w:val="auto"/>
              </w:rPr>
            </w:pP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r>
      <w:tr>
        <w:trPr>
          <w:trHeight w:val="399"/>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color w:val="auto"/>
                <w:w w:val="97"/>
              </w:rPr>
              <w:t>PART IV</w:t>
            </w:r>
          </w:p>
        </w:tc>
        <w:tc>
          <w:tcPr>
            <w:tcW w:w="110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84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8"/>
        </w:trPr>
        <w:tc>
          <w:tcPr>
            <w:tcW w:w="14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w:t>
            </w:r>
          </w:p>
        </w:tc>
      </w:tr>
      <w:tr>
        <w:trPr>
          <w:trHeight w:val="878"/>
        </w:trPr>
        <w:tc>
          <w:tcPr>
            <w:tcW w:w="1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BUSINESS</w:t>
      </w: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was founded in 1892 and is a leading global diversified packaging business that manufactures metal cans and ends (aluminum and steel) for the beverage, food and aerosol industries and a wide range of transit packaging products and solutions from multiple substrates including steel, paper, and</w:t>
      </w:r>
    </w:p>
    <w:p>
      <w:pPr>
        <w:spacing w:after="0" w:line="2"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plastic. The Company's transit packaging products include automation and equipment technologies, protective packaging solutions and steel and plastic consumables which are sold into the metals, food and beverage, construction, agricultural, corrugated, and general industries.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Company operated 195 plants along with sales and service facilities throughout 39 countries and had approximately 25,000 employees. In 2023, consolidated net sales for the Company were $12 billion with 63% derived from operations outside the United States ("U.S.")</w:t>
      </w:r>
    </w:p>
    <w:p>
      <w:pPr>
        <w:spacing w:after="0" w:line="1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Approximately 63% of the Company's consolidated net sales were derived from the Company's global beverage can business. Over the last several years, the Company has deployed capital to expand production capacity in its global beverage can operations to support growing customer demand in both the alcoholic and non-alcoholic drink categories serving local, regional and global customers. The beverage can is the world's most sustainable and recycled beverage package and continues to disproportionately be the package of choice for new beverage product introductions. The Company continues to drive innovation by increasing its ability to offer multiple specialty can sizes, including slim and sleek cans, to help customers differentiate their products. It also continues to deliver new printing and decorating capabilities, as well as services that aid customers throughout the entire production cycle, from consultation and development to line implementation and quality assurance.</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Company is guided by commitments to its stakeholders and its own goals to foster a resilient business with longevity, which requires an emphasis on financial performance and sustainability. 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color w:val="auto"/>
        </w:rPr>
        <w:t xml:space="preserve"> program, which is a comprehensive sustainability strategy that outlines twenty measurable goals to be achieved by 2030, has accelerated critical initiatives and progress around carbon footprint management and efficient use of resources, among other issues.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leverage the inherent eco-friendly benefits of its primary product, metal packaging, to advance toward its targets. Aluminum cans, which are infinitely recyclable and remain the world’s most recycled beverage packaging, exemplify sustainability and are a strong contributor to the circular economy. The Company is working in conjunction with industry partners to drive higher recycling rates and increase recycled content to ensure infinitely recycled aluminum cans are available for generations of future 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REPORTABLE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business is generally organized by product line and geography. The reportable segments are: Americas Beverage, European Beverage, Asia Pacific and Transit Packaging. Operations are managed regionally to best serve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Americas Beverage segment manufactures infinitely recyclable aluminum beverage cans and ends, glass bottles, steel crowns and aluminum caps. Manufacturing facilities are located in the U.S., Brazil, Canada, Colombia and Mexico. Americas Beverage had net sales in 2023 of $5.1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$876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European Beverage segment manufactures infinitely recyclable aluminum beverage cans and ends in Europe, the Middle East and North Africa. European Beverage had net sales in 2023 of $1.9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$199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Asia Pacific segment primarily consists of beverage can operations in Cambodia, China, Indonesia, Malaysia, Myanmar, Thailand and Vietnam and also includes non-beverage can operations, primarily food cans and specialty packaging.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Asia Pacific segment had net sales in 2023 of $1.3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$154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 The automation and equipment business along with our product offering allow the Company to offer a comprehensive solution to pack, wrap, strap, secure and store products all over the world.</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Transit Packaging segment had net sales in 2023 of $2.3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$331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segments ("Other") include the Company's food can, aerosol can and closures businesses in North America, and beverage tooling and equipment operations in the U.S. and the United Kingdom ("U.K."). The Company manufactures a variety of food and aerosol cans and ends and closures in assorted shapes and sizes. The Company’s customers include manufacturers of food, including pet food, personal care, household and industrial products.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Additional financial information concerning the Company’s reportable segments is set forth within “Management’s Discussion and Analysis of Financial Condition and Results of Operations” of this Annual Report and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AND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marketers qualify suppliers on the basis of their ability to provide service, innovation and technologies in a cost-effective manner. With its global reach, the Company primarily markets and sells products to customers through its own sales and marketing staff.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the use of working capital. The Company schedules its production to meet customer requirements. Because the production time for the Company’s rigid packaging products is short, any backlog of customer orders in relation to overall sales is not significant. The standard backlog in Transit Packaging’s automation, equipment and tools business is typically not significant, however, supply chain constraints may increase the backlog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Metal Packaging, Ball Corporation, Can-Pack S.A., Mauser Packaging Solutions, Metal Container Corporation, Silgan Holdings Inc., Sonoco, and Trivium Packaging.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Transit Packaging also faces substantial competition from many regional and local competitors of various sizes in the manufacture, distribution and sale of its products. Transit Packaging differentiates itself from the competition by leveraging its global scale, broad product portfolio and established brand reputation. Transit Packaging products compete, to some extent, with various other packaging materials, including other products made of paper, plastics, wood and various types of metal.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largest beverage can customers consist of many of the leading manufacturers and marketers of packaged consumer products in the world, including Anheuser-Busch InBev, Coca-Cola, Heineken, Keurig Dr Pepper, Molson Coors, Pepsi-Cola and Refresco, among others. In addition to sales to Coca-Cola and Pepsi-Cola, the Company also supplies independent licensees of Coca-Cola and Pepsi-Cola. Consolidation trends among beverage marketers have led to a concentrated customer base. The Company’s top ten global customers represented in the aggregate approximately 48% of its 2023 consolidated net sales.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two customers each accounted for 12% and 11%, of the Company's consolidated net sales. These customers are global beverage companies served by the Company's beverage operations in the Americas, Europe and Asia.</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reportable segment, with the exception of Transit Packaging, has major customers and the loss of one or more of these major customers could have a material adverse effect on an individual segment or the Company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MATERIALS AND SUPPLIERS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various raw materials, primarily aluminum and steel, in its manufacturing operations. Transit Packaging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2023, consumption of aluminum and steel represented 44% and 8%, respectively,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aluminum contracts typically multi-year in duration with fluctuating prices based on aluminum ingot costs and steel contracts typically one year in duration with fixed prices or set repricing dates.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attempts to mitigate its aluminum and steel price risk by matching its purchase obligations with its sales agreements; however, there can be no assurance that the Company will be able to fully mitigate that risk. The Company also uses commodity and foreign currency forwards in an attempt to manage its exposure to aluminum price volatility.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aluminum and steel for a significant period of time, its operations would be disrupted, and if the Company were unable to fully recover the higher cost of aluminum and steel, its financial results may be adversely affected.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continuing global supply and demand pressures, other commodity-related costs affecting the Company’s business may increase as well, including utility and freight-related costs. The Company attempts to increase prices on its products accordingly in order to recover these costs. Certain of the Company's sales contracts contain non-metal pass-through provisions that include annual selling price adjustments based on a producer price index. In certain years the referenced index may be negative, requiring the Company to reduce its selling price while its actual costs may have increased.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volatility of raw material prices, ongoing productivity and cost reduction efforts in recent years have focused on improving raw material cost management. The Company’s manufacturing facilities are dependent, in varying degrees, upon the availability of water and processed energy, such as natural gas and electricity. Certain of these may become difficult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impossible to obtain on acceptable terms due to external factors, which could increase the Company’s costs or interrupt its business.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mitigating risks around pricing, the Company maintains its commitment to upholding and evolving standards for ethics and compliance as it sources materials. Regular engagement with suppliers is ongoing to manage materials and the impact on environments and communities. The Company strives to ensure all partners meet standards for responsible supply and adhere to the formal Code of Business Conduct and Ethics. Through the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30 </w:t>
      </w:r>
      <w:r>
        <w:rPr>
          <w:rFonts w:ascii="Times New Roman" w:cs="Times New Roman" w:eastAsia="Times New Roman" w:hAnsi="Times New Roman"/>
          <w:sz w:val="18"/>
          <w:szCs w:val="18"/>
          <w:color w:val="auto"/>
        </w:rPr>
        <w:t>program, the Company has committed to sourcing standards that by 2030 require 100% of core raw materials and service suppliers, by spend,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assessed and comply with Crown Responsible and Ethical Sourcing policies and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SUSTAINABILITY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Sustainability remains a core focus of the Company’s business strategy and commitments. The Company recognizes the critical role of corporate social responsibility and the impact of sustainability performance on economic opportunity and stakeholder relationships, including customers and employees. As a major manufacturer with operations worldwide, the Company can significantly impact industry progress by supporting important sustainability initiatives and adopting practices that create change both within the organization and within partner relationships.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setting 20 measurable goals to be reached by 2030 or sooner. These objectives encompass all aspects of sustainability and reflect areas considered material to the Company’s business as well as areas where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Corporate Environmental Sustainability Policy; a Human Rights Policy; a Responsible and Ethical Sourcing Policy; a Conflict Minerals Policy; and an Environmental, Health and Safety Policy. These policies serve as guidelines for all employees to adhere to as the Company works to advance its sustainability strategy.</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Across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pillars, the Company works toward continuous improvement in product design and manufacturing practices to provide the best outcome for the environment, communities, employees and consumers, both now and in the future.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Aluminum and steel contribute to these improvements as, by nature, they are infinitely recyclable without loss of properties. This means they can be used repeatedly to form new consumer packaging with no degradation in performance, quality or safety. Recycling these metals offers significant savings in energy and water consumption, as well as carbon dioxide emissions. As such, the Company is collaborating with industry partners to improve consumer recycling rates and increasing the use of recycled content. In addition, the Company is making strides in its energy and water usage on a global level, working to implement more renewable energy, minimize water usage and execute water replenishment programs.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efforts in 2023 to be a more proactive sustainability leader:</w:t>
      </w:r>
    </w:p>
    <w:p>
      <w:pPr>
        <w:spacing w:after="0" w:line="252"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a study together with the International Aluminum Institute and others in the industry to determine the recycling rate of aluminum cans in Vietnam, Thailand, Cambodia, and the United Arab Emirates - key markets where the Company maintains operations;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its pursuit of Aluminum Stewardship Initiative certification, and the Company now has certifications in Brazil, Colombia, Mexico, Thailand and Vietnam;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several discussion at the United Nations Climate Change Conference (COP 28) to drive discussions around climate and aluminum decarbonization, together with others in the industry.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Socially, the Company is continuing to elevate its commitments to community engagement through more volunteer opportunities and by establishing a charitable giving program, which donates to various non-profit organizations across the regions in which it operates. Within its own workforce, the Company is prioritizing employee welfare and striving to more regularly engage its professionals to foster a more connected global team dedicated to individual and collective improvement as an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its collective efforts, the Company has recently received the following recognitions in 2023:</w:t>
      </w:r>
    </w:p>
    <w:p>
      <w:pPr>
        <w:spacing w:after="0" w:line="25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ratings provider Sustainalytics ranked the Company as a Low ESG Risk Rating for managing ESG risk within the metal and glass packaging sub-industry. This marks the fourth year in a row the Company has landed in the top 3% in the "Containers and Packaging" category.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ranked as the top packaging company within the Transport, Logistics &amp; Packaging category in Newsweek's second annual listing of the Most Trustworthy Companies in America.</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included in USA TODAY'S inaugural America's Climate Leaders list, which aims to provide guidance for investors and customers evaluating the sustainability progress of their partners or potential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There can be no assurance that current or future environmental laws or liabilities will not have a material effect on the Company’s consolidated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approximately 25,000 employees worldwide, with approximately 6,000 employed by the Americas Beverage segment, 3,500 employed by the European Beverage segment, 4,500 employed by the Asia Pacific segment, 7,500 employed by the Transit Packaging segment and 3,500 employed by Other.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workforce is unionized. Collective bargaining agreements with varying terms and expiration dates cover approximately 10,600 employees. The Company did not experience any significant union-initiated work stoppages during the 2023 fiscal year and believes that its employee relations remain good. The Company does not expect that renegotiation of any collective bargaining agreements expiring in 2024 will have a material adverse effect on its consolidated results of operations, financial position or cash flow.</w:t>
      </w:r>
    </w:p>
    <w:p>
      <w:pPr>
        <w:spacing w:after="0" w:line="20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 believes that its employees are key to achieving the Company’s business goals and growth strategy. Attracting, developing and retaining the most skilled and engaged people globally is crucial to all aspects of the Company’s activities. To this end, the Company has cultivated a senior management team with extensive industry experience and highly complementary skill sets and has consistently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invested in necessary resources to effectively staff and efficiently support its businesses. It has also made efforts to fill corporate and plant roles worldwide with individuals who possess material, design and manufacturing expertise and can cultivate lasting customer relationships. To aid retention, the Company aspires to offer market rate competitive salaries to all its staff and it provides professional development opportunities that both contribute to the Company’s success and maximize employees' potential. It also aims to implement a positive and inclusive work environment that prioritizes employee safety, fosters an inclusive atmosphere and creates a fulfilling career.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supports the well-being of its employees and their families with a variety of physical, mental and social wellness programs, as well as rigorous on-the-job safety programs. Physical health and wellness programs differ by region, but include Company-sponsored or subsidized medical insurance over and above government provisions, annual medical, cancer and audiometry screenings, and voluntary health fairs. The Company offers employee mental health assistance programs. The Company has built a total safety culture that provides the framework for all health and safety initiatives across the Company and empowers employees to take a proactive role in their safety and that of their fellow employees. The Company’s focus is on behaviors and attitudes and achieving success in incident, injury and near-miss reductions.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that a diverse and inclusive workforce is critical to its future business success. It has therefore integrated Diversity &amp; Inclusion (D&amp;I) as a dimension of its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program, aiming to embed D&amp;I awareness in its organizational culture. The Company believes different backgrounds, experiences and perspectives generate powerful new ideas and foster sound and sustainable decision making. The Company’s approach includes deployment of D&amp;I training initiatives, such as psychological safety and unconscious bias trainings, and improvement of its recruitment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onboarding processes. Recruitment programs to attract diverse talent into the organization include an accelerated manufacturing program, first focused on engineering skills, which includes assignments in various businesses and countries to encourage broader thinking and a flexible mindset. This program provides an opportunity for diverse candidates to progress more quickly to higher functions within the organization. The Company continues to focus on improving gender equality and cultural diversity in the organization, including developing and empowering minorities and women through greater career opportunity and recognition.</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give every employee the opportunity to feel heard, supported and valued and to continue building its inclusive culture, the Company implemented a new employee engagement survey globally. The Company aims to better understand what the employee experience looks like at Crown, what works well and what can be improved.</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places a high value on skills management and lifelong learning opportunities that benefit both the individual employee and the whole Company. The Company provides a variety of educational opportunities, including a mix of mandatory and voluntary training programs that occur in classrooms, online and on the job. The Company also recognizes the importance of multifunctional teams and as such, management training includes international exposure and cross-divisional activity to develop common approaches and values. Talent development programs vary by region, but include leadership programs designed to support operations leadership, lean manufacturing operations and employee performance management.</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updating its Human Rights policy based on the latest legal developments, the company has developed a comprehensive Human Rights training program translated into the predominant local languages used within our organization. This program is designed to improve our employees’ understanding, awareness and commitment to human rights principles within our organization.</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written Code of Business Conduct and Ethics which describes its policies with respect to, among other things, anti-corruption, protection of confidential information, and environmental, health and safety matters, as well as the Company’s commitment to ensuring that all employees are treated with respect and dignity and are able to work in an environment free from all forms of unlawful employment discrimination. The Company’s compliance teams are responsible for implementing these policies. The Company's compliance program includes a mechanism for employees to report suspected violations of Company policies on a confidential basis, including anonymous reporting where permitted by local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global Research, Development &amp; Engineering ("RD&amp;E") Center for packaging products for consumer goods is located in Wantage, U.K. The Company utilizes its centralized corporate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 The corporate RD&amp;E Center is also applying technical expertise to advance product design and manufacturing capabilities for the Company's beverage equipment operations and its Transit Packaging segment, supplementing the group's existing product developments.</w:t>
      </w:r>
    </w:p>
    <w:p>
      <w:pPr>
        <w:spacing w:after="0" w:line="20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and can shaping have been licensed in Europe, Australia, Japan, and Africa to provide customers with global access to Crown's brand building innovations. In addition to package components, the Company maintains a legacy of innovation that features numerous industry-firsts, including launching new interactive inks, decorative and shaping techniques, new package sizes and styles and new canmaking technologies. Recent examples include the Company’s Accents™ variable printing technology, which facilitates up to 24 different beverage can designs in a single run, and its Quantum™ debossing technology, which implements unique textures on food cans that replace can wall beading with proprietary debossed patterns, such as hexagonal or oval arrays, to prevent counterfeiting and reduce material usage by up to 13%. The RD&amp;E team has also expanded efforts to advance innovations through strategic partnerships with suppliers and through the use of Open Innovation to access new technologies. These efforts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are aimed at enhancing the Company's products for our customers by developing improved coatings with enhanced barriers, new decoration technology (such as digital printing), and improved container functionality (such as enhanced resealability).</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Transit Packaging is also well known throughout its markets for its ability to drive product innovation and leadership in new technologies. Transit Packaging focuses on market driven innovation and has a long history of creating product and service solutions that solve problems and create value for its customers. Transit Packaging has grown its global patent portfolio to over 360 U.S. issued patents or pending patent applications and over 980 foreign issued patents or pending patent applications. The portfolio broadly covers about 350 customized technologies and spans diverse business platforms, as well as the different countries in which it operates.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spent $33 million in 2023, $34 million in 2022, and $47 million in 2021 in its RD&amp;E activities.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WORKING CAPITAL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uses cash during the first nine months of the year to finance seasonal working capital needs. Beverage products are generally consumed in greater amounts during the warmer months and the food packaging business is somewhat seasonal with the first quarter tending to be the slowest period as the autumn packaging period in the Northern Hemisphere has ended and new crops are not yet planted. The Company’s working capital requirements are funded by cash flows from operations, revolving credit facilities and receivables securitization and factoring programs.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website address is </w:t>
      </w:r>
      <w:r>
        <w:rPr>
          <w:rFonts w:ascii="Times New Roman" w:cs="Times New Roman" w:eastAsia="Times New Roman" w:hAnsi="Times New Roman"/>
          <w:sz w:val="18"/>
          <w:szCs w:val="18"/>
          <w:u w:val="single" w:color="auto"/>
          <w:color w:val="auto"/>
        </w:rPr>
        <w:t>www.crowncork.com</w:t>
      </w:r>
      <w:r>
        <w:rPr>
          <w:rFonts w:ascii="Times New Roman" w:cs="Times New Roman" w:eastAsia="Times New Roman" w:hAnsi="Times New Roman"/>
          <w:sz w:val="18"/>
          <w:szCs w:val="18"/>
          <w:color w:val="auto"/>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 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Sustainability Report,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Business and Industry</w:t>
      </w:r>
    </w:p>
    <w:p>
      <w:pPr>
        <w:spacing w:after="0" w:line="2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various raw materials, such as aluminum, steel, tin, and materials derived from crude oil and natural gas, such as polyethylene and polypropylene resin, and also water, natural gas, electricity and other processed energy, in its manufacturing activities. Sufficient quantities of these raw materials may not be available in the future or may be available only at increased prices. In 2023, consumption of aluminum and steel represented 44% and 8% of the Company's consolidated cost of products sold, excluding depreciation and amortization. The Company's raw material supply contracts vary as to terms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duration, with aluminum contracts typically multi-year in duration with fluctuating prices based on aluminum ingot costs and steel contracts typically one year in duration with fixed prices. The availability of various raw materials and their prices depend on global and local supply and demand forces, governmental regulations (including tariffs and duties), level of production, resource availability, transportation, and other factors, including natural disasters such as floods and earthquakes, and pandemics (including possible reemergence of the COVID 19 pandemic). In particular, in recent years the consolidation of steel suppliers, shortage of raw materials affecting the production of steel and the increased global demand for steel, have contributed to an overall tighter supply for steel, resulting in increased steel prices and, in some cases, special surcharges and allocated cut backs of products by steel suppliers. In addition, tariffs and potential limits on steel supply in the U.S. from certain foreign countries could further negatively impact the Company's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of certain raw materials used by the Company, such as aluminum, steel and energy, have historically been subject to</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volatility. The Company continues to manage the challenges of supply chain disruptions and fluctuating costs for raw materials and energy in 2023. While certain, but not all, of the Company's contracts pass through raw material costs to customers, the Company may be unable to increase its prices to offset increases in raw material costs without suffering reductions in unit volume, revenue and operating income. The Company also uses commodity forward contracts to manage its exposure to these raw material costs. The ability to mitigate inflationary risks through these measures varies by region and the impact on the results of the Company's segments for the year-ended December 31, 2023 is discussed, as applicable in "Management's Discussion and Analysis of Financial Condition and Results of Operations - Results of Operations."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purchase aluminum, steel,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with respect to pricing and product volumes.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principal markets may be subject to overcapacity and intense competition, which could reduce the Company's net sales and net income.</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Beverage and food cans are standardized products, allowing for relatively little differentiation among competitors. This could lead to overcapacity and price competition among beverage and food can producers if capacity growth outpaced the growth in demand for beverage and food cans and overall manufacturing capacity exceeded demand. These market conditions could reduce product prices and contribute to declining revenue and net income.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substantial competition from producers of alternative packaging made from glass, paper, flexible materials and plastic. The Company's sales depend heavily on the volumes of sales by the Company's customers in the beverage and food markets. Changes in preferences for products and packaging by consumers of beverage cans and prepackaged food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creates excess capacity, the Company experiences relatively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 capacity utilization rates in its operations, which can lead to reduced margins and can have an adverse effect on the Company's business.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developing markets and areas, such as the Middle East, South America, Eastern Europe and Asia. Failure to deliver quality products that meet customer needs ahead of competitors could have a significant adverse effect on the Company's business.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 or cost-effective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is seasonal and weather conditions could reduce the Company's net sales.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manufactures metal and glass packaging primarily for the beverage and food can market. Its sales can be affected by weather conditions. Due principally to the seasonal nature of the soft drink, brewing, iced tea and other beverage industries, in which demand is stronger during the summer months, sales of the Company's products are expected to vary by quarter and by region. Unseasonably cool weather can reduce consumer demand for certain beverages packaged in the Company's containers. In addition, poor weather conditions that reduce crop yields of packaged foods can decrease customer demand for its food containers.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of the Company's goodwill would require a write down of goodwill, which would reduce the Company's net income in the period of any such write down. At December 31, 2023, the carrying value of the Company's goodwill was $3.1 billion. The Company is required to evaluate goodwill reflected on its balance sheet at least annually or when circumstances indicate a potential impairment. If it determines that the goodwill is impaired, the Company would be required to write off a portion or all of the goodwill.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workforce is unionized, and a prolonged work stoppage or strike at any facility with unionized employees could increase costs and prevent the Company from supplying its customers. In addition, upon the expiration of existing collective bargaining agreements, the Company may not reach new agreements without union or works council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or works council representation in the future.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the Company's intellectual property rights may negatively impact its ability to compete.</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the Company is unable to maintain the proprietary nature of its technologies, its competitors may use its technologies to compete with it. The Company has a number of patents covering various aspects of its products, including its SuperEnd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beverage can end, whose primary patent expired in 2016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International Operations</w:t>
      </w:r>
    </w:p>
    <w:p>
      <w:pPr>
        <w:spacing w:after="0" w:line="2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international operations, which generated approximately 63% of its consolidated net sales in 2023, are subject to various risks that may lead to decreases in its financial results, particularly in the case of the Company's operations in emerging markets.</w:t>
      </w:r>
    </w:p>
    <w:p>
      <w:pPr>
        <w:spacing w:after="0" w:line="17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Company is an international company, and the risks associated with operating in non-U.S. jurisdictions, and with operating and seeking to expand business in a number of different regions and countries generally, exposes the Company to potentially conflicting cultural practices, business practices and legal and regulatory requirements and may have a negative impact on the Company’s liquidity and net income. The Company's international operations generated approximately 63% of its consolidated net sales in the years ended 2023, 2022 and 2021. In addition, the Company’s business strategy includes continued expansion of international activities, including within developing markets and areas, such as the Middle East, South America, Eastern Europe and Asia, that may pose political and economic volatility and instability, greater vulnerability to infrastructure and labor disruptions and differing local customer product preferences and requirements than the Company’s other markets. The Company’s expansion efforts may also use capital and other resources of the Company that could be invested in other areas. Further, if a downturn in economic conditions ultimately leads to a significant devaluation of a foreign currency such as the euro, the value of any financial assets that are denominated in that currency may be reduced when translated to U.S. dollars for financial reporting purposes. Any of these conditions could ultimately harm the Company’s overall business, prospects, operating results, financial condition and cash flows.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Emerging markets are a focus of the Company’s international growth strategy, and the Company’s success in developing market share and operating profitably in these markets is critical to the Company’s growth. The developing nature of these markets and the nature of the Company’s international operations generally are subject to various risks, including:</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restrictive trade policies;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regulation (including with respect to product labelling, privacy, data protection and advanced technologies) and policy changes by foreign agencies or governments;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or government royalties, including the imposition or increase of withholding and other taxes on remittances and other payments by non-U.S.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import/export control and other trade compliance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risks and exchange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international accounts receivable and potentially longer payment cycles;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in maintaining international manufacturing and marketing efforts;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non-tariff barriers and higher duty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expatriating or repatriating cash generated or held abroad in a tax-efficient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obligations and intellectual property rights and difficulties in protecting intellectual property or sensitive commercial and operations data or information technology systems generally;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regional labor strikes and work stoppages;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language and cultural differences between personnel in different areas of the world;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social benefit costs for labor, including costs associated with restructurings;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or political, social, legal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boycotts, including with respect to the products of the Company's multi-national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supplier, and investor concerns regarding operations in areas such as the Middle East;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of property by nationalization or expropriation without fair compensation;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limitations on conversions of foreign currencies into dollars or payment of dividends and other payments by non-U.S. subsidiaries;</w:t>
      </w:r>
    </w:p>
    <w:p>
      <w:pPr>
        <w:spacing w:after="0" w:line="6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hyperinflation and currency devaluation in any country where such currency devaluation could affect the amount of cash generated by operations in that country and thereby affect the Company's ability to satisfy its obligations;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geographical concentration of the Company’s factories and operations and regional shifts in its customer base;</w:t>
      </w:r>
    </w:p>
    <w:p>
      <w:pPr>
        <w:spacing w:after="0" w:line="35" w:lineRule="exact"/>
        <w:rPr>
          <w:rFonts w:ascii="Arial" w:cs="Arial" w:eastAsia="Arial" w:hAnsi="Arial"/>
          <w:sz w:val="22"/>
          <w:szCs w:val="22"/>
          <w:color w:val="auto"/>
        </w:rPr>
      </w:pPr>
    </w:p>
    <w:p>
      <w:pPr>
        <w:ind w:left="660" w:right="18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(such as the ongoing military conflict between Russia and Ukraine, and the Israel - Hamas conflict, and other hostilities in the Middle-East), civil disturbance, global or regional catastrophic events, natural disasters, and acts of terrorism;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pandemics, and other disease outbreaks and health crises (such as the possible reemergence of the COVID-19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managing global operations; and</w:t>
      </w:r>
    </w:p>
    <w:p>
      <w:pPr>
        <w:spacing w:after="0" w:line="49" w:lineRule="exact"/>
        <w:rPr>
          <w:rFonts w:ascii="Times New Roman" w:cs="Times New Roman" w:eastAsia="Times New Roman" w:hAnsi="Times New Roman"/>
          <w:sz w:val="18"/>
          <w:szCs w:val="18"/>
          <w:color w:val="auto"/>
        </w:rPr>
      </w:pPr>
    </w:p>
    <w:p>
      <w:pPr>
        <w:ind w:left="660" w:right="24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applicable anti-corruption, anti-bribery laws and anti-money laundering laws and sanctions; and continuing legal, political and economic uncertainty following Brexit.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 Furthermore, the continuing and accelerating globalization of businesses in emerging markets and elsewhere could significantly change the dynamics of the Company’s competition, customer base and product offerings, which could adversely affect the Company’s financial position.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the effects of fluctuations in foreign exchange rates, which may reduce its net sales and cash flow.</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63% of its consolidated net sales in the years ended 2023, 2022 and 2021. Volatility in exchange rates may increase the costs of the Company's products, impair the purchasing power of its customers in different markets, result in significant competitive benefit to certain of its competitors who incur a material part of their costs in other currencies than it does, increase its hedging costs, and limit its ability to hedge exchange rate exposure.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year-ended December 31, 2023, a 0.10 movement in the average euro rate would have reduced net income by approximately $5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Indebtedness and Liquidity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substantial indebtedness of the Company could prevent it from fulfilling its obligations under its debt agreements.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facilities, to enable it to repay its indebtedness or to fund other liquidity needs. As of December 31, 2023, the Company and its subsidiaries had approximately $7.5 billion of indebtedness, excluding unamortized discounts and debt issuance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current sources of liquidity includes a securitization facility with a program limit up to a maximum of $800 million that expires in July 2025, a securitization facility with a program limit of $230 million that expires in November 2025, and a securitization facility with a program limit of $160 million that expires in November 2025. Additional sources of the Company's liquidity include borrowings under its $1,650 million revolving credit facilities that mature in August 2027.</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indebtedness includes its €600 million ($663 million at December 31, 2023) 2.625% senior notes due in September 2024; its €600 million ($663 million at December 31, 2023) 3.375% senior notes due in May 2025; its $875 million 4.75% senior notes due in February 2026; its €500 million ($552 million at December 31, 2023) 2.875% senior notes due in February 2026; its $400 million 4.25% senior notes due in September 2026; its $350 million 7.375% senior notes due in December 2026; its €500 million ($552 million at December 31, 2023) 5.00% senior notes due in May 2028; its €500 million ($552 million at December 31, 2023) 4.75% senior notes due in March 2029; its $500 million 5.25% senior notes due in August 2030; its $40 million 7.50% senior notes due in December 2096; and its $185 million of other indebtedness in various currencies due at various dates through 2027. In addition, the Company’s term loan facilities mature as follows: $15 million in 2024, $22 million in 2025, $30 million in 2026, $2,097 million in 2027.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substantial indebtedness of the Company could:</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 including rising interest rates;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Company from making strategic acquisitions or exploiting business opportunities, including any planned expansion in emerging markets;</w:t>
      </w:r>
    </w:p>
    <w:p>
      <w:pPr>
        <w:spacing w:after="0" w:line="19"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under the Company's debt agreements, the Company's ability to obtain additional financing, dispose of assets or pay cash dividends;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sell assets used in its business;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cost of borrowing;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the industry in which it operates;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compared to its competitors that have less debt.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approximately $2.2 billion of the Company's $7.5 billion of total indebtedness and other outstanding obligations and $1.1 billion of securitization and factoring programs were subject to floating interest rates. Changes in economic conditions could result in higher interest rates, thereby increasing the Company's interest expense and reducing funds available for operations or other purposes. The Company's annual interest expense was $436 million, $284 million and $253 million for 2023, 2022 and 2021, respectively. Based on the amount of variable rate debt outstanding and securitization and factoring at December 31, 2023, a 0.25% increase in variable interest rates would increase its annual interest expense by approximately $8 million before tax. Accordingly, the Company may experience economic losses and a negative impact on earnings as a result of interest rate fluctuation. The actual effect of a 0.25% increase in these floating interest rates could be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 than $8 million as the Company’s average borrowings on its variable rate debt and securitization and factoring may be higher during the year than the amount at December 31, 2023.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debt agreements governing the Company's current or future indebtedness could restrict the Company's operating flexibility.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repurchase capital stock, repurchase subordinated debt and make certain investments or loans;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and engage in sale and leaseback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and other amounts to the Company from subsidiaries;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accounting treatment and reporting practices;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acquire assets, enter into leaseback transactions and merge or consolidate with or into other companies;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the Company or the failure by the Company to maintain any of these ratios or meet any of these conditions could result in a default under any or all of such indebtedness. If a default occurs under any such indebtedness, all of the outstanding obligations thereunder could become immediately due and payable, which could result in a default under the Company's other outstanding debt and could lead to an acceleration of obligations related to the Company's senior secured credit facilities, outstanding notes and other outstanding debt. The ability of the Company to comply with these covenants and the covenants in agreements it may enter into in the future can be affected by events beyond its control and, therefore, it may be unable to satisfy its obligations under its debt agreements.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 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Adding new debt to current debt levels or making otherwise restricted payments could intensify the related risks that the Company and its subsidiaries now face.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 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sponsors various pension plans worldwide, with the largest funded plans in the U.S. and Canada. In 2023, 2022 and 2021, the Company contributed $19 million, $24 million, and $236 million to its pension plans. The 2021 contributions included a $216 million contribution to its U.K. pension plan in advance of full settlement of the plan's obligations. Pension expense was $64 million and is expected to be $56 million in 2024, using foreign currency exchange rates in effect at December 31, 2023. A 0.50% change in the 2024 expected rate of return assumptions would change 2024 pension expense by approximately $6 million. A 0.50% change in the discount rates assumptions as of December 31, 2023 would change 2024 pension expense by approximately $3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 assumptions, the Company expects to make pension contributions of $43 million in 2024, $55 million in 2025, $46 million in 2026, $36 million in 2027 and $55 million in 2028.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plans, and the Company's pension expense may increase. In addition, certain of the Company's pension and postretirement plans are unfunded.</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U.S. funded pension plan is subject to the Employee Retirement Income Security Act of 1974, or ERISA. Under ERISA, the Pension Benefit Guaranty Corporation, or PBGC, has the authority to terminate an underfunded plan under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certain circumstances. In the event its U.S. pension plan is terminated for any reason while the plan is underfunded, the Company will incur a liability to the PBGC that may be equal to the entire amount of the underfunding, which under certain circumstances may be senior to the Company's outstanding notes. In addition, as of December 31, 2023 the unfunded accumulated postretirement benefit obligation, as calculated in accordance with U.S. generally accepted accounting principles, for retiree medical benefits was approximately $107 million, based on assumptions set forth under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to the Company's audited consolidated financial statements in this Annual Report.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manages our various pension plan liabilities through the opportunistic purchase of annuity insurance contracts for portions of outstanding defined pension obligations using plan assets. Future annuity purchase contracts could be significant and result in the Company making additional pension contributions and recording pension settlement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Litigation and Regulatory Matters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litigation risks which could negatively impact its operations and net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million.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intends to appeal the decision of the FCA and there can be no assurance regarding the outcome of such appeal.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a wholly-owned subsidiary of the Company,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2023, Crown Cork's accrual for pending and future asbestos-related claims and related legal costs was $204 million, including $158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Crown Cork received approximately 1,500 new claims, settled or dismissed approximately 500 claims, and had approximately 58,500 claims outstanding at the end of the period. Of the Company's outstanding claims, approximately 18,000 claims relate to claimants alleging first exposure to asbestos after 1964 and approximately 40,500 relate to claimants alleging first exposure to asbestos before or during 1964, of which approximately 13,000 were filed in Texas, 1,500 were filed in Pennsylvania, 6,000 were filed in other states that have enacted asbestos legislation and 20,000 were filed in other states. The outstanding claims at December 31, 2023 also exclude approximately 19,000 inactive claims, as well as claims in Texas filed after June 11, 2003.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 arising from these defenses will not increase materially.</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made cash payments of $17 million, $21 million and $19 million in 2023, 2022 and 2021 to settle asbestos claims and pay related legal and defense costs. These payments and any such future payments will reduce the cash flow available to Crown Cork for its business operations and debt payments.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 Further information regarding Crown's Cork's asbestos-related liabilities is presented within “Management's Discussion and Analysis of Financial Condition and Results of Operations” under the headings, “Provision for Asbestos” and “Critical Accounting Policies and Estimates” and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Company's audited consolidated financial statements included in this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costs and liabilities related to stringent environmental and health and safety standards.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The European Union and Canada have banned the use of bisphenol-A in baby bottles, and the U.S. Environmental Protection Agency ("EPA") has considered adding bisphenol-A, which it has described as a potential reproductive, developmental, and systemic toxicant, to the chemical concern list and using its Design for the Environment program to encourage reductions in bisphenol-A manufacturing and use. Certain other nations, including Denmark, Belgium, the Netherlands, Canada and France, have implemented or considered implementing legislation restricting the use of bisphenol-A, including imposing product labeling requirements or restrictions on the importation and placement in the market of packaging and utensils containing bisphenol-A, and the European Food Safety Authority has recommended that the tolerable daily intake of bisphenol-A be lowered. Domestic and international, federal, state, municipal or other regulatory authorities could further restrict or prohibit the use of bisphenol-A in the future. In addition,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bisphenol-A and conversion to alternatives is underway in some applications, there can be no assurance the Company will be completely successful in its efforts or that the alternatives will not be more costly to the Company.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U.S. and abroad, must comply with these laws and regulations. In addition, a number of governmental authorities in the U.S.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of both climate change and climate change regulation is uncertain.</w:t>
      </w:r>
    </w:p>
    <w:p>
      <w:pPr>
        <w:spacing w:after="0" w:line="21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evolving laws, regulations and market trends in response to climate change could adversely affect the business and operations of the Company.</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incur significant costs and experience operational disruptions as a result of increases in the frequency, severity or duration of severe weather events caused by climate change (including thunderstorms, hurricanes, blizzards, wildfires, flooding, typhoons and tornados), and may incur additional costs to prepare for, respond to and mitigate the effects of climate change. Furthermore, in the event that severe weather events, temperature shifts, or coastline changes resulting from climate change adversely impact crop yields for fruits and vegetables, our customers’ demand for our products may be reduced due to customers’ inability to make products that require packaging in the first instance. The Company is not able to accurately predict the materiality of any potential losses or costs associated with the effects of climate change. The impact of climate change may also vary by geographic location and other circumstances, including weather patterns and any impact to natural resources such as water.</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governmental authorities both in the U.S. and abroad also have enacted, or are considering, legal requirements relating to environmental conservation and sustainability, energy efficiency deforestation, greenhouse gas emissions, climate change and product stewardship, including mandating recycling, the use of recycled materials and/or limitations on certain kinds of packaging materials such as plastics. The SEC has also proposed rules which could significantly expand climate-related disclosure obligations.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and/or energy drinks have been enacted in France, the U.K., Poland, Portugal, Hungary, India and Saudi Arabia. Some state and local governments are also considering similar taxes, and several U.S. cities, including in California, Pennsylvania and Colorado,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and materially adversely affect the Company's business and financial results.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manufactures and sells metal and glass packaging primarily for the beverage and food can market. As a result, many of the Company's products come into direct contact with beverages and food. Accordingly, the Company's products must comply with various laws and regulations for beverages and food applicable to its customers. Changes in such laws and regulations, such as the sugary-drink taxes discussed above,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incurrence of additional costs. Additionally, because many of the Company's products are used to package consumer goods, the Company is subject to a variety of risks that could influence consumer behavior and negatively impact demand for the Company's products, including changes in consumer preferences driven by various health-related concerns and perceptions.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taxation requirements and other law could negatively affect the Company's financial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Company's products are subject to import and excise duties and/or sales or value-added taxes in many jurisdictions in which it operates.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indirect taxes could affect the Company's products' affordability and therefore reduce demand for its products.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 major customer and/or customer consolidation could reduce the Company's net sales and profitability.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 In addition, customer concentration could expose the Company to increased credit risk if large customers were unable to fulfill their payment obligations to the Company.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sales are to companies that have leading market positions in the sale of beverages, packaged food and household products to consumers. The loss of any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 In addition, the Company's relationship with several of its customers, particularly in Transit Packaging, is noncontractual, and as a result its customers may unilaterally reduce their purchases of its products.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 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 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any of which could have a material effect on its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dispositions or investments that the Company is considering, has pursued or may pursue could be unsuccessful, consume significant resources and require the incurrence of additional indebtedness.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completed and may consider acquisitions and investments that complement its existing business or dispositions of portions of its existing business. The actual or potential acquisitions, dispositions and investments, such as the Company's divestiture of its European Tinplate business in August 2021, involve or may involve significant cash expenditures, debt incurrence (including the incurrence of additional indebtedness under the Company's senior secured revolving credit facilities or other secured or unsecured debt), operating losses and expenses and the diversion of management's attention that could have a material effect on the Company's financial condition and operating results.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if the Company incurs additional debt in order to finance an acquisition, the Company's liquidity and financial stability could be impaired as a result of using a significant portion of available cash or borrowing capacity.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dispositions involve numerous other risks, including:</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operations, technologies and personnel of the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and complexities that may arise due to unfamiliarity with new assets, businesses or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ongoing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of fair value made in the accounting for acquisitions and amortization of acquired intangible assets which would reduce future reported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financing for the new acquisition or investment opportunities and the Company's existing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or obligation to divest portions of an acquired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successfully bifurcating operations that involve both remaining and departing personnel in divestiture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new geographic regions or discontinued operations in legacy regions;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and growth prospects;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contractual relationships, suppliers or customers of the acquired businesses or of the Company;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required anti-trust and other regulatory approvals.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the Company pursues an acquisition or disposition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 fails to retain key management and personnel, the Company may be unable to implement its business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 which could result in unexpected increased costs to the Company for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its information technology, and potential cyber-attack, data breach or other failure or disruption of its information technology could disrupt its operations and adversely affect its results of operations.</w:t>
      </w:r>
    </w:p>
    <w:p>
      <w:pPr>
        <w:spacing w:after="0" w:line="1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telecommunication failures, user errors or catastrophic events. In addition, cybersecurity related risks including security breaches and cyber-attacks such as computer viruses, denial-of-service attacks, malicious code (including ransomware), social-engineering attacks (including phishing attacks) or other</w:t>
      </w:r>
    </w:p>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security breaches could result in unauthorized disclosure or misappropriation of the Company’s confidential information. These threats also may be further enhanced in frequency or effectiveness through threat actors’ use of artificial intelligence.</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or physical property through security breach, and reputational harm, as well as potential litigation, civil</w:t>
      </w:r>
    </w:p>
    <w:p>
      <w:pPr>
        <w:jc w:val="both"/>
        <w:spacing w:after="0" w:line="230" w:lineRule="auto"/>
        <w:rPr>
          <w:sz w:val="20"/>
          <w:szCs w:val="20"/>
          <w:color w:val="auto"/>
        </w:rPr>
      </w:pPr>
      <w:r>
        <w:rPr>
          <w:rFonts w:ascii="Times New Roman" w:cs="Times New Roman" w:eastAsia="Times New Roman" w:hAnsi="Times New Roman"/>
          <w:sz w:val="18"/>
          <w:szCs w:val="18"/>
          <w:color w:val="auto"/>
        </w:rPr>
        <w:t>liability and fines under various laws and regulatory regimes of jurisdictions in which the Company does business. While the Company has security measures in place designed to protect the integrity of customer information and prevent data loss, misappropriation, and other security breaches, the Company's information technology systems could nevertheless be penetrated by outside parties intent on extracting information, corrupting information or disrupting business processes (including for purposes of ransom demands or other forms of blackmail), particularly if the Company's information security training and compliance programs prove to be inadequate. In addition, if the Company's information technology systems suffer severe damage, disruption or shutdown and the Company's business continuity plans do not effectively resolve the issues in a timely manner, the Company may lose customers and suppliers and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and it may suffer indirect economic loss if its existing insurance policies and coverage related to information security risks prove to be insufficient. Failure or disruption of the Company's information technology systems, or the back-up systems, for any reason could disrupt the Company's operations and negatively impact the Company's cash flows or financial condition.</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Sentiment towards climate change, sustainability and other ESG matters could adversely affect the Company’s business, financial condition or results of operations.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announced sustainability goals for its next phase of Sustainability as part of its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Execution of this program and the achievements of the Company’s sustainability goals is subject to risk and uncertainties, many of which are out of the Company’s control. Failure to achieve these sustainability goals within the currently projected costs and expected timeframes could damage the Company’s reputation, customer and investor relationships, or ability to access capital on favorable terms, particularly given investors’ increased focus on ESG matters in recent years, and in turn could adversely affect the Company’s business, financial condition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operations and financial position have been and may continue to be adversely affected by the COVID-19 pandemic.</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ongoing global outbreak of COVID-19 has caused and may continue to cause business slowdowns and shutdowns and turmoil in the financial markets both in the U.S. and abroad. The Company’s results of operations, cash flows and financial position or the Company’s ability to execute its short- and long-term business strategies and initiatives could be impacted by a reemergence of COVID-19 or another pandemic event. The magnitude of the ultimate impact the reemergence of COVID-19 or another pandemic event would have on the Company will depend on numerous factors and cascading effects of the pandemic that the Company is not able to predict, including the extent and duration of an outbreak’s direct and indirect effect on consumer confidence and spending, customer demand, buying patterns, and work practices and on the Company’s supply chain. The impact of the reemergence of COVID-19 may also exacerbate other risk factors discussed in Item 1A of this Annual Report, any of which could have a material effect on the Company.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UNRESOLVED STAFF COMMENTS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1C.</w:t>
      </w:r>
      <w:r>
        <w:rPr>
          <w:sz w:val="20"/>
          <w:szCs w:val="20"/>
          <w:color w:val="auto"/>
        </w:rPr>
        <w:tab/>
      </w:r>
      <w:r>
        <w:rPr>
          <w:rFonts w:ascii="Times New Roman" w:cs="Times New Roman" w:eastAsia="Times New Roman" w:hAnsi="Times New Roman"/>
          <w:sz w:val="17"/>
          <w:szCs w:val="17"/>
          <w:u w:val="single" w:color="auto"/>
          <w:color w:val="auto"/>
        </w:rPr>
        <w:t>CYBERSECURITY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Management &amp; Strategy</w:t>
      </w:r>
    </w:p>
    <w:p>
      <w:pPr>
        <w:spacing w:after="0" w:line="3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integrated into the Company’s overall risk management program. The Company has established a cyber risk management program that identifies and manages risks to our information assets that could be affected by a cyberattack. The Company leverages both internal and external threat detection and response capabilities, combined with a people-centric approach to employee awareness and engagement. The Company considers risks related to people, processes, and technology including those associated with our third-party service providers and allocates resources to maintain and enhance our cybersecurity measures.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engages external third-party security assessment vendors, both on a recurring basis and as needed, to perform realistic adversarial threat attacks (penetration testing) on our internal and external environments leveraging the International Organization for Standardization (ISO) cybersecurity frameworks. These third-party experts provide impartial, objective, and strategic evaluations of our cybersecurity posture, identifying critical vulnerabilities and recommending improvements.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through the date of this filing, we are not aware of any cybersecurity incidents that have materially impacted the Company, we cannot eliminate all risks from cybersecurity threats. We describe whether and how risks related to cybersecurity threats are reasonably likely to materially affect us, including our business strategy, results of operations, or financial condition, in Item 1A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Cybersecurity Governance</w:t>
      </w:r>
    </w:p>
    <w:p>
      <w:pPr>
        <w:spacing w:after="0" w:line="3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senior leadership has top-level responsibility for management of information security risk. The Company has established a dedicated, globally focused cybersecurity team led by its Chief Information Security Officer (CISO), who brings over 20 years of experience in the field of cybersecurity and IT operations. The CISO is responsible for overseeing the entire global cybersecurity program, which encompasses cyber risk management, operations, strategic planning, and compliance with cybersecurity policies and regulations. Crown's cybersecurity team maintains collaboration with other cross functional teams to assess and manage cybersecurity risks. This approach enables the Company to align cybersecurity efforts with broader business objectives and respond to emerging threats. Additionally, Crown’s Board of Directors, along with the Crown Chief Executive Officer, Chief Operating Officer, Chief Financial Officer, and General Counsel oversee the identification, assessment, and management of cybersecurity risks.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of a cyber incident with significant or material impact, the CISO would escalate to senior leadership and depending upon the severity and scope of any cyber incident, the Company will invoke its Corporate Crisis management plan.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regular reporting schedule, the CISO provides updates on cybersecurity risk and mitigation efforts to senior leadership, board, and members of the Audit Committee. The Audit Committee, which is tasked with oversight of certain risk issues, including information security risk, receives two to four reports annually from the Company’s senior leadership, including the CISO, that includes an information security dashboard and discussion of emerging risks and trends. The Audit Committee then briefs the Board on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PROPERTIES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operated 195 facilities in 39 countries. The principal manufacturing facilities at December 31, 2023 are listed below and are grouped by segment. 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 The Company leased 65 of its manufacturing facilities at 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productivity improvements and cost reduction efforts in recent years have focused on upgrading and modernizing facilities to reduce costs, improve efficiency and productivity. The Company has also opened new facilities to meet increases in market demand for its products. These actions reflect the Company’s continued commitment to align manufacturing facilities to maintain its competitive position in its markets.</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Utilization of any particular facility varies based upon product demand. While it is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Americas, Transit Packaging and Corporate headquarters are in Tampa, Florida. Its European headquarters is in Baar, Switzerland and its Asia Pacific headquarters is in Singapore. The Company maintains a research facility in Wantage, England.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Americas Beverage</w:t>
            </w:r>
          </w:p>
        </w:tc>
        <w:tc>
          <w:tcPr>
            <w:tcW w:w="17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European Beverage</w:t>
            </w:r>
          </w:p>
        </w:tc>
        <w:tc>
          <w:tcPr>
            <w:tcW w:w="222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3620" w:type="dxa"/>
            <w:vAlign w:val="bottom"/>
            <w:tcBorders>
              <w:top w:val="single" w:sz="8" w:color="auto"/>
              <w:bottom w:val="single" w:sz="8" w:color="auto"/>
              <w:right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Transit Packaging</w:t>
            </w:r>
          </w:p>
        </w:tc>
        <w:tc>
          <w:tcPr>
            <w:tcW w:w="186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182"/>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Kankakee, 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Custines, France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Phnom Penh, Cambodia (2)</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Rainbow City, AL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Toluca, Mexico</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Norwalk, CT (T)</w:t>
            </w:r>
          </w:p>
        </w:tc>
      </w:tr>
      <w:tr>
        <w:trPr>
          <w:trHeight w:val="19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Bowling Green, KY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Saarlouis, Germany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Sihanoukville, Cambodia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Benton, AR</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Virton, Belgium</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Dubuque, IA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Mankato, MN</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Korinthos, Greece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Hangzhou, China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Fordyce, AR</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Kardjali, Bulgaria</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Alsip, IL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Batesville, MS</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Parma, Italy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Henan,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Sheridan, AR</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Noerresundby, Denmark</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Decatur, IL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Mesquite, NV</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Amman, Jordan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Heshan, China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Phoenix, AZ</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Soenderborg, Denmark (2)</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Belcamp, MD (S)</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Nichols, NY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Dammam, Saudi Arabia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Huizhou,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Point, CA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Liljendal, Finland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Faribault, MN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Dayton, OH</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Jeddah, Saudi Arabia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Qingdao Chengyan,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Stockton, CA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Masku, Finland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Owatonna, MN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Cheraw, SC</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Kosice, Slovakia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Shanghai,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Carrollton,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Castelsarrasin, 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Massillon, OH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Conroe, TX</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Agoncillo, Spain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Tianjin,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Douglasville,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Fontaine les Luxeuil,</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Mill Park, OH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Fort Bend, TX</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Sevilla, Spain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Ziyang, China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LaGrange,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Connellsville, PA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Martinsville, VA</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Valencia, Spain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Karawang, Indonesia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Macon,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Manneville sur Risle,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Hanover, PA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Winchester, VA</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El Agba, Tunisia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Bangi, Malaysia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Bridgeview, 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Trevose, PA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Olympia, WA</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Izmit, Turkey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Yangon, Myanmar</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Dixmoor, 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Dinslaken,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Spartanburg, SC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 Crosse, WI</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Osmaniye, Turkey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Singapore</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Kankakee, IL (2)</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Goldkronach,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Suffolk, VA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Worland, WY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Dubai, UAE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Singapore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Roselle, 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Hilden,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Chippewa Falls, WI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Cabreuva, Brazil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Botcherby, U.K.</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Bangpoo,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Elkhart, IN</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Neunkirchen,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Oshkosh, WI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Teresina, Brazil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Peterborough, U.K.</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Hat Yai,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Gary, IN</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Nurnberg,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Kingston, Jamaica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Estancia,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Nakhon Pathom,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Florence, KY</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Weischlitz,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La Villa, Mexico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Manaus,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Nong Khae, Thailand (2)</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Monroe, LA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Gorey, Ireland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Barbados, West Indies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Ponta Grossa,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Samrong,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Brighton, MI</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Waterford, Ireland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Shipley, U.K.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Rio Verde,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Songkhla,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Eden, NC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Nairobi, Kenya</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Wortley, U.K.</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Uberaba,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Danang,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Salisbury, NC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Heerlen, Netherlands</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Calgary, Canada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Dong Nai, Vietnam (2)</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Newark, NJ</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Nuenen, Netherlands</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Ontario, Canada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Hanoi,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Cleveland, OH</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Zwijndrecht, Netherlands</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Santafe de Bogota,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Vung Tau,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Loveland, OH</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Kosice, Slovakia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Colombia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Chester, OH</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Burseryd,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Acayucan,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Elizabethtown,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Hjo,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Chihuahua,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Hazleton,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Sandared,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Ensenada,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Imperial,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Ystad,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Guadalajara,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Canaan,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Dietikon, Switzerland (2)</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Monterrey, Mexico (2)</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Providence, RI</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Merenschwand, Switzerland</w:t>
            </w:r>
          </w:p>
        </w:tc>
        <w:tc>
          <w:tcPr>
            <w:tcW w:w="1860" w:type="dxa"/>
            <w:vAlign w:val="bottom"/>
            <w:tcBorders>
              <w:right w:val="single" w:sz="8" w:color="auto"/>
            </w:tcBorders>
          </w:tcPr>
          <w:p>
            <w:pPr>
              <w:spacing w:after="0"/>
              <w:rPr>
                <w:sz w:val="17"/>
                <w:szCs w:val="17"/>
                <w:color w:val="auto"/>
              </w:rPr>
            </w:pPr>
          </w:p>
        </w:tc>
      </w:tr>
      <w:tr>
        <w:trPr>
          <w:trHeight w:val="202"/>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Orizaba,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Darlington, SC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Izmir, Turkey</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Toluca,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Greer, SC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Kocaeli, Turkey</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Latta, SC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Dudley, U.K.</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Orange, TX</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Wisbech, U.K. (2)</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 Antonio, TX</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Derrimut, Australia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Danville,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Kurri Kurri, Australia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Forest,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Qingdao, China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Martinsville,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Bangalore, India (4)</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Rustburg,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Dahej,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Woodland, WA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Rudrapur,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Cabreuva, Brazil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Rudraram,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Halton Hills,</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Silvassa,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 (2)</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Pohang, South Korea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Amatlan de los Reyes,</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Sriracha, Thailand</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2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Cienega de Flores,</w:t>
            </w:r>
          </w:p>
        </w:tc>
        <w:tc>
          <w:tcPr>
            <w:tcW w:w="2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2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properties above, with the exception of Transit Packaging, are beverage facilities unless otherwise indicated by the following: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Aerosol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 Food and closure</w:t>
      </w:r>
    </w:p>
    <w:p>
      <w:pPr>
        <w:spacing w:after="0" w:line="1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Promotional packaging</w:t>
      </w:r>
    </w:p>
    <w:p>
      <w:pPr>
        <w:spacing w:after="0" w:line="14" w:lineRule="exact"/>
        <w:rPr>
          <w:rFonts w:ascii="Times New Roman" w:cs="Times New Roman" w:eastAsia="Times New Roman" w:hAnsi="Times New Roman"/>
          <w:sz w:val="14"/>
          <w:szCs w:val="14"/>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Specialty packaging</w:t>
      </w:r>
    </w:p>
    <w:p>
      <w:pPr>
        <w:spacing w:after="0" w:line="14" w:lineRule="exact"/>
        <w:rPr>
          <w:rFonts w:ascii="Times New Roman" w:cs="Times New Roman" w:eastAsia="Times New Roman" w:hAnsi="Times New Roman"/>
          <w:sz w:val="14"/>
          <w:szCs w:val="14"/>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Tooling and equipment</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7"/>
          <w:szCs w:val="17"/>
          <w:u w:val="single" w:color="auto"/>
          <w:color w:val="auto"/>
        </w:rPr>
        <w:t>LEGAL PROCEEDINGS</w:t>
      </w:r>
    </w:p>
    <w:p>
      <w:pPr>
        <w:spacing w:after="0" w:line="347"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2023, the accrual for pending and future asbestos claims and related legal costs that are probable and estimable was $204 million.</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been identified by the EPA as a potentially responsible party (along with others, in most cases) at a number of sites.</w:t>
      </w:r>
    </w:p>
    <w:p>
      <w:pPr>
        <w:spacing w:after="0" w:line="171"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line="205"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MINE SAFETY DISCLOSURES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INFORMATION ABOUT OUR EXECUTIVE OFFICERS</w:t>
      </w:r>
    </w:p>
    <w:p>
      <w:pPr>
        <w:spacing w:after="0" w:line="252" w:lineRule="exact"/>
        <w:rPr>
          <w:sz w:val="20"/>
          <w:szCs w:val="20"/>
          <w:color w:val="auto"/>
        </w:rPr>
      </w:pPr>
    </w:p>
    <w:p>
      <w:pPr>
        <w:jc w:val="both"/>
        <w:ind w:left="60" w:right="20"/>
        <w:spacing w:after="0" w:line="282" w:lineRule="auto"/>
        <w:rPr>
          <w:sz w:val="20"/>
          <w:szCs w:val="20"/>
          <w:color w:val="auto"/>
        </w:rPr>
      </w:pPr>
      <w:r>
        <w:rPr>
          <w:rFonts w:ascii="Times New Roman" w:cs="Times New Roman" w:eastAsia="Times New Roman" w:hAnsi="Times New Roman"/>
          <w:sz w:val="18"/>
          <w:szCs w:val="18"/>
          <w:color w:val="auto"/>
        </w:rPr>
        <w:t>Information concerning the principal executive officers of the Company, including their ages and positions, is set forth in “Directors, Executive Officers and Corporate Governance” of this Annual Report.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54" w:lineRule="exact"/>
        <w:rPr>
          <w:sz w:val="20"/>
          <w:szCs w:val="20"/>
          <w:color w:val="auto"/>
        </w:rPr>
      </w:pPr>
    </w:p>
    <w:p>
      <w:pPr>
        <w:ind w:left="1400" w:right="80" w:hanging="1322"/>
        <w:spacing w:after="0" w:line="250" w:lineRule="auto"/>
        <w:tabs>
          <w:tab w:leader="none" w:pos="13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8"/>
          <w:szCs w:val="18"/>
          <w:u w:val="single" w:color="auto"/>
          <w:color w:val="auto"/>
        </w:rPr>
        <w:t>MARKET FOR REGISTRANT’S COMMON EQUITY, RELATED STOCKHOLDER MATTERS AND ISSUER PURCHASES OF EQUITY SECURITIES</w:t>
      </w:r>
    </w:p>
    <w:p>
      <w:pPr>
        <w:spacing w:after="0" w:line="311"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 xml:space="preserve">The Registrant’s common stock is listed on the New York Stock Exchange under ticker symbol CCK. On February 26, 2024 there were 3,417 registered shareholders of the Registrant’s common stock, including 858 shareholders of common stock does not include persons holding stock through clearinghouse systems. Details regarding the Company’s policy as to payment of cash dividends and repurchase of shares are set forth under </w:t>
      </w:r>
      <w:r>
        <w:rPr>
          <w:rFonts w:ascii="Times New Roman" w:cs="Times New Roman" w:eastAsia="Times New Roman" w:hAnsi="Times New Roman"/>
          <w:sz w:val="18"/>
          <w:szCs w:val="18"/>
          <w:u w:val="single" w:color="auto"/>
          <w:color w:val="0000FF"/>
        </w:rPr>
        <w:t>Note T</w:t>
      </w:r>
      <w:r>
        <w:rPr>
          <w:rFonts w:ascii="Times New Roman" w:cs="Times New Roman" w:eastAsia="Times New Roman" w:hAnsi="Times New Roman"/>
          <w:sz w:val="18"/>
          <w:szCs w:val="18"/>
          <w:color w:val="auto"/>
        </w:rPr>
        <w:t xml:space="preserve"> 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purchases of equity securities during the three months ending December 31, 2023.</w:t>
      </w:r>
    </w:p>
    <w:p>
      <w:pPr>
        <w:spacing w:after="0" w:line="252"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In December 2021, the Company's Board of Directors authorized the repurchase of an aggregate amount of $3.0 billion of Company common stock through the end of 2024. As of December 31, 2023, the Company could still purchase $2.3 billion of the Company common stock through this program. Share repurchases under the Company's program may be made in the open market or through privately negotiated transactions, and at times and in such amounts as management deems appropriate.</w:t>
      </w: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color w:val="auto"/>
        </w:rPr>
        <w:t>[RESERVED]</w:t>
      </w:r>
    </w:p>
    <w:p>
      <w:pPr>
        <w:sectPr>
          <w:pgSz w:w="11900" w:h="16838" w:orient="portrait"/>
          <w:cols w:equalWidth="0" w:num="1">
            <w:col w:w="11300"/>
          </w:cols>
          <w:pgMar w:left="26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type w:val="continuous"/>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COMPARATIVE STOCK PERFORMANCE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Comparison of Five-Year Cumulative Total Return (b)</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5715</wp:posOffset>
            </wp:positionV>
            <wp:extent cx="5863590" cy="3034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Holdings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U.S. Containers &amp; Packaging Index</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00" w:lineRule="exact"/>
        <w:rPr>
          <w:sz w:val="20"/>
          <w:szCs w:val="20"/>
          <w:color w:val="auto"/>
        </w:rPr>
      </w:pPr>
    </w:p>
    <w:p>
      <w:pPr>
        <w:spacing w:after="0" w:line="353" w:lineRule="exact"/>
        <w:rPr>
          <w:sz w:val="20"/>
          <w:szCs w:val="20"/>
          <w:color w:val="auto"/>
        </w:rPr>
      </w:pPr>
    </w:p>
    <w:p>
      <w:pPr>
        <w:jc w:val="both"/>
        <w:ind w:left="540" w:hanging="329"/>
        <w:spacing w:after="0" w:line="272" w:lineRule="auto"/>
        <w:tabs>
          <w:tab w:leader="none" w:pos="5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197" w:lineRule="exact"/>
        <w:rPr>
          <w:rFonts w:ascii="Times New Roman" w:cs="Times New Roman" w:eastAsia="Times New Roman" w:hAnsi="Times New Roman"/>
          <w:sz w:val="16"/>
          <w:szCs w:val="16"/>
          <w:color w:val="auto"/>
        </w:rPr>
      </w:pPr>
    </w:p>
    <w:p>
      <w:pPr>
        <w:ind w:left="540" w:hanging="329"/>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the value of the investment in Crown Holdings common stock and each index was $100 on December 31, 2018 and that all dividends were reinvested.</w:t>
      </w:r>
    </w:p>
    <w:p>
      <w:pPr>
        <w:spacing w:after="0" w:line="261" w:lineRule="exact"/>
        <w:rPr>
          <w:rFonts w:ascii="Times New Roman" w:cs="Times New Roman" w:eastAsia="Times New Roman" w:hAnsi="Times New Roman"/>
          <w:sz w:val="16"/>
          <w:szCs w:val="16"/>
          <w:color w:val="auto"/>
        </w:rPr>
      </w:pPr>
    </w:p>
    <w:p>
      <w:pPr>
        <w:ind w:left="540" w:hanging="329"/>
        <w:spacing w:after="0" w:line="280" w:lineRule="auto"/>
        <w:tabs>
          <w:tab w:leader="none" w:pos="4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index is weighted by market capitalization and, as of December 31, 2023, was composed of Crown Holdings, Amcor, AptarGroup, Avery Dennison, Ball, Berry Global, Graphic Packaging, International Paper, Packaging Corp. of America, Sealed Air, Silgan, Sonoco and WestRock.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ind w:right="1540"/>
        <w:spacing w:after="0" w:line="282" w:lineRule="auto"/>
        <w:rPr>
          <w:sz w:val="20"/>
          <w:szCs w:val="20"/>
          <w:color w:val="auto"/>
        </w:rPr>
      </w:pPr>
      <w:r>
        <w:rPr>
          <w:rFonts w:ascii="Times New Roman" w:cs="Times New Roman" w:eastAsia="Times New Roman" w:hAnsi="Times New Roman"/>
          <w:sz w:val="18"/>
          <w:szCs w:val="18"/>
          <w:u w:val="single" w:color="auto"/>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(in millions, except per share, average settlement cost per asbestos claim, employee, shareholder and statistical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results of operations and financial condition of Crown Holdings, Inc. (the "Company") as of and during the three-year period ended December 31, 2023. This discussion should be read in conjunction with the consolidated financial statements included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STRATEGY AND TRENDS</w:t>
      </w:r>
    </w:p>
    <w:p>
      <w:pPr>
        <w:spacing w:after="0" w:line="23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organic and inorganic growth opportunities while returning cash to shareholders through dividends and share repurchases.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Europe, and Southeast Asia. Growth has been driven by new product introductions in North America,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since 2021. In 2023, the impact of higher inflation and interest rates slowed growth in many markets. Based on current market conditions, the Company expects to have the ability to meet expected demand growth with its current installed capital base and expects capital spending to be no more than $500 in 2024.</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targeted net leverage ratio in the range of 3.0x to 3.5x adjusted EBITDA (a non-GAAP measure). At the targeted net leverage level, the Company believes it has the flexibility and resources to fund growth and return excess cash flow to shareholders through dividends and share repurchases. In December 2021, the Board of Directors authorized the repurchase of $3,000 in Company common stock through the end of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which is a core value of the Company.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2021, the Company joined The Climate Pledge, a commitment to be net-zero carbon across business operations by 2040.</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date the wars between Russia and Ukraine and Israel and Hamas have not had a direct material impact on the Company's business, financial condition, or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August 31, 2021, the Company completed the sale of its European Tinplate business to KPS Capital Partners, LP. The European Tinplate business comprised the Company's European Food reportable segment and its European Aerosol and Promotional Packaging business which were previously reported in Other. The Company received pre-tax proceeds of approximately €1.9 billion ($2.3 billion) from the transaction and retained a 20% ownership stake in the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the euro in the Company's European Beverage segment and the Chinese yuan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 Thai baht in the Company's Asia Pacific segment. The Company's Transit Packaging segment is a global business and the foreign currency translation impacts referred to in the discussion below are primarily related to the euro, the Swedish krona, the Indian rupee and the Mexican peso.</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AND SEGMENT INCOME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7"/>
        </w:trPr>
        <w:tc>
          <w:tcPr>
            <w:tcW w:w="3040" w:type="dxa"/>
            <w:vAlign w:val="bottom"/>
            <w:tcBorders>
              <w:top w:val="single" w:sz="8" w:color="auto"/>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$11,394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$720 from the pass-through of lower aluminum, steel and other commodity costs and lower overall volumes in European Beverage, Asia Pacific, Transit Packaging and Other segments, partially offset by higher beverage can volumes in the Americas Beverage segment and favorable foreign currency translation of $77.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aluminum, steel and other commodity costs and 3% higher global beverage can sales unit volumes, partially offset by lower volumes in the Transit Packaging segment and unfavorable foreign currency translation of $372.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sales unit volumes have increased in recent years primarily due to market growth driven by increased per capita incomes and consumption, combined with an increased preference for cans over other forms of beverage packaging.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volume requirements in these markets, the Company added additional line capacity in Olympia, Washington (2021), Rio Verde, Brazil (2021) and Monterrey, Mexico (2022) and new greenfield facilities in Bowling Green, Kentucky (2021), Uberaba, Brazil (2022), Martinsville, Virginia (2022) and Mesquite, Nevada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contractual pass-through mechanisms put in place to recover inflation, 4% higher volumes and favorable foreign currency translation of $56, partially offset by the pass-through of $375 lower aluminum costs.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contractual pass-through mechanisms put in place to recover prior costs net of current year expenses and higher volumes and customer mix, partially offset by $19 higher depreciation associated with recent capacity expansions.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the pass-through of higher aluminum costs.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start-up costs and $16 of increased depreciation associated with recent capacity expansions, partially offset by contractual pass-through mechanisms put in place to recover inflation.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a market shift to cans versus other packaging formats. To meet volume requirements the Company added additional line capacity in Agoncillo, Spain, a new greenfield facility in Peterborough, U.K. and acquired Helvetia Packaging AG, a beverage can and end manufacturing facility in Saarlouis, Germany.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into the European Beverage segment. Prior periods have been recast to conform to the new presentation.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9% lower volumes and the pass-through of lower aluminum costs of $120, partially offset by the contractual recovery of prior years' inflationary cost increases and favorable foreign currency of $24.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contractual pass-through mechanisms put in place to recover prior costs net of current year expenses, partially offset by lower volumes and customer mix and $7 of higher depreciation associated with recent capacity expansions.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aluminum costs and 3% higher volumes, partially offset by unfavorable foreign currency translation of $177.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income decreased primarily due to energy costs in excess of contractual pass-through provisions, a mismatch in contractual aluminum pass-through provisions whereby higher cost inventory was sold at lower prices and $7 from the impact of unfavorable foreign currency translation, partially offset by higher volumes. The aluminum pass-through provisions were impacted by higher than normal inventory levels due to supply chain concerns and lower than expected volumes, and price volatility in the aluminum market.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for the year-ended December 31, 2021, segment income included certain corporate costs, including research and development, that were not directly attributable to the Company's European Tinplate business which was sold in August 2021 and as such, could not be allocated to discontinued operations. Subsequent to the sale, the segments corporate cost structure reflects its ongoing operations. In 2022, corporate costs decreased by $13 as compared to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meet volume requirements in Southeast Asia, the Company added additional line capacity in Hanoi, Vietnam (2021) and Phnom Penh, Cambodia (2022) and a new greenfield facility in Vung Tau, Vietnam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volume softness was noted across each country in the Asia Pacific segment as the region continues to struggle with the effects of higher inflation and interest rates. In the fourth quarter of 2023, the Company announced the closure of its beverage can facilities in Ho Chi Minh City, Vietnam and Singapore with capacity relocated to the Company's Vung Tau, Vietnam facility.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$9 for the year-ended December 31, 2023. Property, plant and equipment in Myanmar as of December 31, 2023 was $51, including $25 of land and buildings and $26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14% lower volumes, the pass-through of lower aluminum costs and $8 from the impact of unfavorable foreign currency translation.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lower volumes. Additionally, 2022 segment income was unfavorably impacted by the mismatch in contractual aluminum pass-through provisions whereby higher cost inventory was sold at lower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aluminum costs and 10% higher volumes, partially offset by unfavorable foreign currency translation of $42.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income decreased primarily due to a mismatch in contractual aluminum pass-through provisions whereby higher cost inventory was sold at lower prices, partially offset by the impact of higher volumes. The aluminum pass-through provisions are impacted by higher than normal inventory levels due to supply chain concerns and lower than expected volumes, and price volatility in the aluminum market.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$219 from lower volumes, mainly protective solutions and steel and plastic consumables, and the pass-through of lower raw material prices.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approximately $50 of cost savings from headcount reductions across the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prices, partially offset by $139 from the impact of unfavorable foreign currency translation and lower volumes.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income decreased primarily due to lower volumes, $20 from the impact of unfavorable foreign currency translation and $8 from the divestiture of the segment's Kiwiplan business, partially offset by inflationary price increases in the protective solutions business and costs savings from headcount reductions across the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In 2021, the Company commenced operations at a new food can plant in Dubuque, Iowa and on a new food can line in its Hanover, Pennsylvania plant. The Company added a third two-piece food can line to its Owatonna, Minnesota plant in 2022 and is expected to add a pet food can line to its Dubuque, Iowa plant in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right-sized the beverage can equipment operations in the U.K. to reflect the expected significant reduction in orders from global beverage can manufactures. Additionally, in the fourth quarter of 2023, the Company announced the closure of its Decatur, IL aerosol can plant in response to lower aerosol can demand.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primarily due to lower food and aerosol volumes of 7% and 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a steel repricing gain of $48 in 2022 as compared to a repricing loss of $12 in 2023, volume declines and customer mix and costs and expenses in excess of contractual pass-through mechanisms.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tinplate costs in the Company's North America food can, aerosol can and closures businesses, partially offset by lower sales unit volumes and $17 from the impact of unfavorable foreign currency translation.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income increased primarily due to increased profitability in the Company's North America food can, aerosol can and closures businesses due to higher self-made two-piece food can sales unit volumes, inflationary price increases and the benefit of lower cost inventory from prior year-end partially offset by $7 from the impact of unfavorable foreign currency translation. Additionally, in 2022 segment income included a benefit of $35 arising from steel repricing as compared to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costs increased from 2022 primarily due to higher property insurance costs and incentive compensation costs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costs decreased from 2021 to 2022 primarily due to lower incentive compensation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periodically reviews the useful lives of property, plant and equipment. Based on the Company’s experience with the duration over which equipment and buildings of its aluminum beverage can business can be utilized, the Company recently engaged a third-party appraiser to assist in this review and, as a result, will increase the estimated useful lives of buildings up to 50 years and machinery and equipment up to 23 years. The change in accounting estimate will be effective beginning fiscal year 2024 and will be applied on a prospective basis. The Company estimates this change will reduce depreciation expense by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$48 for 2024. The Company now expects depreciation expense of approximately $320 in 2024 compared to $336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AND OTHER, NET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2023, the $114 charge from restructuring and other, net, included asset impairments, termination benefits and other exit costs primarily related to plant closures in the Americas Beverage, Asia Pacific and Other segments.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additional information. The Company expects headcount reductions of approximately 650 employees and annual savings of approximately $35 related to these actions.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the benefit from restructuring and other, net, included a $113 gain from the sale of the Transit Packaging segment's Kiwiplan business and $29 of charges related to an overhead cost reduction program initiated by the Transit Packaging segment in the second quarter of 2022 that reduced headcount by approximately 600 employees. This action is expected to result in annual savings of approximately $60.</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pre-tax savings amounts above will be realized. The Company continues to identify cost reduction initiatives in its businesses and it is possible that the Company may record additional restructuring charges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PENSION AND POSTRETIREMENT</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pension and postretirement was an expense of $49 in 2023 as compared to a benefit of $16 in 2022 due to higher post-retirement expense as unamortized gains from prior year plan amendments are now fully amortized and higher pension expense due to higher interest rates and lower expected return on plan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2023 included $6 for a one-time pension termination charge related to business reorganization activities in Europe.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AND INTEREST INCOME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from $253 in 2021 to $284 in 2022 and $436 in 2023 and interest income increased from $9 in 2021 to $15 in 2022 and $53 in 2023 primarily due to higher interest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TAXES ON INCOME</w:t>
            </w: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1640" w:type="dxa"/>
            <w:vAlign w:val="bottom"/>
            <w:tcBorders>
              <w:bottom w:val="single" w:sz="8" w:color="CCEEFF"/>
            </w:tcBorders>
          </w:tcPr>
          <w:p>
            <w:pPr>
              <w:spacing w:after="0"/>
              <w:rPr>
                <w:sz w:val="22"/>
                <w:szCs w:val="22"/>
                <w:color w:val="auto"/>
              </w:rPr>
            </w:pPr>
          </w:p>
        </w:tc>
        <w:tc>
          <w:tcPr>
            <w:tcW w:w="5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 (loss) before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 (benefit from) for income taxes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the effective tax rate in 2023 was primarily due to the geographic distribution of the Company's world-wide earnings in higher-tax jurisdictions. In 2022, the effective tax rate included an income tax charge of $11 for the sale of the Company's Transit Packaging segment's Kiwiplan business. The lower effective tax rate in 2021 included a tax benefit of $18 related to a deferred tax valuation allowance release resulting from improved profitability in a Transit Packaging corporate entity. Additionally, the Company also recorded income tax benefits of $8, primarily related to tax law changes in India, Turkey and the U.K.</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effective tax rate in 2021 also included tax charges of $42 in continuing operations for reorganizations and other transactions required to prepare the European Tinplate business for sale. Additionally, the Company recorded an income tax charge of $44 to establish a valuation allowance for deferred tax assets related to tax loss carryforwards in France. The Company believes that it is more likely than not that these tax loss carryforwards will not be utilized after the sale of the European Tinplate business.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 regarding the sale of the European Tinplate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to the consolidated financial statements for further details of 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-119380</wp:posOffset>
            </wp:positionV>
            <wp:extent cx="35833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833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EARNINGS OF AFFILIATES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affiliates was $14 in 2023. Equity in net earnings of affiliates increased from $3 in 2021 to $42 in 2022 due to the 20% ownership interest received after the sale of the Company's European Tinplate business in August 2021.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NONCONTROLLING INTERESTS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increased from $128 in 2022 to $137 in 2023 primarily due to higher earnings in the Company's beverage can operations in Brazil and the Middle East.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decreased from $148 in 2021 to $128 in 2022 primarily due to lower earnings in the Company's beverage can operations in Brazil and the Middle East.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increased from $803 in 2022 to $1,453 in 2023 primarily due to changes in working capital.</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Receivables decreased from $1,843 at December 31, 2022 to $1,719 at December 31, 2023 primarily due to lower raw material costs and volumes, partially offset by decreased securitization and factoring. Days sales outstanding for trade receivables, excluding the impact of unbilled receivables, was 33 at December 31, 2022 compared to 34 at December 31,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decreased from $2,014 at December 31, 2022 to $1,613 at December 31, 2023 primarily due to higher levels of inventory at December 31, 2022 in certain segments and lower cost of raw materials in 2023. Inventory turnover increased from 63 days at December 31, 2022 to 67 days at December 31,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decreased from $2,773 at December 31, 2022 to $2,459 at December 31, 2023 primarily due to lower purchases in 2023 as a result of inventory builds at December 31, 2022. Days outstanding for trade payables decreased from 90 days at December 31, 2022 to 89 days at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increased from $642 in 2022 to $804 in 2023 primarily due to proceeds of $180 received in 2022 from the sale of the Transit Packing segments's Kiwiplan business and the purchase of Helvetia Packaging AG for $126 in 2023, offset by a distribution of $68 from the Company's equity method investment in a European tinplate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2024 to be approximately $500.</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approximately $85 of capital commitments primarily related to its Americas Beverage segment. The Company expects to fund these commitments primarily through cash generated from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used cash of $25 in 2022 and provided cash of $116 in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issued €500 principal amount of 5.0% senior unsecured notes due 2028. Additionally, in December 2023, the Company issued €500 principal amount of 4.75% senior unsecured notes due 2029 and used a portion of the proceeds to pay down the U.S. dollar term loan facility.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Company issued $500 principal amount of 5.250% senior unsecured notes due 2030. In August 2022, the Company amended the credit agreement governing its senior secured credit facilities and used proceeds to redeem senior notes due in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during 2022, the Company repurchased $722 of common stock.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$758 of the Company's $1,310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$639 was held by subsidiaries for which earnings are considered indefinitely reinvested.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December 31, 2023, the Company had available capacity of $1,585. The Company could have borrowed this amount at December 31, 2023 and still have been in compliance with its leverage ratio covenant.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3.16 to 1.0 at December 31, 2023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current sources of liquidity also include various securitization facilities. In 2023, the Company amended a securitization agreement to extend the term through July 2025 and increase the program limit from $700 to $800 and another securitization to increase the program limit from $200 to $230 and extend the term through November 2025. The Company also has a securitization facility with a program limit of $160 that expires in November 2025. The Company accounts for transfers under these facilities as sales as further discussed in </w:t>
      </w:r>
      <w:r>
        <w:rPr>
          <w:rFonts w:ascii="Times New Roman" w:cs="Times New Roman" w:eastAsia="Times New Roman" w:hAnsi="Times New Roman"/>
          <w:sz w:val="18"/>
          <w:szCs w:val="18"/>
          <w:u w:val="single" w:color="auto"/>
          <w:color w:val="0000FF"/>
        </w:rPr>
        <w:t>Note D</w:t>
      </w:r>
      <w:r>
        <w:rPr>
          <w:rFonts w:ascii="Times New Roman" w:cs="Times New Roman" w:eastAsia="Times New Roman" w:hAnsi="Times New Roman"/>
          <w:sz w:val="18"/>
          <w:szCs w:val="18"/>
          <w:color w:val="auto"/>
        </w:rPr>
        <w:t xml:space="preserve"> to the consolidated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manages its various pension plan liabilities through the opportunistic purchase of annuity insurance contracts for portions of outstanding defined pension obligations using plan assets. 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information on the annuity purchase contract the Company entered into in 2021 to transfer the U.K. defined benefit pension obligation to an insurer.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annuity purchase contracts could be significant and result in the Company making additional pension contributions and recording pension settlement charges. As of December 31, 2023, the Company had $686 of net losses related to pension benefit obligations recorded in accumulated other comprehensive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payments required for purchase obligations and projected pension contributions in effect at December 31, 2023, are summarized in the following table.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769"/>
        </w:trPr>
        <w:tc>
          <w:tcPr>
            <w:tcW w:w="3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Payments Due by Period</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9"/>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2029 &amp;</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after</w:t>
            </w: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pension contributions (2)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amounts due in foreign currencies are translated at exchange rates as of December 31, 2023.</w:t>
      </w:r>
    </w:p>
    <w:p>
      <w:pPr>
        <w:spacing w:after="0" w:line="17" w:lineRule="exact"/>
        <w:rPr>
          <w:sz w:val="20"/>
          <w:szCs w:val="20"/>
          <w:color w:val="auto"/>
        </w:rPr>
      </w:pPr>
    </w:p>
    <w:p>
      <w:pPr>
        <w:ind w:right="2540" w:firstLine="8"/>
        <w:spacing w:after="0" w:line="259" w:lineRule="auto"/>
        <w:tabs>
          <w:tab w:leader="none" w:pos="2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purchase commitments specify significant terms, including fixed or minimum quantities to be purchased; fixed, minimum or variable pricing provisions; and the approximate timing of transactions.</w:t>
      </w:r>
    </w:p>
    <w:p>
      <w:pPr>
        <w:ind w:left="180" w:right="2220" w:hanging="172"/>
        <w:spacing w:after="0" w:line="283" w:lineRule="auto"/>
        <w:tabs>
          <w:tab w:leader="none" w:pos="22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projections require the use of numerous estimates and assumptions such as discount rates, rates of return on plan assets, compensation increases, health care cost increases, mortality and employee turnover and therefore projected contributions been provided for only five years.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long term debt obligations, including fixed and variable rate debt, are further discussed in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The Company currently expects interest payments on debt and securitization and factoring in 2024 to be approximately $367. This estimate is based on projected interest rates as of December 31, 2023, long-term debt balances, average borrowings under the revolving credit facility and securitization and factoring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certain guarantees and indemnification agreements that could require the payment of cash upon the occurrence of certain events.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guarantees and agreements are further discussed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disclosed in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notes and guarantees are senior unsecured obligations of the issuers and the guarantors, and are:</w:t>
      </w:r>
    </w:p>
    <w:p>
      <w:pPr>
        <w:spacing w:after="0" w:line="27"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 in right of payment to any existing or future senior indebtedness of the issuers and the guarantors;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all existing and future subordinated indebtedness of the issuers and the guarantors.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660" w:hanging="328"/>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the Parent or any subsidiary of the Parent to any person or entity that is not the Parent or a subsidiary of the Parent of (1) all of the equity interests of, or all or substantially all of the properties and assets of, such guarantor; or (2)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or discharge of all guarantees by such guarantor which would have required such guarantor to provide a guarantee under the applicable indenture.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Crown Cork Obligor Group</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ind w:left="20"/>
        <w:spacing w:after="0" w:line="232" w:lineRule="auto"/>
        <w:rPr>
          <w:sz w:val="20"/>
          <w:szCs w:val="20"/>
          <w:color w:val="auto"/>
        </w:rPr>
      </w:pPr>
      <w:r>
        <w:rPr>
          <w:rFonts w:ascii="Times New Roman" w:cs="Times New Roman" w:eastAsia="Times New Roman" w:hAnsi="Times New Roman"/>
          <w:sz w:val="18"/>
          <w:szCs w:val="18"/>
          <w:color w:val="auto"/>
        </w:rPr>
        <w:t>Net income from continuing operations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$52 of expense related to intercompany interest with non-guarantor subsidiaries.</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payables of $5,514 due to non-guarantor subsidiaries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Crown Americas Obligor Group</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1517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p>
      <w:pPr>
        <w:ind w:left="20"/>
        <w:spacing w:after="0" w:line="208" w:lineRule="auto"/>
        <w:rPr>
          <w:sz w:val="20"/>
          <w:szCs w:val="20"/>
          <w:color w:val="auto"/>
        </w:rPr>
      </w:pPr>
      <w:r>
        <w:rPr>
          <w:rFonts w:ascii="Times New Roman" w:cs="Times New Roman" w:eastAsia="Times New Roman" w:hAnsi="Times New Roman"/>
          <w:sz w:val="18"/>
          <w:szCs w:val="18"/>
          <w:color w:val="auto"/>
        </w:rPr>
        <w:t>Net income from continuing operations</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p>
      <w:pPr>
        <w:spacing w:after="0" w:line="3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$477 of sales to non-guarantor subsidiaries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 of gross profit related to sales to non-guarantor subsidiaries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 of income related to intercompany interest and technology royalties with non-guarantor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Pr>
          <w:p>
            <w:pPr>
              <w:spacing w:after="0"/>
              <w:rPr>
                <w:sz w:val="20"/>
                <w:szCs w:val="20"/>
                <w:color w:val="auto"/>
              </w:rPr>
            </w:pPr>
          </w:p>
        </w:tc>
      </w:tr>
      <w:tr>
        <w:trPr>
          <w:trHeight w:val="218"/>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Borders>
              <w:bottom w:val="single" w:sz="8" w:color="auto"/>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0" w:type="dxa"/>
            <w:vAlign w:val="bottom"/>
          </w:tcPr>
          <w:p>
            <w:pPr>
              <w:spacing w:after="0"/>
              <w:rPr>
                <w:sz w:val="20"/>
                <w:szCs w:val="20"/>
                <w:color w:val="auto"/>
              </w:rPr>
            </w:pPr>
          </w:p>
        </w:tc>
      </w:tr>
      <w:tr>
        <w:trPr>
          <w:trHeight w:val="985"/>
        </w:trPr>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Pr>
          <w:p>
            <w:pPr>
              <w:spacing w:after="0"/>
              <w:rPr>
                <w:sz w:val="24"/>
                <w:szCs w:val="24"/>
                <w:color w:val="auto"/>
              </w:rPr>
            </w:pPr>
          </w:p>
        </w:tc>
      </w:tr>
      <w:tr>
        <w:trPr>
          <w:trHeight w:val="218"/>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r>
    </w:tbl>
    <w:p>
      <w:pPr>
        <w:spacing w:after="0" w:line="782" w:lineRule="exact"/>
        <w:rPr>
          <w:sz w:val="20"/>
          <w:szCs w:val="20"/>
          <w:color w:val="auto"/>
        </w:rPr>
      </w:pPr>
    </w:p>
    <w:p>
      <w:pPr>
        <w:sectPr>
          <w:pgSz w:w="11900" w:h="16838" w:orient="portrait"/>
          <w:cols w:equalWidth="0" w:num="2">
            <w:col w:w="8120" w:space="720"/>
            <w:col w:w="2400"/>
          </w:cols>
          <w:pgMar w:left="320" w:top="117" w:right="339" w:bottom="1440" w:gutter="0" w:footer="0" w:header="0"/>
          <w:type w:val="continuous"/>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30"/>
        </w:trPr>
        <w:tc>
          <w:tcPr>
            <w:tcW w:w="8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9"/>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306"/>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bl>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$30 due from non-guarantor subsidiaries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$189 due from non-guarantor subsidiaries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$35 due to non-guarantor subsidiaries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$2,134 due to non-guarantor subsidiaries</w:t>
      </w:r>
    </w:p>
    <w:p>
      <w:pPr>
        <w:spacing w:after="0" w:line="2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therefore,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preferred equity interests, if any, and their trade creditors before they will be able to distribute any of their assets to the Company or any of the guarantors.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20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Company’s or such guarantor’s remaining assets constituted unreasonably small capital;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in U.S. dollars as of December 31, 2023 about the Company’s forward currency exchange contracts. The contracts primarily hedge anticipated transactions, unrecognized firm commitments and intercompany debt. The contracts with no amounts in the fair value column have a fair value of less than $1. The contract with no amount in the average contractual exchange rate has an exchange rate less than $.01.</w:t>
      </w:r>
    </w:p>
    <w:tbl>
      <w:tblPr>
        <w:tblLayout w:type="fixed"/>
        <w:tblInd w:w="0" w:type="dxa"/>
        <w:tblCellMar>
          <w:top w:w="0" w:type="dxa"/>
          <w:left w:w="0" w:type="dxa"/>
          <w:bottom w:w="0" w:type="dxa"/>
          <w:right w:w="0" w:type="dxa"/>
        </w:tblCellMar>
      </w:tblPr>
      <w:tr>
        <w:trPr>
          <w:trHeight w:val="181"/>
        </w:trPr>
        <w:tc>
          <w:tcPr>
            <w:tcW w:w="60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Contract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81" w:lineRule="exact"/>
              <w:rPr>
                <w:sz w:val="20"/>
                <w:szCs w:val="20"/>
                <w:color w:val="auto"/>
              </w:rPr>
            </w:pPr>
            <w:r>
              <w:rPr>
                <w:rFonts w:ascii="Times New Roman" w:cs="Times New Roman" w:eastAsia="Times New Roman" w:hAnsi="Times New Roman"/>
                <w:sz w:val="18"/>
                <w:szCs w:val="18"/>
                <w:color w:val="auto"/>
                <w:w w:val="99"/>
              </w:rPr>
              <w:t>Contract</w:t>
            </w:r>
          </w:p>
        </w:tc>
        <w:tc>
          <w:tcPr>
            <w:tcW w:w="340" w:type="dxa"/>
            <w:vAlign w:val="bottom"/>
          </w:tcPr>
          <w:p>
            <w:pPr>
              <w:spacing w:after="0"/>
              <w:rPr>
                <w:sz w:val="15"/>
                <w:szCs w:val="15"/>
                <w:color w:val="auto"/>
              </w:rPr>
            </w:pPr>
          </w:p>
        </w:tc>
        <w:tc>
          <w:tcPr>
            <w:tcW w:w="1760" w:type="dxa"/>
            <w:vAlign w:val="bottom"/>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Pr>
          <w:p>
            <w:pPr>
              <w:spacing w:after="0"/>
              <w:rPr>
                <w:sz w:val="15"/>
                <w:szCs w:val="15"/>
                <w:color w:val="auto"/>
              </w:rPr>
            </w:pPr>
          </w:p>
        </w:tc>
        <w:tc>
          <w:tcPr>
            <w:tcW w:w="176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Buy/Sell</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gain/(loss)</w:t>
            </w:r>
          </w:p>
        </w:tc>
        <w:tc>
          <w:tcPr>
            <w:tcW w:w="340" w:type="dxa"/>
            <w:vAlign w:val="bottom"/>
          </w:tcPr>
          <w:p>
            <w:pPr>
              <w:spacing w:after="0"/>
              <w:rPr>
                <w:sz w:val="21"/>
                <w:szCs w:val="21"/>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exchange rate</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dollars/Brazilian real</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Euro/Swiss franc</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Euro/U.S. dollars</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dollars/U.S. dollars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Euro/Danish krone</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Euro/Swedish krona</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Sterling/Euro</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Euro/Sterling</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dollars/Thai baht</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dollars/U.S. dollars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dollars/Turkish lira</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dollars/Euro</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dollars/Indonesian rupiah</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dollars/Sterling</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Euro/Australian dollars</w:t>
            </w:r>
          </w:p>
        </w:tc>
        <w:tc>
          <w:tcPr>
            <w:tcW w:w="1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additional contracts with an aggregate notional value of $24 to purchase or sell other currencies, primarily Asian currencies, including the Chinese yuan, Indonesian rupiah, Malaysian ringgit, Singapore dollar and Thai baht; European currencies, including the Polish zloty and the New Zealand dollar. The aggregate fair value of these contracts was a loss of $1.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cross-currency swaps with an aggregate notional values of $875. The swaps are designated as hedges of the Company's net investment in a euro-based subsidiary and mature in 2026. The fair value of these contracts at December 31, 2023 was a net gain of $47.</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future payments of long-term debt obligations at December 31, 2023 include $3,885 of U.S. dollar-denominated debt, $3,571 of euro-denominated debt and $40 of debt denominated in other currencies.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 As of December 31, 2023, the Company had $2.2 billion principal floating interest rate debt and $1.1 billion of securitization and factoring. A change of 0.25% in these floating interest rates would change annual interest expense by approximately $8 million before tax. The actual effect of a 0.25% increase in these floating interest rates could be more than $8 million as the Company’s average borrowings on its variable rate debt and securitization and factoring may be higher during the year than the amount at December 31, 2023.</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uses various raw materials, such as aluminum and steel in its manufacturing operations, which expose it to risk from adverse fluctuations in commodity prices. In 2023, consumption of aluminum and steel represented 44% and 8% of the Company’s consolidated cost of products sold, excluding depreciation and amortization. The Company primarily manages its risk to adverse commodity price fluctuations and surcharges through contracts that pass through raw material costs to customers. The company also uses commodity forward contracts to manage its exposure to these raw material costs.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2023, the Company had forward commodity contracts to hedge aluminum price fluctuations with a notional value of $160 and a net gain of less than $1. The maturities of the commodity contracts closely correlate to the anticipated purchases of those commodities.</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manufacturing facilities are dependent, to varying degrees, upon the availability of water and processed energy, such as natural gas and electricity.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xml:space="preserve"> to the consolidated financial statements for further information on the Company’s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MATTERS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 for additional information on environmental matters including the Company's accrual for environmental remediation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 AND ESTIMATES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to the consolidated financial statements. Certain accounting policies, however, are considered to be critical in that (i) they are most important to the depiction of the Company’s financial condition and results of operations and (ii) their application requires management’s most subjective judgment in making estimates about the effect of matters that are inherently uncertain.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Liabilities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potential liability for asbestos cases is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 of state asbestos legislation (including the validity and applicability of the Pennsylvania legislation to non-Pennsylvania jurisdictions, where the substantial majority of the Company’s asbestos cases are filed). See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consolidated financial statements for additional information regarding the provision for asbestos-related costs.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 Company estimates its liability without limitation to a specified time period and provides for the estimated amounts expected to be paid related to outstanding claims, projected future claims and legal costs.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a higher percentage of Crown Cork’s settlements have related to claims alleging serious disease (primarily mesothelioma) which are settled at higher dollar amounts. Accordingly, a higher percentage of claims projected into the future relate to serious diseases and are therefore valued at higher dollar amounts. As of December 31, 2023, more than 90% of the projected future claims in the Company’s accrual calculation relate to claims alleging serious diseases such as mesothelioma.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five year average settlement cost per claim was $13,000 in 2021, $14,300 in 2022 and $15,800 in 2023.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2023 by $20. A 10% increase in these two factors at the same time would increase the estimated liability at December 31, 2023 by $43. A 10% decrease in these two factors at the same time would decrease the estimated liability at December 31, 2023 by $39.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utilizes significant assumptions relating to EBITDA and revenue multiples used in recent similar transactions, if any, and EBITDA and revenue multiples of similar type and size public companies. The appropriate multiple is applied to the respective financial results of the reporting unit to obtain an estimated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its annual review for 2023 and determined that no adjustments to the carrying value of goodwill were necessary. Although no goodwill impairment was recorded, there can be no assurances that future goodwill impairments will not occur.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 Impairment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an impairment review of its long-lived assets, including 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The Company performed a recoverability analysis for the long-lived asset group, which indicated that the carrying value of the asset group was recoverable as of December 31, 2023. Property, plant and equipment as of December 31, 2023 was $51, including $25 of land and buildings and $26 of machinery and equipment.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Valuation Allowance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when it is more likely than not that a portion of the tax assets will not be realized. The estimate of the amount that will not be realized requires the use of assumptions concerning the Company’s future taxable income. These estimates are projected through the life of the related deferred tax assets based on assumptions that management believes are reasonable. The Company considers all sources of taxable income in estimating its</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valuation allowances, including taxable income in any available carry back period; the reversal of taxable temporary differences; tax-planning strategies; and taxable income expected to be generated in the future other than from reversing temporary differences.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Should the Company change its estimate of the amount of deferred tax assets that it would be able to realize, an adjustment to the valuation allowance would result in an increase or decrease in tax expense in the period such a change in estimate was made. 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to the consolidated financial statements for additional information on the Company’s valuation allowances.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and Postretirement Benefits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$64 in 2023 and currently projects its 2024 pension expense to be $56, using foreign currency exchange rates in effect at December 31, 2023.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 ranges, projected future outlook of each asset class, inflation assumptions and the expected net value from active management of the assets based on actual results.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plan’s assumed rate of return was 7.15% in 2023. A 0.50% change in the expected rates of return would change 2024 pension expense by approximately $6.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Discount rates were selected using a method that matches projected payouts from the plans to an actuarial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0.50% change in the discount rates from those used at December 31, 2023 would change 2024 pension expense by approximately $3 and postretirement expense by less than $1. A 0.50% change in the discount rates from those used at December 31, 2023 would have changed the pension benefit obligation by approximately $66 and the postretirement benefit obligation by approximately $4 as of December 31, 2023. 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to the consolidated financial statements for additional information on pension and postretirement benefit obligations and assumptions.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a pre-tax unrecognized net loss in accumulated other comprehensive income of $686 related to its pension plans and a pre-tax unrecognized net gain in accumulated other comprehensive income of $3 related to its other postretirement benefit plans. Unrecognized gains and losses arise each year primarily due to changes in discount rates, differences in actual plan asset returns compared to expected returns, and changes in actuarial assumptions such as mortality.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2023 included charges of $46 for the amortization of accumulated net losses, and the Company estimates charges of $48 in 2024. Amortizable losses are being recognized over either the average expected life of inactive employees or the remaining service life of active participants depending on the status of the individual plans. The weighted average amortization periods range between 6 - 16 years. An increase of 10% in the number of years used to amortize unrecognized losses in each plan would decrease estimated charges for 2024 by $4. A decrease of 10% in the number of years would increase the estimated 2024 charge by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GUIDANCE</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new guidance that requires incremental disclosures related to reportable segments. That standard requires disclosure, on an annual and interim basis, of significant segment expenses that are regularly provided to the chief operating decision maker ("CODM") and included within each reported measure of profit or loss. The title and position of the CODM and how the reported measure of segment profit or loss is used by the CODM to assess segment performance and allocate resources is also required to be disclosed. The standard also permits disclosure of additional measures of segment profit. The standard is effective for fiscal years beginning after December 15, 2023, and interim periods within fiscal years beginning after December 15, 2024. The Company is currently evaluating the impact of adopting this standard on its disclosures.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to the consolidated financial statements for information on recently adopted accounting guidance.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Statements in this Annual Report, including those in “Management’s Discussion and Analysis of Financial Condition and Results of Operations,” in the discussions of the provision for asbestos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and other contingencies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w:t>
      </w:r>
    </w:p>
    <w:p>
      <w:pPr>
        <w:spacing w:after="0" w:line="3" w:lineRule="exact"/>
        <w:rPr>
          <w:sz w:val="20"/>
          <w:szCs w:val="20"/>
          <w:color w:val="auto"/>
        </w:rPr>
      </w:pPr>
    </w:p>
    <w:p>
      <w:pPr>
        <w:ind w:firstLine="8"/>
        <w:spacing w:after="0" w:line="260" w:lineRule="auto"/>
        <w:tabs>
          <w:tab w:leader="none" w:pos="3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progress on sustainability and environmental matters and (viii) the expected outcome of contingencies, including with respect to asbestos-related litigation and pension and postretirement liabilities.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impact of Brexit;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actual or potential dispositions, acquisitions or other strategic realignments (such as the Company's recently completed divestiture of its European Tinplate business),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the impact of the COVID-19 pandemic, as well as the quarantines and other governmental and non-governmental restrictions which have been imposed throughout the world in an effort to contain, mitigate, or vaccinate against it;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sweetened beverages or energy drinks, the impact of tariffs and potential limits on steel supply in the U.S. from certain foreign countries; and changes in the Company’s strategic areas of focus, which may impact the Company’s operations, financial profile or levels of indebtedness.</w:t>
      </w:r>
    </w:p>
    <w:p>
      <w:pPr>
        <w:spacing w:after="0" w:line="189"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Some of the factors noted above are discussed elsewhere in this Annual Report and prior Company filings with the SEC, including within Part I, Item 1A,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in this Annual Report. In addition, other factors have been or may be discussed from time to time in the Company’s SEC filings.</w:t>
      </w:r>
    </w:p>
    <w:p>
      <w:pPr>
        <w:spacing w:after="0" w:line="189"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4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7A.</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185"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The information set forth within “Management’s Discussion and Analysis of Financial Condition and Results of Operations” under the captions “Market Risk” and "Forward Looking Statements" in this Annual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 w:type="dxa"/>
            <w:vAlign w:val="bottom"/>
          </w:tcPr>
          <w:p>
            <w:pPr>
              <w:spacing w:after="0"/>
              <w:rPr>
                <w:sz w:val="24"/>
                <w:szCs w:val="24"/>
                <w:color w:val="auto"/>
              </w:rPr>
            </w:pPr>
          </w:p>
        </w:tc>
        <w:tc>
          <w:tcPr>
            <w:tcW w:w="1020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1200" w:type="dxa"/>
            <w:vAlign w:val="bottom"/>
            <w:tcBorders>
              <w:top w:val="single" w:sz="8" w:color="auto"/>
            </w:tcBorders>
            <w:gridSpan w:val="10"/>
          </w:tcPr>
          <w:p>
            <w:pPr>
              <w:spacing w:after="0"/>
              <w:rPr>
                <w:sz w:val="24"/>
                <w:szCs w:val="24"/>
                <w:color w:val="auto"/>
              </w:rPr>
            </w:pPr>
          </w:p>
        </w:tc>
        <w:tc>
          <w:tcPr>
            <w:tcW w:w="7160" w:type="dxa"/>
            <w:vAlign w:val="bottom"/>
            <w:gridSpan w:val="26"/>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4640" w:type="dxa"/>
            <w:vAlign w:val="bottom"/>
            <w:gridSpan w:val="8"/>
          </w:tcPr>
          <w:p>
            <w:pPr>
              <w:spacing w:after="0"/>
              <w:rPr>
                <w:sz w:val="24"/>
                <w:szCs w:val="24"/>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(PricewaterhouseCoopers LLP, Philadelphia, Pa, Auditor Firm ID:</w:t>
            </w: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4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9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2022 and 2021</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76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780" w:type="dxa"/>
            <w:vAlign w:val="bottom"/>
            <w:gridSpan w:val="3"/>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0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2640" w:type="dxa"/>
            <w:vAlign w:val="bottom"/>
            <w:gridSpan w:val="4"/>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2023, 2022 and 2021</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0" w:type="dxa"/>
            <w:vAlign w:val="bottom"/>
            <w:tcBorders>
              <w:top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Note A. Summary of Significant Accounting Policies</w:t>
            </w:r>
          </w:p>
        </w:tc>
        <w:tc>
          <w:tcPr>
            <w:tcW w:w="5260" w:type="dxa"/>
            <w:vAlign w:val="bottom"/>
            <w:gridSpan w:val="10"/>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B. Acquisitions and Divestitures</w:t>
            </w:r>
          </w:p>
        </w:tc>
        <w:tc>
          <w:tcPr>
            <w:tcW w:w="6380" w:type="dxa"/>
            <w:vAlign w:val="bottom"/>
            <w:gridSpan w:val="18"/>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C. Cash, Cash Equivalents, and Restricted Cash</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 D. Receivables</w:t>
            </w:r>
          </w:p>
        </w:tc>
        <w:tc>
          <w:tcPr>
            <w:tcW w:w="2340" w:type="dxa"/>
            <w:vAlign w:val="bottom"/>
            <w:tcBorders>
              <w:top w:val="single" w:sz="8" w:color="0000FF"/>
            </w:tcBorders>
            <w:gridSpan w:val="19"/>
          </w:tcPr>
          <w:p>
            <w:pPr>
              <w:spacing w:after="0"/>
              <w:rPr>
                <w:sz w:val="18"/>
                <w:szCs w:val="18"/>
                <w:color w:val="auto"/>
              </w:rPr>
            </w:pPr>
          </w:p>
        </w:tc>
        <w:tc>
          <w:tcPr>
            <w:tcW w:w="5280" w:type="dxa"/>
            <w:vAlign w:val="bottom"/>
            <w:gridSpan w:val="11"/>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E. Inventories</w:t>
            </w:r>
          </w:p>
        </w:tc>
        <w:tc>
          <w:tcPr>
            <w:tcW w:w="7700" w:type="dxa"/>
            <w:vAlign w:val="bottom"/>
            <w:gridSpan w:val="31"/>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Note F. Goodwill</w:t>
            </w:r>
          </w:p>
        </w:tc>
        <w:tc>
          <w:tcPr>
            <w:tcW w:w="7860" w:type="dxa"/>
            <w:vAlign w:val="bottom"/>
            <w:gridSpan w:val="33"/>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G. Intangible Assets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H. Property, Plant and Equipment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Note I. Leases</w:t>
            </w:r>
          </w:p>
        </w:tc>
        <w:tc>
          <w:tcPr>
            <w:tcW w:w="6300" w:type="dxa"/>
            <w:vAlign w:val="bottom"/>
            <w:gridSpan w:val="16"/>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J. Other Non-Current Assets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K. Accrued Liabilities</w:t>
            </w:r>
          </w:p>
        </w:tc>
        <w:tc>
          <w:tcPr>
            <w:tcW w:w="420" w:type="dxa"/>
            <w:vAlign w:val="bottom"/>
            <w:tcBorders>
              <w:top w:val="single" w:sz="8" w:color="0000FF"/>
            </w:tcBorders>
            <w:gridSpan w:val="3"/>
          </w:tcPr>
          <w:p>
            <w:pPr>
              <w:spacing w:after="0"/>
              <w:rPr>
                <w:sz w:val="18"/>
                <w:szCs w:val="18"/>
                <w:color w:val="auto"/>
              </w:rPr>
            </w:pPr>
          </w:p>
        </w:tc>
        <w:tc>
          <w:tcPr>
            <w:tcW w:w="6680" w:type="dxa"/>
            <w:vAlign w:val="bottom"/>
            <w:gridSpan w:val="21"/>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L. Restructuring and Other</w:t>
            </w:r>
          </w:p>
        </w:tc>
        <w:tc>
          <w:tcPr>
            <w:tcW w:w="6780" w:type="dxa"/>
            <w:vAlign w:val="bottom"/>
            <w:gridSpan w:val="22"/>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M. Debt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N. Derivative and Other Financial Instruments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Note O. Asbestos-Related Liabilities</w:t>
            </w:r>
          </w:p>
        </w:tc>
        <w:tc>
          <w:tcPr>
            <w:tcW w:w="1020" w:type="dxa"/>
            <w:vAlign w:val="bottom"/>
            <w:tcBorders>
              <w:top w:val="single" w:sz="8" w:color="0000FF"/>
            </w:tcBorders>
            <w:gridSpan w:val="6"/>
          </w:tcPr>
          <w:p>
            <w:pPr>
              <w:spacing w:after="0"/>
              <w:rPr>
                <w:sz w:val="18"/>
                <w:szCs w:val="18"/>
                <w:color w:val="auto"/>
              </w:rPr>
            </w:pPr>
          </w:p>
        </w:tc>
        <w:tc>
          <w:tcPr>
            <w:tcW w:w="5380" w:type="dxa"/>
            <w:vAlign w:val="bottom"/>
            <w:gridSpan w:val="13"/>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Note P. Commitments and Contingent Liabilities</w:t>
            </w:r>
          </w:p>
        </w:tc>
        <w:tc>
          <w:tcPr>
            <w:tcW w:w="5600" w:type="dxa"/>
            <w:vAlign w:val="bottom"/>
            <w:gridSpan w:val="15"/>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Q. Other Non-Current Liabilities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Note R. Pension and Other Postretirement Benefits</w:t>
            </w:r>
          </w:p>
        </w:tc>
        <w:tc>
          <w:tcPr>
            <w:tcW w:w="5440" w:type="dxa"/>
            <w:vAlign w:val="bottom"/>
            <w:gridSpan w:val="14"/>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 S. Income Taxes</w:t>
            </w:r>
          </w:p>
        </w:tc>
        <w:tc>
          <w:tcPr>
            <w:tcW w:w="7520" w:type="dxa"/>
            <w:vAlign w:val="bottom"/>
            <w:gridSpan w:val="28"/>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T. Capital Stock</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Note U. Accumulated Other Comprehensive Loss Attributable to Crown Holdings</w:t>
            </w:r>
          </w:p>
        </w:tc>
        <w:tc>
          <w:tcPr>
            <w:tcW w:w="3180" w:type="dxa"/>
            <w:vAlign w:val="bottom"/>
            <w:gridSpan w:val="6"/>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V. Revenue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0" w:type="dxa"/>
            <w:vAlign w:val="bottom"/>
            <w:gridSpan w:val="18"/>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Note W. Stock-Based Compensation</w:t>
            </w:r>
          </w:p>
        </w:tc>
        <w:tc>
          <w:tcPr>
            <w:tcW w:w="6480" w:type="dxa"/>
            <w:vAlign w:val="bottom"/>
            <w:gridSpan w:val="20"/>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 X. Earnings Per Share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700" w:type="dxa"/>
            <w:vAlign w:val="bottom"/>
            <w:gridSpan w:val="21"/>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Note Y. Segment Information</w:t>
            </w:r>
          </w:p>
        </w:tc>
        <w:tc>
          <w:tcPr>
            <w:tcW w:w="6980" w:type="dxa"/>
            <w:vAlign w:val="bottom"/>
            <w:gridSpan w:val="23"/>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79"/>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9"/>
            <w:shd w:val="clear" w:color="auto" w:fill="000000"/>
          </w:tcPr>
          <w:p>
            <w:pPr>
              <w:spacing w:after="0" w:line="20" w:lineRule="exact"/>
              <w:rPr>
                <w:sz w:val="1"/>
                <w:szCs w:val="1"/>
                <w:color w:val="auto"/>
              </w:rPr>
            </w:pPr>
          </w:p>
        </w:tc>
        <w:tc>
          <w:tcPr>
            <w:tcW w:w="6460" w:type="dxa"/>
            <w:vAlign w:val="bottom"/>
            <w:gridSpan w:val="3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and Reserves for the years ended December 31, 2023, 2022 and 2021</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127"/>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80" w:type="dxa"/>
            <w:vAlign w:val="bottom"/>
            <w:tcBorders>
              <w:top w:val="single" w:sz="8" w:color="0000FF"/>
            </w:tcBorders>
            <w:gridSpan w:val="32"/>
          </w:tcPr>
          <w:p>
            <w:pPr>
              <w:ind w:left="482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its assessment, management has concluded that, as of December 31, 2023,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based on those criteria.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Crown Holdings,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Crown Holdings, Inc. and its subsidiaries (the “Company”) as of December 31, 2023 and 2022, and the related consolidated statements of operations, of comprehensive income, of changes in shareholders' equity and of cash flows for each of the three years in the period ended December 31, 2023, including the related notes and financial statement schedule listed in the accompanying index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Assessments – Certain Reporting Units in the Transit Packaging and Other Segments</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described in Notes A and F to the consolidated financial statements, the Company’s consolidated goodwill balance was $3.1 billion as of December 31, 2023, a portion of which relates to certain reporting units in the Transit Packaging and Other segments. Management performs a goodwill impairment review in the fourth quarter of each year or when facts and circumstances indicate goodwill may be impaired. Management determines the estimated fair value of the reporting unit based on an average of the estimated fair values using an income and a market approach. The income approach utilizes significant assumptions relating to revenue and Adjusted EBITDA (defined by the Company as net customer sales, less cost of products sold excluding depreciation and amortization, less selling and administrative expenses) margin growth rates, discount rates, and terminal year exit multiples. As disclosed by management, under the market approach, management utilizes significant assumptions relating to EBITDA and revenue multiples used in recent similar transactions, if any, and EBITDA and revenue multiples of similar type and size public companies.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assessments of certain reporting units in the Transit Packaging and Other segments is a critical audit matter are (i) the significant judgment by management when developing the fair value estimate of the reporting units; (ii) a high degree of auditor judgment, subjectivity, and effort in performing procedures and evaluating management’s significant assumptions related to revenue and Adjusted EBITDA margin growth rates, discount rate, and EBITDA and revenue multiples for a reporting unit in the Transit Packaging segment and revenue and Adjusted EBITDA margin growth rates for a reporting unit in the Other segment; and (iii) the audit effort involved the use of professionals with specialized skill and knowledge.</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certain reporting units in the Transit Packaging and Other segments. These procedures also included, among others (i) testing management’s process for developing the fair value estimate of the reporting units; (ii) evaluating the appropriateness of the income and market approaches used by management for the reporting unit in the Transit Packaging segment and the income approach used by management for the reporting unit in the Other segment; (iii) testing the completeness and accuracy of the underlying data used in the income and market approaches, where applicable; and (iv) evaluating the reasonableness of the significant assumptions used by management related to revenue and Adjusted EBITDA margin growth rates, discount rate, and EBITDA and revenue multiples for the reporting unit in the Transit Packaging segment and related to revenue and Adjusted EBITDA margin growth rates for the reporting unit in the Other segment. Evaluating management’s assumptions related to revenue and Adjusted EBITDA margin growth rates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income and market approaches, and (ii) the reasonableness of the revenue growth rate, discount rate and EBITDA and revenue multiples assumptions for the reporting unit in the Transit Packaging segment.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56"/>
        </w:trPr>
        <w:tc>
          <w:tcPr>
            <w:tcW w:w="6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 (loss) from continuing operations before income taxes and equity in net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of affiliates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 attributable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noncontrolling interests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attributable to Crown Holdings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 (loss) from continuing operations attributable to Crown Holdings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from discontinued operations attributable to Crown Holdings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attributable to Crown Holdings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48"/>
        </w:trPr>
        <w:tc>
          <w:tcPr>
            <w:tcW w:w="6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48"/>
        </w:trPr>
        <w:tc>
          <w:tcPr>
            <w:tcW w:w="6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left="44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other postretirement benefits attributable to noncontrolling interests</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qualifying as hedges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1"/>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660" w:top="117" w:right="1159" w:bottom="1440" w:gutter="0" w:footer="0" w:header="0"/>
        </w:sectPr>
      </w:pPr>
    </w:p>
    <w:bookmarkStart w:id="50" w:name="page51"/>
    <w:bookmarkEnd w:id="50"/>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0"/>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23"/>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706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14,301</w:t>
            </w: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1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9"/>
        </w:trPr>
        <w:tc>
          <w:tcPr>
            <w:tcW w:w="7060" w:type="dxa"/>
            <w:vAlign w:val="bottom"/>
            <w:tcBorders>
              <w:bottom w:val="single" w:sz="8" w:color="CCEEFF"/>
            </w:tcBorders>
            <w:gridSpan w:val="7"/>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7060" w:type="dxa"/>
            <w:vAlign w:val="bottom"/>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189"/>
        </w:trPr>
        <w:tc>
          <w:tcPr>
            <w:tcW w:w="70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color w:val="0000FF"/>
              </w:rPr>
              <w:t>(Note P)</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89"/>
        </w:trPr>
        <w:tc>
          <w:tcPr>
            <w:tcW w:w="70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Preferred stock, authorized: 30,000,000; none issued </w:t>
            </w:r>
            <w:r>
              <w:rPr>
                <w:rFonts w:ascii="Times New Roman" w:cs="Times New Roman" w:eastAsia="Times New Roman" w:hAnsi="Times New Roman"/>
                <w:sz w:val="18"/>
                <w:szCs w:val="18"/>
                <w:color w:val="0000FF"/>
              </w:rPr>
              <w:t>(Note T)</w:t>
            </w:r>
          </w:p>
        </w:tc>
        <w:tc>
          <w:tcPr>
            <w:tcW w:w="3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stock, par value: $5.00; 500,000,000 shares authorized;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6"/>
        </w:trPr>
        <w:tc>
          <w:tcPr>
            <w:tcW w:w="7060" w:type="dxa"/>
            <w:vAlign w:val="bottom"/>
            <w:gridSpan w:val="7"/>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185,744,072 shares issued; 120,644,313 and 119,945,302 shares outstanding</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7060" w:type="dxa"/>
            <w:vAlign w:val="bottom"/>
            <w:gridSpan w:val="7"/>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in 2023 and 2022 (</w:t>
            </w:r>
            <w:r>
              <w:rPr>
                <w:rFonts w:ascii="Times New Roman" w:cs="Times New Roman" w:eastAsia="Times New Roman" w:hAnsi="Times New Roman"/>
                <w:sz w:val="18"/>
                <w:szCs w:val="18"/>
                <w:color w:val="0000FF"/>
              </w:rPr>
              <w:t>Note T</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604</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600</w:t>
            </w: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30"/>
        </w:trPr>
        <w:tc>
          <w:tcPr>
            <w:tcW w:w="706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23"/>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48"/>
        </w:trPr>
        <w:tc>
          <w:tcPr>
            <w:tcW w:w="7060" w:type="dxa"/>
            <w:vAlign w:val="bottom"/>
            <w:tcBorders>
              <w:bottom w:val="single" w:sz="8" w:color="CCEEFF"/>
            </w:tcBorders>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7" w:right="739" w:bottom="1440" w:gutter="0" w:footer="0" w:header="0"/>
        </w:sectPr>
      </w:pPr>
    </w:p>
    <w:bookmarkStart w:id="51" w:name="page52"/>
    <w:bookmarkEnd w:id="51"/>
    <w:p>
      <w:pPr>
        <w:spacing w:after="0" w:line="196" w:lineRule="auto"/>
        <w:framePr w:w="1720" w:h="160" w:wrap="auto" w:vAnchor="page" w:hAnchor="page" w:x="5080" w:y="14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Crown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millions)</w:t>
      </w:r>
    </w:p>
    <w:p>
      <w:pPr>
        <w:spacing w:after="0" w:line="38" w:lineRule="exact"/>
        <w:rPr>
          <w:rFonts w:ascii="Times New Roman" w:cs="Times New Roman" w:eastAsia="Times New Roman" w:hAnsi="Times New Roman"/>
          <w:sz w:val="17"/>
          <w:szCs w:val="17"/>
          <w:b w:val="1"/>
          <w:bCs w:val="1"/>
          <w:color w:val="auto"/>
        </w:rPr>
      </w:pPr>
    </w:p>
    <w:tbl>
      <w:tblPr>
        <w:tblLayout w:type="fixed"/>
        <w:tblInd w:w="20" w:type="dxa"/>
        <w:tblCellMar>
          <w:top w:w="0" w:type="dxa"/>
          <w:left w:w="0" w:type="dxa"/>
          <w:bottom w:w="0" w:type="dxa"/>
          <w:right w:w="0" w:type="dxa"/>
        </w:tblCellMar>
      </w:tblPr>
      <w:tr>
        <w:trPr>
          <w:trHeight w:val="243"/>
        </w:trPr>
        <w:tc>
          <w:tcPr>
            <w:tcW w:w="7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Pension contributions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Asbestos payments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sale of businesses, net of cash</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Acquisitions of businesses, net of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investment hedges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Distribution from equity method investment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Net cash (used for) / provided by investing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Premiums paid to retire debt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4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3"/>
        </w:trPr>
        <w:tc>
          <w:tcPr>
            <w:tcW w:w="74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 (used for)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rFonts w:ascii="Times New Roman" w:cs="Times New Roman" w:eastAsia="Times New Roman" w:hAnsi="Times New Roman"/>
          <w:sz w:val="17"/>
          <w:szCs w:val="17"/>
          <w:b w:val="1"/>
          <w:bCs w:val="1"/>
          <w:color w:val="auto"/>
        </w:rPr>
      </w:pPr>
    </w:p>
    <w:p>
      <w:pPr>
        <w:spacing w:after="0" w:line="354" w:lineRule="exact"/>
        <w:rPr>
          <w:rFonts w:ascii="Times New Roman" w:cs="Times New Roman" w:eastAsia="Times New Roman" w:hAnsi="Times New Roman"/>
          <w:sz w:val="17"/>
          <w:szCs w:val="17"/>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52" w:name="page53"/>
    <w:bookmarkEnd w:id="5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Disposition of subsidiary with noncontrolling</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500" w:firstLine="8"/>
        <w:spacing w:after="0" w:line="287" w:lineRule="auto"/>
        <w:tabs>
          <w:tab w:leader="none" w:pos="165"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Relates to the sale of the European Tinplate business. See </w:t>
      </w:r>
      <w:r>
        <w:rPr>
          <w:rFonts w:ascii="Times New Roman" w:cs="Times New Roman" w:eastAsia="Times New Roman" w:hAnsi="Times New Roman"/>
          <w:sz w:val="16"/>
          <w:szCs w:val="16"/>
          <w:u w:val="single" w:color="auto"/>
          <w:color w:val="0000FF"/>
        </w:rPr>
        <w:t>Note B</w:t>
      </w:r>
      <w:r>
        <w:rPr>
          <w:rFonts w:ascii="Times New Roman" w:cs="Times New Roman" w:eastAsia="Times New Roman" w:hAnsi="Times New Roman"/>
          <w:sz w:val="16"/>
          <w:szCs w:val="16"/>
          <w:color w:val="auto"/>
        </w:rPr>
        <w:t xml:space="preserve"> for further details. The accompanying notes are an integral part of these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per share, employee and statistical data)</w:t>
      </w:r>
    </w:p>
    <w:p>
      <w:pPr>
        <w:spacing w:after="0" w:line="230"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and Principles of Consolidation</w:t>
      </w:r>
      <w:r>
        <w:rPr>
          <w:rFonts w:ascii="Times New Roman" w:cs="Times New Roman" w:eastAsia="Times New Roman" w:hAnsi="Times New Roman"/>
          <w:sz w:val="18"/>
          <w:szCs w:val="18"/>
          <w:color w:val="auto"/>
        </w:rPr>
        <w:t>. The consolidated financial statements include the accounts of Crown Holdings, Inc.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subsidiary companies (where the context requires, the “Company” shall include reference to the Company and its consolidated subsidiary companies).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subsidiaries, is a leading global, diversified packaging business that manufactures metal cans and ends (aluminum and steel) for the beverage, food and aerosol industries and a wide range of transit packaging products and solutions from multiple substrates including steel, paper, and plastic. The Company's transit packaging products include automation and equipment technologies, protective packaging solutions and steel and plastic consumables which are sold into the metals, food and beverage, construction, agricultural, corrugated, and general industries.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statements were prepared in conformity with accounting principles generally accepted in the United States of America ("GAAP")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in companies over which the Company does not have control, but has the ability to exercise significant influence over operating and financial policies, are accounted for by the equity method. The proportionate share of the net income resulting from these investments is reported in Equity in net earnings of affiliates in the Consolidated Statements of Operations. The carrying values of the Company's equity method investments are reported in Other non-current assets in the Consolidated Balance Sheets. Equity method investments are reported at cost and adjusted each period for the Company's share of the investee's income or loss and dividends paid, if any. The Company classifies distributions received from equity method investees using the cumulative earnings approach. The Company assesses investments for impairment whenever events or changes in circumstances indicate that the carrying value of an investment may not be recoverable.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 For non-U.S. subsidiaries which operate in a local currency environment, assets and liabilities are translated into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The majority of the Company’s revenues from metal packaging products are derived from multi-year requirement contracts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Transit Packaging are generally derived from individual purchase orders which may include multiple goods and services which are separate performance obligations because they are distinct and separately identifiable.</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that is recognized over time 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in the Consolidated Balance Sheet with a corresponding decrease to inventory.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 For awards with a service or market condition, compensation expense is recognized over the vesting period on a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using the grant date fair value of the award and the estimated number of awards that are expected to vest. For awards with a performance condition, the Company assesses the probability of vesting at each reporting period and adjusts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 Cash equivalents represent highly liquid investments with maturities of three months or less from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purchase and 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 for Credit Losses. </w:t>
      </w:r>
      <w:r>
        <w:rPr>
          <w:rFonts w:ascii="Times New Roman" w:cs="Times New Roman" w:eastAsia="Times New Roman" w:hAnsi="Times New Roman"/>
          <w:sz w:val="18"/>
          <w:szCs w:val="18"/>
          <w:color w:val="auto"/>
        </w:rPr>
        <w:t>Trade accounts receivable are recorded at the invoiced amount and do not bear interest.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of expected credit losses is based on past events, including historical experience, current conditions and forecasts that affect the collectability of accounts receivable.</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Inventory Valuation</w:t>
      </w:r>
      <w:r>
        <w:rPr>
          <w:rFonts w:ascii="Times New Roman" w:cs="Times New Roman" w:eastAsia="Times New Roman" w:hAnsi="Times New Roman"/>
          <w:sz w:val="18"/>
          <w:szCs w:val="18"/>
          <w:color w:val="auto"/>
        </w:rPr>
        <w:t>. Inventories are stated at the lower of cost or net realizable value, with cost principally determined under the first-in, first-out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(“FIFO”) or average cost method.</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Property, Plant and Equipment</w:t>
      </w:r>
      <w:r>
        <w:rPr>
          <w:rFonts w:ascii="Times New Roman" w:cs="Times New Roman" w:eastAsia="Times New Roman" w:hAnsi="Times New Roman"/>
          <w:sz w:val="18"/>
          <w:szCs w:val="18"/>
          <w:color w:val="auto"/>
        </w:rPr>
        <w:t>. Property, plant and equipment (“PP&amp;E”) is carried at cost less accumulated depreciation and includes expenditures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facilities and equipment and those costs which substantially increase the useful lives or capacity of existing PP&amp;E. Cost of constructed assets includes capitalized interest incurred during the construction and development period. Maintenance and repairs, including labor and material costs for planned major maintenance such as annual production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line overhauls, are expensed as incurred. When PP&amp;E is retired or otherwise disposed, the net carrying amount is eliminated with any gain or loss on disposition recognized in earnings at that time.</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Goodwill and Intangible Assets</w:t>
      </w:r>
      <w:r>
        <w:rPr>
          <w:rFonts w:ascii="Times New Roman" w:cs="Times New Roman" w:eastAsia="Times New Roman" w:hAnsi="Times New Roman"/>
          <w:sz w:val="18"/>
          <w:szCs w:val="18"/>
          <w:color w:val="auto"/>
        </w:rPr>
        <w:t>. Assets and liabilities of acquired businesses are recorded under the acquisition method of accounting at their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is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(a non-GAAP item defined by the Company as net customer sales, less cost of products sold excluding depreciation and amortization, less selling and administrative expenses) margin growth rates, discount rates and terminal year exit multiples. If the carrying value of a reporting unit exceeds its fair value, any impairment loss is measured by comparing the carrying value of the reporting unit to its fair value, not to exceed the carrying amount of goodwill.</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carried at cost less accumulated amortization. Finite-lived intangibles are amortized on a straight-line basis over their estimated useful lives described below (in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- 27</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6 - 8</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supply contracts</w:t>
            </w:r>
          </w:p>
        </w:tc>
        <w:tc>
          <w:tcPr>
            <w:tcW w:w="4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Impairment or Disposal of Long-Lived Assets</w:t>
      </w:r>
      <w:r>
        <w:rPr>
          <w:rFonts w:ascii="Times New Roman" w:cs="Times New Roman" w:eastAsia="Times New Roman" w:hAnsi="Times New Roman"/>
          <w:sz w:val="18"/>
          <w:szCs w:val="18"/>
          <w:color w:val="auto"/>
        </w:rPr>
        <w:t>. In the event that facts and circumstances indicate that the carrying value of long-lived assets,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PP&amp;E and finite-lived intangible assets, may be impaired, the Company performs a recoverability evaluation. If the evaluation indicates that the carrying value of an asset group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and finance leases for land and buildings related to certain manufacturing facilities, warehouses and corporate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 which lease payments are made. The Company's leases do not contain any material residual value guarantees or material restrictive covenants.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The provision for income taxes is determined using the asset and liability approach. Deferred taxes represent the future expected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differences between the financial reporting and tax bases of assets and liabilities based upon enacted tax rates and laws. The Company has made an accounting policy election to treat taxes due on future U.S. inclusions of certain intangible income of foreign subsidiaries as a current period expense when incurred.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Derivatives and Hedging</w:t>
      </w:r>
      <w:r>
        <w:rPr>
          <w:rFonts w:ascii="Times New Roman" w:cs="Times New Roman" w:eastAsia="Times New Roman" w:hAnsi="Times New Roman"/>
          <w:sz w:val="18"/>
          <w:szCs w:val="18"/>
          <w:color w:val="auto"/>
        </w:rPr>
        <w:t>. All outstanding derivative financial instruments are recognized in the balance sheet at their fair values. The impact on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forecasted transactions become probable of not occurring.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Research, development and engineering costs of $33 in 2023, $34 in 2022, and $47 in 2021 were expensed as incurred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reclassifications of prior years’ data have been made to conform to the current year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and Reporting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 2023, the Company adopted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$862 and $1,037 confirmed obligations outstanding under these supplier finance programs as of December 31, 2023 and December 31, 2022 included in Accounts Payable.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new guidance that requires incremental disclosures related to reportable segments. That standard requires disclosure, on an annual and interim basis, of significant segment expenses that are regularly provided to the chief operating decision maker ("CODM") and included within each reported measure of profit or loss. The title and position of the CODM and how the reported measure of segment profit or loss is used by the CODM to assess segment performance and allocate resources is also required to be disclosed. The standard also permits disclosure of additional measures of segment profit. The standard is effective for fiscal years beginning after December 15, 2023, and interim periods within fiscal years beginning after December 15, 2024. The Company is currently evaluating the impact of adopting this standard on its disclosures.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Acquisitions and Divestitures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 2023, the Company completed its acquisition of Helvetia Packaging AG ("Helvetia"), a beverage can and end manufacturing facility in Saarlouis, Germany for $126, subject to adjustment. The addition of Helvetia expands the Company's European Beverage segment into Germany, adding capacity to serve growing demand for beverage cans. Based on preliminary valuation, identifiable assets acquired primarily includes property, plant and equipment of $70 and customer relationship intangible assets of $19, with estimated goodwill acquired of $37. The Company has not finalized the determination of the fair value of assets acquired and liabilities assumed, including income taxes and contingencies. The Company expects to finalize its purchase accounting within one year of the acquisition date.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Company completed the sale of the Transit Packaging segment's Kiwiplan business and received pre-tax proceeds of $180. The Company recorded a pre-tax gain of $113 ($102, net of tax) on the sale, which is reported in Restructuring and other, net in the Consolidated Statements of Operations. The transaction did not represent a strategic shift that had a major effect on the Company's operations and financial results, and therefore did not qualify for reporting as a discontinued operation.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Other. The Company received pre-tax proceeds of approximately €1.9 billion ($2.3 billion) from the Transaction and received a 20% minority interest in the Business. For the year ended December 31, 2021, the Company recorded a pre-tax loss of $101 and tax charges of $81 related to taxable gains on the sale of the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components of net loss from discontinued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243"/>
        </w:trPr>
        <w:tc>
          <w:tcPr>
            <w:tcW w:w="7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discontinued businesses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noncontrolling interests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attributable to Crown Holdings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had capital expenditures of $29 for the year ended December 31, 2021.</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the minority interest received in the Business under the equity method. The Company's share of income of the Business was $9 and $34 for the years ended December 31, 2023 and 2022 and a loss of $8 for the year ended December 31, 2021 and is reported in Equity in net earnings of affiliates in the Consolidated Statements of Operations. The Company received distributions from the Business of $83 and $26 in the years ended December 31, 2023 and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Cash, Cash Equivalents, and Restricted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Statements of Cash Flows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Receivables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1"/>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receivables securitization and factoring facilities in the normal course of business as part of managing its cash flows. The Company primarily accounts for transfers under these facilities as sales because it has met the criteria for control of the receivables to be considered transferred. The Company’s continuing involvement in the transfers is limited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the receivables. The Company receives adequate compensation for servicing the receivables and no servicing asset or liability is recorded.</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derecognized receivables of $1,104 and $1,342 related to the facilities. The Company recorded expenses of $82, $41, and $13 for the years ended December 31, 2023, 2022, and 2021 as interest expense.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Inventories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1"/>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December 31, 2023 and 2022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European</w:t>
            </w:r>
          </w:p>
        </w:tc>
        <w:tc>
          <w:tcPr>
            <w:tcW w:w="18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Transit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4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Beverage</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Beverage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Packaging</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year-ended December 31, 2023, goodwill acquired was from the acquisition of Helvetia Packaging AG.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 December 31, 2023 and 2022 was net of the following accumulated impairments: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European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w:t>
            </w:r>
          </w:p>
        </w:tc>
        <w:tc>
          <w:tcPr>
            <w:tcW w:w="24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w:t>
            </w:r>
          </w:p>
        </w:tc>
        <w:tc>
          <w:tcPr>
            <w:tcW w:w="2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69"/>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43"/>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Gross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200" w:type="dxa"/>
            <w:vAlign w:val="bottom"/>
          </w:tcPr>
          <w:p>
            <w:pPr>
              <w:spacing w:after="0"/>
              <w:rPr>
                <w:sz w:val="21"/>
                <w:szCs w:val="21"/>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1"/>
                <w:szCs w:val="21"/>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year-ended December 31, 2023, $19 of customer relationship intangible assets were acquired from the acquisition of Helvetia Packaging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2023, 2022, and 2021 was $163, $159 and $165.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amortization expense is estimated to be $152 for 2024, $148 for 2025, $139 for 2026, $136 for 2027 and $136 for 2028.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 Property, Plant and Equipment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7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3"/>
        </w:trPr>
        <w:tc>
          <w:tcPr>
            <w:tcW w:w="7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interest related to construction in progress was $39 and $28 for the years ended December 31, 2023 and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2023, 2022 and 2021 were as follows: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operating lease cost was $5, $4, and $3 for the years ended December 31, 2023, 2022, and 2021. Interest on finance lease liabilities was less than $1 for each of the years ended December 31, 2023, 2022, and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5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40" w:type="dxa"/>
            <w:vAlign w:val="bottom"/>
          </w:tcPr>
          <w:p>
            <w:pPr>
              <w:ind w:left="47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7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finance leases was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2"/>
                <w:szCs w:val="22"/>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2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0"/>
        </w:trPr>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for each year were as follows: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2"/>
                <w:szCs w:val="22"/>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Pr>
          <w:p>
            <w:pPr>
              <w:spacing w:after="0"/>
              <w:rPr>
                <w:sz w:val="20"/>
                <w:szCs w:val="20"/>
                <w:color w:val="auto"/>
              </w:rPr>
            </w:pPr>
          </w:p>
        </w:tc>
      </w:tr>
      <w:tr>
        <w:trPr>
          <w:trHeight w:val="481"/>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3"/>
        </w:trPr>
        <w:tc>
          <w:tcPr>
            <w:tcW w:w="20" w:type="dxa"/>
            <w:vAlign w:val="bottom"/>
          </w:tcPr>
          <w:p>
            <w:pPr>
              <w:spacing w:after="0"/>
              <w:rPr>
                <w:sz w:val="19"/>
                <w:szCs w:val="19"/>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Company did not have material lease commitments that had not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Other Non-Current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assets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a customer in the Company's Americas Beverage segment filed for bankruptcy and a bankruptcy plan was approved in October 2023. The bankruptcy plan extended the payment terms of pre-bankruptcy receivables. The Company has a long-term receivable of $66 related to this customer, which is included in Other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474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7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 Accrued Liabilities</w:t>
            </w: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3760" w:type="dxa"/>
            <w:vAlign w:val="bottom"/>
          </w:tcPr>
          <w:p>
            <w:pPr>
              <w:spacing w:after="0"/>
              <w:rPr>
                <w:sz w:val="22"/>
                <w:szCs w:val="22"/>
                <w:color w:val="auto"/>
              </w:rPr>
            </w:pPr>
          </w:p>
        </w:tc>
        <w:tc>
          <w:tcPr>
            <w:tcW w:w="4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6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other than on income</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liabilities</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3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1"/>
        </w:trPr>
        <w:tc>
          <w:tcPr>
            <w:tcW w:w="3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 Restructuring and Other</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 and sales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 / (income)</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92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4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2023 Activity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the Company made the decision to close various production facilities across various segments. Asset impairments and sales primarily includes, $19 for the planned closure of the Batesville, Mississippi beverage can plant, $8 related to a shift in capacity from beverage can plants in Ho Chi Minh City, Vietnam and Singapore to Vung Tau, Vietnam and $5 for the planned closure of the Decatur, Illinois aerosol plant. Plant closures are expected to be completed by the end of the first quarter of 2024. The Company expects to record an additional $4 of costs to prepare the Batesville building for sale. Asset impairments and sales also includes $19 related to line consolidation and modernization at the Dong Nai, Vietnam beverage can plant.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included termination benefits and other exit costs of $11 related to the actions described above. In addition, termination and other exit costs of $9 and $3 were recorded in the European Beverage and Other segments, respectively, related to line consolidation and business reorganization activities, including headcount reductions in the beverage can making equipment business.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Other costs includes $11 related to disputes, including a fine from the French Competition Authority, and $4 of tax indemnity charges related to the European Tinplate business sold in 2021. See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for more information on the French Competition Authority matter.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for more information on the Company's provision for asbestos.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Asset sales and impairments primarily relates to the $113 gain on sale of the Kiwiplan business.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 on the sale.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included charges of $29 related to an overhead cost reduction program initiated by the Company's Transit Packaging segment that reduced headcount by approximately 600 employees.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Activity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costs / (income) included gains of $30 arising from a favorable court ruling in a lawsuit brought by certain of the Company's Brazilian subsidiaries asserting they were overcharged by local tax authorities for indirect taxes paid in prior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sales and impairments included gains on various asset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primarily includes charges related to relocation of the Transit Packaging headquarters and headcount reductions across 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by segment were as follows: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type were as follows:</w:t>
            </w: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a restructuring accrual of $20, primarily related to the headcount reductions and other internal reorganizations within the Transit Packaging segment.</w:t>
      </w:r>
    </w:p>
    <w:p>
      <w:pPr>
        <w:spacing w:after="0" w:line="18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During 2023, the Company made severance payments of $19 and had a restructuring accrual of $22 related to the actions referenced above. These amounts include payments of $11 and a restructuring accrual of $7 related to the overhead cost reduction program initiated in the prior year in the Transit Packaging segment. The Company expects to pay the remaining accrual amounts over the next twelve months.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70"/>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Debt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Principal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Principal</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outstanding</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outstanding</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76</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76</w:t>
            </w:r>
          </w:p>
        </w:tc>
      </w:tr>
      <w:tr>
        <w:trPr>
          <w:trHeight w:val="216"/>
        </w:trPr>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Long-term debt</w:t>
            </w:r>
          </w:p>
        </w:tc>
        <w:tc>
          <w:tcPr>
            <w:tcW w:w="3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€600 at 2.625% due 2024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€600 at 3.375% due 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Fixed rate with rates in 2023 from 2.6% to 14.4% due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through 2027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175"/>
        </w:trPr>
        <w:tc>
          <w:tcPr>
            <w:tcW w:w="20" w:type="dxa"/>
            <w:vAlign w:val="bottom"/>
          </w:tcPr>
          <w:p>
            <w:pPr>
              <w:spacing w:after="0"/>
              <w:rPr>
                <w:sz w:val="15"/>
                <w:szCs w:val="15"/>
                <w:color w:val="auto"/>
              </w:rPr>
            </w:pPr>
          </w:p>
        </w:tc>
        <w:tc>
          <w:tcPr>
            <w:tcW w:w="44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Variable rate with an average rate in 2023 of 3.6% due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1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30"/>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€533 at December 31, 2023 and €540 at December 31, 2022</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$7,484 at December 31, 2023 and $6,922 at December 31,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issued €500 principal amount of 5.00% senior unsecured notes due 2028 and in December 2023, the Company issued €500 principal amount of 4.75% senior unsecured notes due 2029. Both notes were issued at par by Crown European Holdings S.A., a subsidiary of the Company, and are unconditionally guaranteed by the Company and certain of its subsidiaries. The Company used a portion of the December 2023 bond issuance proceeds to make an early payment of $203 million towards the U.S. dollar term loan due 2027.</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facilities include provisions for letters of credit up to $310 that reduce the amount of borrowing capacity otherwise available. At December 31, 2023, the Company’s available borrowing capacity under the credit facilities was $1,585 equal to the facilities’ aggregate capacity of $1,650 less $65 of outstanding letters of credit. The interest rates on the facilities can vary from SOFR or EURIBOR, with a floor of zero, plus a margin of up to 1.60%, depending on the facility, based on the Company's leverage ratio. The revolving credit facilities and term loan facilities required the Company to maintain a leverage ratio of no greater than 4.50 times at December 31, 2023.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 was in compliance with all covenants as of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U.S. dollar term loan interest rate was SOFR plus 1.35% and the Euro term loan interest rate was EURIBOR plus 1.25%.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35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77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interest rates were as follows:</w:t>
            </w: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99"/>
        </w:trPr>
        <w:tc>
          <w:tcPr>
            <w:tcW w:w="4300" w:type="dxa"/>
            <w:vAlign w:val="bottom"/>
          </w:tcPr>
          <w:p>
            <w:pPr>
              <w:spacing w:after="0"/>
              <w:rPr>
                <w:sz w:val="24"/>
                <w:szCs w:val="24"/>
                <w:color w:val="auto"/>
              </w:rPr>
            </w:pPr>
          </w:p>
        </w:tc>
        <w:tc>
          <w:tcPr>
            <w:tcW w:w="3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9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maturities of long-term debt, excluding unamortized discounts and debt issuance costs, for the five years subsequent to 2023 are $759, $743, $2,250, $2,100 and $552. Cash payments for interest during 2023, 2022 and 2021 were $390, $270, and $294.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Derivative and Other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below. In addition,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fair value disclosures related to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jc w:val="both"/>
        <w:spacing w:after="0" w:line="260" w:lineRule="auto"/>
        <w:rPr>
          <w:sz w:val="20"/>
          <w:szCs w:val="20"/>
          <w:color w:val="auto"/>
        </w:rPr>
      </w:pPr>
      <w:r>
        <w:rPr>
          <w:rFonts w:ascii="Times New Roman" w:cs="Times New Roman" w:eastAsia="Times New Roman" w:hAnsi="Times New Roman"/>
          <w:sz w:val="18"/>
          <w:szCs w:val="18"/>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other comprehensive income is the same as that of the underlying exposure. Contracts outstanding at December 31, 2023 mature between one and thirty-six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including natural gas and electricity, and these exposures are hedged by a central treasury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uses interest rate swaps to convert interest on floating rate debt to a fixed-rate.</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related to derivative instruments designated as cash flow hedges.</w:t>
      </w:r>
    </w:p>
    <w:p>
      <w:pPr>
        <w:spacing w:after="0" w:line="2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Amount of gain / (loss) recognized in</w:t>
      </w:r>
    </w:p>
    <w:p>
      <w:pPr>
        <w:jc w:val="center"/>
        <w:ind w:right="1020"/>
        <w:spacing w:after="0"/>
        <w:rPr>
          <w:sz w:val="20"/>
          <w:szCs w:val="20"/>
          <w:color w:val="auto"/>
        </w:rPr>
      </w:pPr>
      <w:r>
        <w:rPr>
          <w:rFonts w:ascii="Times New Roman" w:cs="Times New Roman" w:eastAsia="Times New Roman" w:hAnsi="Times New Roman"/>
          <w:sz w:val="18"/>
          <w:szCs w:val="18"/>
          <w:color w:val="auto"/>
        </w:rPr>
        <w:t>AOCI</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29"/>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878"/>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w w:val="99"/>
              </w:rPr>
              <w:t>Amount of gain / (loss) reclassified from</w:t>
            </w:r>
          </w:p>
        </w:tc>
        <w:tc>
          <w:tcPr>
            <w:tcW w:w="1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AOCI into income</w:t>
            </w: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175"/>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Pr>
          <w:p>
            <w:pPr>
              <w:ind w:left="1300"/>
              <w:spacing w:after="0" w:line="176"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2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4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Statements of Operations</w:t>
            </w: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5"/>
        </w:trPr>
        <w:tc>
          <w:tcPr>
            <w:tcW w:w="3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76"/>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21"/>
                <w:szCs w:val="21"/>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55"/>
        </w:trPr>
        <w:tc>
          <w:tcPr>
            <w:tcW w:w="3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 (loss) from continuing operations before income</w:t>
            </w:r>
          </w:p>
        </w:tc>
      </w:tr>
      <w:tr>
        <w:trPr>
          <w:trHeight w:val="243"/>
        </w:trPr>
        <w:tc>
          <w:tcPr>
            <w:tcW w:w="3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and equity in net earnings of affiliates</w:t>
            </w:r>
          </w:p>
        </w:tc>
      </w:tr>
      <w:tr>
        <w:trPr>
          <w:trHeight w:val="223"/>
        </w:trPr>
        <w:tc>
          <w:tcPr>
            <w:tcW w:w="3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from continuing operations</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2024, a net loss of $1 ($1, net of tax) is expected to be reclassified to earnings for commodity and foreign exchange contracts. No material amounts were reclassified during the years ended December 31, 2023 and 2022 in connection with anticipated transactions that were no longer considered probable.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December 31, 2022, the Company recorded losses of $12 and $19 from foreign exchange contracts designated as fair value hedges. These adjustments were reported within foreign exchange in the Consolidated Statements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sets forth the impact on earnings from derivatives not designated as hedges.</w:t>
            </w:r>
          </w:p>
        </w:tc>
        <w:tc>
          <w:tcPr>
            <w:tcW w:w="4140" w:type="dxa"/>
            <w:vAlign w:val="bottom"/>
          </w:tcPr>
          <w:p>
            <w:pPr>
              <w:spacing w:after="0"/>
              <w:rPr>
                <w:sz w:val="20"/>
                <w:szCs w:val="20"/>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6"/>
          </w:tcPr>
          <w:p>
            <w:pPr>
              <w:jc w:val="center"/>
              <w:ind w:right="140"/>
              <w:spacing w:after="0" w:line="202" w:lineRule="exact"/>
              <w:rPr>
                <w:sz w:val="20"/>
                <w:szCs w:val="20"/>
                <w:color w:val="auto"/>
              </w:rPr>
            </w:pPr>
            <w:r>
              <w:rPr>
                <w:rFonts w:ascii="Times New Roman" w:cs="Times New Roman" w:eastAsia="Times New Roman" w:hAnsi="Times New Roman"/>
                <w:sz w:val="18"/>
                <w:szCs w:val="18"/>
                <w:color w:val="auto"/>
                <w:w w:val="99"/>
              </w:rPr>
              <w:t>Pre-tax amount of gain / (loss) recognized</w:t>
            </w:r>
          </w:p>
        </w:tc>
        <w:tc>
          <w:tcPr>
            <w:tcW w:w="4140" w:type="dxa"/>
            <w:vAlign w:val="bottom"/>
          </w:tcPr>
          <w:p>
            <w:pPr>
              <w:spacing w:after="0"/>
              <w:rPr>
                <w:sz w:val="17"/>
                <w:szCs w:val="17"/>
                <w:color w:val="auto"/>
              </w:rPr>
            </w:pPr>
          </w:p>
        </w:tc>
      </w:tr>
      <w:tr>
        <w:trPr>
          <w:trHeight w:val="237"/>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in earnings</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162"/>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ind w:left="1160"/>
              <w:spacing w:after="0" w:line="162"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40" w:type="dxa"/>
            <w:vAlign w:val="bottom"/>
          </w:tcPr>
          <w:p>
            <w:pPr>
              <w:spacing w:after="0"/>
              <w:rPr>
                <w:sz w:val="21"/>
                <w:szCs w:val="21"/>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Statements of Operations</w:t>
            </w: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6"/>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2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23"/>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the years ended December 31, 2023 and 2022, the Company recorded a loss of $52 ($43, net of tax) and a gain of $32 ($19, net of tax) in other comprehensive income for certain debt instruments that are designated as hedges of its net investment in a euro-based subsidiary. As of December 31, 2023 and December 31, 2022, cumulative gains of $49 ($68, net of tax) and $101 ($111, net of tax) were recognized in accumulated other comprehensive income related to these net investment hedges and the carrying amount of the hedging instrument was approximately €1,626 ($1,796) at December 31, 2023.</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values of $875 designated as hedges of the Company's net investment in a euro-based subsidiary. These swaps mature in 2026 and reduced interest expense by $25 for the years ended December 31, 2022 and 2023 and $24 for the year ended December 31, 2021.</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sets forth financial information about the impact on accumulated other comprehensive income from changes in the fair value of these derivative instruments designated as net investment hedges.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Amount of gain / (loss) recognized in AOCI</w:t>
            </w: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6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December 31, 2023 and December 31, 2022, respectively. The fair value of these financial instruments were reported under Level 2 of the fair value hierarchy.</w:t>
      </w: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5"/>
          </w:tcPr>
          <w:p>
            <w:pPr>
              <w:ind w:left="420"/>
              <w:spacing w:after="0" w:line="182"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5"/>
                <w:szCs w:val="15"/>
                <w:color w:val="auto"/>
              </w:rPr>
            </w:pPr>
          </w:p>
        </w:tc>
        <w:tc>
          <w:tcPr>
            <w:tcW w:w="13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5"/>
                <w:szCs w:val="15"/>
                <w:color w:val="auto"/>
              </w:rPr>
            </w:pPr>
          </w:p>
        </w:tc>
        <w:tc>
          <w:tcPr>
            <w:tcW w:w="120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5"/>
                <w:szCs w:val="15"/>
                <w:color w:val="auto"/>
              </w:rPr>
            </w:pPr>
          </w:p>
        </w:tc>
        <w:tc>
          <w:tcPr>
            <w:tcW w:w="1780" w:type="dxa"/>
            <w:vAlign w:val="bottom"/>
            <w:gridSpan w:val="4"/>
          </w:tcPr>
          <w:p>
            <w:pPr>
              <w:ind w:left="320"/>
              <w:spacing w:after="0" w:line="182" w:lineRule="exact"/>
              <w:rPr>
                <w:sz w:val="20"/>
                <w:szCs w:val="20"/>
                <w:color w:val="auto"/>
              </w:rPr>
            </w:pPr>
            <w:r>
              <w:rPr>
                <w:rFonts w:ascii="Times New Roman" w:cs="Times New Roman" w:eastAsia="Times New Roman" w:hAnsi="Times New Roman"/>
                <w:sz w:val="18"/>
                <w:szCs w:val="18"/>
                <w:color w:val="auto"/>
              </w:rPr>
              <w:t>Balance Sheet</w:t>
            </w:r>
          </w:p>
        </w:tc>
        <w:tc>
          <w:tcPr>
            <w:tcW w:w="1460" w:type="dxa"/>
            <w:vAlign w:val="bottom"/>
            <w:gridSpan w:val="5"/>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December 31,</w:t>
            </w:r>
          </w:p>
        </w:tc>
        <w:tc>
          <w:tcPr>
            <w:tcW w:w="140" w:type="dxa"/>
            <w:vAlign w:val="bottom"/>
          </w:tcPr>
          <w:p>
            <w:pPr>
              <w:spacing w:after="0"/>
              <w:rPr>
                <w:sz w:val="15"/>
                <w:szCs w:val="15"/>
                <w:color w:val="auto"/>
              </w:rPr>
            </w:pPr>
          </w:p>
        </w:tc>
        <w:tc>
          <w:tcPr>
            <w:tcW w:w="12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classification</w:t>
            </w:r>
          </w:p>
        </w:tc>
        <w:tc>
          <w:tcPr>
            <w:tcW w:w="4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3360" w:type="dxa"/>
            <w:vAlign w:val="bottom"/>
            <w:tcBorders>
              <w:top w:val="single" w:sz="8" w:color="auto"/>
              <w:bottom w:val="single" w:sz="8" w:color="auto"/>
            </w:tcBorders>
            <w:gridSpan w:val="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w w:val="99"/>
              </w:rPr>
              <w:t>Derivatives designated as hedging instruments</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cash flow</w:t>
            </w: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fair value</w:t>
            </w: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Commodities contracts</w:t>
            </w:r>
          </w:p>
        </w:tc>
        <w:tc>
          <w:tcPr>
            <w:tcW w:w="18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w:t>
            </w:r>
          </w:p>
        </w:tc>
        <w:tc>
          <w:tcPr>
            <w:tcW w:w="18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8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8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instruments</w:t>
            </w: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18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8"/>
                <w:szCs w:val="18"/>
                <w:color w:val="auto"/>
              </w:rPr>
              <w:t>Fair Value Hedge Carrying Amounts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68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 amount of the hedged assets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liabilities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 included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cumulative amounts of fair value hedging adjustments included in the carrying amount of the hedged assets and liabilities were a net gain of $2 and $1,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120" w:type="dxa"/>
            <w:vAlign w:val="bottom"/>
          </w:tcPr>
          <w:p>
            <w:pPr>
              <w:spacing w:after="0"/>
              <w:rPr>
                <w:sz w:val="24"/>
                <w:szCs w:val="24"/>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Gross amounts not offset in the</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21"/>
                <w:szCs w:val="21"/>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 Sheet</w:t>
            </w:r>
          </w:p>
        </w:tc>
        <w:tc>
          <w:tcPr>
            <w:tcW w:w="360" w:type="dxa"/>
            <w:vAlign w:val="bottom"/>
          </w:tcPr>
          <w:p>
            <w:pPr>
              <w:spacing w:after="0"/>
              <w:rPr>
                <w:sz w:val="21"/>
                <w:szCs w:val="21"/>
                <w:color w:val="auto"/>
              </w:rPr>
            </w:pP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3"/>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2022</w:t>
            </w:r>
          </w:p>
        </w:tc>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O.</w:t>
        <w:tab/>
        <w:t>Asbestos-Related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2010, the Texas Supreme Court reversed a lower court decision, Barbara Robinson v. Crown Cork &amp; Seal Company, Inc., No. 14-04-00658-CV, Fourteenth Court of Appeals, Texas, which had upheld the dismissal of an asbestos-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approximate claims activity for the years ended 2023, 2022 and 2021 was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1"/>
        </w:trPr>
        <w:tc>
          <w:tcPr>
            <w:tcW w:w="6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made cash payments of $17, $21, and $19 to settle asbestos claims and pay related legal and defense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by year of exposure and state filed.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December 31, 2022, the Company's outstanding claims were: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ind w:left="8020"/>
              <w:spacing w:after="0"/>
              <w:rPr>
                <w:sz w:val="20"/>
                <w:szCs w:val="20"/>
                <w:color w:val="auto"/>
              </w:rPr>
            </w:pPr>
            <w:r>
              <w:rPr>
                <w:rFonts w:ascii="Times New Roman" w:cs="Times New Roman" w:eastAsia="Times New Roman" w:hAnsi="Times New Roman"/>
                <w:sz w:val="18"/>
                <w:szCs w:val="18"/>
                <w:color w:val="auto"/>
                <w:w w:val="94"/>
              </w:rPr>
              <w:t>2023</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18,000</w:t>
            </w:r>
          </w:p>
        </w:tc>
        <w:tc>
          <w:tcPr>
            <w:tcW w:w="6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Pennsylvania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states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58,500</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the percentage of outstanding claims related to claimants alleging serious diseases (primarily mesothelioma and other malignancies)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82% of the claims outstanding at the end of 2023 were filed by plaintiffs who do not claim a specific amount of damages or claim a minimum amount as established by court rules relating to jurisdiction; approximately 15% were filed by plaintiffs who claim damages of less than $5; approximately 3% were filed by plaintiffs who claim damages from $5 to less than $100 (29% of whom claim damages less than $25) and 14 claims were filed by plaintiffs who claim damages in excess of $100.</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Company’s accrual for pending and future asbestos-related claims and related legal costs was $204, including $158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October 7, 2021, the French </w:t>
      </w:r>
      <w:r>
        <w:rPr>
          <w:rFonts w:ascii="Times New Roman" w:cs="Times New Roman" w:eastAsia="Times New Roman" w:hAnsi="Times New Roman"/>
          <w:sz w:val="18"/>
          <w:szCs w:val="18"/>
          <w:i w:val="1"/>
          <w:iCs w:val="1"/>
          <w:color w:val="auto"/>
        </w:rPr>
        <w:t>Autorité de la concurrence</w:t>
      </w:r>
      <w:r>
        <w:rPr>
          <w:rFonts w:ascii="Times New Roman" w:cs="Times New Roman" w:eastAsia="Times New Roman" w:hAnsi="Times New Roman"/>
          <w:sz w:val="18"/>
          <w:szCs w:val="18"/>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intends to appeal the decision of the FCA and there can be no assurance regarding the outcome of such appeal.</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 Other Non-Current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Postemployment benefits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taxes payable includes unrecognized tax benefits as discussed in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Pension and Other Postretirement Benefits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Pensions. </w:t>
      </w:r>
      <w:r>
        <w:rPr>
          <w:rFonts w:ascii="Times New Roman" w:cs="Times New Roman" w:eastAsia="Times New Roman" w:hAnsi="Times New Roman"/>
          <w:sz w:val="18"/>
          <w:szCs w:val="18"/>
          <w:color w:val="auto"/>
        </w:rPr>
        <w:t>The Company sponsors various pension plans covering certain U.S. and non-U.S. employees, and participates in certain multi-employer 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The benefits under the Company plans are based primarily on years of service and either the employees’ remuneration near retirement or a fixed dollar multiple.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measurement date of December 31 was used for all plans presented below.</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pension expense were as follows: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Curtailments and special termination benefits</w:t>
            </w:r>
          </w:p>
        </w:tc>
        <w:tc>
          <w:tcPr>
            <w:tcW w:w="92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Non-U.S.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settlement charge in 2021 arose from the irrevocable transfer of the Company's U.K. defined benefit pension plan (the "Plan") to an insurer. In 2021, the Company made a cash contribution of £196 to enable the Plan to purchase a bulk annuity insurance contract for the benefit of the Plan participants. The Company has been repaid £103 ($131 using December 31, 2023 exchange rate) of the contribution and expects to receive another £24 in future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pension expense of $6 in 2023 and $5 for 2022 and 2021 was recognized for multi-employer plans.</w:t>
      </w:r>
    </w:p>
    <w:p>
      <w:pPr>
        <w:spacing w:after="0" w:line="25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projected benefit obligations, accumulated benefit obligations, plan assets and funded status of the Company's U.S. and non-U.S. plans were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3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U.S. Plans</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Non-U.S. Plans</w:t>
            </w:r>
          </w:p>
        </w:tc>
        <w:tc>
          <w:tcPr>
            <w:tcW w:w="86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169"/>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Projected Benefit Obligations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4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Curtailments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(gain)/loss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8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169"/>
        </w:trPr>
        <w:tc>
          <w:tcPr>
            <w:tcW w:w="20" w:type="dxa"/>
            <w:vAlign w:val="bottom"/>
          </w:tcPr>
          <w:p>
            <w:pPr>
              <w:spacing w:after="0"/>
              <w:rPr>
                <w:sz w:val="14"/>
                <w:szCs w:val="14"/>
                <w:color w:val="auto"/>
              </w:rPr>
            </w:pPr>
          </w:p>
        </w:tc>
        <w:tc>
          <w:tcPr>
            <w:tcW w:w="41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Plan Assets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return on plan assets - gain/(loss)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196"/>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benefit obligations at December 31</w:t>
            </w:r>
          </w:p>
        </w:tc>
        <w:tc>
          <w:tcPr>
            <w:tcW w:w="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actuarial losses for the Company’s U.S. and non-U.S. pension plans totaled $22. Actuarial gains and losses arise each year primarily due to changes in discount rates, differences in actual plan asset returns compared to expected returns, and changes in actuarial assumptions such as mortality. The loss in 2023 was primarily due to lower discount rates at the end of 2023, partially offset by actual asset returns higher than expected.</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pension plans with accumulated benefit obligations and projected benefit obligations in excess of plan assets were as follows:</w:t>
      </w:r>
    </w:p>
    <w:p>
      <w:pPr>
        <w:spacing w:after="0" w:line="3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056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056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55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Non-U.S. pension plans with accumulated benefit obligations in excess of plan assets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8"/>
        </w:trPr>
        <w:tc>
          <w:tcPr>
            <w:tcW w:w="74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54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Non-U.S. pension plans with projected benefit obligations in excess of plan assets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8"/>
        </w:trPr>
        <w:tc>
          <w:tcPr>
            <w:tcW w:w="74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02056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05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02056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056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02056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205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02056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056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02056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205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2022</w:t>
      </w:r>
    </w:p>
    <w:p>
      <w:pPr>
        <w:spacing w:after="0" w:line="36" w:lineRule="exact"/>
        <w:rPr>
          <w:sz w:val="20"/>
          <w:szCs w:val="20"/>
          <w:color w:val="auto"/>
        </w:rPr>
      </w:pPr>
    </w:p>
    <w:p>
      <w:pPr>
        <w:ind w:left="929" w:hanging="929"/>
        <w:spacing w:after="0"/>
        <w:tabs>
          <w:tab w:leader="none" w:pos="9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1,094</w:t>
      </w:r>
    </w:p>
    <w:p>
      <w:pPr>
        <w:spacing w:after="0" w:line="27" w:lineRule="exact"/>
        <w:rPr>
          <w:rFonts w:ascii="Times New Roman" w:cs="Times New Roman" w:eastAsia="Times New Roman" w:hAnsi="Times New Roman"/>
          <w:sz w:val="18"/>
          <w:szCs w:val="18"/>
          <w:color w:val="auto"/>
        </w:rPr>
      </w:pPr>
    </w:p>
    <w:p>
      <w:pPr>
        <w:ind w:left="9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w:t>
      </w:r>
    </w:p>
    <w:p>
      <w:pPr>
        <w:spacing w:after="0" w:line="22"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886</w:t>
      </w:r>
    </w:p>
    <w:p>
      <w:pPr>
        <w:spacing w:after="0" w:line="200" w:lineRule="exact"/>
        <w:rPr>
          <w:sz w:val="20"/>
          <w:szCs w:val="20"/>
          <w:color w:val="auto"/>
        </w:rPr>
      </w:pPr>
    </w:p>
    <w:p>
      <w:pPr>
        <w:spacing w:after="0" w:line="398"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2022</w:t>
      </w:r>
    </w:p>
    <w:p>
      <w:pPr>
        <w:spacing w:after="0" w:line="36" w:lineRule="exact"/>
        <w:rPr>
          <w:sz w:val="20"/>
          <w:szCs w:val="20"/>
          <w:color w:val="auto"/>
        </w:rPr>
      </w:pPr>
    </w:p>
    <w:p>
      <w:pPr>
        <w:ind w:left="1069" w:hanging="1069"/>
        <w:spacing w:after="0"/>
        <w:tabs>
          <w:tab w:leader="none" w:pos="10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w:t>
      </w:r>
    </w:p>
    <w:p>
      <w:pPr>
        <w:spacing w:after="0" w:line="27"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w:t>
      </w:r>
    </w:p>
    <w:p>
      <w:pPr>
        <w:spacing w:after="0" w:line="22"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200" w:lineRule="exact"/>
        <w:rPr>
          <w:sz w:val="20"/>
          <w:szCs w:val="20"/>
          <w:color w:val="auto"/>
        </w:rPr>
      </w:pPr>
    </w:p>
    <w:p>
      <w:pPr>
        <w:spacing w:after="0" w:line="385"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2022</w:t>
      </w:r>
    </w:p>
    <w:p>
      <w:pPr>
        <w:spacing w:after="0" w:line="36" w:lineRule="exact"/>
        <w:rPr>
          <w:sz w:val="20"/>
          <w:szCs w:val="20"/>
          <w:color w:val="auto"/>
        </w:rPr>
      </w:pPr>
    </w:p>
    <w:p>
      <w:pPr>
        <w:ind w:left="1069" w:hanging="1069"/>
        <w:spacing w:after="0"/>
        <w:tabs>
          <w:tab w:leader="none" w:pos="10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w:t>
      </w:r>
    </w:p>
    <w:p>
      <w:pPr>
        <w:spacing w:after="0" w:line="27"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w:t>
      </w:r>
    </w:p>
    <w:p>
      <w:pPr>
        <w:spacing w:after="0" w:line="22"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w:t>
      </w:r>
    </w:p>
    <w:p>
      <w:pPr>
        <w:spacing w:after="0" w:line="222" w:lineRule="exact"/>
        <w:rPr>
          <w:sz w:val="20"/>
          <w:szCs w:val="20"/>
          <w:color w:val="auto"/>
        </w:rPr>
      </w:pPr>
    </w:p>
    <w:p>
      <w:pPr>
        <w:sectPr>
          <w:pgSz w:w="11900" w:h="16838" w:orient="portrait"/>
          <w:cols w:equalWidth="0" w:num="2">
            <w:col w:w="9420" w:space="231"/>
            <w:col w:w="1589"/>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strategic ranges for asset allocation in the U.S. plans are as follows:</w:t>
            </w: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Balanced funds</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 Investments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 Investments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 Investments</w:t>
      </w:r>
    </w:p>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Measured Using NAV per Share Practical Expedient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2023 and 2022 are summarized in the tables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Non-U.S. plan</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2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3</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direct</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Non-U.S. plan</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3</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direct</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funds - real estate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Certain investments that are measured at fair value using the NAV per share practical expedient have not been classified in the fair value hierarchy.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income excluded from the tables above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 assets</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include $297 and $265 of the Company’s common stock at December 31, 2023 and 2022.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the beginning and ending balances of plan assets measured using significant unobservable inputs (Level 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Private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Real</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5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estate</w:t>
            </w: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pension plan assets valued using NAV as a practical expedient:</w:t>
      </w:r>
    </w:p>
    <w:p>
      <w:pPr>
        <w:spacing w:after="0" w:line="3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Redemption Notice</w:t>
      </w:r>
    </w:p>
    <w:tbl>
      <w:tblPr>
        <w:tblLayout w:type="fixed"/>
        <w:tblInd w:w="0" w:type="dxa"/>
        <w:tblCellMar>
          <w:top w:w="0" w:type="dxa"/>
          <w:left w:w="0" w:type="dxa"/>
          <w:bottom w:w="0" w:type="dxa"/>
          <w:right w:w="0" w:type="dxa"/>
        </w:tblCellMar>
      </w:tblPr>
      <w:tr>
        <w:trPr>
          <w:trHeight w:val="228"/>
        </w:trPr>
        <w:tc>
          <w:tcPr>
            <w:tcW w:w="3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Redemption Frequency</w:t>
            </w: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Period</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1- 5 days</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days</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day</w:t>
            </w:r>
          </w:p>
        </w:tc>
      </w:tr>
      <w:tr>
        <w:trPr>
          <w:trHeight w:val="203"/>
        </w:trPr>
        <w:tc>
          <w:tcPr>
            <w:tcW w:w="3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1- 5 days</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days</w:t>
            </w: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6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pension plan assets valued using NAV as a practical expedient do not have any unfunded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assets and liabilities included in the Consolidated Balance Sheets were:</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76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current liability at December 31, 2023, represents the expected required payments to be made for unfunded plans over the next twelve months. Total estimated 2024 employer contributions are $43 for the Company’s pension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Changes in the net loss and prior service cost (credit) for the Company’s pension plans were: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4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22"/>
                <w:szCs w:val="22"/>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Prior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Prior</w:t>
            </w:r>
          </w:p>
        </w:tc>
      </w:tr>
      <w:tr>
        <w:trPr>
          <w:trHeight w:val="243"/>
        </w:trPr>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service</w:t>
            </w: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service</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loss / (gain)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benefit payments as of December 31, 2023 are:</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U.S.</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Non-U.S.</w:t>
            </w:r>
          </w:p>
        </w:tc>
      </w:tr>
      <w:tr>
        <w:trPr>
          <w:trHeight w:val="239"/>
        </w:trPr>
        <w:tc>
          <w:tcPr>
            <w:tcW w:w="43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plans</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plans</w:t>
            </w:r>
          </w:p>
        </w:tc>
      </w:tr>
      <w:tr>
        <w:trPr>
          <w:trHeight w:val="227"/>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2029 - 2033</w:t>
            </w: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the benefit obligations at December 31 were:</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20"/>
                <w:szCs w:val="20"/>
                <w:color w:val="auto"/>
              </w:rPr>
            </w:pPr>
          </w:p>
        </w:tc>
      </w:tr>
      <w:tr>
        <w:trPr>
          <w:trHeight w:val="292"/>
        </w:trPr>
        <w:tc>
          <w:tcPr>
            <w:tcW w:w="20" w:type="dxa"/>
            <w:vAlign w:val="bottom"/>
          </w:tcPr>
          <w:p>
            <w:pPr>
              <w:spacing w:after="0"/>
              <w:rPr>
                <w:sz w:val="24"/>
                <w:szCs w:val="24"/>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4"/>
                <w:szCs w:val="2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20"/>
                <w:szCs w:val="20"/>
                <w:color w:val="auto"/>
              </w:rPr>
            </w:pPr>
          </w:p>
        </w:tc>
      </w:tr>
      <w:tr>
        <w:trPr>
          <w:trHeight w:val="549"/>
        </w:trPr>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pension expense for each year were:</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Long-term rate of return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Long-term rate of return</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 Plans. </w:t>
      </w:r>
      <w:r>
        <w:rPr>
          <w:rFonts w:ascii="Times New Roman" w:cs="Times New Roman" w:eastAsia="Times New Roman" w:hAnsi="Times New Roman"/>
          <w:sz w:val="18"/>
          <w:szCs w:val="18"/>
          <w:color w:val="auto"/>
        </w:rPr>
        <w:t>The Company sponsors unfunded plans to provide health care and life insurance benefits to certain retirees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cost/(credit)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96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6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benefit obligations were:</w:t>
            </w: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3860" w:type="dxa"/>
            <w:vAlign w:val="bottom"/>
          </w:tcPr>
          <w:p>
            <w:pPr>
              <w:spacing w:after="0"/>
              <w:rPr>
                <w:sz w:val="22"/>
                <w:szCs w:val="22"/>
                <w:color w:val="auto"/>
              </w:rPr>
            </w:pPr>
          </w:p>
        </w:tc>
        <w:tc>
          <w:tcPr>
            <w:tcW w:w="4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37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3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7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3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Changes in the net (gain)/ loss and prior service credit for the Company’s postretirement benefit plans were: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Net (gain) /</w:t>
            </w:r>
          </w:p>
        </w:tc>
        <w:tc>
          <w:tcPr>
            <w:tcW w:w="82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14"/>
                <w:szCs w:val="14"/>
                <w:color w:val="auto"/>
              </w:rPr>
            </w:pPr>
          </w:p>
        </w:tc>
        <w:tc>
          <w:tcPr>
            <w:tcW w:w="8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Prior</w:t>
            </w:r>
          </w:p>
        </w:tc>
        <w:tc>
          <w:tcPr>
            <w:tcW w:w="120" w:type="dxa"/>
            <w:vAlign w:val="bottom"/>
          </w:tcPr>
          <w:p>
            <w:pPr>
              <w:spacing w:after="0"/>
              <w:rPr>
                <w:sz w:val="14"/>
                <w:szCs w:val="14"/>
                <w:color w:val="auto"/>
              </w:rPr>
            </w:pPr>
          </w:p>
        </w:tc>
        <w:tc>
          <w:tcPr>
            <w:tcW w:w="720" w:type="dxa"/>
            <w:vAlign w:val="bottom"/>
            <w:gridSpan w:val="2"/>
          </w:tcPr>
          <w:p>
            <w:pPr>
              <w:ind w:left="400"/>
              <w:spacing w:after="0" w:line="169" w:lineRule="exact"/>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loss</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service</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loss</w:t>
            </w:r>
          </w:p>
        </w:tc>
        <w:tc>
          <w:tcPr>
            <w:tcW w:w="26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service</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service</w:t>
            </w:r>
          </w:p>
        </w:tc>
        <w:tc>
          <w:tcPr>
            <w:tcW w:w="0" w:type="dxa"/>
            <w:vAlign w:val="bottom"/>
          </w:tcPr>
          <w:p>
            <w:pPr>
              <w:spacing w:after="0"/>
              <w:rPr>
                <w:sz w:val="1"/>
                <w:szCs w:val="1"/>
                <w:color w:val="auto"/>
              </w:rPr>
            </w:pPr>
          </w:p>
        </w:tc>
      </w:tr>
      <w:tr>
        <w:trPr>
          <w:trHeight w:val="227"/>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(gain) / loss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Expected future benefit payments are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Benefit Payments</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2029 - 2033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assumed health care cost trend rates at December 31, 2023 were as follows: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2023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that the cost trend rate gradually declines to</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rate it is assumed to remain</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9"/>
              </w:rPr>
              <w:t>Weighted average discount rates used to calculate the benefit obligations at the end of each year and the cost for each year are presented below:</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2023</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5.8 %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7.8 %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5.7 %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Defined Contribution Benefit Plans. </w:t>
      </w:r>
      <w:r>
        <w:rPr>
          <w:rFonts w:ascii="Times New Roman" w:cs="Times New Roman" w:eastAsia="Times New Roman" w:hAnsi="Times New Roman"/>
          <w:sz w:val="18"/>
          <w:szCs w:val="18"/>
          <w:color w:val="auto"/>
        </w:rPr>
        <w:t>The Company also sponsors defined contribution benefit plans in certain jurisdictions including the 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U.K. The Company recognized expense of $14, $13, and $12 in 2023, 2022 and 2021 related to these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  Income Taxes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U.S. statutory federal income tax rate to pre-tax income as a result of the following items: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rate at 21%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foreign income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taxes on foreign income, net of credits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law changes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 (benefit)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benefits from certain incentives in Brazil which allow it to pay reduced income taxes. The incentives expire at various dates beginning in December 2026. These incentives increased net income attributable to the Company by $20 in 2023 and $21 in 2022 and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taxes of $262, $223 and $253 in 2023,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taxes on foreign income includes income tax charges of $11 for the sale of the Company's Transit Packaging segment's Kiwiplan business in 2022.</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year-ended December 31, 2022, the Company recorded a deferred tax asset of $21 for goodwill amortization and net operating loss carryforwards in Switzerland. The Company believes that it is more likely than not that these deferred tax assets will not be utilized prior to their expiration and has recorded a full valuation allowance.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2022, Pennsylvania enacted a corporate net income tax rate reduction over a nine year period. The income tax rate for the 2022 and 2023 tax years were 9.99% and 8.99%, respectively. Starting with the 2024 tax year, the income tax rate is reduced by 0.50% annually until it reaches 4.99% for the 2031 tax year. The remeasurement of the Company's deferred taxes in 2022 had a $78 impact on the Company's state net operating loss carryforward and corresponding valuation allowance.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2021, tax on foreign income includes income tax charges of $42 in continuing operations for reorganizations and other transactions required to prepare the European Tinplate business for sale. Additionally, the Company recorded an income tax charge of $44 to establish a valuation allowance for deferred tax assets related to tax loss carryforwards in France. The Company believes that it is more likely than not that these tax loss carryforwards will not be utilized after the sale of the European Tinplate business.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the Company also recorded a tax benefit of $18 related to a deferred tax valuation allowance release resulting from improved profitability in a Transit Packaging corporate entity. Additionally, the Company also recorded income tax benefits related to tax law changes in India, Turkey and the U.K.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not provided deferred taxes on approximately $1,200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taxes at December 31 were: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carryforwards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Disallowed interest carryforwards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 and other</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and postemployment benefits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Tax carryforwards expire as follows:</w:t>
            </w: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5"/>
              </w:rPr>
              <w:t>Year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Unlimited</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carryforwards expiring after 2028 include $49 of U.S. state tax loss carryforwards. The unlimited category includes $28 of Luxembourg tax loss carryforwards and $79 of French tax loss carryforwards. In addition, the Company has disallowed interest in the U.S. which can be carried forward indefinitely.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valuation allowances at December 31, 2023 include $77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 In addition, the Company's valuation allowances at December 31, 2023 includes $56 related to tax loss carryforwards in France and $32 related to goodwill amortization and net operating loss carryforwards in Switzerland.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unrecognized tax benefits follows:</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benefits include potential liabilities related to transfer pricing, foreign withholding taxes, and non-deductibility of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interest and penalties recorded in income tax expense was $2 in 2023 and less than $1 in 2022 and 2021. As of December 31, 2023, unrecognized tax benefits of $46, if recognized, would affect the Company's effective tax rate.</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tax years that remained subject to examination by major tax jurisdictions as of December 31, 2023 were, 2010 and subsequent years for Germany; 2013 and subsequent years for India and Cambodia; 2014 and subsequent years for Thailand; 2016 and subsequent years for Vietnam; 2017 and subsequent years for Italy; 2018 and subsequent years for Mexico; 2019 and subsequent years for Canada, Spain, Brazil and Luxembourg; 2020 and subsequent years for the U.S.; 2021 and subsequent years for France and Switzerland. The U.S. also remains subject to exam for 2017 and 2018, specifically as it relates to the transition tax incurred related to the 2017 Tax Act. In addition, tax authorities in certain jurisdictions, including France and the U.S., may examine earlier years when tax carryforwards that were generated in those years are subsequently utilized.</w:t>
      </w:r>
    </w:p>
    <w:p>
      <w:pPr>
        <w:spacing w:after="0" w:line="220"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common share activity for the years ended December 31 follows (in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January 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119,945,302</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126,131,799</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134,801,030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(143,736)</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(6,574,610)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(9,121,328)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issued to employees, net of forfeitures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820,343</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370,178</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435,129</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non-employee directors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w:t>
            </w: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December 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120,644,313</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119,945,302</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126,131,799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declared and paid dividends of $0.96, $0.88 and $0.80 per share in 2023, 2022 and 2021, respectively. Additionally, on February 22, 2024, the Company's Board of Directors declared a dividend of $0.25 per share payable on March 28, 2024, to shareholders of record as of March 14, 2024.</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uses the par value method of accounting for its stock repurchases. The excess of the fair value over par value is first charged to paid-in capital, if any, and then to retained earnings. The Company repurchased $12 of its shares during 2023.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Dividends are payable when declared by the Company's Board of Directors and in accordance with the restrictions set forth in the Company's debt agreements. While the Company's debt agreements impose restrictions on the Company's ability to pay dividends and repurchase common stock, the debt agreements generally permit dividends and common stock repurchases provided that the Company is in compliance with applicable financial and other covenants and meets certain liquidity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Accumulated Other Comprehensive Loss Attributable to Crown Holdings</w:t>
      </w:r>
    </w:p>
    <w:p>
      <w:pPr>
        <w:spacing w:after="0" w:line="25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 (loss) for the years ended December 31, 2023 and 2022.</w:t>
      </w:r>
    </w:p>
    <w:tbl>
      <w:tblPr>
        <w:tblLayout w:type="fixed"/>
        <w:tblInd w:w="0" w:type="dxa"/>
        <w:tblCellMar>
          <w:top w:w="0" w:type="dxa"/>
          <w:left w:w="0" w:type="dxa"/>
          <w:bottom w:w="0" w:type="dxa"/>
          <w:right w:w="0" w:type="dxa"/>
        </w:tblCellMar>
      </w:tblPr>
      <w:tr>
        <w:trPr>
          <w:trHeight w:val="191"/>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Foreign</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Gains and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3"/>
          </w:tcPr>
          <w:p>
            <w:pPr>
              <w:jc w:val="center"/>
              <w:ind w:right="180"/>
              <w:spacing w:after="0" w:line="181" w:lineRule="exact"/>
              <w:rPr>
                <w:sz w:val="20"/>
                <w:szCs w:val="20"/>
                <w:color w:val="auto"/>
              </w:rPr>
            </w:pPr>
            <w:r>
              <w:rPr>
                <w:rFonts w:ascii="Times New Roman" w:cs="Times New Roman" w:eastAsia="Times New Roman" w:hAnsi="Times New Roman"/>
                <w:sz w:val="18"/>
                <w:szCs w:val="18"/>
                <w:color w:val="auto"/>
                <w:w w:val="99"/>
              </w:rPr>
              <w:t>losses on cash</w:t>
            </w:r>
          </w:p>
        </w:tc>
        <w:tc>
          <w:tcPr>
            <w:tcW w:w="24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benefit 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flow hedges</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details of amounts reclassified from accumulated other comprehensive income related to cash flow hedges and defined benefit plans.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revenue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for further disaggregation of the Company's revenue.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$8 and $18 as of December 31, 2023 and 2022 included in prepaid and other current assets. For the year ended December 31, 2023, the Company satisfied performance obligations related to contract assets at December 31, 2022 and also recorded new contract assets primarily related to work in process for the equipment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W. Stock-Based Compensation</w:t>
      </w:r>
    </w:p>
    <w:p>
      <w:pPr>
        <w:spacing w:after="0" w:line="256"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In April 2022, the Company's shareholders approved the 2022 Stock-Based Incentive Plan which allowed for a total of 2.8 million shares to be issued under future awards. At December 31, 2023, there were 3.6 million authorized shares available for future award under the 2013 and 2022 Stock-Based Incentive Plans.</w:t>
      </w: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Restricted and Deferred Stock</w:t>
      </w:r>
    </w:p>
    <w:p>
      <w:pPr>
        <w:spacing w:after="0" w:line="252"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Annually, the Company awards shares of restricted stock to certain senior executives in the form of time-vesting restricted stock and performance-based shares. The time-vesting restricted stock vests ratably over three years.</w:t>
      </w:r>
    </w:p>
    <w:p>
      <w:pPr>
        <w:spacing w:after="0" w:line="18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207"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disability, death or, subject to Company approval, retirement, receive accelerated vesting of their service condition to the date of termination and, if approved, performance restrictions laps on the original vesting date.</w:t>
      </w:r>
    </w:p>
    <w:p>
      <w:pPr>
        <w:spacing w:after="0" w:line="207"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also issues shares of time-vesting restricted stock to U.S. employees and deferred stock to non-U.S. employees which vest ratably over three to five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and deferred stock activity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60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Number of shares</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January 1, 2023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942,835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847,358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190,515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(319,071)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(146,781)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(39,540)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(30,604)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December 31, 2023</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1,444,712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average grant-date fair value of restricted stock awarded in 2023, 2022 and 2021 follows:</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0" w:type="dxa"/>
            <w:vAlign w:val="bottom"/>
            <w:tcBorders>
              <w:bottom w:val="single" w:sz="8" w:color="CCEEFF"/>
            </w:tcBorders>
          </w:tcPr>
          <w:p>
            <w:pPr>
              <w:spacing w:after="0"/>
              <w:rPr>
                <w:sz w:val="24"/>
                <w:szCs w:val="24"/>
                <w:color w:val="auto"/>
              </w:rPr>
            </w:pPr>
          </w:p>
        </w:tc>
        <w:tc>
          <w:tcPr>
            <w:tcW w:w="60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80" w:right="220"/>
        <w:spacing w:after="0" w:line="273" w:lineRule="auto"/>
        <w:rPr>
          <w:sz w:val="20"/>
          <w:szCs w:val="20"/>
          <w:color w:val="auto"/>
        </w:rPr>
      </w:pPr>
      <w:r>
        <w:rPr>
          <w:rFonts w:ascii="Times New Roman" w:cs="Times New Roman" w:eastAsia="Times New Roman" w:hAnsi="Times New Roman"/>
          <w:sz w:val="18"/>
          <w:szCs w:val="18"/>
          <w:color w:val="auto"/>
        </w:rPr>
        <w:t>The fair values of the performance-based awards that include a market condition were calculated using a Monte Carlo valuation model and the following weighted average assumptions:</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2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bl>
    <w:p>
      <w:pPr>
        <w:spacing w:after="0" w:line="200" w:lineRule="exact"/>
        <w:rPr>
          <w:sz w:val="20"/>
          <w:szCs w:val="20"/>
          <w:color w:val="auto"/>
        </w:rPr>
      </w:pPr>
    </w:p>
    <w:p>
      <w:pPr>
        <w:sectPr>
          <w:pgSz w:w="11900" w:h="16838" w:orient="portrait"/>
          <w:cols w:equalWidth="0" w:num="1">
            <w:col w:w="11320"/>
          </w:cols>
          <w:pgMar w:left="2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unrecognized compensation cost related to outstanding restricted and deferred stock was $92. The weighted average period over which the expense is expected to be recognized is 3.2 years. The aggregate market value of the shares released on the vesting dates was $39 in 2023.</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restricted stock, when dilutive, as calculated under the treasury stock method.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from continuing operations attributable to Crown Holdings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 (loss) from discontinued operations attributable to Crown Holdings</w:t>
            </w:r>
          </w:p>
        </w:tc>
        <w:tc>
          <w:tcPr>
            <w:tcW w:w="2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attributable to Crown Holdings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Add: dilutive restricted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Crown Holdings: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discontinued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 (loss)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 (loss) per share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Contingently issuable shares excluded from the computation of diluted earnings per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because the effect would have been anti-dilutive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61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is generally organized by product line and geography. The Company has determined that it has the following reportable segments: Americas Beverage, European Beverage, Asia Pacific and Transit Packaging. Other includes the Company's food can, aerosol can and closures businesses in North America, and beverage tooling and equipment operations in the U.S. and U.K.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into the European Beverage segment. The change was effective December 31, 2023, and segment results for prior periods have been recast to conform to the new presentation.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Segment income, which is not a defined term under GAAP, is defined by the Company as income from operations adjusted to exclude intangibles amortization charges, restructuring and other and the impact of fair value adjustments related to inventory acquired in an acquisition. Segment income should not be considered in isolation or as a substitute for net income data prepared in accordance with GAAP and may not be comparable to calculations of similarly titled measures by other companies.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operating segments reported as continuing operations for the three years ended December 31,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total assets by segment as it is not provided to the chief operating decision maker.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primarily include sales of cans, ends and parts and equipment used in the manufacturing process.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189"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for the three years ended December 31, 2023, 2022 and 2021 follows:</w:t>
      </w:r>
    </w:p>
    <w:p>
      <w:pPr>
        <w:sectPr>
          <w:pgSz w:w="11900" w:h="16838" w:orient="portrait"/>
          <w:cols w:equalWidth="0" w:num="1">
            <w:col w:w="11240"/>
          </w:cols>
          <w:pgMar w:left="320" w:top="117" w:right="339" w:bottom="1440" w:gutter="0" w:footer="0" w:header="0"/>
        </w:sectPr>
      </w:pPr>
    </w:p>
    <w:p>
      <w:pPr>
        <w:spacing w:after="0" w:line="231" w:lineRule="exact"/>
        <w:rPr>
          <w:sz w:val="20"/>
          <w:szCs w:val="20"/>
          <w:color w:val="auto"/>
        </w:rPr>
      </w:pPr>
    </w:p>
    <w:p>
      <w:pPr>
        <w:ind w:left="20" w:right="2480"/>
        <w:spacing w:after="0" w:line="276" w:lineRule="auto"/>
        <w:rPr>
          <w:sz w:val="20"/>
          <w:szCs w:val="20"/>
          <w:color w:val="auto"/>
        </w:rPr>
      </w:pPr>
      <w:r>
        <w:rPr>
          <w:rFonts w:ascii="Times New Roman" w:cs="Times New Roman" w:eastAsia="Times New Roman" w:hAnsi="Times New Roman"/>
          <w:sz w:val="18"/>
          <w:szCs w:val="18"/>
          <w:color w:val="auto"/>
        </w:rPr>
        <w:t>Segment income of reportable segments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65226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665226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early extinguishments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52260" cy="265430"/>
                    </a:xfrm>
                    <a:prstGeom prst="rect">
                      <a:avLst/>
                    </a:prstGeom>
                    <a:noFill/>
                  </pic:spPr>
                </pic:pic>
              </a:graphicData>
            </a:graphic>
          </wp:anchor>
        </w:drawing>
      </w:r>
    </w:p>
    <w:p>
      <w:pPr>
        <w:spacing w:after="0" w:line="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Income / (loss) from continuing operations before income taxes and equity in net earnings of affiliates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8"/>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4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91"/>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60" w:type="dxa"/>
            <w:vAlign w:val="bottom"/>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81"/>
        </w:trPr>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140"/>
            <w:col w:w="5700"/>
          </w:cols>
          <w:pgMar w:left="320" w:top="117"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years ended December 31, 2023, 2022 and 2021, intercompany profit of $13, $19 and $8 was eliminated within segment income of other.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two customers each accounted for 12% and 11%, of the Company's consolidated net sales. These customers are global beverage companies served by the Company's beverage operations in the Americas, Europe and Asia.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Sales by major product were: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 beverage cans and ends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 food cans and 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metal packaging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following table provides sales and long-lived asset information for the major countries in which the Company operates. Long-lived assets comprises property, plant and equipment.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Long-Lived Assets</w:t>
            </w:r>
          </w:p>
        </w:tc>
      </w:tr>
      <w:tr>
        <w:trPr>
          <w:trHeight w:val="223"/>
        </w:trPr>
        <w:tc>
          <w:tcPr>
            <w:tcW w:w="49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tcPr>
          <w:p>
            <w:pPr>
              <w:spacing w:after="0"/>
              <w:rPr>
                <w:sz w:val="19"/>
                <w:szCs w:val="19"/>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70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7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70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700" w:type="dxa"/>
            <w:vAlign w:val="bottom"/>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70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700" w:type="dxa"/>
            <w:vAlign w:val="bottom"/>
          </w:tcPr>
          <w:p>
            <w:pPr>
              <w:spacing w:after="0"/>
              <w:rPr>
                <w:sz w:val="19"/>
                <w:szCs w:val="19"/>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700" w:type="dxa"/>
            <w:vAlign w:val="bottom"/>
          </w:tcPr>
          <w:p>
            <w:pPr>
              <w:spacing w:after="0"/>
              <w:rPr>
                <w:sz w:val="19"/>
                <w:szCs w:val="19"/>
                <w:color w:val="auto"/>
              </w:rPr>
            </w:pPr>
          </w:p>
        </w:tc>
      </w:tr>
      <w:tr>
        <w:trPr>
          <w:trHeight w:val="21"/>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858"/>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980" w:type="dxa"/>
            <w:vAlign w:val="bottom"/>
            <w:tcBorders>
              <w:top w:val="single" w:sz="8" w:color="auto"/>
              <w:lef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98"/>
              </w:rPr>
              <w:t>COLUMN A</w:t>
            </w:r>
          </w:p>
        </w:tc>
        <w:tc>
          <w:tcPr>
            <w:tcW w:w="212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COLUMN B</w:t>
            </w:r>
          </w:p>
        </w:tc>
        <w:tc>
          <w:tcPr>
            <w:tcW w:w="880" w:type="dxa"/>
            <w:vAlign w:val="bottom"/>
            <w:tcBorders>
              <w:top w:val="single" w:sz="8" w:color="auto"/>
            </w:tcBorders>
          </w:tcPr>
          <w:p>
            <w:pPr>
              <w:spacing w:after="0"/>
              <w:rPr>
                <w:sz w:val="17"/>
                <w:szCs w:val="17"/>
                <w:color w:val="auto"/>
              </w:rPr>
            </w:pPr>
          </w:p>
        </w:tc>
        <w:tc>
          <w:tcPr>
            <w:tcW w:w="1880" w:type="dxa"/>
            <w:vAlign w:val="bottom"/>
            <w:tcBorders>
              <w:top w:val="single" w:sz="8" w:color="auto"/>
              <w:right w:val="single" w:sz="8" w:color="auto"/>
            </w:tcBorders>
            <w:gridSpan w:val="3"/>
          </w:tcPr>
          <w:p>
            <w:pPr>
              <w:jc w:val="center"/>
              <w:ind w:right="920"/>
              <w:spacing w:after="0" w:line="202" w:lineRule="exact"/>
              <w:rPr>
                <w:sz w:val="20"/>
                <w:szCs w:val="20"/>
                <w:color w:val="auto"/>
              </w:rPr>
            </w:pPr>
            <w:r>
              <w:rPr>
                <w:rFonts w:ascii="Times New Roman" w:cs="Times New Roman" w:eastAsia="Times New Roman" w:hAnsi="Times New Roman"/>
                <w:sz w:val="18"/>
                <w:szCs w:val="18"/>
                <w:color w:val="auto"/>
              </w:rPr>
              <w:t>COLUMN C</w:t>
            </w:r>
          </w:p>
        </w:tc>
        <w:tc>
          <w:tcPr>
            <w:tcW w:w="1360" w:type="dxa"/>
            <w:vAlign w:val="bottom"/>
            <w:tcBorders>
              <w:top w:val="single" w:sz="8" w:color="auto"/>
              <w:right w:val="single" w:sz="8" w:color="auto"/>
            </w:tcBorders>
            <w:gridSpan w:val="3"/>
          </w:tcPr>
          <w:p>
            <w:pPr>
              <w:ind w:left="180"/>
              <w:spacing w:after="0" w:line="202" w:lineRule="exact"/>
              <w:rPr>
                <w:sz w:val="20"/>
                <w:szCs w:val="20"/>
                <w:color w:val="auto"/>
              </w:rPr>
            </w:pPr>
            <w:r>
              <w:rPr>
                <w:rFonts w:ascii="Times New Roman" w:cs="Times New Roman" w:eastAsia="Times New Roman" w:hAnsi="Times New Roman"/>
                <w:sz w:val="18"/>
                <w:szCs w:val="18"/>
                <w:color w:val="auto"/>
              </w:rPr>
              <w:t>COLUMN D</w:t>
            </w:r>
          </w:p>
        </w:tc>
        <w:tc>
          <w:tcPr>
            <w:tcW w:w="126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color w:val="auto"/>
              </w:rPr>
              <w:t>COLUMN E</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COLUMN F</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7"/>
              </w:rPr>
              <w:t>Balance at</w:t>
            </w:r>
          </w:p>
        </w:tc>
        <w:tc>
          <w:tcPr>
            <w:tcW w:w="1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138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Charged to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right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Deductions</w:t>
            </w:r>
          </w:p>
        </w:tc>
        <w:tc>
          <w:tcPr>
            <w:tcW w:w="200" w:type="dxa"/>
            <w:vAlign w:val="bottom"/>
          </w:tcPr>
          <w:p>
            <w:pPr>
              <w:spacing w:after="0"/>
              <w:rPr>
                <w:sz w:val="14"/>
                <w:szCs w:val="14"/>
                <w:color w:val="auto"/>
              </w:rPr>
            </w:pPr>
          </w:p>
        </w:tc>
        <w:tc>
          <w:tcPr>
            <w:tcW w:w="116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5"/>
        </w:trPr>
        <w:tc>
          <w:tcPr>
            <w:tcW w:w="980" w:type="dxa"/>
            <w:vAlign w:val="bottom"/>
            <w:tcBorders>
              <w:lef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beginning of</w:t>
            </w:r>
          </w:p>
        </w:tc>
        <w:tc>
          <w:tcPr>
            <w:tcW w:w="1380" w:type="dxa"/>
            <w:vAlign w:val="bottom"/>
            <w:tcBorders>
              <w:right w:val="single" w:sz="8" w:color="auto"/>
            </w:tcBorders>
            <w:gridSpan w:val="2"/>
            <w:vMerge w:val="continue"/>
          </w:tcPr>
          <w:p>
            <w:pPr>
              <w:spacing w:after="0"/>
              <w:rPr>
                <w:sz w:val="15"/>
                <w:szCs w:val="15"/>
                <w:color w:val="auto"/>
              </w:rPr>
            </w:pPr>
          </w:p>
        </w:tc>
        <w:tc>
          <w:tcPr>
            <w:tcW w:w="138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period</w:t>
            </w: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and expense</w:t>
            </w:r>
          </w:p>
        </w:tc>
        <w:tc>
          <w:tcPr>
            <w:tcW w:w="138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other accounts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 write-offs</w:t>
            </w:r>
          </w:p>
        </w:tc>
        <w:tc>
          <w:tcPr>
            <w:tcW w:w="13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 of period</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6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173</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00" w:val="left"/>
          <w:tab w:leader="none" w:pos="6960" w:val="left"/>
          <w:tab w:leader="none" w:pos="8320" w:val="left"/>
          <w:tab w:leader="none" w:pos="96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80" w:val="left"/>
          <w:tab w:leader="none" w:pos="6960" w:val="left"/>
          <w:tab w:leader="none" w:pos="8320" w:val="left"/>
          <w:tab w:leader="none" w:pos="95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180340</wp:posOffset>
            </wp:positionV>
            <wp:extent cx="71062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9A.</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 on internal control over financial reporting is included in Part II, Item 8 of this Annual Report on Form 10-K.</w:t>
      </w:r>
    </w:p>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that occurred during the quarter ended December 31,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9C.</w:t>
      </w:r>
      <w:r>
        <w:rPr>
          <w:sz w:val="20"/>
          <w:szCs w:val="20"/>
          <w:color w:val="auto"/>
        </w:rPr>
        <w:tab/>
      </w:r>
      <w:r>
        <w:rPr>
          <w:rFonts w:ascii="Times New Roman" w:cs="Times New Roman" w:eastAsia="Times New Roman" w:hAnsi="Times New Roman"/>
          <w:sz w:val="17"/>
          <w:szCs w:val="17"/>
          <w:u w:val="single" w:color="auto"/>
          <w:color w:val="auto"/>
        </w:rPr>
        <w:t>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5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the principal executive officers of the Company, including their ages and positions.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Year Assumed</w:t>
            </w: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400" w:type="dxa"/>
            <w:vAlign w:val="bottom"/>
          </w:tcPr>
          <w:p>
            <w:pPr>
              <w:spacing w:after="0"/>
              <w:rPr>
                <w:sz w:val="17"/>
                <w:szCs w:val="17"/>
                <w:color w:val="auto"/>
              </w:rPr>
            </w:pPr>
          </w:p>
        </w:tc>
        <w:tc>
          <w:tcPr>
            <w:tcW w:w="50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3"/>
              </w:rPr>
              <w:t>Age</w:t>
            </w:r>
          </w:p>
        </w:tc>
        <w:tc>
          <w:tcPr>
            <w:tcW w:w="2760" w:type="dxa"/>
            <w:vAlign w:val="bottom"/>
          </w:tcPr>
          <w:p>
            <w:pPr>
              <w:spacing w:after="0"/>
              <w:rPr>
                <w:sz w:val="17"/>
                <w:szCs w:val="17"/>
                <w:color w:val="auto"/>
              </w:rPr>
            </w:pPr>
          </w:p>
        </w:tc>
        <w:tc>
          <w:tcPr>
            <w:tcW w:w="2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Title</w:t>
            </w:r>
          </w:p>
        </w:tc>
        <w:tc>
          <w:tcPr>
            <w:tcW w:w="122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Present Title</w:t>
            </w:r>
          </w:p>
        </w:tc>
      </w:tr>
      <w:tr>
        <w:trPr>
          <w:trHeight w:val="20"/>
        </w:trPr>
        <w:tc>
          <w:tcPr>
            <w:tcW w:w="4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6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Donahue</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H. Gifford</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Djalma Novaes, Jr.</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Americas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Baila</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Asia Pacific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Madeksza</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Transit Packaging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36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11.</w:t>
      </w:r>
      <w:r>
        <w:rPr>
          <w:sz w:val="20"/>
          <w:szCs w:val="20"/>
          <w:color w:val="auto"/>
        </w:rPr>
        <w:tab/>
      </w:r>
      <w:r>
        <w:rPr>
          <w:rFonts w:ascii="Times New Roman" w:cs="Times New Roman" w:eastAsia="Times New Roman" w:hAnsi="Times New Roman"/>
          <w:sz w:val="17"/>
          <w:szCs w:val="17"/>
          <w:u w:val="single" w:color="auto"/>
          <w:color w:val="auto"/>
        </w:rPr>
        <w:t>EXECUTIVE COMPENSATION</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40" w:right="520" w:hanging="1322"/>
        <w:spacing w:after="0" w:line="237" w:lineRule="auto"/>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12.</w:t>
      </w:r>
      <w:r>
        <w:rPr>
          <w:sz w:val="20"/>
          <w:szCs w:val="20"/>
          <w:color w:val="auto"/>
        </w:rPr>
        <w:tab/>
      </w:r>
      <w:r>
        <w:rPr>
          <w:rFonts w:ascii="Times New Roman" w:cs="Times New Roman" w:eastAsia="Times New Roman" w:hAnsi="Times New Roman"/>
          <w:sz w:val="18"/>
          <w:szCs w:val="18"/>
          <w:u w:val="single" w:color="auto"/>
          <w:color w:val="auto"/>
        </w:rPr>
        <w:t>SECURITY OWNERSHIP OF CERTAIN BENEFICIAL OWNERS AND MANAGEMENT AND RELATED STOCKHOLDER MATTERS</w:t>
      </w:r>
    </w:p>
    <w:p>
      <w:pPr>
        <w:spacing w:after="0" w:line="3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is set forth in the Company’s Proxy Statement within the sections entitled “Proxy Statement – Meeting, May 2, 2024” and “Common Stock Ownership of Certain Beneficial Owners, Directors and Executive Officers” and is incorporated herein by reference.</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with respect to shares of the Company’s Common Stock that may be issued under its equity compensation plans:</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Equity Compensation Plan Information</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8"/>
              </w:rPr>
              <w:t>Remaining Available</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000" w:type="dxa"/>
            <w:vAlign w:val="bottom"/>
          </w:tcPr>
          <w:p>
            <w:pPr>
              <w:jc w:val="center"/>
              <w:ind w:left="50"/>
              <w:spacing w:after="0" w:line="181"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8"/>
              </w:rPr>
              <w:t>Weighted average Exercise</w:t>
            </w:r>
          </w:p>
        </w:tc>
        <w:tc>
          <w:tcPr>
            <w:tcW w:w="198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to be Issued Upon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Exercise of Outstanding</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auto"/>
              </w:rPr>
              <w:t>Price of</w:t>
            </w: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Plans (Excluding</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200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Options, Warrants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center"/>
              <w:ind w:right="460"/>
              <w:spacing w:after="0" w:line="189"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9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Securities Reflected</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and Rights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auto"/>
                <w:w w:val="98"/>
              </w:rPr>
              <w:t>Warrants and Rights</w:t>
            </w: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In Column (a))</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(b)</w:t>
            </w:r>
          </w:p>
        </w:tc>
        <w:tc>
          <w:tcPr>
            <w:tcW w:w="1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w:t>
            </w: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310,060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4,793,557</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310,060</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4,793,557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720" w:hanging="388"/>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2013 and 2022 Stock-Based Incentive Compensation Plans.</w:t>
      </w:r>
    </w:p>
    <w:p>
      <w:pPr>
        <w:spacing w:after="0" w:line="252" w:lineRule="exact"/>
        <w:rPr>
          <w:rFonts w:ascii="Times New Roman" w:cs="Times New Roman" w:eastAsia="Times New Roman" w:hAnsi="Times New Roman"/>
          <w:sz w:val="18"/>
          <w:szCs w:val="18"/>
          <w:color w:val="auto"/>
        </w:rPr>
      </w:pPr>
    </w:p>
    <w:p>
      <w:pPr>
        <w:ind w:left="820" w:hanging="488"/>
        <w:spacing w:after="0" w:line="266" w:lineRule="auto"/>
        <w:tabs>
          <w:tab w:leader="none" w:pos="6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310,060 shares of deferred stock awarded from the 2013 and 2022 Stock-Based Incentive Compensation Plans during each year from 2019 through 2023. The shares are time-vesting and will be issued up to four years from their grant date. The weighted-average exercise price in the table does not include these shares.</w:t>
      </w:r>
    </w:p>
    <w:p>
      <w:pPr>
        <w:spacing w:after="0" w:line="202" w:lineRule="exact"/>
        <w:rPr>
          <w:rFonts w:ascii="Times New Roman" w:cs="Times New Roman" w:eastAsia="Times New Roman" w:hAnsi="Times New Roman"/>
          <w:sz w:val="18"/>
          <w:szCs w:val="18"/>
          <w:color w:val="auto"/>
        </w:rPr>
      </w:pPr>
    </w:p>
    <w:p>
      <w:pPr>
        <w:ind w:left="820" w:hanging="488"/>
        <w:spacing w:after="0" w:line="282" w:lineRule="auto"/>
        <w:tabs>
          <w:tab w:leader="none" w:pos="6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3,936,156, 669,185 and 498,276 shares available for issuance at December 31, 2023 under the 2013 and 2022 Stock Based Incentive Compensation Plans, the Company’s Employee Stock Purchase Plan, and the Stock Compensation Plan for Non-Employee Directors.</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ACCOUNTING FEES AND SERVICES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“Principal Accounting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5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AND FINANCIAL STATEMENT SCHEDULES</w:t>
      </w:r>
    </w:p>
    <w:p>
      <w:pPr>
        <w:spacing w:after="0" w:line="144" w:lineRule="exact"/>
        <w:rPr>
          <w:sz w:val="20"/>
          <w:szCs w:val="20"/>
          <w:color w:val="auto"/>
        </w:rPr>
      </w:pPr>
    </w:p>
    <w:p>
      <w:pPr>
        <w:ind w:left="660" w:hanging="65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90" w:lineRule="exact"/>
        <w:rPr>
          <w:rFonts w:ascii="Times New Roman" w:cs="Times New Roman" w:eastAsia="Times New Roman" w:hAnsi="Times New Roman"/>
          <w:sz w:val="18"/>
          <w:szCs w:val="18"/>
          <w:color w:val="auto"/>
        </w:rPr>
      </w:pPr>
    </w:p>
    <w:p>
      <w:pPr>
        <w:ind w:left="540" w:hanging="309"/>
        <w:spacing w:after="0"/>
        <w:tabs>
          <w:tab w:leader="none" w:pos="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(see Part II, Item 8)</w:t>
      </w:r>
    </w:p>
    <w:p>
      <w:pPr>
        <w:spacing w:after="0" w:line="252" w:lineRule="exact"/>
        <w:rPr>
          <w:rFonts w:ascii="Times New Roman" w:cs="Times New Roman" w:eastAsia="Times New Roman" w:hAnsi="Times New Roman"/>
          <w:sz w:val="18"/>
          <w:szCs w:val="18"/>
          <w:color w:val="auto"/>
        </w:rPr>
      </w:pPr>
    </w:p>
    <w:p>
      <w:pPr>
        <w:ind w:left="560" w:right="576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Management’s Report on Internal Control Over Financial Reporting Report of Independent Registered Public Accounting Firm</w:t>
      </w:r>
    </w:p>
    <w:p>
      <w:pPr>
        <w:ind w:left="560" w:right="28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 Consolidated Statements of Comprehensive Income for the years ended December 31, 2023, 2022 and 2021 Consolidated Balance Sheets as of December 31, 2023 and 2022</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252" w:lineRule="exact"/>
        <w:rPr>
          <w:rFonts w:ascii="Times New Roman" w:cs="Times New Roman" w:eastAsia="Times New Roman" w:hAnsi="Times New Roman"/>
          <w:sz w:val="18"/>
          <w:szCs w:val="18"/>
          <w:color w:val="auto"/>
        </w:rPr>
      </w:pPr>
    </w:p>
    <w:p>
      <w:pPr>
        <w:ind w:left="560" w:right="226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for the years ended December 31, 2023, 2022 and 2021 Notes to Consolidated Financial Statements</w:t>
      </w:r>
    </w:p>
    <w:p>
      <w:pPr>
        <w:spacing w:after="0" w:line="41" w:lineRule="exact"/>
        <w:rPr>
          <w:rFonts w:ascii="Times New Roman" w:cs="Times New Roman" w:eastAsia="Times New Roman" w:hAnsi="Times New Roman"/>
          <w:sz w:val="18"/>
          <w:szCs w:val="18"/>
          <w:color w:val="auto"/>
        </w:rPr>
      </w:pPr>
    </w:p>
    <w:p>
      <w:pPr>
        <w:ind w:left="480" w:hanging="249"/>
        <w:spacing w:after="0"/>
        <w:tabs>
          <w:tab w:leader="none" w:pos="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Schedule II – Valuation and Qualifying Accounts and Reserves for the years ended December 31, 2023, 2022 and 2021</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included in the Consolidated Financial Statements.</w:t>
      </w:r>
    </w:p>
    <w:p>
      <w:pPr>
        <w:spacing w:after="0" w:line="252" w:lineRule="exact"/>
        <w:rPr>
          <w:sz w:val="20"/>
          <w:szCs w:val="20"/>
          <w:color w:val="auto"/>
        </w:rPr>
      </w:pPr>
    </w:p>
    <w:p>
      <w:pPr>
        <w:ind w:left="540" w:hanging="309"/>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3.a </w:t>
      </w:r>
      <w:hyperlink r:id="rId140">
        <w:r>
          <w:rPr>
            <w:rFonts w:ascii="Times New Roman" w:cs="Times New Roman" w:eastAsia="Times New Roman" w:hAnsi="Times New Roman"/>
            <w:sz w:val="18"/>
            <w:szCs w:val="18"/>
            <w:u w:val="single" w:color="auto"/>
            <w:color w:val="0000FF"/>
          </w:rPr>
          <w:t>Articles of Incorporation of Crown Holdings, Inc., as amended (incorporated by reference to Exhibit 3.a of the Registrant’s Annual Report on</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Form 10-K for the year ended December 31, 2004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20" w:right="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3.b </w:t>
      </w:r>
      <w:hyperlink r:id="rId141">
        <w:r>
          <w:rPr>
            <w:rFonts w:ascii="Times New Roman" w:cs="Times New Roman" w:eastAsia="Times New Roman" w:hAnsi="Times New Roman"/>
            <w:sz w:val="18"/>
            <w:szCs w:val="18"/>
            <w:u w:val="single" w:color="auto"/>
            <w:color w:val="0000FF"/>
          </w:rPr>
          <w:t>Amended and Restated By-Laws of Crown Holdings, Inc. (incorporated by reference to Exhibit 3.1 of the Registrant's Current Report on</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Form 8-K dated December 13, 2022 (File No. 001-41550))</w:t>
        </w:r>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FF"/>
        </w:rPr>
      </w:pPr>
    </w:p>
    <w:p>
      <w:pPr>
        <w:ind w:left="11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4.a Specimen certificate of Registrant’s Common Stock (incorporated by reference to Exhibit 4.a of the Registrant’s Annual Report on Form 10-K for the year ended December 31, 1995 (File No. 1-2227)).</w:t>
      </w:r>
    </w:p>
    <w:p>
      <w:pPr>
        <w:spacing w:after="0" w:line="188" w:lineRule="exact"/>
        <w:rPr>
          <w:rFonts w:ascii="Times New Roman" w:cs="Times New Roman" w:eastAsia="Times New Roman" w:hAnsi="Times New Roman"/>
          <w:sz w:val="18"/>
          <w:szCs w:val="18"/>
          <w:color w:val="0000FF"/>
        </w:rPr>
      </w:pPr>
    </w:p>
    <w:p>
      <w:pPr>
        <w:ind w:left="1120" w:hanging="567"/>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4.b 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202" w:lineRule="exact"/>
        <w:rPr>
          <w:rFonts w:ascii="Times New Roman" w:cs="Times New Roman" w:eastAsia="Times New Roman" w:hAnsi="Times New Roman"/>
          <w:sz w:val="18"/>
          <w:szCs w:val="18"/>
          <w:color w:val="0000FF"/>
        </w:rPr>
      </w:pPr>
    </w:p>
    <w:p>
      <w:pPr>
        <w:ind w:left="11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4.c Form of the Registrant's 7-3/8% Debentures Due 2026 (incorporated by reference to Exhibit 99.1 of the Registrant's Current Report on Form 8-K dated December 17, 1996 (File No. 1-2227)).</w:t>
      </w:r>
    </w:p>
    <w:p>
      <w:pPr>
        <w:spacing w:after="0" w:line="188" w:lineRule="exact"/>
        <w:rPr>
          <w:rFonts w:ascii="Times New Roman" w:cs="Times New Roman" w:eastAsia="Times New Roman" w:hAnsi="Times New Roman"/>
          <w:sz w:val="18"/>
          <w:szCs w:val="18"/>
          <w:color w:val="0000FF"/>
        </w:rPr>
      </w:pPr>
    </w:p>
    <w:p>
      <w:pPr>
        <w:ind w:left="11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4.d Officers' Certificate for 7-3/8% Debentures Due 2026 (incorporated by reference to Exhibit 99.6 of the Registrant's Current Report on Form 8-K dated December 17, 1996 (File No. 1-2227)).</w:t>
      </w:r>
    </w:p>
    <w:p>
      <w:pPr>
        <w:spacing w:after="0" w:line="188" w:lineRule="exact"/>
        <w:rPr>
          <w:rFonts w:ascii="Times New Roman" w:cs="Times New Roman" w:eastAsia="Times New Roman" w:hAnsi="Times New Roman"/>
          <w:sz w:val="18"/>
          <w:szCs w:val="18"/>
          <w:color w:val="0000FF"/>
        </w:rPr>
      </w:pPr>
    </w:p>
    <w:p>
      <w:pPr>
        <w:ind w:left="11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4.e Form of the Registrant's 7-1/2% Debentures Due 2096 (incorporated by reference to Exhibit 99.2 of the Registrant's Current Report on Form 8-K dated December 17, 1996 (File No. 1-2227)).</w:t>
      </w:r>
    </w:p>
    <w:p>
      <w:pPr>
        <w:spacing w:after="0" w:line="188" w:lineRule="exact"/>
        <w:rPr>
          <w:rFonts w:ascii="Times New Roman" w:cs="Times New Roman" w:eastAsia="Times New Roman" w:hAnsi="Times New Roman"/>
          <w:sz w:val="18"/>
          <w:szCs w:val="18"/>
          <w:color w:val="0000FF"/>
        </w:rPr>
      </w:pPr>
    </w:p>
    <w:p>
      <w:pPr>
        <w:ind w:left="11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4.f Officers' Certificate for 7-1/2% Debentures Due 2096 (incorporated by reference to Exhibit 99.7 of the Registrant's Current Report on From 8-K dated December 17, 1996 (File No. 1-2227)).</w:t>
      </w:r>
    </w:p>
    <w:p>
      <w:pPr>
        <w:spacing w:after="0" w:line="188" w:lineRule="exact"/>
        <w:rPr>
          <w:rFonts w:ascii="Times New Roman" w:cs="Times New Roman" w:eastAsia="Times New Roman" w:hAnsi="Times New Roman"/>
          <w:sz w:val="18"/>
          <w:szCs w:val="18"/>
          <w:color w:val="0000FF"/>
        </w:rPr>
      </w:pPr>
    </w:p>
    <w:p>
      <w:pPr>
        <w:ind w:left="11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4.g Terms Agreement, dated December 12, 1996 (incorporated by reference to Exhibit 1.1 of the Registrant's Current Report on Form 8-K dated December 17, 1996 (File No. 1-2227)).</w:t>
      </w:r>
    </w:p>
    <w:p>
      <w:pPr>
        <w:sectPr>
          <w:pgSz w:w="11900" w:h="16838" w:orient="portrait"/>
          <w:cols w:equalWidth="0" w:num="1">
            <w:col w:w="11220"/>
          </w:cols>
          <w:pgMar w:left="340" w:top="117" w:right="33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99"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94" w:name="page95"/>
    <w:bookmarkEnd w:id="94"/>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25" w:hanging="566"/>
        <w:spacing w:after="0" w:line="282" w:lineRule="auto"/>
        <w:tabs>
          <w:tab w:leader="none" w:pos="405" w:val="left"/>
        </w:tabs>
        <w:rPr>
          <w:sz w:val="20"/>
          <w:szCs w:val="20"/>
          <w:color w:val="auto"/>
        </w:rPr>
      </w:pPr>
      <w:r>
        <w:rPr>
          <w:rFonts w:ascii="Times New Roman" w:cs="Times New Roman" w:eastAsia="Times New Roman" w:hAnsi="Times New Roman"/>
          <w:sz w:val="18"/>
          <w:szCs w:val="18"/>
          <w:color w:val="auto"/>
        </w:rPr>
        <w:t>4.h</w:t>
        <w:tab/>
        <w:t>Form of Bearer Security Depositary Agreement (incorporated by reference to Exhibit 4.2 of the Registrant's Registration Statement on Form S-3, dated November 26, 1996, amended December 5 and 10, 1996 (File No. 333-16869)).</w:t>
      </w:r>
    </w:p>
    <w:p>
      <w:pPr>
        <w:spacing w:after="0" w:line="189" w:lineRule="exact"/>
        <w:rPr>
          <w:sz w:val="20"/>
          <w:szCs w:val="20"/>
          <w:color w:val="auto"/>
        </w:rPr>
      </w:pPr>
    </w:p>
    <w:p>
      <w:pPr>
        <w:jc w:val="both"/>
        <w:ind w:left="365" w:hanging="566"/>
        <w:spacing w:after="0" w:line="261" w:lineRule="auto"/>
        <w:tabs>
          <w:tab w:leader="none" w:pos="34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4.i</w:t>
      </w:r>
      <w:r>
        <w:rPr>
          <w:sz w:val="20"/>
          <w:szCs w:val="20"/>
          <w:color w:val="auto"/>
        </w:rPr>
        <w:tab/>
      </w:r>
      <w:hyperlink r:id="rId143">
        <w:r>
          <w:rPr>
            <w:rFonts w:ascii="Times New Roman" w:cs="Times New Roman" w:eastAsia="Times New Roman" w:hAnsi="Times New Roman"/>
            <w:sz w:val="18"/>
            <w:szCs w:val="18"/>
            <w:u w:val="single" w:color="auto"/>
            <w:color w:val="0000FF"/>
          </w:rPr>
          <w:t>Supplemental Indenture to Indenture dated December 17, 1996, dated as of February 25, 2003, between Crown Cork &amp; Seal Company, Inc., as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Issuer and Guarantor, Crown Cork &amp; Seal Finance PLC, as Issuer, Crown Cork &amp; Seal Finance S.A., as Issuer, Crown Holdings, Inc., as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Additional Guarantor and Bank One Trust Company, N.A., as Trustee (incorporated by reference to Exhibit 4.5 of the Registrant’s Current</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Report on Form 8-K dated February 26, 2003 (File No. 000-50189)).</w:t>
        </w:r>
      </w:hyperlink>
    </w:p>
    <w:p>
      <w:pPr>
        <w:spacing w:after="0" w:line="207" w:lineRule="exact"/>
        <w:rPr>
          <w:rFonts w:ascii="Times New Roman" w:cs="Times New Roman" w:eastAsia="Times New Roman" w:hAnsi="Times New Roman"/>
          <w:sz w:val="18"/>
          <w:szCs w:val="18"/>
          <w:u w:val="single" w:color="auto"/>
          <w:color w:val="0000FF"/>
        </w:rPr>
      </w:pPr>
    </w:p>
    <w:p>
      <w:pPr>
        <w:ind w:left="565" w:hanging="565"/>
        <w:spacing w:after="0" w:line="266" w:lineRule="auto"/>
        <w:tabs>
          <w:tab w:leader="none" w:pos="194"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j </w:t>
      </w:r>
      <w:hyperlink r:id="rId144">
        <w:r>
          <w:rPr>
            <w:rFonts w:ascii="Times New Roman" w:cs="Times New Roman" w:eastAsia="Times New Roman" w:hAnsi="Times New Roman"/>
            <w:sz w:val="18"/>
            <w:szCs w:val="18"/>
            <w:u w:val="single" w:color="auto"/>
            <w:color w:val="0000FF"/>
          </w:rPr>
          <w:t>Indenture, dated as of September 15, 2016, by and among Crown European Holdings S.A., as Issuer, the Guarantors named therein, U.S.</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Bank National Association, as Trustee, and the other parties thereto, relating to the €600 million 2.625% Senior Notes due 2024</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(incorporated by reference to Exhibit 4.1 of the Registrant's Current Report on Form 8-K dated September 19, 2016 (File No. 000-50189)).</w:t>
        </w:r>
      </w:hyperlink>
    </w:p>
    <w:p>
      <w:pPr>
        <w:spacing w:after="0" w:line="203" w:lineRule="exact"/>
        <w:rPr>
          <w:rFonts w:ascii="Times New Roman" w:cs="Times New Roman" w:eastAsia="Times New Roman" w:hAnsi="Times New Roman"/>
          <w:sz w:val="18"/>
          <w:szCs w:val="18"/>
          <w:color w:val="auto"/>
        </w:rPr>
      </w:pPr>
    </w:p>
    <w:p>
      <w:pPr>
        <w:ind w:left="565" w:hanging="565"/>
        <w:spacing w:after="0" w:line="266" w:lineRule="auto"/>
        <w:tabs>
          <w:tab w:leader="none" w:pos="200" w:val="left"/>
        </w:tabs>
        <w:numPr>
          <w:ilvl w:val="0"/>
          <w:numId w:val="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k </w:t>
      </w:r>
      <w:hyperlink r:id="rId145">
        <w:r>
          <w:rPr>
            <w:rFonts w:ascii="Times New Roman" w:cs="Times New Roman" w:eastAsia="Times New Roman" w:hAnsi="Times New Roman"/>
            <w:sz w:val="18"/>
            <w:szCs w:val="18"/>
            <w:u w:val="single" w:color="auto"/>
            <w:color w:val="0000FF"/>
          </w:rPr>
          <w:t>Indenture, dated as of September 15, 2016, by and among Crown Americas LLC and Crown Americas Capital Corp. V, as Issuers, the</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Guarantors named therein and U.S. Bank National Association, as Trustee, relating to the $400 million 4.250% Senior Notes due 2026</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(incorporated by reference to Exhibit 4.2 of the Registrant's Current Report on Form 8-K dated September 19, 2016 (File No. 000-50189)).</w:t>
        </w:r>
      </w:hyperlink>
    </w:p>
    <w:p>
      <w:pPr>
        <w:spacing w:after="0" w:line="203" w:lineRule="exact"/>
        <w:rPr>
          <w:rFonts w:ascii="Times New Roman" w:cs="Times New Roman" w:eastAsia="Times New Roman" w:hAnsi="Times New Roman"/>
          <w:sz w:val="18"/>
          <w:szCs w:val="18"/>
          <w:color w:val="auto"/>
        </w:rPr>
      </w:pPr>
    </w:p>
    <w:p>
      <w:pPr>
        <w:jc w:val="both"/>
        <w:ind w:left="485" w:hanging="566"/>
        <w:spacing w:after="0" w:line="261" w:lineRule="auto"/>
        <w:tabs>
          <w:tab w:leader="none" w:pos="4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4.l</w:t>
      </w:r>
      <w:r>
        <w:rPr>
          <w:sz w:val="20"/>
          <w:szCs w:val="20"/>
          <w:color w:val="auto"/>
        </w:rPr>
        <w:tab/>
      </w:r>
      <w:hyperlink r:id="rId146">
        <w:r>
          <w:rPr>
            <w:rFonts w:ascii="Times New Roman" w:cs="Times New Roman" w:eastAsia="Times New Roman" w:hAnsi="Times New Roman"/>
            <w:sz w:val="18"/>
            <w:szCs w:val="18"/>
            <w:u w:val="single" w:color="auto"/>
            <w:color w:val="0000FF"/>
          </w:rPr>
          <w:t>Indenture, dated as of May 5, 2015, among Crown European Holdings S.A., the Guarantors (as defined therein), U.S. Bank National</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Association, as trustee, Elavon Financial Services Limited, UK Branch, as paying agent, and Elavon Financial Services Limited, as registrar</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and transfer agent, relating to the €600 million 3.375% Senior Notes due 2025 (incorporated by reference to Exhibit 10.1 of the Registrant's</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Quarterly Report on Form 10-Q dated July 30, 2015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465" w:hanging="566"/>
        <w:spacing w:after="0" w:line="258" w:lineRule="auto"/>
        <w:tabs>
          <w:tab w:leader="none" w:pos="44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4.m</w:t>
      </w:r>
      <w:r>
        <w:rPr>
          <w:sz w:val="20"/>
          <w:szCs w:val="20"/>
          <w:color w:val="auto"/>
        </w:rPr>
        <w:tab/>
      </w:r>
      <w:hyperlink r:id="rId147">
        <w:r>
          <w:rPr>
            <w:rFonts w:ascii="Times New Roman" w:cs="Times New Roman" w:eastAsia="Times New Roman" w:hAnsi="Times New Roman"/>
            <w:sz w:val="18"/>
            <w:szCs w:val="18"/>
            <w:u w:val="single" w:color="auto"/>
            <w:color w:val="0000FF"/>
          </w:rPr>
          <w:t>Amended &amp; Restated Credit Agreement, dated April 7, 2017, by and among Crown Americas LLC, Crown European Holdings S.A., Crown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Metal Packaging Canada LP, each of the Subsidiary Borrowers from time to time party thereto, Crown Holdings, Inc., Crown Cork &amp; Seal</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Company, Inc., Crown International Holdings, Inc., each other Credit Party from time to time party thereto, Deutsche Bank AG Canada</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Branch, Deutsche Bank AG London Branch, Deutsche Bank AG New York Branch, and various Lenders referred to therein (incorporated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by reference to Exhibit 4 of the Registrant's Quarterly Report on Form 10-Q for the quarter ended March 31, 2017 (File No. 000-50189)).</w:t>
        </w:r>
      </w:hyperlink>
    </w:p>
    <w:p>
      <w:pPr>
        <w:spacing w:after="0" w:line="210" w:lineRule="exact"/>
        <w:rPr>
          <w:rFonts w:ascii="Times New Roman" w:cs="Times New Roman" w:eastAsia="Times New Roman" w:hAnsi="Times New Roman"/>
          <w:sz w:val="18"/>
          <w:szCs w:val="18"/>
          <w:u w:val="single" w:color="auto"/>
          <w:color w:val="0000FF"/>
        </w:rPr>
      </w:pPr>
    </w:p>
    <w:p>
      <w:pPr>
        <w:jc w:val="both"/>
        <w:ind w:left="505" w:hanging="566"/>
        <w:spacing w:after="0" w:line="256"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4.n</w:t>
      </w:r>
      <w:r>
        <w:rPr>
          <w:sz w:val="20"/>
          <w:szCs w:val="20"/>
          <w:color w:val="auto"/>
        </w:rPr>
        <w:tab/>
      </w:r>
      <w:hyperlink r:id="rId148">
        <w:r>
          <w:rPr>
            <w:rFonts w:ascii="Times New Roman" w:cs="Times New Roman" w:eastAsia="Times New Roman" w:hAnsi="Times New Roman"/>
            <w:sz w:val="18"/>
            <w:szCs w:val="18"/>
            <w:u w:val="single" w:color="auto"/>
            <w:color w:val="0000FF"/>
          </w:rPr>
          <w:t>First Amendment to Amended and Restated Credit Agreement, dated as of December 28, 2017, among Crown Americas LLC, Crown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European Holdings S.A., Crown Metal Packaging Canada LP, each of the Subsidiary Borrowers party thereto, Crown Holdings, Inc.,</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referred to therein (incorporated by reference to Exhibit 4 of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2017 (File No. 000-50189)).</w:t>
        </w:r>
      </w:hyperlink>
    </w:p>
    <w:p>
      <w:pPr>
        <w:spacing w:after="0" w:line="214" w:lineRule="exact"/>
        <w:rPr>
          <w:rFonts w:ascii="Times New Roman" w:cs="Times New Roman" w:eastAsia="Times New Roman" w:hAnsi="Times New Roman"/>
          <w:sz w:val="18"/>
          <w:szCs w:val="18"/>
          <w:u w:val="single" w:color="auto"/>
          <w:color w:val="0000FF"/>
        </w:rPr>
      </w:pPr>
    </w:p>
    <w:p>
      <w:pPr>
        <w:jc w:val="both"/>
        <w:ind w:left="425" w:hanging="566"/>
        <w:spacing w:after="0" w:line="258" w:lineRule="auto"/>
        <w:tabs>
          <w:tab w:leader="none" w:pos="4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4.o</w:t>
      </w:r>
      <w:r>
        <w:rPr>
          <w:sz w:val="20"/>
          <w:szCs w:val="20"/>
          <w:color w:val="auto"/>
        </w:rPr>
        <w:tab/>
      </w:r>
      <w:hyperlink r:id="rId149">
        <w:r>
          <w:rPr>
            <w:rFonts w:ascii="Times New Roman" w:cs="Times New Roman" w:eastAsia="Times New Roman" w:hAnsi="Times New Roman"/>
            <w:sz w:val="18"/>
            <w:szCs w:val="18"/>
            <w:u w:val="single" w:color="auto"/>
            <w:color w:val="0000FF"/>
          </w:rPr>
          <w:t>Incremental Amendment No. 1, dated as of January 29, 2018, among Crown Americas LLC, Crown European Holdings S.A., Crown Metal</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Packaging Canada LP, each of the Subsidiary Borrowers party thereto, Crown Holdings, Inc., Crown Cork &amp; Seal Company, Inc. and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Crown International Holdings, Inc., each other Credit Party from time to time party thereto, Deutsche Bank AG New York Branch,</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Deutsche Bank AG, London Branch, Deutsche Bank AG, Canada Branch, and various Lenders referred to therein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4.1 of the Registrant's Annual Report on Form 10-K for the year ended December 31, 2017).</w:t>
        </w:r>
      </w:hyperlink>
    </w:p>
    <w:p>
      <w:pPr>
        <w:spacing w:after="0" w:line="183" w:lineRule="exact"/>
        <w:rPr>
          <w:rFonts w:ascii="Times New Roman" w:cs="Times New Roman" w:eastAsia="Times New Roman" w:hAnsi="Times New Roman"/>
          <w:sz w:val="18"/>
          <w:szCs w:val="18"/>
          <w:u w:val="single" w:color="auto"/>
          <w:color w:val="0000FF"/>
        </w:rPr>
      </w:pPr>
    </w:p>
    <w:p>
      <w:pPr>
        <w:jc w:val="both"/>
        <w:ind w:left="425" w:hanging="566"/>
        <w:spacing w:after="0" w:line="261" w:lineRule="auto"/>
        <w:tabs>
          <w:tab w:leader="none" w:pos="4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4.p</w:t>
      </w:r>
      <w:r>
        <w:rPr>
          <w:sz w:val="20"/>
          <w:szCs w:val="20"/>
          <w:color w:val="auto"/>
        </w:rPr>
        <w:tab/>
      </w:r>
      <w:hyperlink r:id="rId150">
        <w:r>
          <w:rPr>
            <w:rFonts w:ascii="Times New Roman" w:cs="Times New Roman" w:eastAsia="Times New Roman" w:hAnsi="Times New Roman"/>
            <w:sz w:val="18"/>
            <w:szCs w:val="18"/>
            <w:u w:val="single" w:color="auto"/>
            <w:color w:val="0000FF"/>
          </w:rPr>
          <w:t>Indenture, dated as of January 26, 2018, by and among Crown European Holdings S.A., as Issuer, the Guarantors named therein, U.S. Bank</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National Association, as Trustee, and the other parties thereto, relating to the €335 million 2.250% Senior Notes due 2023 and the €500</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million 2.875% Senior Notes due 2026 (incorporated by reference to Exhibit 4.1 of the Registrant's Current Report on Form 8-K dated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February 1, 2018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505" w:right="20" w:hanging="566"/>
        <w:spacing w:after="0" w:line="282"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4.q</w:t>
      </w:r>
      <w:r>
        <w:rPr>
          <w:sz w:val="20"/>
          <w:szCs w:val="20"/>
          <w:color w:val="auto"/>
        </w:rPr>
        <w:tab/>
      </w:r>
      <w:hyperlink r:id="rId151">
        <w:r>
          <w:rPr>
            <w:rFonts w:ascii="Times New Roman" w:cs="Times New Roman" w:eastAsia="Times New Roman" w:hAnsi="Times New Roman"/>
            <w:sz w:val="18"/>
            <w:szCs w:val="18"/>
            <w:u w:val="single" w:color="auto"/>
            <w:color w:val="0000FF"/>
          </w:rPr>
          <w:t>Indenture, dated as of January 26, 2018, by and among Crown Americas LLC and Crown Americas Capital Corp. VI, as Issuers,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Guarantors named therein and U.S. Bank National Association, as Trustee, relating to</w:t>
        </w:r>
      </w:hyperlink>
    </w:p>
    <w:p>
      <w:pPr>
        <w:spacing w:after="0" w:line="200" w:lineRule="exact"/>
        <w:rPr>
          <w:sz w:val="20"/>
          <w:szCs w:val="20"/>
          <w:color w:val="auto"/>
        </w:rPr>
      </w:pPr>
    </w:p>
    <w:p>
      <w:pPr>
        <w:spacing w:after="0" w:line="299"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5" w:name="page96"/>
    <w:bookmarkEnd w:id="95"/>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65"/>
        <w:spacing w:after="0" w:line="282"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the $875 million 4.750% Senior Notes due 2026 (incorporated by reference to Exhibit 4.2 of the Registrant's Current Report on Form 8-K</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dated February 1, 2018 (File No. 000-50189)).</w:t>
        </w:r>
      </w:hyperlink>
    </w:p>
    <w:p>
      <w:pPr>
        <w:spacing w:after="0" w:line="189" w:lineRule="exact"/>
        <w:rPr>
          <w:sz w:val="20"/>
          <w:szCs w:val="20"/>
          <w:color w:val="auto"/>
        </w:rPr>
      </w:pPr>
    </w:p>
    <w:p>
      <w:pPr>
        <w:jc w:val="both"/>
        <w:ind w:left="485" w:hanging="566"/>
        <w:spacing w:after="0" w:line="261" w:lineRule="auto"/>
        <w:tabs>
          <w:tab w:leader="none" w:pos="4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4.r</w:t>
      </w:r>
      <w:r>
        <w:rPr>
          <w:sz w:val="20"/>
          <w:szCs w:val="20"/>
          <w:color w:val="auto"/>
        </w:rPr>
        <w:tab/>
      </w:r>
      <w:hyperlink r:id="rId153">
        <w:r>
          <w:rPr>
            <w:rFonts w:ascii="Times New Roman" w:cs="Times New Roman" w:eastAsia="Times New Roman" w:hAnsi="Times New Roman"/>
            <w:sz w:val="18"/>
            <w:szCs w:val="18"/>
            <w:u w:val="single" w:color="auto"/>
            <w:color w:val="0000FF"/>
          </w:rPr>
          <w:t>Registration Rights Agreement, dated as of January 26, 2018, by and among Crown Holdings, Inc., Crown Americas LLC and Crown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Americas Capital Corp. VI, Citigroup Global Markets Inc., as representative of the initial purchasers, and the Guarantors (as defined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therein), relating to the $875 million 4.750% Senior Notes due 2026 (incorporated by reference to Exhibit 4.3 of the Registrant's Current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Report on Form 8-K dated February 1, 2018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405" w:hanging="566"/>
        <w:spacing w:after="0" w:line="256"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4.s</w:t>
      </w:r>
      <w:r>
        <w:rPr>
          <w:sz w:val="20"/>
          <w:szCs w:val="20"/>
          <w:color w:val="auto"/>
        </w:rPr>
        <w:tab/>
      </w:r>
      <w:hyperlink r:id="rId149">
        <w:r>
          <w:rPr>
            <w:rFonts w:ascii="Times New Roman" w:cs="Times New Roman" w:eastAsia="Times New Roman" w:hAnsi="Times New Roman"/>
            <w:sz w:val="18"/>
            <w:szCs w:val="18"/>
            <w:u w:val="single" w:color="auto"/>
            <w:color w:val="0000FF"/>
          </w:rPr>
          <w:t>Second Amendment to Amended and Restated Credit Agreement, First Amendment to the U.S. Guarantee Agreement and First Amendment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to U.S. Indemnity, Subrogation and Contribution Agreement, dated as of March 23, 2018, among Crown Americas LLC, Crown European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Holdings S.A., Crown Metal Packaging Canada LP, each of the Subsidiary Borrowers from time to time party thereto, Crown Holdings,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Inc., 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referred to therein (incorporated by reference to Exhibit 4.cc of the Registrant's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31, 2018).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both"/>
        <w:ind w:left="385" w:hanging="566"/>
        <w:spacing w:after="0" w:line="256" w:lineRule="auto"/>
        <w:tabs>
          <w:tab w:leader="none" w:pos="3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4.t</w:t>
      </w:r>
      <w:r>
        <w:rPr>
          <w:sz w:val="20"/>
          <w:szCs w:val="20"/>
          <w:color w:val="auto"/>
        </w:rPr>
        <w:tab/>
      </w:r>
      <w:hyperlink r:id="rId154">
        <w:r>
          <w:rPr>
            <w:rFonts w:ascii="Times New Roman" w:cs="Times New Roman" w:eastAsia="Times New Roman" w:hAnsi="Times New Roman"/>
            <w:sz w:val="18"/>
            <w:szCs w:val="18"/>
            <w:u w:val="single" w:color="auto"/>
            <w:color w:val="0000FF"/>
          </w:rPr>
          <w:t>Incremental Amendment No. 2 and Third Amendment to Amended and Restated Credit Agreement, dated as of December 13, 2019, among</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Crown Americas LLC, Crown European Holdings S.A., Crown Metal Packaging Canada LP, each of the Subsidiary Borrowers from time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time party thereto, Crown Holdings, Inc., Crown Cork &amp; Seal Company, Inc., and Crown International Holdings, Inc., each other Credit</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Party from time to time party thereto, Deutsche Bank AG New York Branch, Deutsche Bank AG London Branch, Deutsche Bank AG,</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Canada Branch, and the various Lenders referred to therein (incorporated by reference to Exhibit 4.1 of the Registrant's Current Report on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Form 8-K/A dated February 28, 2020 (File No. 000-50189)).</w:t>
        </w:r>
      </w:hyperlink>
    </w:p>
    <w:p>
      <w:pPr>
        <w:spacing w:after="0" w:line="214" w:lineRule="exact"/>
        <w:rPr>
          <w:rFonts w:ascii="Times New Roman" w:cs="Times New Roman" w:eastAsia="Times New Roman" w:hAnsi="Times New Roman"/>
          <w:sz w:val="18"/>
          <w:szCs w:val="18"/>
          <w:u w:val="single" w:color="auto"/>
          <w:color w:val="0000FF"/>
        </w:rPr>
      </w:pPr>
    </w:p>
    <w:p>
      <w:pPr>
        <w:jc w:val="both"/>
        <w:ind w:left="525" w:hanging="566"/>
        <w:spacing w:after="0" w:line="258" w:lineRule="auto"/>
        <w:tabs>
          <w:tab w:leader="none" w:pos="5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4.u</w:t>
      </w:r>
      <w:r>
        <w:rPr>
          <w:sz w:val="20"/>
          <w:szCs w:val="20"/>
          <w:color w:val="auto"/>
        </w:rPr>
        <w:tab/>
      </w:r>
      <w:hyperlink r:id="rId155">
        <w:r>
          <w:rPr>
            <w:rFonts w:ascii="Times New Roman" w:cs="Times New Roman" w:eastAsia="Times New Roman" w:hAnsi="Times New Roman"/>
            <w:sz w:val="18"/>
            <w:szCs w:val="18"/>
            <w:u w:val="single" w:color="auto"/>
            <w:color w:val="0000FF"/>
          </w:rPr>
          <w:t>Fourth Amendment to Amended and Restated Credit Agreement, dated as of October 4, 2021, among Crown Americas LLC, Crown</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European Holdings S.A., Crown Metal Packaging Canada LP, each of the Subsidiary Borrowers from time to time party thereto, Crown</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Holdings, Inc., Crown Cork &amp; Seal Company, Inc. and Crown International Holdings, Inc., each other Credit Party from time to time party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thereto, Deutsche Bank AG New York Branch, Deutsche Bank AG, London Branch, Deutsche Bank AG, Canada Branch, and various</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Lenders referred to therein.</w:t>
        </w:r>
      </w:hyperlink>
    </w:p>
    <w:p>
      <w:pPr>
        <w:spacing w:after="0" w:line="210" w:lineRule="exact"/>
        <w:rPr>
          <w:rFonts w:ascii="Times New Roman" w:cs="Times New Roman" w:eastAsia="Times New Roman" w:hAnsi="Times New Roman"/>
          <w:sz w:val="18"/>
          <w:szCs w:val="18"/>
          <w:u w:val="single" w:color="auto"/>
          <w:color w:val="0000FF"/>
        </w:rPr>
      </w:pPr>
    </w:p>
    <w:p>
      <w:pPr>
        <w:ind w:left="565" w:hanging="565"/>
        <w:spacing w:after="0" w:line="261" w:lineRule="auto"/>
        <w:tabs>
          <w:tab w:leader="none" w:pos="197" w:val="left"/>
        </w:tabs>
        <w:numPr>
          <w:ilvl w:val="0"/>
          <w:numId w:val="3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v </w:t>
      </w:r>
      <w:hyperlink r:id="rId156">
        <w:r>
          <w:rPr>
            <w:rFonts w:ascii="Times New Roman" w:cs="Times New Roman" w:eastAsia="Times New Roman" w:hAnsi="Times New Roman"/>
            <w:sz w:val="18"/>
            <w:szCs w:val="18"/>
            <w:u w:val="single" w:color="auto"/>
            <w:color w:val="0000FF"/>
          </w:rPr>
          <w:t>Purchase Agreement, dated as of March 14, 2022, by and among Crown Holdings, Inc., Crown Americas LLC, BNP Paribas Securities</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Corp., Citigroup Global Markets Inc. and Mizuho Securities USA LLC, as representatives of the initial purchasers, and the Guarantors (as</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defined therein) (incorporated by reference to Exhibit 10.1 of the Registrant’s Current Report on Form 8-K dated March 17, 2022 (File No.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525" w:hanging="566"/>
        <w:spacing w:after="0" w:line="266" w:lineRule="auto"/>
        <w:tabs>
          <w:tab w:leader="none" w:pos="5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4.w</w:t>
      </w:r>
      <w:r>
        <w:rPr>
          <w:sz w:val="20"/>
          <w:szCs w:val="20"/>
          <w:color w:val="auto"/>
        </w:rPr>
        <w:tab/>
      </w:r>
      <w:hyperlink r:id="rId157">
        <w:r>
          <w:rPr>
            <w:rFonts w:ascii="Times New Roman" w:cs="Times New Roman" w:eastAsia="Times New Roman" w:hAnsi="Times New Roman"/>
            <w:sz w:val="18"/>
            <w:szCs w:val="18"/>
            <w:u w:val="single" w:color="auto"/>
            <w:color w:val="0000FF"/>
          </w:rPr>
          <w:t>Indenture, dated as of March 17, 2022, among Crown Americas LLC, as Issuer, the Guarantors named therein and U.S. Bank National</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Association, as Trustee, relating to the $500 million 5.25% Senior Notes due 2030 (incorporated by reference to Exhibit 4.1 of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Registrant’s Current Report on Form 8-K dated March 21, 2022 (File No. 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485" w:hanging="566"/>
        <w:spacing w:after="0" w:line="261" w:lineRule="auto"/>
        <w:tabs>
          <w:tab w:leader="none" w:pos="4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w:t>
      </w:r>
      <w:r>
        <w:rPr>
          <w:sz w:val="20"/>
          <w:szCs w:val="20"/>
          <w:color w:val="auto"/>
        </w:rPr>
        <w:tab/>
      </w:r>
      <w:hyperlink r:id="rId158">
        <w:r>
          <w:rPr>
            <w:rFonts w:ascii="Times New Roman" w:cs="Times New Roman" w:eastAsia="Times New Roman" w:hAnsi="Times New Roman"/>
            <w:sz w:val="18"/>
            <w:szCs w:val="18"/>
            <w:u w:val="single" w:color="auto"/>
            <w:color w:val="0000FF"/>
          </w:rPr>
          <w:t>Registration Rights Agreement, dated as of March 17, 2022, by and among Crown Holdings, Inc., Crown Americas LLC, BNP Paribas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Securities Corp., Citigroup Global Markets Inc. and Mizuho Securities USA LLC, as representatives of the initial purchasers, and the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Guarantors (as defined therein), relating to the $500 million 5.25% Senior Notes due 2030 (incorporated by reference to Exhibit 4.2 of the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Registrant’s Current Report on Form 8-K dated March 21, 2022 (File No. 000-50189)).</w:t>
        </w:r>
      </w:hyperlink>
    </w:p>
    <w:p>
      <w:pPr>
        <w:spacing w:after="0" w:line="193" w:lineRule="exact"/>
        <w:rPr>
          <w:rFonts w:ascii="Times New Roman" w:cs="Times New Roman" w:eastAsia="Times New Roman" w:hAnsi="Times New Roman"/>
          <w:sz w:val="18"/>
          <w:szCs w:val="18"/>
          <w:u w:val="single" w:color="auto"/>
          <w:color w:val="0000FF"/>
        </w:rPr>
      </w:pPr>
    </w:p>
    <w:p>
      <w:pPr>
        <w:ind w:left="405" w:hanging="566"/>
        <w:spacing w:after="0" w:line="241"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4.y</w:t>
      </w:r>
      <w:r>
        <w:rPr>
          <w:sz w:val="20"/>
          <w:szCs w:val="20"/>
          <w:color w:val="auto"/>
        </w:rPr>
        <w:tab/>
      </w:r>
      <w:hyperlink r:id="rId159">
        <w:r>
          <w:rPr>
            <w:rFonts w:ascii="Times New Roman" w:cs="Times New Roman" w:eastAsia="Times New Roman" w:hAnsi="Times New Roman"/>
            <w:sz w:val="18"/>
            <w:szCs w:val="18"/>
            <w:u w:val="single" w:color="auto"/>
            <w:color w:val="0000FF"/>
          </w:rPr>
          <w:t>Incremental Amendment No. 3 and Fifth Amendment, dated August 8, 2022, to Amended and Restated Credit Agreement, dated April 7,</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2017, among Crown Holdings, Inc., Crown Americas LLC, Crown European Holdings S.A., the Subsidiary Borrowers party thereto, Crown</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Metal Packaging Canada LP, Crown Cork &amp; Seal Company, Inc., the Parent Guarantors party thereto, the other Credit Parties party thereto,</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the Lenders party thereto, Deutsche Bank AG Canada Branch, Deutsche Bank AG London Branch, and Deutsche Bank AG New York</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Branch (incorporated by reference to Exhibit 4.z of the Registrant’s Current Report on Form 8-K dated August 11, 2022 (File No. 000-</w:t>
        </w:r>
      </w:hyperlink>
      <w:hyperlink r:id="rId159">
        <w:r>
          <w:rPr>
            <w:rFonts w:ascii="Times New Roman" w:cs="Times New Roman" w:eastAsia="Times New Roman" w:hAnsi="Times New Roman"/>
            <w:sz w:val="18"/>
            <w:szCs w:val="18"/>
            <w:u w:val="single" w:color="auto"/>
            <w:color w:val="0000FF"/>
          </w:rPr>
          <w:t>50189)).</w:t>
        </w:r>
      </w:hyperlink>
    </w:p>
    <w:p>
      <w:pPr>
        <w:spacing w:after="0" w:line="211" w:lineRule="exact"/>
        <w:rPr>
          <w:rFonts w:ascii="Times New Roman" w:cs="Times New Roman" w:eastAsia="Times New Roman" w:hAnsi="Times New Roman"/>
          <w:sz w:val="18"/>
          <w:szCs w:val="18"/>
          <w:u w:val="single" w:color="auto"/>
          <w:color w:val="0000FF"/>
        </w:rPr>
      </w:pPr>
    </w:p>
    <w:p>
      <w:pPr>
        <w:ind w:left="385" w:right="600" w:hanging="566"/>
        <w:spacing w:after="0" w:line="250" w:lineRule="auto"/>
        <w:tabs>
          <w:tab w:leader="none" w:pos="3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4.z</w:t>
      </w:r>
      <w:r>
        <w:rPr>
          <w:sz w:val="20"/>
          <w:szCs w:val="20"/>
          <w:color w:val="auto"/>
        </w:rPr>
        <w:tab/>
      </w:r>
      <w:hyperlink r:id="rId160">
        <w:r>
          <w:rPr>
            <w:rFonts w:ascii="Times New Roman" w:cs="Times New Roman" w:eastAsia="Times New Roman" w:hAnsi="Times New Roman"/>
            <w:sz w:val="18"/>
            <w:szCs w:val="18"/>
            <w:u w:val="single" w:color="auto"/>
            <w:color w:val="0000FF"/>
          </w:rPr>
          <w:t>Purchase Agreement, dated as of May 9, 2023, by and among Crown Holdings, Inc., Crown European Holdings S.A., BNP Paribas, as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representative of the Initial Purchasers named in Schedule I thereto, and the Guarantors</w:t>
        </w:r>
      </w:hyperlink>
    </w:p>
    <w:p>
      <w:pPr>
        <w:spacing w:after="0" w:line="200" w:lineRule="exact"/>
        <w:rPr>
          <w:sz w:val="20"/>
          <w:szCs w:val="20"/>
          <w:color w:val="auto"/>
        </w:rPr>
      </w:pPr>
    </w:p>
    <w:p>
      <w:pPr>
        <w:spacing w:after="0" w:line="327"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6" w:name="page97"/>
    <w:bookmarkEnd w:id="96"/>
    <w:p>
      <w:pPr>
        <w:ind w:left="43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ind w:left="640" w:right="300"/>
        <w:spacing w:after="0" w:line="26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(as defined therein) (incorporated by reference to Exhibit 10.1 of the Registrant's Current Report on Form 8-K dated May 11, 2023 (File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No. 000-50189)).</w:t>
        </w:r>
      </w:hyperlink>
    </w:p>
    <w:p>
      <w:pPr>
        <w:spacing w:after="0" w:line="189" w:lineRule="exact"/>
        <w:rPr>
          <w:sz w:val="20"/>
          <w:szCs w:val="20"/>
          <w:color w:val="auto"/>
        </w:rPr>
      </w:pPr>
    </w:p>
    <w:p>
      <w:pPr>
        <w:jc w:val="both"/>
        <w:ind w:left="540" w:hanging="566"/>
        <w:spacing w:after="0" w:line="245"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4.aa</w:t>
      </w:r>
      <w:r>
        <w:rPr>
          <w:sz w:val="20"/>
          <w:szCs w:val="20"/>
          <w:color w:val="auto"/>
        </w:rPr>
        <w:tab/>
      </w:r>
      <w:hyperlink r:id="rId162">
        <w:r>
          <w:rPr>
            <w:rFonts w:ascii="Times New Roman" w:cs="Times New Roman" w:eastAsia="Times New Roman" w:hAnsi="Times New Roman"/>
            <w:sz w:val="18"/>
            <w:szCs w:val="18"/>
            <w:u w:val="single" w:color="auto"/>
            <w:color w:val="0000FF"/>
          </w:rPr>
          <w:t>Indenture, dated as of May 18, 2023, among Crown European Holdings S.A., Crown Holdings, Inc., the other guarantors party thereto, BNP</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Paribas, as representative of the several initial purchases party thereto, U.S. Bank Trust Company, National Association, as Trustee, Elavon</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Financial Services DAC, as paying agent, registrar and transfer agent, relating to the €500,000,000 5.000% senior unsecured notes due 2028</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(incorporated by reference to Exhibit 4.1 of the Registrant's Current Report on Form 8-K dated May 24, 2023 (File No. 000-50189)).</w:t>
        </w:r>
      </w:hyperlink>
    </w:p>
    <w:p>
      <w:pPr>
        <w:spacing w:after="0" w:line="208" w:lineRule="exact"/>
        <w:rPr>
          <w:rFonts w:ascii="Times New Roman" w:cs="Times New Roman" w:eastAsia="Times New Roman" w:hAnsi="Times New Roman"/>
          <w:sz w:val="18"/>
          <w:szCs w:val="18"/>
          <w:u w:val="single" w:color="auto"/>
          <w:color w:val="0000FF"/>
        </w:rPr>
      </w:pPr>
    </w:p>
    <w:p>
      <w:pPr>
        <w:ind w:left="560" w:right="40" w:hanging="566"/>
        <w:spacing w:after="0" w:line="24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4.bb</w:t>
      </w:r>
      <w:r>
        <w:rPr>
          <w:sz w:val="20"/>
          <w:szCs w:val="20"/>
          <w:color w:val="auto"/>
        </w:rPr>
        <w:tab/>
      </w:r>
      <w:hyperlink r:id="rId163">
        <w:r>
          <w:rPr>
            <w:rFonts w:ascii="Times New Roman" w:cs="Times New Roman" w:eastAsia="Times New Roman" w:hAnsi="Times New Roman"/>
            <w:sz w:val="18"/>
            <w:szCs w:val="18"/>
            <w:u w:val="single" w:color="auto"/>
            <w:color w:val="0000FF"/>
          </w:rPr>
          <w:t>Purchase Agreement, dated as of November 30, 2023, by and among Crown Holdings, Inc., Crown European Holdings S.A., BNP Paribas,</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as representative of the Initial Purchasers named in Schedule I thereto, and the Guarantors (as defined therein) (incorporated by reference to</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Exhibit 10.1 of the Registrant's Current Report on Form 8-K dated December 4, 2023 (File No. 000-50189)).</w:t>
        </w:r>
      </w:hyperlink>
    </w:p>
    <w:p>
      <w:pPr>
        <w:spacing w:after="0" w:line="211" w:lineRule="exact"/>
        <w:rPr>
          <w:rFonts w:ascii="Times New Roman" w:cs="Times New Roman" w:eastAsia="Times New Roman" w:hAnsi="Times New Roman"/>
          <w:sz w:val="18"/>
          <w:szCs w:val="18"/>
          <w:u w:val="single" w:color="auto"/>
          <w:color w:val="0000FF"/>
        </w:rPr>
      </w:pPr>
    </w:p>
    <w:p>
      <w:pPr>
        <w:ind w:left="540" w:right="80" w:hanging="566"/>
        <w:spacing w:after="0" w:line="24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4.cc</w:t>
      </w:r>
      <w:r>
        <w:rPr>
          <w:sz w:val="20"/>
          <w:szCs w:val="20"/>
          <w:color w:val="auto"/>
        </w:rPr>
        <w:tab/>
      </w:r>
      <w:hyperlink r:id="rId164">
        <w:r>
          <w:rPr>
            <w:rFonts w:ascii="Times New Roman" w:cs="Times New Roman" w:eastAsia="Times New Roman" w:hAnsi="Times New Roman"/>
            <w:sz w:val="18"/>
            <w:szCs w:val="18"/>
            <w:u w:val="single" w:color="auto"/>
            <w:color w:val="0000FF"/>
          </w:rPr>
          <w:t>Indenture, dated as of December 11, 2023, among Crown European Holdings S.A., Crown Holdings, Inc., the other guarantors party thereto,</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BNP Paribas, as representative of the several initial purchasers party thereto,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Elavon Financial Services DAC, as paying agent, registrar and transfer agent, relating to the €500,000,000 4.750% senior unsecured notes</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due 2029 (incorporated by reference to Exhibit 4.1 of the Registrant's Current Report on Form 8-K December 12, 2023 (File No. 000-</w:t>
        </w:r>
      </w:hyperlink>
      <w:hyperlink r:id="rId164">
        <w:r>
          <w:rPr>
            <w:rFonts w:ascii="Times New Roman" w:cs="Times New Roman" w:eastAsia="Times New Roman" w:hAnsi="Times New Roman"/>
            <w:sz w:val="18"/>
            <w:szCs w:val="18"/>
            <w:u w:val="single" w:color="auto"/>
            <w:color w:val="0000FF"/>
          </w:rPr>
          <w:t>50189)).</w:t>
        </w:r>
      </w:hyperlink>
    </w:p>
    <w:p>
      <w:pPr>
        <w:spacing w:after="0" w:line="225" w:lineRule="exact"/>
        <w:rPr>
          <w:rFonts w:ascii="Times New Roman" w:cs="Times New Roman" w:eastAsia="Times New Roman" w:hAnsi="Times New Roman"/>
          <w:sz w:val="18"/>
          <w:szCs w:val="18"/>
          <w:u w:val="single" w:color="auto"/>
          <w:color w:val="0000FF"/>
        </w:rPr>
      </w:pPr>
    </w:p>
    <w:p>
      <w:pPr>
        <w:ind w:left="560" w:right="180" w:hanging="566"/>
        <w:spacing w:after="0" w:line="266"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4.dd</w:t>
      </w:r>
      <w:r>
        <w:rPr>
          <w:sz w:val="20"/>
          <w:szCs w:val="20"/>
          <w:color w:val="auto"/>
        </w:rPr>
        <w:tab/>
      </w:r>
      <w:hyperlink r:id="rId165">
        <w:r>
          <w:rPr>
            <w:rFonts w:ascii="Times New Roman" w:cs="Times New Roman" w:eastAsia="Times New Roman" w:hAnsi="Times New Roman"/>
            <w:sz w:val="18"/>
            <w:szCs w:val="18"/>
            <w:u w:val="single" w:color="auto"/>
            <w:color w:val="0000FF"/>
          </w:rPr>
          <w:t>Description of the Registrant’s Securities (incorporated by reference to Exhibit 4.ff of the Registrant’s Annual Report on Form 10-k for the</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year ended December 31, 2019 (File No. 000-50189)).</w:t>
        </w:r>
      </w:hyperlink>
    </w:p>
    <w:p>
      <w:pPr>
        <w:spacing w:after="0" w:line="189" w:lineRule="exact"/>
        <w:rPr>
          <w:sz w:val="20"/>
          <w:szCs w:val="20"/>
          <w:color w:val="auto"/>
        </w:rPr>
      </w:pPr>
    </w:p>
    <w:p>
      <w:pPr>
        <w:ind w:left="540" w:right="80" w:hanging="566"/>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4.ee</w:t>
        <w:tab/>
        <w:t>Other long-term agreements of the Registrant are not filed pursuant to Item 601(b)(4)(iii)(A) of Regulation S-K, and the Registrant agrees to furnish copies of such agreements to the Securities and Exchange Commission upon its requests.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10.a</w:t>
        <w:tab/>
        <w:t>Employment Contracts:</w:t>
      </w:r>
    </w:p>
    <w:p>
      <w:pPr>
        <w:spacing w:after="0" w:line="252" w:lineRule="exact"/>
        <w:rPr>
          <w:sz w:val="20"/>
          <w:szCs w:val="20"/>
          <w:color w:val="auto"/>
        </w:rPr>
      </w:pPr>
    </w:p>
    <w:p>
      <w:pPr>
        <w:ind w:left="1120" w:hanging="478"/>
        <w:spacing w:after="0" w:line="282" w:lineRule="auto"/>
        <w:tabs>
          <w:tab w:leader="none" w:pos="1087" w:val="left"/>
        </w:tabs>
        <w:numPr>
          <w:ilvl w:val="0"/>
          <w:numId w:val="34"/>
        </w:numPr>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Employment Agreement, dated December 30, 2015, between Crown Holdings, Inc. and Timothy J. Donahue (incorporated by</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reference to Exhibit 10.1 of the Registrant’s Current Report on Form 8-K dated January 5, 2016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20" w:hanging="478"/>
        <w:spacing w:after="0" w:line="266" w:lineRule="auto"/>
        <w:tabs>
          <w:tab w:leader="none" w:pos="1051" w:val="left"/>
        </w:tabs>
        <w:numPr>
          <w:ilvl w:val="0"/>
          <w:numId w:val="34"/>
        </w:numPr>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First amendment to the employment contract, effective June 1, 2012, between Crown Holdings, Inc. and Gerard Gifford, dated as of</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July 24, 2013 (incorporated by reference to Exhibit 10.3 of the Registrant's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June 30, 2013 (File No 000-50189)).</w:t>
        </w:r>
      </w:hyperlink>
    </w:p>
    <w:p>
      <w:pPr>
        <w:spacing w:after="0" w:line="202" w:lineRule="exact"/>
        <w:rPr>
          <w:rFonts w:ascii="Times New Roman" w:cs="Times New Roman" w:eastAsia="Times New Roman" w:hAnsi="Times New Roman"/>
          <w:sz w:val="18"/>
          <w:szCs w:val="18"/>
          <w:u w:val="single" w:color="auto"/>
          <w:color w:val="0000FF"/>
        </w:rPr>
      </w:pPr>
    </w:p>
    <w:p>
      <w:pPr>
        <w:jc w:val="both"/>
        <w:ind w:left="1120" w:hanging="478"/>
        <w:spacing w:after="0" w:line="266" w:lineRule="auto"/>
        <w:tabs>
          <w:tab w:leader="none" w:pos="1132" w:val="left"/>
        </w:tabs>
        <w:numPr>
          <w:ilvl w:val="0"/>
          <w:numId w:val="34"/>
        </w:numPr>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Executive Employment Agreement, effective June 1, 2012, between Crown Holdings, Inc. and Gerard Gifford (incorporated by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reference to Exhibit 10.1 of the Registrant's Quarterly Report on Form 10-Q for the quarter ended June 30, 2012 (File No 000-</w:t>
        </w:r>
      </w:hyperlink>
      <w:hyperlink r:id="rId168">
        <w:r>
          <w:rPr>
            <w:rFonts w:ascii="Times New Roman" w:cs="Times New Roman" w:eastAsia="Times New Roman" w:hAnsi="Times New Roman"/>
            <w:sz w:val="18"/>
            <w:szCs w:val="18"/>
            <w:u w:val="single" w:color="auto"/>
            <w:color w:val="0000FF"/>
          </w:rPr>
          <w:t>50189)).</w:t>
        </w:r>
      </w:hyperlink>
    </w:p>
    <w:p>
      <w:pPr>
        <w:spacing w:after="0" w:line="202" w:lineRule="exact"/>
        <w:rPr>
          <w:rFonts w:ascii="Times New Roman" w:cs="Times New Roman" w:eastAsia="Times New Roman" w:hAnsi="Times New Roman"/>
          <w:sz w:val="18"/>
          <w:szCs w:val="18"/>
          <w:u w:val="single" w:color="auto"/>
          <w:color w:val="0000FF"/>
        </w:rPr>
      </w:pPr>
    </w:p>
    <w:p>
      <w:pPr>
        <w:ind w:left="1120" w:right="20" w:hanging="478"/>
        <w:spacing w:after="0" w:line="282" w:lineRule="auto"/>
        <w:tabs>
          <w:tab w:leader="none" w:pos="1109" w:val="left"/>
        </w:tabs>
        <w:numPr>
          <w:ilvl w:val="0"/>
          <w:numId w:val="34"/>
        </w:numPr>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Employment contract between Crown Holdings, Inc. and Djalma Novaes Jr., dated February 26, 2015 (incorporated by reference to</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Exhibit 10.c(11) of the Registrant’s Annual Report on Form 10-K for the year ended December 31, 2014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20" w:right="200" w:hanging="478"/>
        <w:spacing w:after="0" w:line="258" w:lineRule="auto"/>
        <w:tabs>
          <w:tab w:leader="none" w:pos="1024" w:val="left"/>
        </w:tabs>
        <w:numPr>
          <w:ilvl w:val="0"/>
          <w:numId w:val="34"/>
        </w:numPr>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Executive Employment Agreement, effective May 1, 2016, between Crown Holdings, Inc. and Robert Bourque, Jr. (incorporated by</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reference to Exhibit 10.2 of the Registrant’s Quarterly Report on Form 10-Q for the quarter ended March 31, 2016 (File No. 000-</w:t>
        </w:r>
      </w:hyperlink>
      <w:hyperlink r:id="rId170">
        <w:r>
          <w:rPr>
            <w:rFonts w:ascii="Times New Roman" w:cs="Times New Roman" w:eastAsia="Times New Roman" w:hAnsi="Times New Roman"/>
            <w:sz w:val="18"/>
            <w:szCs w:val="18"/>
            <w:u w:val="single" w:color="auto"/>
            <w:color w:val="0000FF"/>
          </w:rPr>
          <w:t>50189)).</w:t>
        </w:r>
      </w:hyperlink>
    </w:p>
    <w:p>
      <w:pPr>
        <w:spacing w:after="0" w:line="196" w:lineRule="exact"/>
        <w:rPr>
          <w:rFonts w:ascii="Times New Roman" w:cs="Times New Roman" w:eastAsia="Times New Roman" w:hAnsi="Times New Roman"/>
          <w:sz w:val="18"/>
          <w:szCs w:val="18"/>
          <w:u w:val="single" w:color="auto"/>
          <w:color w:val="0000FF"/>
        </w:rPr>
      </w:pPr>
    </w:p>
    <w:p>
      <w:pPr>
        <w:ind w:left="1120" w:right="200" w:hanging="478"/>
        <w:spacing w:after="0" w:line="282" w:lineRule="auto"/>
        <w:tabs>
          <w:tab w:leader="none" w:pos="1024" w:val="left"/>
        </w:tabs>
        <w:numPr>
          <w:ilvl w:val="0"/>
          <w:numId w:val="34"/>
        </w:numPr>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Employment Agreement, dated January 7, 2022, between Crown Holdings, Inc. and Kevin C. Clothier (incorporated by reference to</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Exhibit 10.1 of the Registrant’s Periodic Report on Form 8-K filed January 11, 2022 (File No. 000-50189)).</w:t>
        </w:r>
      </w:hyperlink>
    </w:p>
    <w:p>
      <w:pPr>
        <w:spacing w:after="0" w:line="175" w:lineRule="exact"/>
        <w:rPr>
          <w:rFonts w:ascii="Times New Roman" w:cs="Times New Roman" w:eastAsia="Times New Roman" w:hAnsi="Times New Roman"/>
          <w:sz w:val="18"/>
          <w:szCs w:val="18"/>
          <w:color w:val="auto"/>
        </w:rPr>
      </w:pPr>
    </w:p>
    <w:p>
      <w:pPr>
        <w:ind w:left="640" w:hanging="566"/>
        <w:spacing w:after="0" w:line="282" w:lineRule="auto"/>
        <w:tabs>
          <w:tab w:leader="none" w:pos="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10.b</w:t>
      </w:r>
      <w:r>
        <w:rPr>
          <w:sz w:val="20"/>
          <w:szCs w:val="20"/>
          <w:color w:val="auto"/>
        </w:rPr>
        <w:tab/>
      </w:r>
      <w:hyperlink r:id="rId172">
        <w:r>
          <w:rPr>
            <w:rFonts w:ascii="Times New Roman" w:cs="Times New Roman" w:eastAsia="Times New Roman" w:hAnsi="Times New Roman"/>
            <w:sz w:val="18"/>
            <w:szCs w:val="18"/>
            <w:u w:val="single" w:color="auto"/>
            <w:color w:val="0000FF"/>
          </w:rPr>
          <w:t>Crown Holdings, Inc. Economic Profit Incentive Plan, effective as of January 1, 2018 (incorporated by reference to Exhibit 10.b of the</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Registrant's Annual Report on Form 10-K for the year ended December 31, 2018 (File No. 000-50189)).</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 w:right="339" w:bottom="1440" w:gutter="0" w:footer="0" w:header="0"/>
        </w:sectPr>
      </w:pPr>
    </w:p>
    <w:bookmarkStart w:id="97" w:name="page98"/>
    <w:bookmarkEnd w:id="97"/>
    <w:p>
      <w:pPr>
        <w:ind w:left="42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10.c</w:t>
      </w:r>
      <w:r>
        <w:rPr>
          <w:sz w:val="20"/>
          <w:szCs w:val="20"/>
          <w:color w:val="auto"/>
        </w:rPr>
        <w:tab/>
      </w:r>
      <w:hyperlink r:id="rId174">
        <w:r>
          <w:rPr>
            <w:rFonts w:ascii="Times New Roman" w:cs="Times New Roman" w:eastAsia="Times New Roman" w:hAnsi="Times New Roman"/>
            <w:sz w:val="18"/>
            <w:szCs w:val="18"/>
            <w:u w:val="single" w:color="auto"/>
            <w:color w:val="0000FF"/>
          </w:rPr>
          <w:t>Crown Holdings, Inc. Senior Executive Retirement Plan, as amended and restated as of January 1, 2008 (incorporated by reference to</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Exhibit 10.l of the Registrant’s Annual Report on Form 10-K for the year ended December 31, 2007 (File No. 000-50189)).</w:t>
        </w:r>
      </w:hyperlink>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10.d</w:t>
        <w:tab/>
        <w:t>Senior Executive Retirement Agreements:</w:t>
      </w:r>
    </w:p>
    <w:p>
      <w:pPr>
        <w:spacing w:after="0" w:line="252" w:lineRule="exact"/>
        <w:rPr>
          <w:sz w:val="20"/>
          <w:szCs w:val="20"/>
          <w:color w:val="auto"/>
        </w:rPr>
      </w:pPr>
    </w:p>
    <w:p>
      <w:pPr>
        <w:jc w:val="both"/>
        <w:ind w:left="1040" w:hanging="478"/>
        <w:spacing w:after="0" w:line="266" w:lineRule="auto"/>
        <w:tabs>
          <w:tab w:leader="none" w:pos="1029" w:val="left"/>
        </w:tabs>
        <w:numPr>
          <w:ilvl w:val="0"/>
          <w:numId w:val="35"/>
        </w:numPr>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Senior Executive Retirement Agreement between Crown Holdings, Inc. and Timothy J. Donahue, dated May 3, 2007 (incorporated</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by reference to Exhibit 10.4(e) of the Registrant’s Quarterly Report on Form 10-Q for the quarter ended March 31, 2007 (File No.</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000-50189)).</w:t>
        </w:r>
      </w:hyperlink>
    </w:p>
    <w:p>
      <w:pPr>
        <w:spacing w:after="0" w:line="202" w:lineRule="exact"/>
        <w:rPr>
          <w:rFonts w:ascii="Times New Roman" w:cs="Times New Roman" w:eastAsia="Times New Roman" w:hAnsi="Times New Roman"/>
          <w:sz w:val="18"/>
          <w:szCs w:val="18"/>
          <w:u w:val="single" w:color="auto"/>
          <w:color w:val="0000FF"/>
        </w:rPr>
      </w:pPr>
    </w:p>
    <w:p>
      <w:pPr>
        <w:ind w:left="1040" w:right="20" w:hanging="478"/>
        <w:spacing w:after="0" w:line="266" w:lineRule="auto"/>
        <w:tabs>
          <w:tab w:leader="none" w:pos="971" w:val="left"/>
        </w:tabs>
        <w:numPr>
          <w:ilvl w:val="0"/>
          <w:numId w:val="35"/>
        </w:numPr>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Senior Executive Retirement Agreement, effective June 1, 2012, between Crown Holdings, Inc. and Gerard Gifford (incorporated by</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reference to Exhibit 10.2 of the Registrant's Quarterly Report on Form 10-Q for the quarter ended June 30, 2012 (File No 000-</w:t>
        </w:r>
      </w:hyperlink>
      <w:hyperlink r:id="rId176">
        <w:r>
          <w:rPr>
            <w:rFonts w:ascii="Times New Roman" w:cs="Times New Roman" w:eastAsia="Times New Roman" w:hAnsi="Times New Roman"/>
            <w:sz w:val="18"/>
            <w:szCs w:val="18"/>
            <w:u w:val="single" w:color="auto"/>
            <w:color w:val="0000FF"/>
          </w:rPr>
          <w:t>50189)).</w:t>
        </w:r>
      </w:hyperlink>
    </w:p>
    <w:p>
      <w:pPr>
        <w:spacing w:after="0" w:line="202" w:lineRule="exact"/>
        <w:rPr>
          <w:rFonts w:ascii="Times New Roman" w:cs="Times New Roman" w:eastAsia="Times New Roman" w:hAnsi="Times New Roman"/>
          <w:sz w:val="18"/>
          <w:szCs w:val="18"/>
          <w:u w:val="single" w:color="auto"/>
          <w:color w:val="0000FF"/>
        </w:rPr>
      </w:pPr>
    </w:p>
    <w:p>
      <w:pPr>
        <w:ind w:left="1040" w:hanging="478"/>
        <w:spacing w:after="0" w:line="266" w:lineRule="auto"/>
        <w:tabs>
          <w:tab w:leader="none" w:pos="957" w:val="left"/>
        </w:tabs>
        <w:numPr>
          <w:ilvl w:val="0"/>
          <w:numId w:val="35"/>
        </w:numPr>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Amendment No. 1 to the Senior Executive Retirement Agreement, effective June 1, 2012, between Crown Holdings, Inc. and Gerard</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Gifford dated December 28, 2012 (incorporated by reference to Exhibit 10.m(7) of the Registrant’s Annual Report on Form 10-K for</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the year ended December 31, 2012 (File No. 000-50189)).</w:t>
        </w:r>
      </w:hyperlink>
    </w:p>
    <w:p>
      <w:pPr>
        <w:spacing w:after="0" w:line="202" w:lineRule="exact"/>
        <w:rPr>
          <w:rFonts w:ascii="Times New Roman" w:cs="Times New Roman" w:eastAsia="Times New Roman" w:hAnsi="Times New Roman"/>
          <w:sz w:val="18"/>
          <w:szCs w:val="18"/>
          <w:u w:val="single" w:color="auto"/>
          <w:color w:val="0000FF"/>
        </w:rPr>
      </w:pPr>
    </w:p>
    <w:p>
      <w:pPr>
        <w:ind w:left="1040" w:right="40" w:hanging="478"/>
        <w:spacing w:after="0" w:line="258" w:lineRule="auto"/>
        <w:tabs>
          <w:tab w:leader="none" w:pos="944" w:val="left"/>
        </w:tabs>
        <w:numPr>
          <w:ilvl w:val="0"/>
          <w:numId w:val="35"/>
        </w:numPr>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Senior Executive Retirement Agreement between Crown Holdings, Inc. and Djalma Novaes Jr., dated February 26, 2015</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(incorporated by reference to Exhibit 10.f(9) of the Registrant’s Annual Report on Form 10-K for the year ended December 31, 2014</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(File No. 000-50189)).</w:t>
        </w:r>
      </w:hyperlink>
    </w:p>
    <w:p>
      <w:pPr>
        <w:spacing w:after="0" w:line="196" w:lineRule="exact"/>
        <w:rPr>
          <w:rFonts w:ascii="Times New Roman" w:cs="Times New Roman" w:eastAsia="Times New Roman" w:hAnsi="Times New Roman"/>
          <w:sz w:val="18"/>
          <w:szCs w:val="18"/>
          <w:u w:val="single" w:color="auto"/>
          <w:color w:val="0000FF"/>
        </w:rPr>
      </w:pPr>
    </w:p>
    <w:p>
      <w:pPr>
        <w:ind w:left="1040" w:hanging="478"/>
        <w:spacing w:after="0" w:line="266" w:lineRule="auto"/>
        <w:tabs>
          <w:tab w:leader="none" w:pos="944" w:val="left"/>
        </w:tabs>
        <w:numPr>
          <w:ilvl w:val="0"/>
          <w:numId w:val="35"/>
        </w:numPr>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Senior Executive Retirement Agreement, effective May 1, 2016, between Crown Holdings, Inc. and Robert Bourque, Jr. (incorporated</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by reference to Exhibit 10.3 of the Registrant’s Quarterly Report on Form 10-Q for the quarter ended March 31, 2016 (File No. 000-</w:t>
        </w:r>
      </w:hyperlink>
      <w:hyperlink r:id="rId179">
        <w:r>
          <w:rPr>
            <w:rFonts w:ascii="Times New Roman" w:cs="Times New Roman" w:eastAsia="Times New Roman" w:hAnsi="Times New Roman"/>
            <w:sz w:val="18"/>
            <w:szCs w:val="18"/>
            <w:u w:val="single" w:color="auto"/>
            <w:color w:val="0000FF"/>
          </w:rPr>
          <w:t>50189)).</w:t>
        </w:r>
      </w:hyperlink>
    </w:p>
    <w:p>
      <w:pPr>
        <w:spacing w:after="0" w:line="202" w:lineRule="exact"/>
        <w:rPr>
          <w:rFonts w:ascii="Times New Roman" w:cs="Times New Roman" w:eastAsia="Times New Roman" w:hAnsi="Times New Roman"/>
          <w:sz w:val="18"/>
          <w:szCs w:val="18"/>
          <w:u w:val="single" w:color="auto"/>
          <w:color w:val="0000FF"/>
        </w:rPr>
      </w:pPr>
    </w:p>
    <w:p>
      <w:pPr>
        <w:ind w:left="1040" w:right="120" w:hanging="478"/>
        <w:spacing w:after="0" w:line="258" w:lineRule="auto"/>
        <w:tabs>
          <w:tab w:leader="none" w:pos="944" w:val="left"/>
        </w:tabs>
        <w:numPr>
          <w:ilvl w:val="0"/>
          <w:numId w:val="35"/>
        </w:numPr>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Amendment No. 2 to the Senior Executive Retirement Agreement, effective as of May 17, 2016, between Crown Holdings, Inc. and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Gerard Gifford (incorporated by reference to Exhibit 10.1 of the Registrant’s Current Report on Form 8-K dated May 18, 2016 (File</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No. 000-50189)).</w:t>
        </w:r>
      </w:hyperlink>
    </w:p>
    <w:p>
      <w:pPr>
        <w:spacing w:after="0" w:line="196" w:lineRule="exact"/>
        <w:rPr>
          <w:rFonts w:ascii="Times New Roman" w:cs="Times New Roman" w:eastAsia="Times New Roman" w:hAnsi="Times New Roman"/>
          <w:sz w:val="18"/>
          <w:szCs w:val="18"/>
          <w:u w:val="single" w:color="auto"/>
          <w:color w:val="0000FF"/>
        </w:rPr>
      </w:pPr>
    </w:p>
    <w:p>
      <w:pPr>
        <w:ind w:left="960" w:right="300" w:hanging="398"/>
        <w:spacing w:after="0" w:line="258" w:lineRule="auto"/>
        <w:tabs>
          <w:tab w:leader="none" w:pos="945" w:val="left"/>
        </w:tabs>
        <w:numPr>
          <w:ilvl w:val="0"/>
          <w:numId w:val="35"/>
        </w:numPr>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Amended and Restated Senior Executive Retirement Agreement, effective as of June 1, 2017, between Crown Holdings, Inc. and</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Gerard Gifford (incorporated by reference to Exhibit 10.c of the Registrant’s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March 31, 2017 (File No. 000-50189)).</w:t>
        </w:r>
      </w:hyperlink>
    </w:p>
    <w:p>
      <w:pPr>
        <w:spacing w:after="0" w:line="196" w:lineRule="exact"/>
        <w:rPr>
          <w:rFonts w:ascii="Times New Roman" w:cs="Times New Roman" w:eastAsia="Times New Roman" w:hAnsi="Times New Roman"/>
          <w:sz w:val="18"/>
          <w:szCs w:val="18"/>
          <w:u w:val="single" w:color="auto"/>
          <w:color w:val="0000FF"/>
        </w:rPr>
      </w:pPr>
    </w:p>
    <w:p>
      <w:pPr>
        <w:ind w:left="1040" w:right="120" w:hanging="478"/>
        <w:spacing w:after="0" w:line="258" w:lineRule="auto"/>
        <w:tabs>
          <w:tab w:leader="none" w:pos="944" w:val="left"/>
        </w:tabs>
        <w:numPr>
          <w:ilvl w:val="0"/>
          <w:numId w:val="35"/>
        </w:numPr>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Amendment No.1 to Amend and Restate Senior Executive Retirement Agreement, effective October 21, 2020, between Crown</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Holdings, Inc. and Gerard Gifford (incorporated by reference to Exhibit 10.d of the Registrant’s Quarterly Report on Form 10-Q for</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the Quarter ended September 30, 2020 (File No. 000-50189)).</w:t>
        </w:r>
      </w:hyperlink>
    </w:p>
    <w:p>
      <w:pPr>
        <w:spacing w:after="0" w:line="196"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10.e</w:t>
      </w:r>
      <w:r>
        <w:rPr>
          <w:sz w:val="20"/>
          <w:szCs w:val="20"/>
          <w:color w:val="auto"/>
        </w:rPr>
        <w:tab/>
      </w:r>
      <w:hyperlink r:id="rId183">
        <w:r>
          <w:rPr>
            <w:rFonts w:ascii="Times New Roman" w:cs="Times New Roman" w:eastAsia="Times New Roman" w:hAnsi="Times New Roman"/>
            <w:sz w:val="18"/>
            <w:szCs w:val="18"/>
            <w:u w:val="single" w:color="auto"/>
            <w:color w:val="0000FF"/>
          </w:rPr>
          <w:t>Form of Agreement for Non-Qualified Stock Option Awards under Crown Holdings, Inc. 2004 Stock-Based Incentive Compensation Plan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(incorporated by reference to Exhibit 10.6 of the Registrant’s Quarterly Report on Form 10-Q for the quarter ended September 30, 2004</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(File No. 000-51089)).</w:t>
        </w:r>
      </w:hyperlink>
    </w:p>
    <w:p>
      <w:pPr>
        <w:spacing w:after="0" w:line="203" w:lineRule="exact"/>
        <w:rPr>
          <w:rFonts w:ascii="Times New Roman" w:cs="Times New Roman" w:eastAsia="Times New Roman" w:hAnsi="Times New Roman"/>
          <w:sz w:val="18"/>
          <w:szCs w:val="18"/>
          <w:u w:val="single" w:color="auto"/>
          <w:color w:val="0000FF"/>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10.f</w:t>
      </w:r>
      <w:r>
        <w:rPr>
          <w:sz w:val="20"/>
          <w:szCs w:val="20"/>
          <w:color w:val="auto"/>
        </w:rPr>
        <w:tab/>
      </w:r>
      <w:r>
        <w:rPr>
          <w:rFonts w:ascii="Times New Roman" w:cs="Times New Roman" w:eastAsia="Times New Roman" w:hAnsi="Times New Roman"/>
          <w:sz w:val="17"/>
          <w:szCs w:val="17"/>
          <w:u w:val="single" w:color="auto"/>
          <w:color w:val="0000FF"/>
        </w:rPr>
        <w:t>Crown Holdings, Inc. Deferred Compensation Plan for Directors.</w:t>
      </w:r>
    </w:p>
    <w:p>
      <w:pPr>
        <w:spacing w:after="0" w:line="252"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10.g</w:t>
      </w:r>
      <w:r>
        <w:rPr>
          <w:sz w:val="20"/>
          <w:szCs w:val="20"/>
          <w:color w:val="auto"/>
        </w:rPr>
        <w:tab/>
      </w:r>
      <w:hyperlink r:id="rId184">
        <w:r>
          <w:rPr>
            <w:rFonts w:ascii="Times New Roman" w:cs="Times New Roman" w:eastAsia="Times New Roman" w:hAnsi="Times New Roman"/>
            <w:sz w:val="18"/>
            <w:szCs w:val="18"/>
            <w:u w:val="single" w:color="auto"/>
            <w:color w:val="0000FF"/>
          </w:rPr>
          <w:t>Crown Holdings, Inc. Stock Compensation Plan for Non-Employee Directors, dated as of April 22, 2004 (incorporated by reference to the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Registrant’s Definitive Proxy Statement on Schedule 14A, filed with the Securities and Exchange Commission on March 19, 2004 (File No.</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00" w:hanging="566"/>
        <w:spacing w:after="0" w:line="266" w:lineRule="auto"/>
        <w:tabs>
          <w:tab w:leader="none" w:pos="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10.h</w:t>
      </w:r>
      <w:r>
        <w:rPr>
          <w:sz w:val="20"/>
          <w:szCs w:val="20"/>
          <w:color w:val="auto"/>
        </w:rPr>
        <w:tab/>
      </w:r>
      <w:hyperlink r:id="rId185">
        <w:r>
          <w:rPr>
            <w:rFonts w:ascii="Times New Roman" w:cs="Times New Roman" w:eastAsia="Times New Roman" w:hAnsi="Times New Roman"/>
            <w:sz w:val="18"/>
            <w:szCs w:val="18"/>
            <w:u w:val="single" w:color="auto"/>
            <w:color w:val="0000FF"/>
          </w:rPr>
          <w:t>Amendment No. 1, effective April 1, 2005, to the Crown Holdings, Inc. Stock Compensation Plan for Non-Employee Directors, dated as of</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April 22, 2004 (incorporated by reference to Exhibit 10 to the Registrant’s Quarterly Report on Form 10-Q for the quarter ended March 31,</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2005 (File No. 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w:t>
      </w:r>
      <w:r>
        <w:rPr>
          <w:sz w:val="20"/>
          <w:szCs w:val="20"/>
          <w:color w:val="auto"/>
        </w:rPr>
        <w:tab/>
      </w:r>
      <w:hyperlink r:id="rId186">
        <w:r>
          <w:rPr>
            <w:rFonts w:ascii="Times New Roman" w:cs="Times New Roman" w:eastAsia="Times New Roman" w:hAnsi="Times New Roman"/>
            <w:sz w:val="18"/>
            <w:szCs w:val="18"/>
            <w:u w:val="single" w:color="auto"/>
            <w:color w:val="0000FF"/>
          </w:rPr>
          <w:t>Crown Holdings, Inc. 2013 Stock-Based Incentive Compensation Plan (incorporated by reference to the Registrant's Definitive Proxy</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Statement on Schedule 14A, filed with the Securities and Exchange Commission on March 18, 2013 (File No. 000-50189)).</w:t>
        </w:r>
      </w:hyperlink>
    </w:p>
    <w:p>
      <w:pPr>
        <w:sectPr>
          <w:pgSz w:w="11900" w:h="16838" w:orient="portrait"/>
          <w:cols w:equalWidth="0" w:num="1">
            <w:col w:w="10660"/>
          </w:cols>
          <w:pgMar w:left="90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7" w:right="339" w:bottom="1440" w:gutter="0" w:footer="0" w:header="0"/>
          <w:type w:val="continuous"/>
        </w:sectPr>
      </w:pPr>
    </w:p>
    <w:bookmarkStart w:id="98" w:name="page99"/>
    <w:bookmarkEnd w:id="98"/>
    <w:p>
      <w:pPr>
        <w:ind w:left="42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460" w:hanging="566"/>
        <w:spacing w:after="0" w:line="266" w:lineRule="auto"/>
        <w:tabs>
          <w:tab w:leader="none" w:pos="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10.j</w:t>
      </w:r>
      <w:r>
        <w:rPr>
          <w:sz w:val="20"/>
          <w:szCs w:val="20"/>
          <w:color w:val="auto"/>
        </w:rPr>
        <w:tab/>
      </w:r>
      <w:hyperlink r:id="rId188">
        <w:r>
          <w:rPr>
            <w:rFonts w:ascii="Times New Roman" w:cs="Times New Roman" w:eastAsia="Times New Roman" w:hAnsi="Times New Roman"/>
            <w:sz w:val="18"/>
            <w:szCs w:val="18"/>
            <w:u w:val="single" w:color="auto"/>
            <w:color w:val="0000FF"/>
          </w:rPr>
          <w:t>Form of Agreement for Restricted Stock Awards under Crown Holdings, Inc. 2013 Stock-Based Incentive Compensation Plan (incorporated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by reference to Exhibit 10.1 of the Registrant’s Quarterly Report on Form 10-Q for the quarter ended September 30, 2013 (File No. 000-</w:t>
        </w:r>
      </w:hyperlink>
      <w:hyperlink r:id="rId188">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10.k</w:t>
      </w:r>
      <w:r>
        <w:rPr>
          <w:sz w:val="20"/>
          <w:szCs w:val="20"/>
          <w:color w:val="auto"/>
        </w:rPr>
        <w:tab/>
      </w:r>
      <w:hyperlink r:id="rId189">
        <w:r>
          <w:rPr>
            <w:rFonts w:ascii="Times New Roman" w:cs="Times New Roman" w:eastAsia="Times New Roman" w:hAnsi="Times New Roman"/>
            <w:sz w:val="18"/>
            <w:szCs w:val="18"/>
            <w:u w:val="single" w:color="auto"/>
            <w:color w:val="0000FF"/>
          </w:rPr>
          <w:t>Form of Agreement for Deferred Stock Awards under Crown Holdings, Inc. 2013 Stock-Based Incentive Compensation Plan (incorporated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by reference to Exhibit 10.2 of the Registrant’s Quarterly Report on Form 10-Q for the quarter ended September 30, 2013 (File No. 000-</w:t>
        </w:r>
      </w:hyperlink>
      <w:hyperlink r:id="rId189">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40" w:hanging="566"/>
        <w:spacing w:after="0" w:line="28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10.l</w:t>
      </w:r>
      <w:r>
        <w:rPr>
          <w:sz w:val="20"/>
          <w:szCs w:val="20"/>
          <w:color w:val="auto"/>
        </w:rPr>
        <w:tab/>
      </w:r>
      <w:hyperlink r:id="rId190">
        <w:r>
          <w:rPr>
            <w:rFonts w:ascii="Times New Roman" w:cs="Times New Roman" w:eastAsia="Times New Roman" w:hAnsi="Times New Roman"/>
            <w:sz w:val="18"/>
            <w:szCs w:val="18"/>
            <w:u w:val="single" w:color="auto"/>
            <w:color w:val="0000FF"/>
          </w:rPr>
          <w:t>Crown Cork &amp; Seal Company, Inc. Restoration Plan, dated July 28, 2010 (incorporated by reference to Exhibit 10.3 of the Registrant's</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Quarterly Report on Form 10-Q for the quarter ended June 30, 2012 (File No. 000-50189)).</w:t>
        </w:r>
      </w:hyperlink>
    </w:p>
    <w:p>
      <w:pPr>
        <w:spacing w:after="0" w:line="189" w:lineRule="exact"/>
        <w:rPr>
          <w:sz w:val="20"/>
          <w:szCs w:val="20"/>
          <w:color w:val="auto"/>
        </w:rPr>
      </w:pPr>
    </w:p>
    <w:p>
      <w:pPr>
        <w:spacing w:after="0"/>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10.m</w:t>
      </w:r>
      <w:r>
        <w:rPr>
          <w:sz w:val="20"/>
          <w:szCs w:val="20"/>
          <w:color w:val="auto"/>
        </w:rPr>
        <w:tab/>
      </w:r>
      <w:hyperlink r:id="rId191">
        <w:r>
          <w:rPr>
            <w:rFonts w:ascii="Times New Roman" w:cs="Times New Roman" w:eastAsia="Times New Roman" w:hAnsi="Times New Roman"/>
            <w:sz w:val="18"/>
            <w:szCs w:val="18"/>
            <w:u w:val="single" w:color="auto"/>
            <w:color w:val="0000FF"/>
          </w:rPr>
          <w:t>Amendment No. 1, effective July 1, 2011, to the Crown Cork &amp; Seal Company, Inc. Restoration Plan (incorporated by reference to Exhibit</w:t>
        </w:r>
      </w:hyperlink>
    </w:p>
    <w:p>
      <w:pPr>
        <w:spacing w:after="0" w:line="27" w:lineRule="exact"/>
        <w:rPr>
          <w:sz w:val="20"/>
          <w:szCs w:val="20"/>
          <w:color w:val="auto"/>
        </w:rPr>
      </w:pPr>
    </w:p>
    <w:p>
      <w:pPr>
        <w:ind w:left="56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10.4 of the Registrant's Quarterly Report on Form 10-Q for the quarter ended June 30, 2012 (File No. 000-50189)).</w:t>
        </w:r>
      </w:hyperlink>
    </w:p>
    <w:p>
      <w:pPr>
        <w:spacing w:after="0" w:line="234" w:lineRule="exact"/>
        <w:rPr>
          <w:sz w:val="20"/>
          <w:szCs w:val="20"/>
          <w:color w:val="auto"/>
        </w:rPr>
      </w:pPr>
    </w:p>
    <w:p>
      <w:pPr>
        <w:jc w:val="both"/>
        <w:ind w:left="560" w:right="20" w:hanging="566"/>
        <w:spacing w:after="0" w:line="31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10.n </w:t>
      </w:r>
      <w:hyperlink r:id="rId192">
        <w:r>
          <w:rPr>
            <w:rFonts w:ascii="Times New Roman" w:cs="Times New Roman" w:eastAsia="Times New Roman" w:hAnsi="Times New Roman"/>
            <w:sz w:val="17"/>
            <w:szCs w:val="17"/>
            <w:u w:val="single" w:color="auto"/>
            <w:color w:val="0000FF"/>
          </w:rPr>
          <w:t>Amendment No. 1, effective February 28, 2020, to the Crown Holdings, Inc. 2013 Stock-Based Incentive Compensation Plan (incorporated by</w:t>
        </w:r>
      </w:hyperlink>
      <w:r>
        <w:rPr>
          <w:rFonts w:ascii="Times New Roman" w:cs="Times New Roman" w:eastAsia="Times New Roman" w:hAnsi="Times New Roman"/>
          <w:sz w:val="17"/>
          <w:szCs w:val="17"/>
          <w:color w:val="auto"/>
        </w:rPr>
        <w:t xml:space="preserve"> </w:t>
      </w:r>
      <w:hyperlink r:id="rId192">
        <w:r>
          <w:rPr>
            <w:rFonts w:ascii="Times New Roman" w:cs="Times New Roman" w:eastAsia="Times New Roman" w:hAnsi="Times New Roman"/>
            <w:sz w:val="17"/>
            <w:szCs w:val="17"/>
            <w:u w:val="single" w:color="auto"/>
            <w:color w:val="0000FF"/>
          </w:rPr>
          <w:t>reference to Exhibit 10.2 of the Registrant's Quarterly Report on From 10-Q for the quarter ended March 31, 2020 (File No. 000-50189)).</w:t>
        </w:r>
      </w:hyperlink>
    </w:p>
    <w:p>
      <w:pPr>
        <w:spacing w:after="0" w:line="167" w:lineRule="exact"/>
        <w:rPr>
          <w:sz w:val="20"/>
          <w:szCs w:val="20"/>
          <w:color w:val="auto"/>
        </w:rPr>
      </w:pPr>
    </w:p>
    <w:p>
      <w:pPr>
        <w:spacing w:after="0"/>
        <w:tabs>
          <w:tab w:leader="none" w:pos="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10.o</w:t>
      </w:r>
      <w:r>
        <w:rPr>
          <w:sz w:val="20"/>
          <w:szCs w:val="20"/>
          <w:color w:val="auto"/>
        </w:rPr>
        <w:tab/>
      </w:r>
      <w:hyperlink r:id="rId193">
        <w:r>
          <w:rPr>
            <w:rFonts w:ascii="Times New Roman" w:cs="Times New Roman" w:eastAsia="Times New Roman" w:hAnsi="Times New Roman"/>
            <w:sz w:val="18"/>
            <w:szCs w:val="18"/>
            <w:u w:val="single" w:color="auto"/>
            <w:color w:val="0000FF"/>
          </w:rPr>
          <w:t>Amendment No. 2, effective February 25, 2021, to the Crown Holdings, Inc. 2013 Stock-Based Incentive Compensation Plan.</w:t>
        </w:r>
      </w:hyperlink>
    </w:p>
    <w:p>
      <w:pPr>
        <w:spacing w:after="0" w:line="252" w:lineRule="exact"/>
        <w:rPr>
          <w:sz w:val="20"/>
          <w:szCs w:val="20"/>
          <w:color w:val="auto"/>
        </w:rPr>
      </w:pPr>
    </w:p>
    <w:p>
      <w:pPr>
        <w:jc w:val="both"/>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10.p</w:t>
      </w:r>
      <w:r>
        <w:rPr>
          <w:sz w:val="20"/>
          <w:szCs w:val="20"/>
          <w:color w:val="auto"/>
        </w:rPr>
        <w:tab/>
      </w:r>
      <w:hyperlink r:id="rId194">
        <w:r>
          <w:rPr>
            <w:rFonts w:ascii="Times New Roman" w:cs="Times New Roman" w:eastAsia="Times New Roman" w:hAnsi="Times New Roman"/>
            <w:sz w:val="18"/>
            <w:szCs w:val="18"/>
            <w:u w:val="single" w:color="auto"/>
            <w:color w:val="0000FF"/>
          </w:rPr>
          <w:t>Transaction Bonus Agreement, effective April 16, 2021, by, and between Crown Holdings, Inc. and Didier Sourisseau (incorporated by</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reference to Exhibit 10(d)(12) of the Registrant’s Periodic Report on Form 8-K filed July 23, 2022 (File No. 000-50189)).</w:t>
        </w:r>
      </w:hyperlink>
    </w:p>
    <w:p>
      <w:pPr>
        <w:spacing w:after="0" w:line="189" w:lineRule="exact"/>
        <w:rPr>
          <w:sz w:val="20"/>
          <w:szCs w:val="20"/>
          <w:color w:val="auto"/>
        </w:rPr>
      </w:pPr>
    </w:p>
    <w:p>
      <w:pPr>
        <w:jc w:val="both"/>
        <w:ind w:left="560" w:hanging="566"/>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10.q </w:t>
      </w:r>
      <w:hyperlink r:id="rId195">
        <w:r>
          <w:rPr>
            <w:rFonts w:ascii="Times New Roman" w:cs="Times New Roman" w:eastAsia="Times New Roman" w:hAnsi="Times New Roman"/>
            <w:sz w:val="18"/>
            <w:szCs w:val="18"/>
            <w:u w:val="single" w:color="auto"/>
            <w:color w:val="0000FF"/>
          </w:rPr>
          <w:t>Consulting Agreement, effective August 1, 2021, by, and between Crown Holdings, Inc. and Didier Sourisseau (incorporated by reference to</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Exhibit 10(d)(13) of the Registrant’s Periodic Report on Form 8-K filed July 23, 2022 (File No. 000-50189)).</w:t>
        </w:r>
      </w:hyperlink>
    </w:p>
    <w:p>
      <w:pPr>
        <w:spacing w:after="0" w:line="18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10.r </w:t>
      </w:r>
      <w:hyperlink r:id="rId196">
        <w:r>
          <w:rPr>
            <w:rFonts w:ascii="Times New Roman" w:cs="Times New Roman" w:eastAsia="Times New Roman" w:hAnsi="Times New Roman"/>
            <w:sz w:val="18"/>
            <w:szCs w:val="18"/>
            <w:u w:val="single" w:color="auto"/>
            <w:color w:val="0000FF"/>
          </w:rPr>
          <w:t>Separation Letter Agreement, dated as of October 26, 2022, between Crown Holdings, Inc. and Robert Bourque, Jr.</w:t>
        </w:r>
      </w:hyperlink>
    </w:p>
    <w:p>
      <w:pPr>
        <w:spacing w:after="0" w:line="252" w:lineRule="exact"/>
        <w:rPr>
          <w:sz w:val="20"/>
          <w:szCs w:val="20"/>
          <w:color w:val="auto"/>
        </w:rPr>
      </w:pPr>
    </w:p>
    <w:p>
      <w:pPr>
        <w:spacing w:after="0"/>
        <w:tabs>
          <w:tab w:leader="none" w:pos="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10.s</w:t>
      </w:r>
      <w:r>
        <w:rPr>
          <w:sz w:val="20"/>
          <w:szCs w:val="20"/>
          <w:color w:val="auto"/>
        </w:rPr>
        <w:tab/>
      </w:r>
      <w:hyperlink r:id="rId197">
        <w:r>
          <w:rPr>
            <w:rFonts w:ascii="Times New Roman" w:cs="Times New Roman" w:eastAsia="Times New Roman" w:hAnsi="Times New Roman"/>
            <w:sz w:val="18"/>
            <w:szCs w:val="18"/>
            <w:u w:val="single" w:color="auto"/>
            <w:color w:val="0000FF"/>
          </w:rPr>
          <w:t>Executive Employment Agreement, effective January 1, 2023, between Crown Holdings, Inc. and Carlos Baila.</w:t>
        </w:r>
      </w:hyperlink>
    </w:p>
    <w:p>
      <w:pPr>
        <w:spacing w:after="0" w:line="252" w:lineRule="exact"/>
        <w:rPr>
          <w:sz w:val="20"/>
          <w:szCs w:val="20"/>
          <w:color w:val="auto"/>
        </w:rPr>
      </w:pPr>
    </w:p>
    <w:p>
      <w:pPr>
        <w:jc w:val="both"/>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10.t</w:t>
      </w:r>
      <w:r>
        <w:rPr>
          <w:sz w:val="20"/>
          <w:szCs w:val="20"/>
          <w:color w:val="auto"/>
        </w:rPr>
        <w:tab/>
      </w:r>
      <w:hyperlink r:id="rId198">
        <w:r>
          <w:rPr>
            <w:rFonts w:ascii="Times New Roman" w:cs="Times New Roman" w:eastAsia="Times New Roman" w:hAnsi="Times New Roman"/>
            <w:sz w:val="18"/>
            <w:szCs w:val="18"/>
            <w:u w:val="single" w:color="auto"/>
            <w:color w:val="0000FF"/>
          </w:rPr>
          <w:t>Crown Holdings, Inc. 2022 Stock-Based Incentive Compensation Plan (incorporated by reference to the Registrant’s Definitive Proxy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Statement on Schedule 14A, filed with the Securities and Exchange Commission on March 21, 2022 (File No. 000-50189)).</w:t>
        </w:r>
      </w:hyperlink>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10.u</w:t>
      </w:r>
      <w:r>
        <w:rPr>
          <w:sz w:val="20"/>
          <w:szCs w:val="20"/>
          <w:color w:val="auto"/>
        </w:rPr>
        <w:tab/>
      </w:r>
      <w:r>
        <w:rPr>
          <w:rFonts w:ascii="Times New Roman" w:cs="Times New Roman" w:eastAsia="Times New Roman" w:hAnsi="Times New Roman"/>
          <w:sz w:val="18"/>
          <w:szCs w:val="18"/>
          <w:u w:val="single" w:color="auto"/>
          <w:color w:val="0000FF"/>
        </w:rPr>
        <w:t>Amendment No. 1, to the Crown Holdings, Inc. 2022 Stock-Based Incentive Compensation Plan.</w:t>
      </w:r>
    </w:p>
    <w:p>
      <w:pPr>
        <w:spacing w:after="0" w:line="252" w:lineRule="exact"/>
        <w:rPr>
          <w:sz w:val="20"/>
          <w:szCs w:val="20"/>
          <w:color w:val="auto"/>
        </w:rPr>
      </w:pPr>
    </w:p>
    <w:p>
      <w:pPr>
        <w:jc w:val="both"/>
        <w:ind w:left="540" w:hanging="566"/>
        <w:spacing w:after="0" w:line="28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w:t>
      </w:r>
      <w:r>
        <w:rPr>
          <w:sz w:val="20"/>
          <w:szCs w:val="20"/>
          <w:color w:val="auto"/>
        </w:rPr>
        <w:tab/>
      </w:r>
      <w:hyperlink r:id="rId199">
        <w:r>
          <w:rPr>
            <w:rFonts w:ascii="Times New Roman" w:cs="Times New Roman" w:eastAsia="Times New Roman" w:hAnsi="Times New Roman"/>
            <w:sz w:val="18"/>
            <w:szCs w:val="18"/>
            <w:u w:val="single" w:color="auto"/>
            <w:color w:val="0000FF"/>
          </w:rPr>
          <w:t>Crown Cork &amp; Seal Company, Inc. Amended and Restated Restoration Plan (incorporated by reference to Exhibit 10.o of the Registrant’s</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Quarterly Report on Form 10-Q for the quarter ended June 30, 2022 (File No. 000-50189)).</w:t>
        </w:r>
      </w:hyperlink>
    </w:p>
    <w:p>
      <w:pPr>
        <w:spacing w:after="0" w:line="189" w:lineRule="exact"/>
        <w:rPr>
          <w:sz w:val="20"/>
          <w:szCs w:val="20"/>
          <w:color w:val="auto"/>
        </w:rPr>
      </w:pPr>
    </w:p>
    <w:p>
      <w:pPr>
        <w:jc w:val="both"/>
        <w:ind w:left="500" w:hanging="566"/>
        <w:spacing w:after="0" w:line="266" w:lineRule="auto"/>
        <w:tabs>
          <w:tab w:leader="none" w:pos="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w:t>
      </w:r>
      <w:r>
        <w:rPr>
          <w:sz w:val="20"/>
          <w:szCs w:val="20"/>
          <w:color w:val="auto"/>
        </w:rPr>
        <w:tab/>
      </w:r>
      <w:hyperlink r:id="rId200">
        <w:r>
          <w:rPr>
            <w:rFonts w:ascii="Times New Roman" w:cs="Times New Roman" w:eastAsia="Times New Roman" w:hAnsi="Times New Roman"/>
            <w:sz w:val="18"/>
            <w:szCs w:val="18"/>
            <w:u w:val="single" w:color="auto"/>
            <w:color w:val="0000FF"/>
          </w:rPr>
          <w:t>Executive Employment Agreement, effective 25 October, 2022, between Crown Holdings, Inc. and Matthew R. Madeksza (incorporated by</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reference to Exhibit 10.p of the Registrant’s Quarterly Report on Form 10-Q for the quarter ended September 30, 2022 (File No. 000-</w:t>
        </w:r>
      </w:hyperlink>
      <w:hyperlink r:id="rId200">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60" w:hanging="566"/>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10.v </w:t>
      </w:r>
      <w:hyperlink r:id="rId201">
        <w:r>
          <w:rPr>
            <w:rFonts w:ascii="Times New Roman" w:cs="Times New Roman" w:eastAsia="Times New Roman" w:hAnsi="Times New Roman"/>
            <w:sz w:val="18"/>
            <w:szCs w:val="18"/>
            <w:u w:val="single" w:color="auto"/>
            <w:color w:val="0000FF"/>
          </w:rPr>
          <w:t>Share and Asset Purchase Agreement, dated as of April 8, 2021, by and among the Company, Crown Cork &amp; Seal Deutschland Holdings</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GmbH, Blitz F21-387 GmbH, Kouti B.V. and Macsco 20.10 Limited (incorporated by reference to Exhibit 2.1 of the Registrant’s Current</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Report on Form 8-K dated April 13, 2021 (File No. 000-50189)).</w:t>
        </w:r>
      </w:hyperlink>
    </w:p>
    <w:p>
      <w:pPr>
        <w:spacing w:after="0" w:line="203" w:lineRule="exact"/>
        <w:rPr>
          <w:rFonts w:ascii="Times New Roman" w:cs="Times New Roman" w:eastAsia="Times New Roman" w:hAnsi="Times New Roman"/>
          <w:sz w:val="18"/>
          <w:szCs w:val="18"/>
          <w:color w:val="auto"/>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w:t>
      </w:r>
      <w:r>
        <w:rPr>
          <w:sz w:val="20"/>
          <w:szCs w:val="20"/>
          <w:color w:val="auto"/>
        </w:rPr>
        <w:tab/>
      </w:r>
      <w:hyperlink r:id="rId202">
        <w:r>
          <w:rPr>
            <w:rFonts w:ascii="Times New Roman" w:cs="Times New Roman" w:eastAsia="Times New Roman" w:hAnsi="Times New Roman"/>
            <w:sz w:val="18"/>
            <w:szCs w:val="18"/>
            <w:u w:val="single" w:color="auto"/>
            <w:color w:val="0000FF"/>
          </w:rPr>
          <w:t>Director Appointment and Nomination Agreement, dated as of December 12, 2022, by and between the Icahn Group and Crown Holdings,</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Inc. (incorporated by reference to Exhibit 10.1 of the Registrant’s Current Report on Form 8-K dated December 13, 2022 (File No. 001-</w:t>
        </w:r>
      </w:hyperlink>
      <w:hyperlink r:id="rId202">
        <w:r>
          <w:rPr>
            <w:rFonts w:ascii="Times New Roman" w:cs="Times New Roman" w:eastAsia="Times New Roman" w:hAnsi="Times New Roman"/>
            <w:sz w:val="18"/>
            <w:szCs w:val="18"/>
            <w:u w:val="single" w:color="auto"/>
            <w:color w:val="0000FF"/>
          </w:rPr>
          <w:t>41550)).</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13" w:lineRule="exact"/>
        <w:rPr>
          <w:rFonts w:ascii="Times New Roman" w:cs="Times New Roman" w:eastAsia="Times New Roman" w:hAnsi="Times New Roman"/>
          <w:sz w:val="18"/>
          <w:szCs w:val="18"/>
          <w:u w:val="single" w:color="auto"/>
          <w:color w:val="0000FF"/>
        </w:rPr>
      </w:pPr>
    </w:p>
    <w:p>
      <w:pPr>
        <w:ind w:left="49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7" w:right="339"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60"/>
        <w:spacing w:after="0"/>
        <w:tabs>
          <w:tab w:leader="none" w:pos="1020" w:val="left"/>
        </w:tabs>
        <w:rPr>
          <w:sz w:val="20"/>
          <w:szCs w:val="20"/>
          <w:color w:val="auto"/>
        </w:rPr>
      </w:pPr>
      <w:r>
        <w:rPr>
          <w:rFonts w:ascii="Times New Roman" w:cs="Times New Roman" w:eastAsia="Times New Roman" w:hAnsi="Times New Roman"/>
          <w:sz w:val="18"/>
          <w:szCs w:val="18"/>
          <w:color w:val="auto"/>
        </w:rPr>
        <w:t>10.v</w:t>
      </w:r>
      <w:r>
        <w:rPr>
          <w:sz w:val="20"/>
          <w:szCs w:val="20"/>
          <w:color w:val="auto"/>
        </w:rPr>
        <w:tab/>
      </w:r>
      <w:r>
        <w:rPr>
          <w:rFonts w:ascii="Times New Roman" w:cs="Times New Roman" w:eastAsia="Times New Roman" w:hAnsi="Times New Roman"/>
          <w:sz w:val="17"/>
          <w:szCs w:val="17"/>
          <w:u w:val="single" w:color="auto"/>
          <w:color w:val="0000FF"/>
        </w:rPr>
        <w:t>Crown Holdings, Inc. Executive Officer Cash Severance Policy.</w:t>
      </w:r>
    </w:p>
    <w:p>
      <w:pPr>
        <w:spacing w:after="0" w:line="252"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Exhibits 10.c through 10.v are management contracts or compensatory plans or arrangements required to be filed as exhibits pursuant to Item 14(c) of this Report.</w:t>
      </w:r>
    </w:p>
    <w:p>
      <w:pPr>
        <w:spacing w:after="0" w:line="189" w:lineRule="exact"/>
        <w:rPr>
          <w:sz w:val="20"/>
          <w:szCs w:val="20"/>
          <w:color w:val="auto"/>
        </w:rPr>
      </w:pPr>
    </w:p>
    <w:p>
      <w:pPr>
        <w:ind w:left="920" w:hanging="365"/>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52" w:lineRule="exact"/>
        <w:rPr>
          <w:rFonts w:ascii="Times New Roman" w:cs="Times New Roman" w:eastAsia="Times New Roman" w:hAnsi="Times New Roman"/>
          <w:sz w:val="18"/>
          <w:szCs w:val="18"/>
          <w:color w:val="auto"/>
        </w:rPr>
      </w:pPr>
    </w:p>
    <w:p>
      <w:pPr>
        <w:ind w:left="920" w:hanging="365"/>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Guarantors.</w:t>
      </w:r>
    </w:p>
    <w:p>
      <w:pPr>
        <w:spacing w:after="0" w:line="252" w:lineRule="exact"/>
        <w:rPr>
          <w:rFonts w:ascii="Times New Roman" w:cs="Times New Roman" w:eastAsia="Times New Roman" w:hAnsi="Times New Roman"/>
          <w:sz w:val="18"/>
          <w:szCs w:val="18"/>
          <w:color w:val="auto"/>
        </w:rPr>
      </w:pPr>
    </w:p>
    <w:p>
      <w:pPr>
        <w:ind w:left="920" w:hanging="365"/>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52" w:lineRule="exact"/>
        <w:rPr>
          <w:sz w:val="20"/>
          <w:szCs w:val="20"/>
          <w:color w:val="auto"/>
        </w:rPr>
      </w:pPr>
    </w:p>
    <w:p>
      <w:pPr>
        <w:ind w:left="1100" w:right="20" w:hanging="56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and Exchange Act of 1934, as adopted pursuant to Section 302 of the Sarbanes-Oxley Act of 2002.</w:t>
      </w:r>
    </w:p>
    <w:p>
      <w:pPr>
        <w:spacing w:after="0" w:line="189" w:lineRule="exact"/>
        <w:rPr>
          <w:sz w:val="20"/>
          <w:szCs w:val="20"/>
          <w:color w:val="auto"/>
        </w:rPr>
      </w:pPr>
    </w:p>
    <w:p>
      <w:pPr>
        <w:ind w:left="1100" w:hanging="56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and Exchange Act of 1934, as adopted pursuant to Section 302 of the Sarbanes-Oxley Act of 2002.</w:t>
      </w:r>
    </w:p>
    <w:p>
      <w:pPr>
        <w:spacing w:after="0" w:line="189" w:lineRule="exact"/>
        <w:rPr>
          <w:sz w:val="20"/>
          <w:szCs w:val="20"/>
          <w:color w:val="auto"/>
        </w:rPr>
      </w:pPr>
    </w:p>
    <w:p>
      <w:pPr>
        <w:ind w:left="1120" w:hanging="565"/>
        <w:spacing w:after="0" w:line="266"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203" w:lineRule="exact"/>
        <w:rPr>
          <w:sz w:val="20"/>
          <w:szCs w:val="20"/>
          <w:color w:val="auto"/>
        </w:rPr>
      </w:pPr>
    </w:p>
    <w:p>
      <w:pPr>
        <w:ind w:left="920" w:hanging="365"/>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Crown Holdings, Inc. Compensation Recovery Policy, effective October 2, 2023.</w:t>
      </w:r>
    </w:p>
    <w:p>
      <w:pPr>
        <w:spacing w:after="0" w:line="252" w:lineRule="exact"/>
        <w:rPr>
          <w:sz w:val="20"/>
          <w:szCs w:val="20"/>
          <w:color w:val="auto"/>
        </w:rPr>
      </w:pPr>
    </w:p>
    <w:p>
      <w:pPr>
        <w:ind w:left="1120" w:hanging="565"/>
        <w:spacing w:after="0" w:line="256" w:lineRule="auto"/>
        <w:tabs>
          <w:tab w:leader="none" w:pos="10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Annual Report on Form 10-K for the year ended December 31, 2023 formatted in Inline XBRL (eXtensible Business Reporting Language): (i) Consolidated Statements of Operations for the twelve months ended December 31, 2023, 2022 and 2021, (ii) Consolidated Statements of Comprehensive Income for the twelve months ended December 31, 2023, 2022 and 2021; (iii) Consolidated Balance Sheets as of December 31, 2023 and December 31, 2022, (iv) Consolidated Statements of Cash Flows for the twelve months ended December 31, 2023, 2022 and 2021, (v) Consolidated Statements of Changes in Shareholders' Equity for the twelve months ended December 31, 2023, 2022 and 2021 and (vi) Notes to Consolidated Financial Statements.</w:t>
      </w:r>
    </w:p>
    <w:p>
      <w:pPr>
        <w:spacing w:after="0" w:line="214" w:lineRule="exact"/>
        <w:rPr>
          <w:sz w:val="20"/>
          <w:szCs w:val="20"/>
          <w:color w:val="auto"/>
        </w:rPr>
      </w:pPr>
    </w:p>
    <w:p>
      <w:pPr>
        <w:ind w:left="1120" w:hanging="565"/>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 the XBRL document.</w:t>
      </w:r>
    </w:p>
    <w:p>
      <w:pPr>
        <w:spacing w:after="0" w:line="2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16.</w:t>
      </w:r>
      <w:r>
        <w:rPr>
          <w:sz w:val="20"/>
          <w:szCs w:val="20"/>
          <w:color w:val="auto"/>
        </w:rPr>
        <w:tab/>
      </w:r>
      <w:r>
        <w:rPr>
          <w:rFonts w:ascii="Times New Roman" w:cs="Times New Roman" w:eastAsia="Times New Roman" w:hAnsi="Times New Roman"/>
          <w:sz w:val="17"/>
          <w:szCs w:val="17"/>
          <w:u w:val="single" w:color="auto"/>
          <w:color w:val="auto"/>
        </w:rPr>
        <w:t>FORM 10-K SUMMARY</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w:t>
      </w:r>
    </w:p>
    <w:p>
      <w:pPr>
        <w:spacing w:after="0" w:line="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Crown Holdings, Inc.</w:t>
      </w:r>
    </w:p>
    <w:p>
      <w:pPr>
        <w:ind w:left="4620"/>
        <w:spacing w:after="0"/>
        <w:rPr>
          <w:sz w:val="20"/>
          <w:szCs w:val="20"/>
          <w:color w:val="auto"/>
        </w:rPr>
      </w:pPr>
      <w:r>
        <w:rPr>
          <w:rFonts w:ascii="Times New Roman" w:cs="Times New Roman" w:eastAsia="Times New Roman" w:hAnsi="Times New Roman"/>
          <w:sz w:val="18"/>
          <w:szCs w:val="18"/>
          <w:color w:val="auto"/>
        </w:rPr>
        <w:t>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Christy L. Kalaus</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Timothy J. Donahue, Kevin C. Clothier and Adam J. Dickstein,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2023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21" w:lineRule="exact"/>
        <w:rPr>
          <w:sz w:val="20"/>
          <w:szCs w:val="20"/>
          <w:color w:val="auto"/>
        </w:rPr>
      </w:pPr>
    </w:p>
    <w:p>
      <w:pPr>
        <w:ind w:right="180"/>
        <w:spacing w:after="0" w:line="34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 indicated above.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Timothy J. Donahue</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Donahue</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C. Clothier</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17" w:right="33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H. Fearon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Andrea J. Funk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J.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J. Hagge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H. Miller</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Josef M.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Josef M. Müller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B. Craig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Craig Owens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Angela 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M. Snyder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Caesar F. Sweitzer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Marsha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31629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 C. Williams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Dwayne A. Wilson</w:t>
      </w:r>
    </w:p>
    <w:p>
      <w:pPr>
        <w:spacing w:after="0" w:line="200" w:lineRule="exact"/>
        <w:rPr>
          <w:sz w:val="20"/>
          <w:szCs w:val="20"/>
          <w:color w:val="auto"/>
        </w:rPr>
      </w:pPr>
    </w:p>
    <w:p>
      <w:pPr>
        <w:sectPr>
          <w:pgSz w:w="11900" w:h="16838" w:orient="portrait"/>
          <w:cols w:equalWidth="0" w:num="2">
            <w:col w:w="5540" w:space="720"/>
            <w:col w:w="498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7"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DEFERRED COMPENSATION PLAN FOR DIRECTORS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Effective October 26, 2023)</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is the Crown Holdings, Inc. Deferred Compensation Plan for Directors, as amended and restated effective October 26, 2023.</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233" w:lineRule="exact"/>
        <w:rPr>
          <w:sz w:val="20"/>
          <w:szCs w:val="20"/>
          <w:color w:val="auto"/>
        </w:rPr>
      </w:pPr>
    </w:p>
    <w:p>
      <w:pPr>
        <w:ind w:right="680" w:firstLine="648"/>
        <w:spacing w:after="0" w:line="258" w:lineRule="auto"/>
        <w:rPr>
          <w:sz w:val="20"/>
          <w:szCs w:val="20"/>
          <w:color w:val="auto"/>
        </w:rPr>
      </w:pPr>
      <w:r>
        <w:rPr>
          <w:rFonts w:ascii="Times New Roman" w:cs="Times New Roman" w:eastAsia="Times New Roman" w:hAnsi="Times New Roman"/>
          <w:sz w:val="22"/>
          <w:szCs w:val="22"/>
          <w:color w:val="auto"/>
        </w:rPr>
        <w:t>The following words and phrases as used herein have the following meanings unless a different meaning is plainly required by the context:</w:t>
      </w:r>
    </w:p>
    <w:p>
      <w:pPr>
        <w:spacing w:after="0" w:line="185"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1.1.</w:t>
        <w:tab/>
        <w:t>“Administrator” means the Compensation Committee of the Board, or the person or committee appointed by the Compensation Committee, which shall be responsible for those functions assigned to the Administrator under the Plan.</w:t>
      </w:r>
    </w:p>
    <w:p>
      <w:pPr>
        <w:spacing w:after="0" w:line="20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“Board” means the Board of Directors of the Company.</w:t>
      </w:r>
    </w:p>
    <w:p>
      <w:pPr>
        <w:spacing w:after="0" w:line="2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“Change in Control” means if and when:</w:t>
      </w:r>
    </w:p>
    <w:p>
      <w:pPr>
        <w:spacing w:after="0" w:line="233" w:lineRule="exact"/>
        <w:rPr>
          <w:sz w:val="20"/>
          <w:szCs w:val="20"/>
          <w:color w:val="auto"/>
        </w:rPr>
      </w:pPr>
    </w:p>
    <w:p>
      <w:pPr>
        <w:jc w:val="both"/>
        <w:ind w:left="1960" w:hanging="647"/>
        <w:spacing w:after="0" w:line="234" w:lineRule="auto"/>
        <w:tabs>
          <w:tab w:leader="none" w:pos="1940" w:val="left"/>
        </w:tabs>
        <w:rPr>
          <w:sz w:val="20"/>
          <w:szCs w:val="20"/>
          <w:color w:val="auto"/>
        </w:rPr>
      </w:pPr>
      <w:r>
        <w:rPr>
          <w:rFonts w:ascii="Times New Roman" w:cs="Times New Roman" w:eastAsia="Times New Roman" w:hAnsi="Times New Roman"/>
          <w:sz w:val="22"/>
          <w:szCs w:val="22"/>
          <w:color w:val="auto"/>
        </w:rPr>
        <w:t>1.3.1</w:t>
        <w:tab/>
        <w:t>A “person” (as such term is used in Sections 13(d) and 14(d) of the Securities Exchange Act of 1934, as amended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(as defined in Rule 13D-3 under the Exchange Act), directly or indirectly, of securities of the Company representing more than fifty percent (50%) of the combined voting power of the Company’s then outstanding voting securities; or</w:t>
      </w:r>
    </w:p>
    <w:p>
      <w:pPr>
        <w:spacing w:after="0" w:line="204" w:lineRule="exact"/>
        <w:rPr>
          <w:sz w:val="20"/>
          <w:szCs w:val="20"/>
          <w:color w:val="auto"/>
        </w:rPr>
      </w:pPr>
    </w:p>
    <w:p>
      <w:pPr>
        <w:jc w:val="both"/>
        <w:ind w:left="1960" w:hanging="647"/>
        <w:spacing w:after="0" w:line="234" w:lineRule="auto"/>
        <w:tabs>
          <w:tab w:leader="none" w:pos="1940" w:val="left"/>
        </w:tabs>
        <w:rPr>
          <w:sz w:val="20"/>
          <w:szCs w:val="20"/>
          <w:color w:val="auto"/>
        </w:rPr>
      </w:pPr>
      <w:r>
        <w:rPr>
          <w:rFonts w:ascii="Times New Roman" w:cs="Times New Roman" w:eastAsia="Times New Roman" w:hAnsi="Times New Roman"/>
          <w:sz w:val="22"/>
          <w:szCs w:val="22"/>
          <w:color w:val="auto"/>
        </w:rPr>
        <w:t>1.3.2</w:t>
        <w:tab/>
        <w:t>A “person” (as such term is used in Sections 13(d) and 14(d) of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acquires (or has acquired during the twelve (12)-month period ending on the date of the most recent acquisition) beneficial ownership, directly or indirectly, of securities of the Company representing thirty-five percent (35%) or more of the combined voting power of the Company’s then outstanding voting securities; or</w:t>
      </w:r>
    </w:p>
    <w:p>
      <w:pPr>
        <w:spacing w:after="0" w:line="204" w:lineRule="exact"/>
        <w:rPr>
          <w:sz w:val="20"/>
          <w:szCs w:val="20"/>
          <w:color w:val="auto"/>
        </w:rPr>
      </w:pPr>
    </w:p>
    <w:p>
      <w:pPr>
        <w:jc w:val="both"/>
        <w:ind w:left="1960" w:hanging="647"/>
        <w:spacing w:after="0" w:line="244" w:lineRule="auto"/>
        <w:tabs>
          <w:tab w:leader="none" w:pos="1940" w:val="left"/>
        </w:tabs>
        <w:rPr>
          <w:sz w:val="20"/>
          <w:szCs w:val="20"/>
          <w:color w:val="auto"/>
        </w:rPr>
      </w:pPr>
      <w:r>
        <w:rPr>
          <w:rFonts w:ascii="Times New Roman" w:cs="Times New Roman" w:eastAsia="Times New Roman" w:hAnsi="Times New Roman"/>
          <w:sz w:val="22"/>
          <w:szCs w:val="22"/>
          <w:color w:val="auto"/>
        </w:rPr>
        <w:t>1.3.3</w:t>
        <w:tab/>
        <w:t>During any twelve (12)-month period, individuals who at the beginning of such period constitute the Board and any new director (other than a director designated by a person who has entered into an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929292"/>
        </w:rPr>
        <w:t>30471287.111</w:t>
      </w:r>
      <w:r>
        <w:rPr>
          <w:sz w:val="20"/>
          <w:szCs w:val="20"/>
          <w:color w:val="auto"/>
        </w:rPr>
        <w:tab/>
      </w:r>
      <w:r>
        <w:rPr>
          <w:rFonts w:ascii="Times New Roman" w:cs="Times New Roman" w:eastAsia="Times New Roman" w:hAnsi="Times New Roman"/>
          <w:sz w:val="17"/>
          <w:szCs w:val="17"/>
          <w:color w:val="929292"/>
        </w:rPr>
        <w:t>- 1 -</w:t>
      </w:r>
    </w:p>
    <w:p>
      <w:pPr>
        <w:sectPr>
          <w:pgSz w:w="11900" w:h="16838" w:orient="portrait"/>
          <w:cols w:equalWidth="0" w:num="1">
            <w:col w:w="11240"/>
          </w:cols>
          <w:pgMar w:left="320" w:top="1408" w:right="339" w:bottom="1440" w:gutter="0" w:footer="0" w:header="0"/>
        </w:sectPr>
      </w:pPr>
    </w:p>
    <w:bookmarkStart w:id="102" w:name="page103"/>
    <w:bookmarkEnd w:id="102"/>
    <w:p>
      <w:pPr>
        <w:jc w:val="both"/>
        <w:ind w:left="1960"/>
        <w:spacing w:after="0" w:line="238" w:lineRule="auto"/>
        <w:rPr>
          <w:sz w:val="20"/>
          <w:szCs w:val="20"/>
          <w:color w:val="auto"/>
        </w:rPr>
      </w:pPr>
      <w:r>
        <w:rPr>
          <w:rFonts w:ascii="Times New Roman" w:cs="Times New Roman" w:eastAsia="Times New Roman" w:hAnsi="Times New Roman"/>
          <w:sz w:val="22"/>
          <w:szCs w:val="22"/>
          <w:color w:val="auto"/>
        </w:rPr>
        <w:t>the Company to effect a transaction described in Section 1.3.1, Section 1.3.2, Section 1.3.4 or Section 1.3.5 hereof) whose election by the Board or nomination for election by the Company’s stockholders was approved by a vote of a majority of the directors then still in office who either were directors at the beginning of such period or whose election or nomination for election was previously so approved, cease for any reason to constitute a majority thereof; or</w:t>
      </w:r>
    </w:p>
    <w:p>
      <w:pPr>
        <w:spacing w:after="0" w:line="204" w:lineRule="exact"/>
        <w:rPr>
          <w:sz w:val="20"/>
          <w:szCs w:val="20"/>
          <w:color w:val="auto"/>
        </w:rPr>
      </w:pPr>
    </w:p>
    <w:p>
      <w:pPr>
        <w:jc w:val="both"/>
        <w:ind w:left="1960" w:hanging="647"/>
        <w:spacing w:after="0" w:line="234" w:lineRule="auto"/>
        <w:tabs>
          <w:tab w:leader="none" w:pos="1940" w:val="left"/>
        </w:tabs>
        <w:rPr>
          <w:sz w:val="20"/>
          <w:szCs w:val="20"/>
          <w:color w:val="auto"/>
        </w:rPr>
      </w:pPr>
      <w:r>
        <w:rPr>
          <w:rFonts w:ascii="Times New Roman" w:cs="Times New Roman" w:eastAsia="Times New Roman" w:hAnsi="Times New Roman"/>
          <w:sz w:val="22"/>
          <w:szCs w:val="22"/>
          <w:color w:val="auto"/>
        </w:rPr>
        <w:t>1.3.4</w:t>
        <w:tab/>
        <w:t>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seventy percent (70%) of the combined voting power of the voting securities of the Company or such surviving entity outstanding immediately after such merger or consolidation; or</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420" w:type="dxa"/>
            <w:vAlign w:val="bottom"/>
          </w:tcPr>
          <w:p>
            <w:pPr>
              <w:spacing w:after="0"/>
              <w:rPr>
                <w:sz w:val="24"/>
                <w:szCs w:val="24"/>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1.3.5  A sale or disposition by the Company of all or substantially all of the Company’s assets;</w:t>
            </w:r>
          </w:p>
        </w:tc>
      </w:tr>
      <w:tr>
        <w:trPr>
          <w:trHeight w:val="447"/>
        </w:trPr>
        <w:tc>
          <w:tcPr>
            <w:tcW w:w="420" w:type="dxa"/>
            <w:vAlign w:val="bottom"/>
          </w:tcPr>
          <w:p>
            <w:pPr>
              <w:spacing w:after="0"/>
              <w:rPr>
                <w:sz w:val="24"/>
                <w:szCs w:val="24"/>
                <w:color w:val="auto"/>
              </w:rPr>
            </w:pPr>
          </w:p>
        </w:tc>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 any case, provided that such transaction satisfies the requirements of Treasury</w:t>
            </w:r>
          </w:p>
        </w:tc>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Regulation Section</w:t>
            </w:r>
          </w:p>
        </w:tc>
      </w:tr>
      <w:tr>
        <w:trPr>
          <w:trHeight w:val="282"/>
        </w:trPr>
        <w:tc>
          <w:tcPr>
            <w:tcW w:w="420" w:type="dxa"/>
            <w:vAlign w:val="bottom"/>
          </w:tcPr>
          <w:p>
            <w:pPr>
              <w:spacing w:after="0"/>
              <w:rPr>
                <w:sz w:val="24"/>
                <w:szCs w:val="24"/>
                <w:color w:val="auto"/>
              </w:rPr>
            </w:pPr>
          </w:p>
        </w:tc>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1.409A-3(i)(5)(v), (vi) or (vii).</w:t>
            </w:r>
          </w:p>
        </w:tc>
        <w:tc>
          <w:tcPr>
            <w:tcW w:w="1840" w:type="dxa"/>
            <w:vAlign w:val="bottom"/>
          </w:tcPr>
          <w:p>
            <w:pPr>
              <w:spacing w:after="0"/>
              <w:rPr>
                <w:sz w:val="24"/>
                <w:szCs w:val="24"/>
                <w:color w:val="auto"/>
              </w:rPr>
            </w:pPr>
          </w:p>
        </w:tc>
      </w:tr>
      <w:tr>
        <w:trPr>
          <w:trHeight w:val="48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1.4.</w:t>
            </w:r>
          </w:p>
        </w:tc>
        <w:tc>
          <w:tcPr>
            <w:tcW w:w="8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“Code” means the Internal Revenue Code of 1986, as amended.</w:t>
            </w:r>
          </w:p>
        </w:tc>
        <w:tc>
          <w:tcPr>
            <w:tcW w:w="1840" w:type="dxa"/>
            <w:vAlign w:val="bottom"/>
          </w:tcPr>
          <w:p>
            <w:pPr>
              <w:spacing w:after="0"/>
              <w:rPr>
                <w:sz w:val="24"/>
                <w:szCs w:val="24"/>
                <w:color w:val="auto"/>
              </w:rPr>
            </w:pPr>
          </w:p>
        </w:tc>
      </w:tr>
      <w:tr>
        <w:trPr>
          <w:trHeight w:val="48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1.5.</w:t>
            </w:r>
          </w:p>
        </w:tc>
        <w:tc>
          <w:tcPr>
            <w:tcW w:w="8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 Stock” shall have the meaning set forth in the Stock Plan.</w:t>
            </w:r>
          </w:p>
        </w:tc>
        <w:tc>
          <w:tcPr>
            <w:tcW w:w="1840" w:type="dxa"/>
            <w:vAlign w:val="bottom"/>
          </w:tcPr>
          <w:p>
            <w:pPr>
              <w:spacing w:after="0"/>
              <w:rPr>
                <w:sz w:val="24"/>
                <w:szCs w:val="24"/>
                <w:color w:val="auto"/>
              </w:rPr>
            </w:pPr>
          </w:p>
        </w:tc>
      </w:tr>
      <w:tr>
        <w:trPr>
          <w:trHeight w:val="48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1.6.</w:t>
            </w:r>
          </w:p>
        </w:tc>
        <w:tc>
          <w:tcPr>
            <w:tcW w:w="8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“Company” means Crown Holdings, Inc.</w:t>
            </w:r>
          </w:p>
        </w:tc>
        <w:tc>
          <w:tcPr>
            <w:tcW w:w="1840" w:type="dxa"/>
            <w:vAlign w:val="bottom"/>
          </w:tcPr>
          <w:p>
            <w:pPr>
              <w:spacing w:after="0"/>
              <w:rPr>
                <w:sz w:val="24"/>
                <w:szCs w:val="24"/>
                <w:color w:val="auto"/>
              </w:rPr>
            </w:pPr>
          </w:p>
        </w:tc>
      </w:tr>
      <w:tr>
        <w:trPr>
          <w:trHeight w:val="433"/>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1.7.</w:t>
            </w:r>
          </w:p>
        </w:tc>
        <w:tc>
          <w:tcPr>
            <w:tcW w:w="10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9"/>
              </w:rPr>
              <w:t>“Deferred Cash Account” means the separate bookkeeping account, as described in Section 4.1, established under</w:t>
            </w:r>
          </w:p>
        </w:tc>
      </w:tr>
      <w:tr>
        <w:trPr>
          <w:trHeight w:val="282"/>
        </w:trPr>
        <w:tc>
          <w:tcPr>
            <w:tcW w:w="420" w:type="dxa"/>
            <w:vAlign w:val="bottom"/>
          </w:tcPr>
          <w:p>
            <w:pPr>
              <w:spacing w:after="0"/>
              <w:rPr>
                <w:sz w:val="24"/>
                <w:szCs w:val="24"/>
                <w:color w:val="auto"/>
              </w:rPr>
            </w:pPr>
          </w:p>
        </w:tc>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the Plan for each Participant with respect to the deferred portion of his or her Directors’ Fees.</w:t>
            </w:r>
          </w:p>
        </w:tc>
        <w:tc>
          <w:tcPr>
            <w:tcW w:w="1840" w:type="dxa"/>
            <w:vAlign w:val="bottom"/>
          </w:tcPr>
          <w:p>
            <w:pPr>
              <w:spacing w:after="0"/>
              <w:rPr>
                <w:sz w:val="24"/>
                <w:szCs w:val="24"/>
                <w:color w:val="auto"/>
              </w:rPr>
            </w:pPr>
          </w:p>
        </w:tc>
      </w:tr>
      <w:tr>
        <w:trPr>
          <w:trHeight w:val="447"/>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1.8.</w:t>
            </w:r>
          </w:p>
        </w:tc>
        <w:tc>
          <w:tcPr>
            <w:tcW w:w="10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9"/>
              </w:rPr>
              <w:t>“Deferred Stock Account” means the separate bookkeeping account, as described in Section 4.3, established under</w:t>
            </w:r>
          </w:p>
        </w:tc>
      </w:tr>
      <w:tr>
        <w:trPr>
          <w:trHeight w:val="282"/>
        </w:trPr>
        <w:tc>
          <w:tcPr>
            <w:tcW w:w="420" w:type="dxa"/>
            <w:vAlign w:val="bottom"/>
          </w:tcPr>
          <w:p>
            <w:pPr>
              <w:spacing w:after="0"/>
              <w:rPr>
                <w:sz w:val="24"/>
                <w:szCs w:val="24"/>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9"/>
              </w:rPr>
              <w:t>the Plan for each Participant with respect to the deferred portion of his or her Stock Awards and Dividend Shares.</w:t>
            </w:r>
          </w:p>
        </w:tc>
      </w:tr>
      <w:tr>
        <w:trPr>
          <w:trHeight w:val="447"/>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1.9.</w:t>
            </w:r>
          </w:p>
        </w:tc>
        <w:tc>
          <w:tcPr>
            <w:tcW w:w="10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9"/>
              </w:rPr>
              <w:t>“Directors’ Fees” means the cash fees paid to a Non-Employee Director for his or her service on the Board or any</w:t>
            </w:r>
          </w:p>
        </w:tc>
      </w:tr>
      <w:tr>
        <w:trPr>
          <w:trHeight w:val="282"/>
        </w:trPr>
        <w:tc>
          <w:tcPr>
            <w:tcW w:w="420" w:type="dxa"/>
            <w:vAlign w:val="bottom"/>
          </w:tcPr>
          <w:p>
            <w:pPr>
              <w:spacing w:after="0"/>
              <w:rPr>
                <w:sz w:val="24"/>
                <w:szCs w:val="24"/>
                <w:color w:val="auto"/>
              </w:rPr>
            </w:pPr>
          </w:p>
        </w:tc>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committee thereof.</w:t>
            </w:r>
          </w:p>
        </w:tc>
        <w:tc>
          <w:tcPr>
            <w:tcW w:w="1840" w:type="dxa"/>
            <w:vAlign w:val="bottom"/>
          </w:tcPr>
          <w:p>
            <w:pPr>
              <w:spacing w:after="0"/>
              <w:rPr>
                <w:sz w:val="24"/>
                <w:szCs w:val="24"/>
                <w:color w:val="auto"/>
              </w:rPr>
            </w:pPr>
          </w:p>
        </w:tc>
      </w:tr>
    </w:tbl>
    <w:p>
      <w:pPr>
        <w:spacing w:after="0" w:line="20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“Dividend Payment Date” has the meaning set forth in Section 4.4.</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“Dividend Record Date” has the meaning set forth in Section 4.4.</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“Dividend Shares” has the meaning set forth in Section 4.4.</w:t>
      </w:r>
    </w:p>
    <w:p>
      <w:pPr>
        <w:spacing w:after="0" w:line="233" w:lineRule="exact"/>
        <w:rPr>
          <w:sz w:val="20"/>
          <w:szCs w:val="20"/>
          <w:color w:val="auto"/>
        </w:rPr>
      </w:pPr>
    </w:p>
    <w:p>
      <w:pPr>
        <w:jc w:val="both"/>
        <w:ind w:left="1300" w:right="20" w:hanging="647"/>
        <w:spacing w:after="0" w:line="245" w:lineRule="auto"/>
        <w:tabs>
          <w:tab w:leader="none" w:pos="1280" w:val="left"/>
        </w:tabs>
        <w:rPr>
          <w:sz w:val="20"/>
          <w:szCs w:val="20"/>
          <w:color w:val="auto"/>
        </w:rPr>
      </w:pPr>
      <w:r>
        <w:rPr>
          <w:rFonts w:ascii="Times New Roman" w:cs="Times New Roman" w:eastAsia="Times New Roman" w:hAnsi="Times New Roman"/>
          <w:sz w:val="22"/>
          <w:szCs w:val="22"/>
          <w:color w:val="auto"/>
        </w:rPr>
        <w:t>1.13.</w:t>
        <w:tab/>
        <w:t>“Non-Employee Director” means a member of the Board who meets the definition of a “non-employee director” under Rule 16(b)-3(b)(3) promulgated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30471287.112</w:t>
      </w:r>
      <w:r>
        <w:rPr>
          <w:sz w:val="20"/>
          <w:szCs w:val="20"/>
          <w:color w:val="auto"/>
        </w:rPr>
        <w:tab/>
      </w:r>
      <w:r>
        <w:rPr>
          <w:rFonts w:ascii="Times New Roman" w:cs="Times New Roman" w:eastAsia="Times New Roman" w:hAnsi="Times New Roman"/>
          <w:sz w:val="17"/>
          <w:szCs w:val="17"/>
          <w:color w:val="929292"/>
        </w:rPr>
        <w:t>- 2 -</w:t>
      </w:r>
    </w:p>
    <w:p>
      <w:pPr>
        <w:sectPr>
          <w:pgSz w:w="11900" w:h="16838" w:orient="portrait"/>
          <w:cols w:equalWidth="0" w:num="1">
            <w:col w:w="11240"/>
          </w:cols>
          <w:pgMar w:left="320" w:top="1408" w:right="339" w:bottom="1440" w:gutter="0" w:footer="0" w:header="0"/>
        </w:sectPr>
      </w:pPr>
    </w:p>
    <w:bookmarkStart w:id="103" w:name="page104"/>
    <w:bookmarkEnd w:id="103"/>
    <w:p>
      <w:pPr>
        <w:ind w:left="1300"/>
        <w:spacing w:after="0" w:line="258" w:lineRule="auto"/>
        <w:rPr>
          <w:sz w:val="20"/>
          <w:szCs w:val="20"/>
          <w:color w:val="auto"/>
        </w:rPr>
      </w:pPr>
      <w:r>
        <w:rPr>
          <w:rFonts w:ascii="Times New Roman" w:cs="Times New Roman" w:eastAsia="Times New Roman" w:hAnsi="Times New Roman"/>
          <w:sz w:val="22"/>
          <w:szCs w:val="22"/>
          <w:color w:val="auto"/>
        </w:rPr>
        <w:t>Securities and Exchange Commission under the Exchange Act who is not an employee of the Company or any subsidiary or affiliate of the Company.</w:t>
      </w:r>
    </w:p>
    <w:p>
      <w:pPr>
        <w:spacing w:after="0" w:line="18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1.14.</w:t>
        <w:tab/>
        <w:t>“Participant” means a Non-Employee Director who elects to participate in the Plan in accordance with the terms and conditions of the Plan.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“Plan” means the Crown Holdings, Inc. Deferred Compensation Plan for Directors.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“Plan Year” means the calendar year.</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“Section 409A” has the meaning set forth in Section 7.2.</w:t>
      </w:r>
    </w:p>
    <w:p>
      <w:pPr>
        <w:spacing w:after="0" w:line="23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1.18.</w:t>
        <w:tab/>
        <w:t>“Stock Award” means an award of Common Stock made to a Non-Employee Director pursuant to the Stock Plan or otherwise for his or her service on the Board or any committee thereof.</w:t>
      </w:r>
    </w:p>
    <w:p>
      <w:pPr>
        <w:spacing w:after="0" w:line="185"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1.19.</w:t>
        <w:tab/>
        <w:t>“Stock Plan” means the Crown Holdings, Inc. 2022 Stock-Based Incentive Compensation Plan as amended from time to time and any other equity-based compensation plan adopted by the Company for the benefit of, among others, Non-Employee Directors.</w:t>
      </w:r>
    </w:p>
    <w:p>
      <w:pPr>
        <w:spacing w:after="0" w:line="200"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1.20.</w:t>
        <w:tab/>
        <w:t>“Unforeseeable Emergency” means a severe financial hardship to the Participant resulting from an illness or accident of the Participant, the Participant’s spouse, beneficiary or “dependent” (as defined in Code Section 152, without regard to Code Section 152(b)(1), (b)(2) and (d)(1)(B)); loss of the Participant’s property due to casualty; or other similar extraordinary and unforeseeable circumstances arising as a result of events beyond the control of the Participant.</w:t>
      </w:r>
    </w:p>
    <w:p>
      <w:pPr>
        <w:spacing w:after="0" w:line="19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PARTICIPATION</w:t>
      </w:r>
    </w:p>
    <w:p>
      <w:pPr>
        <w:spacing w:after="0" w:line="233"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2"/>
          <w:szCs w:val="22"/>
          <w:color w:val="auto"/>
        </w:rPr>
        <w:t>2.1.</w:t>
        <w:tab/>
        <w:t>Eligibility. Each Non-Employee Director who is entitled to Directors’ Fees and/or Stock Awards is eligible to elect to participate in the Plan.</w:t>
      </w:r>
    </w:p>
    <w:p>
      <w:pPr>
        <w:spacing w:after="0" w:line="185" w:lineRule="exact"/>
        <w:rPr>
          <w:sz w:val="20"/>
          <w:szCs w:val="20"/>
          <w:color w:val="auto"/>
        </w:rPr>
      </w:pPr>
    </w:p>
    <w:p>
      <w:pPr>
        <w:jc w:val="both"/>
        <w:ind w:left="1300" w:right="20" w:hanging="647"/>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2.2.</w:t>
        <w:tab/>
        <w:t>Participation. A Non-Employee Director who meets the eligibility requirements of Section 2.1 may elect to participate in the Plan by delivering to the Administrator a properly executed deferral election in the form provided by the Administrator.</w:t>
      </w:r>
    </w:p>
    <w:p>
      <w:pPr>
        <w:spacing w:after="0" w:line="20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DEFERRAL OF DIRECTORS’ FEES AND STOCK AWARDS</w:t>
      </w:r>
    </w:p>
    <w:p>
      <w:pPr>
        <w:spacing w:after="0" w:line="233" w:lineRule="exact"/>
        <w:rPr>
          <w:sz w:val="20"/>
          <w:szCs w:val="20"/>
          <w:color w:val="auto"/>
        </w:rPr>
      </w:pPr>
    </w:p>
    <w:p>
      <w:pPr>
        <w:jc w:val="both"/>
        <w:ind w:left="1200" w:hanging="647"/>
        <w:spacing w:after="0" w:line="238" w:lineRule="auto"/>
        <w:tabs>
          <w:tab w:leader="none" w:pos="1180" w:val="left"/>
        </w:tabs>
        <w:rPr>
          <w:sz w:val="20"/>
          <w:szCs w:val="20"/>
          <w:color w:val="auto"/>
        </w:rPr>
      </w:pPr>
      <w:r>
        <w:rPr>
          <w:rFonts w:ascii="Times New Roman" w:cs="Times New Roman" w:eastAsia="Times New Roman" w:hAnsi="Times New Roman"/>
          <w:sz w:val="22"/>
          <w:szCs w:val="22"/>
          <w:color w:val="auto"/>
        </w:rPr>
        <w:t>3.1.</w:t>
        <w:tab/>
        <w:t>Deferral Election. A Director who elects to become a Participant may elect to defer receipt of all, or any part, of his or her Directors’ Fees and/or Stock Awards for any Plan Year by delivering a properly executed deferral election form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30471287.113</w:t>
      </w:r>
      <w:r>
        <w:rPr>
          <w:sz w:val="20"/>
          <w:szCs w:val="20"/>
          <w:color w:val="auto"/>
        </w:rPr>
        <w:tab/>
      </w:r>
      <w:r>
        <w:rPr>
          <w:rFonts w:ascii="Times New Roman" w:cs="Times New Roman" w:eastAsia="Times New Roman" w:hAnsi="Times New Roman"/>
          <w:sz w:val="17"/>
          <w:szCs w:val="17"/>
          <w:color w:val="929292"/>
        </w:rPr>
        <w:t>- 3 -</w:t>
      </w:r>
    </w:p>
    <w:p>
      <w:pPr>
        <w:sectPr>
          <w:pgSz w:w="11900" w:h="16838" w:orient="portrait"/>
          <w:cols w:equalWidth="0" w:num="1">
            <w:col w:w="11240"/>
          </w:cols>
          <w:pgMar w:left="320" w:top="1408" w:right="339" w:bottom="1440" w:gutter="0" w:footer="0" w:header="0"/>
        </w:sectPr>
      </w:pPr>
    </w:p>
    <w:bookmarkStart w:id="104" w:name="page105"/>
    <w:bookmarkEnd w:id="104"/>
    <w:p>
      <w:pPr>
        <w:jc w:val="both"/>
        <w:ind w:left="1300"/>
        <w:spacing w:after="0" w:line="234" w:lineRule="auto"/>
        <w:rPr>
          <w:sz w:val="20"/>
          <w:szCs w:val="20"/>
          <w:color w:val="auto"/>
        </w:rPr>
      </w:pPr>
      <w:r>
        <w:rPr>
          <w:rFonts w:ascii="Times New Roman" w:cs="Times New Roman" w:eastAsia="Times New Roman" w:hAnsi="Times New Roman"/>
          <w:sz w:val="22"/>
          <w:szCs w:val="22"/>
          <w:color w:val="auto"/>
        </w:rPr>
        <w:t>Administrator on or before December 31 of the preceding Plan Year, which form shall specify the amount or percentage of Directors’ Fees and/or Stock Awards to be deferred. A deferral election with respect to a Stock Award made on a percentage basis shall be rounded down to the nearest number of whole shares. An individual who is initially elected as a Director during a Plan Year may elect within thirty (30) days of such election to make a deferral election in accordance with this Section 3.1, provided that such election shall be effective only as to Directors’ Fees and/or Stock Awards earned subsequent to such deferral election. Except as otherwise provided, a deferral election is irrevocable once the Plan Year to which it applies has commenced.</w:t>
      </w:r>
    </w:p>
    <w:p>
      <w:pPr>
        <w:spacing w:after="0" w:line="204" w:lineRule="exact"/>
        <w:rPr>
          <w:sz w:val="20"/>
          <w:szCs w:val="20"/>
          <w:color w:val="auto"/>
        </w:rPr>
      </w:pPr>
    </w:p>
    <w:p>
      <w:pPr>
        <w:jc w:val="both"/>
        <w:ind w:left="1260" w:hanging="647"/>
        <w:spacing w:after="0" w:line="234" w:lineRule="auto"/>
        <w:tabs>
          <w:tab w:leader="none" w:pos="1240" w:val="left"/>
        </w:tabs>
        <w:rPr>
          <w:sz w:val="20"/>
          <w:szCs w:val="20"/>
          <w:color w:val="auto"/>
        </w:rPr>
      </w:pPr>
      <w:r>
        <w:rPr>
          <w:rFonts w:ascii="Times New Roman" w:cs="Times New Roman" w:eastAsia="Times New Roman" w:hAnsi="Times New Roman"/>
          <w:sz w:val="22"/>
          <w:szCs w:val="22"/>
          <w:color w:val="auto"/>
        </w:rPr>
        <w:t>3.2.</w:t>
        <w:tab/>
        <w:t>Payment Election. Concurrently with the initial deferral election under Section 3.1, a Director who elects to be a Participant shall deliver a properly executed election form to the Administrator designating in which of the following forms the Participant’s Deferred Cash Account and Deferred Stock Account shall be distributed: (i) a lump sum; (ii) in substantially equal quarterly installments over a period of five (5) years; or (iii) in substantially equal quarterly installments over a period of ten (10) years. After a Participant has made such initial election designating the form of payment, such election shall apply to any subsequent amounts a Participant elects to defer under Section 3.1 for any subsequent Plan Year (and if a Participant indicates otherwise on a subsequent election form, such subsequent election shall be disregarded). Except as provided in Section 5.3 and Section 5.4, and in the case of an Unforeseeable Emergency, the form of payment shall not be changed once an initial election becomes effective.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ACCOUNTING FOR DEFERRED DIRECTORS’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FEES AND DEFERRED STOCK AWARDS</w:t>
      </w:r>
    </w:p>
    <w:p>
      <w:pPr>
        <w:spacing w:after="0" w:line="209"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4.1.</w:t>
        <w:tab/>
        <w:t>Establishment of Deferred Cash Account. The Administrator shall establish a Deferred Cash Account for each Participant deferring Directors’ Fees. Directors’ Fees that are deferred shall be credited to the Participant’s Deferred Cash Account as of the date such Directors’ Fees would otherwise have been paid to the Participant.</w:t>
      </w:r>
    </w:p>
    <w:p>
      <w:pPr>
        <w:spacing w:after="0" w:line="200" w:lineRule="exact"/>
        <w:rPr>
          <w:sz w:val="20"/>
          <w:szCs w:val="20"/>
          <w:color w:val="auto"/>
        </w:rPr>
      </w:pPr>
    </w:p>
    <w:p>
      <w:pPr>
        <w:jc w:val="both"/>
        <w:ind w:left="1220" w:hanging="647"/>
        <w:spacing w:after="0" w:line="239" w:lineRule="auto"/>
        <w:tabs>
          <w:tab w:leader="none" w:pos="1200" w:val="left"/>
        </w:tabs>
        <w:rPr>
          <w:sz w:val="20"/>
          <w:szCs w:val="20"/>
          <w:color w:val="auto"/>
        </w:rPr>
      </w:pPr>
      <w:r>
        <w:rPr>
          <w:rFonts w:ascii="Times New Roman" w:cs="Times New Roman" w:eastAsia="Times New Roman" w:hAnsi="Times New Roman"/>
          <w:sz w:val="22"/>
          <w:szCs w:val="22"/>
          <w:color w:val="auto"/>
        </w:rPr>
        <w:t>4.2.</w:t>
        <w:tab/>
        <w:t>Earnings on the Deferred Cash Account. As of the first day of each quarter, a Participant’s Deferred Cash Account shall be credited with an amount equal to the product of: (i) one-fourth of the prime interest rate as reported in the Wall Street Journal as of the first day of the preceding quarter and (ii) the Participant’s Deferred Cash Account balance as of the last day of the preceding quarter.</w:t>
      </w:r>
    </w:p>
    <w:p>
      <w:pPr>
        <w:spacing w:after="0" w:line="194" w:lineRule="exact"/>
        <w:rPr>
          <w:sz w:val="20"/>
          <w:szCs w:val="20"/>
          <w:color w:val="auto"/>
        </w:rPr>
      </w:pPr>
    </w:p>
    <w:p>
      <w:pPr>
        <w:jc w:val="both"/>
        <w:ind w:left="1240" w:hanging="647"/>
        <w:spacing w:after="0" w:line="239" w:lineRule="auto"/>
        <w:tabs>
          <w:tab w:leader="none" w:pos="1220" w:val="left"/>
        </w:tabs>
        <w:rPr>
          <w:sz w:val="20"/>
          <w:szCs w:val="20"/>
          <w:color w:val="auto"/>
        </w:rPr>
      </w:pPr>
      <w:r>
        <w:rPr>
          <w:rFonts w:ascii="Times New Roman" w:cs="Times New Roman" w:eastAsia="Times New Roman" w:hAnsi="Times New Roman"/>
          <w:sz w:val="22"/>
          <w:szCs w:val="22"/>
          <w:color w:val="auto"/>
        </w:rPr>
        <w:t>4.3.</w:t>
        <w:tab/>
        <w:t>Establishment of a Deferred Stock Account. The Administrator shall establish a Deferred Stock Account for each Participant deferring all, or any part of, his or her Stock Awards. Shares of Common Stock with respect to Stock Awards that are deferred shall be credited to such Deferred Stock Account as of the date such Stock Award (or portion thereof) would otherwise have been granted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30471287.114</w:t>
      </w:r>
      <w:r>
        <w:rPr>
          <w:sz w:val="20"/>
          <w:szCs w:val="20"/>
          <w:color w:val="auto"/>
        </w:rPr>
        <w:tab/>
      </w:r>
      <w:r>
        <w:rPr>
          <w:rFonts w:ascii="Times New Roman" w:cs="Times New Roman" w:eastAsia="Times New Roman" w:hAnsi="Times New Roman"/>
          <w:sz w:val="17"/>
          <w:szCs w:val="17"/>
          <w:color w:val="929292"/>
        </w:rPr>
        <w:t>- 4 -</w:t>
      </w:r>
    </w:p>
    <w:p>
      <w:pPr>
        <w:sectPr>
          <w:pgSz w:w="11900" w:h="16838" w:orient="portrait"/>
          <w:cols w:equalWidth="0" w:num="1">
            <w:col w:w="11240"/>
          </w:cols>
          <w:pgMar w:left="320" w:top="1408" w:right="339" w:bottom="1440" w:gutter="0" w:footer="0" w:header="0"/>
        </w:sectPr>
      </w:pPr>
    </w:p>
    <w:bookmarkStart w:id="105" w:name="page106"/>
    <w:bookmarkEnd w:id="105"/>
    <w:p>
      <w:pPr>
        <w:spacing w:after="0" w:line="212"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Dividend Shares. Each Participant’s Deferred Stock Account with a balance on any dividend record date (“Dividend Record Date”) will, on the applicable date that such dividends are paid (“Dividend Payment Date”), be credited with a number of shares (“Dividend Shares”), including fractional shares, equal to (i) (A) the number of shares comprising the balance of such Participant’s Deferred Stock Account on the applicable Dividend Record Date, multiplied by (B) the dollar amount of dividends declared with respect to one share of Common Stock, divided by (ii) the closing price of one share of Common Stock on the applicable Dividend Payment Date.</w:t>
      </w:r>
    </w:p>
    <w:p>
      <w:pPr>
        <w:spacing w:after="0" w:line="184"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2"/>
          <w:szCs w:val="22"/>
          <w:color w:val="auto"/>
        </w:rPr>
        <w:t>4.5.</w:t>
        <w:tab/>
        <w:t>No Rights as a Stockholder. The Participant shall have no rights as a stockholder with respect to any Stock Awards credited to his or her Deferred Stock Account.</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DISTRIBUTION OF A PARTICIPANT’S DEFERRED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CASH ACCOUNT AND DEFERRED STOCK ACCOUNT</w:t>
      </w:r>
    </w:p>
    <w:p>
      <w:pPr>
        <w:spacing w:after="0" w:line="20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5.1. Distributions. Except as otherwise provided herein, a Participant’s Deferred Cash Account and Deferred Stock Account shall be distributed only in accordance with Section 5.2, Section 5.3 or Section 5.4. A Participant’s Deferred Cash Account and Deferred Stock Account shall be distributed in cash. A Participant’s Deferred Stock Account shall be converted to cash, using the closing share price for the Common Stock on the date the Participant ceases to serve as a Non-Employee Director. Fractional shares shall be valued on a pro rata basis. If a Participant has elected to receive distributions over an installment period, the funds from the conversion of the Deferred Stock Account shall be credited to the Participant’s Deferred Cash Account and shall be distributed in accordance with the Participant’s election under Section 3.2.</w:t>
      </w:r>
    </w:p>
    <w:p>
      <w:pPr>
        <w:spacing w:after="0" w:line="20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5.2. Separation from Service. A Participant who ceases to serve as a Non-Employee Director (for any reason other than death) shall receive a distribution (or begin to receive a distribution) of his or her Deferred Cash Account and Deferred Stock Account as soon as administratively feasible following such termination in accordance with the Participant’s election under Section 3.2. During any installment period, a Participant’s Deferred Cash Account shall continue to be credited with earnings thereon in accordance with Section 4.2.</w:t>
      </w:r>
    </w:p>
    <w:p>
      <w:pPr>
        <w:spacing w:after="0" w:line="204"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5.3. Change in Control. Notwithstanding Section 5.2, a Participant shall receive a distribution of his or her Deferred Cash Account and Deferred Stock Account in a cash lump sum as soon as administratively feasible following a Change in Control. All Deferred Stock Account balances shall be valued by reference to the share price for the Common Stock immediately prior to the Change in Control.</w:t>
      </w:r>
    </w:p>
    <w:p>
      <w:pPr>
        <w:spacing w:after="0" w:line="20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5.4. Participant’s Death. Notwithstanding Section 5.2, if a Participant dies while serving on the Board or while receiving quarterly installment distributions, the Participant’s Deferred Cash Account and Deferred Stock Account shall be distributed to the Participant’s estate in a cash lump sum as soon as administratively feasible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30471287.115</w:t>
      </w:r>
      <w:r>
        <w:rPr>
          <w:sz w:val="20"/>
          <w:szCs w:val="20"/>
          <w:color w:val="auto"/>
        </w:rPr>
        <w:tab/>
      </w:r>
      <w:r>
        <w:rPr>
          <w:rFonts w:ascii="Times New Roman" w:cs="Times New Roman" w:eastAsia="Times New Roman" w:hAnsi="Times New Roman"/>
          <w:sz w:val="17"/>
          <w:szCs w:val="17"/>
          <w:color w:val="929292"/>
        </w:rPr>
        <w:t>- 5 -</w:t>
      </w:r>
    </w:p>
    <w:p>
      <w:pPr>
        <w:sectPr>
          <w:pgSz w:w="11900" w:h="16838" w:orient="portrait"/>
          <w:cols w:equalWidth="0" w:num="1">
            <w:col w:w="11240"/>
          </w:cols>
          <w:pgMar w:left="320" w:top="1440" w:right="339" w:bottom="1440" w:gutter="0" w:footer="0" w:header="0"/>
        </w:sectPr>
      </w:pPr>
    </w:p>
    <w:bookmarkStart w:id="106" w:name="page107"/>
    <w:bookmarkEnd w:id="106"/>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Participant’s death. All Deferred Stock Account balances shall be valued by reference to the closing share price for the Common Stock on the date of the Participant’s death.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UNFORESEEABLE EMERGENCY</w:t>
      </w:r>
    </w:p>
    <w:p>
      <w:pPr>
        <w:spacing w:after="0" w:line="233" w:lineRule="exact"/>
        <w:rPr>
          <w:sz w:val="20"/>
          <w:szCs w:val="20"/>
          <w:color w:val="auto"/>
        </w:rPr>
      </w:pPr>
    </w:p>
    <w:p>
      <w:pPr>
        <w:jc w:val="both"/>
        <w:ind w:left="1300" w:hanging="647"/>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6.1.</w:t>
        <w:tab/>
        <w:t>In General. Notwithstanding any other provision of the Plan, in the event of an Unforeseeable Emergency, a Participant may request, in accordance with procedures established by the Administrator, a cancellation of deferrals under this Plan or a distribution in accordance with this Article VI. The determination of whether a Participant has experienced an Unforeseeable Emergency will be in the Administrator’s sole and absolute discretion.</w:t>
      </w:r>
    </w:p>
    <w:p>
      <w:pPr>
        <w:spacing w:after="0" w:line="206"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2"/>
          <w:szCs w:val="22"/>
          <w:color w:val="auto"/>
        </w:rPr>
        <w:t>6.2.</w:t>
        <w:tab/>
        <w:t>Cancellation of Deferrals. A Participant’s deferral election may be canceled by the Administrator in the event of an Unforeseeable Emergency. Any future deferral election shall be made in accordance with Section 3.1.</w:t>
      </w:r>
    </w:p>
    <w:p>
      <w:pPr>
        <w:spacing w:after="0" w:line="185"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6.3.</w:t>
        <w:tab/>
        <w:t>Permitted Distribution. The Administrator may permit a distribution due to an Unforeseeable Emergency in an amount limited to the amount reasonably necessary to satisfy such emergency and to pay any necessary taxes and penalties related to such distribution.</w:t>
      </w:r>
    </w:p>
    <w:p>
      <w:pPr>
        <w:spacing w:after="0" w:line="20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AMENDMENT AND TERMINATION</w:t>
      </w:r>
    </w:p>
    <w:p>
      <w:pPr>
        <w:spacing w:after="0" w:line="233" w:lineRule="exact"/>
        <w:rPr>
          <w:sz w:val="20"/>
          <w:szCs w:val="20"/>
          <w:color w:val="auto"/>
        </w:rPr>
      </w:pPr>
    </w:p>
    <w:p>
      <w:pPr>
        <w:jc w:val="both"/>
        <w:ind w:left="1200" w:hanging="647"/>
        <w:spacing w:after="0" w:line="236" w:lineRule="auto"/>
        <w:tabs>
          <w:tab w:leader="none" w:pos="1180" w:val="left"/>
        </w:tabs>
        <w:rPr>
          <w:sz w:val="20"/>
          <w:szCs w:val="20"/>
          <w:color w:val="auto"/>
        </w:rPr>
      </w:pPr>
      <w:r>
        <w:rPr>
          <w:rFonts w:ascii="Times New Roman" w:cs="Times New Roman" w:eastAsia="Times New Roman" w:hAnsi="Times New Roman"/>
          <w:sz w:val="22"/>
          <w:szCs w:val="22"/>
          <w:color w:val="auto"/>
        </w:rPr>
        <w:t>7.1.</w:t>
        <w:tab/>
        <w:t>Amendment. The Board reserves the right to amend the Plan at any time, in any manner whatsoever, after delivery of written notification to all Directors of its intention and the effective date thereof; provided, however, that no such amendment shall operate to reduce the benefit that any Participant who is participating at the time such amendment is adopted would otherwise receive hereunder.</w:t>
      </w:r>
    </w:p>
    <w:p>
      <w:pPr>
        <w:spacing w:after="0" w:line="206" w:lineRule="exact"/>
        <w:rPr>
          <w:sz w:val="20"/>
          <w:szCs w:val="20"/>
          <w:color w:val="auto"/>
        </w:rPr>
      </w:pPr>
    </w:p>
    <w:p>
      <w:pPr>
        <w:jc w:val="both"/>
        <w:ind w:left="1300" w:hanging="647"/>
        <w:spacing w:after="0" w:line="233" w:lineRule="auto"/>
        <w:tabs>
          <w:tab w:leader="none" w:pos="1280" w:val="left"/>
        </w:tabs>
        <w:rPr>
          <w:sz w:val="20"/>
          <w:szCs w:val="20"/>
          <w:color w:val="auto"/>
        </w:rPr>
      </w:pPr>
      <w:r>
        <w:rPr>
          <w:rFonts w:ascii="Times New Roman" w:cs="Times New Roman" w:eastAsia="Times New Roman" w:hAnsi="Times New Roman"/>
          <w:sz w:val="22"/>
          <w:szCs w:val="22"/>
          <w:color w:val="auto"/>
        </w:rPr>
        <w:t>7.2.</w:t>
        <w:tab/>
        <w:t>Termination of the Plan. Continuance of the Plan is completely voluntary, and is not assumed as a contractual obligation of the Company. The Company, having adopted the Plan, shall have the right, at any time, prospectively to discontinue the Plan by action of the Board; provided, however, that such termination shall not operate to reduce the benefit that any Participant who is participating at the time such amendment is adopted would otherwise receive hereunder. In the event of a Plan termination, a Participant’s Deferred Cash Account and Deferred Stock Account shall be paid in accordance with the Plan as in effect immediately prior to such termination, provided that the Company may accelerate payments to the extent permitted under Code Section 409A and the regulations and guidance promulgated thereunder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30471287.116</w:t>
      </w:r>
      <w:r>
        <w:rPr>
          <w:sz w:val="20"/>
          <w:szCs w:val="20"/>
          <w:color w:val="auto"/>
        </w:rPr>
        <w:tab/>
      </w:r>
      <w:r>
        <w:rPr>
          <w:rFonts w:ascii="Times New Roman" w:cs="Times New Roman" w:eastAsia="Times New Roman" w:hAnsi="Times New Roman"/>
          <w:sz w:val="17"/>
          <w:szCs w:val="17"/>
          <w:color w:val="929292"/>
        </w:rPr>
        <w:t>- 6 -</w:t>
      </w:r>
    </w:p>
    <w:p>
      <w:pPr>
        <w:sectPr>
          <w:pgSz w:w="11900" w:h="16838" w:orient="portrait"/>
          <w:cols w:equalWidth="0" w:num="1">
            <w:col w:w="11240"/>
          </w:cols>
          <w:pgMar w:left="320" w:top="1408" w:right="339" w:bottom="1440" w:gutter="0" w:footer="0" w:header="0"/>
        </w:sectPr>
      </w:pPr>
    </w:p>
    <w:bookmarkStart w:id="107" w:name="page108"/>
    <w:bookmarkEnd w:id="107"/>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33"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Times New Roman" w:cs="Times New Roman" w:eastAsia="Times New Roman" w:hAnsi="Times New Roman"/>
          <w:sz w:val="22"/>
          <w:szCs w:val="22"/>
          <w:color w:val="auto"/>
        </w:rPr>
        <w:t>8.1.</w:t>
        <w:tab/>
        <w:t>409A Compliance. The Plan and all benefits payable hereunder are intended to comply with Section 409A. Accordingly, to the maximum extent permitted, the Plan shall be administered, interpreted and construed in a manner consistent with Section 409A. Notwithstanding anything contained in the Plan to the contrary, a Participant shall not be considered to have terminated service with the Company until such Participant would be considered to have incurred a “separation from service” from the Company within the meaning of Section 409A. Each amount or installment payable under the Plan shall be considered a separate and distinct payment for purposes of Section 409A. Notwithstanding anything contained herein to the contrary, to the extent required to avoid tax penalties under Section 409A, amounts that would otherwise be payable during the six (6) month period immediately following the Participant’s separation from service shall instead be paid on the first business day after the date that is six (6) months following the Participant’s separation from service (or, if earlier, the Participant’s date of death). The Company makes no representations that any or all payments under the Plan will be exempt or comply with Section 409A and shall have no liability to any Participant or any other person if such payments are not so exempt or compliant.</w:t>
      </w:r>
    </w:p>
    <w:p>
      <w:pPr>
        <w:spacing w:after="0" w:line="209" w:lineRule="exact"/>
        <w:rPr>
          <w:sz w:val="20"/>
          <w:szCs w:val="20"/>
          <w:color w:val="auto"/>
        </w:rPr>
      </w:pPr>
    </w:p>
    <w:p>
      <w:pPr>
        <w:jc w:val="both"/>
        <w:ind w:left="1220" w:hanging="647"/>
        <w:spacing w:after="0" w:line="235" w:lineRule="auto"/>
        <w:tabs>
          <w:tab w:leader="none" w:pos="1200" w:val="left"/>
        </w:tabs>
        <w:rPr>
          <w:sz w:val="20"/>
          <w:szCs w:val="20"/>
          <w:color w:val="auto"/>
        </w:rPr>
      </w:pPr>
      <w:r>
        <w:rPr>
          <w:rFonts w:ascii="Times New Roman" w:cs="Times New Roman" w:eastAsia="Times New Roman" w:hAnsi="Times New Roman"/>
          <w:sz w:val="22"/>
          <w:szCs w:val="22"/>
          <w:color w:val="auto"/>
        </w:rPr>
        <w:t>8.2.</w:t>
        <w:tab/>
        <w:t>Participant’s Rights Unsecured. The right of any Participant to receive future payments under the provisions of the Plan shall be an unsecured claim against the general assets of the Company. Any fund, account, trust, contract or arrangement the Company chooses to establish for the future payment of benefits under the Plan shall remain part of the Company’s general assets and no person claiming payments under the Plan shall have any right, title or interest in or to any such fund, account, trust, contract or arrangement.</w:t>
      </w:r>
    </w:p>
    <w:p>
      <w:pPr>
        <w:spacing w:after="0" w:line="206" w:lineRule="exact"/>
        <w:rPr>
          <w:sz w:val="20"/>
          <w:szCs w:val="20"/>
          <w:color w:val="auto"/>
        </w:rPr>
      </w:pPr>
    </w:p>
    <w:p>
      <w:pPr>
        <w:jc w:val="both"/>
        <w:ind w:left="1240" w:hanging="647"/>
        <w:spacing w:after="0" w:line="244" w:lineRule="auto"/>
        <w:tabs>
          <w:tab w:leader="none" w:pos="1220" w:val="left"/>
        </w:tabs>
        <w:rPr>
          <w:sz w:val="20"/>
          <w:szCs w:val="20"/>
          <w:color w:val="auto"/>
        </w:rPr>
      </w:pPr>
      <w:r>
        <w:rPr>
          <w:rFonts w:ascii="Times New Roman" w:cs="Times New Roman" w:eastAsia="Times New Roman" w:hAnsi="Times New Roman"/>
          <w:sz w:val="22"/>
          <w:szCs w:val="22"/>
          <w:color w:val="auto"/>
        </w:rPr>
        <w:t>8.3.</w:t>
        <w:tab/>
        <w:t>Administration. The Plan shall be administered by the Administrator, who shall have the authority to adopt rules and regulations for carrying out the Plan, and who shall interpret, construe and implement the provisions of the Plan.</w:t>
      </w:r>
    </w:p>
    <w:p>
      <w:pPr>
        <w:spacing w:after="0" w:line="200"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8.4.</w:t>
        <w:tab/>
        <w:t>Non-alienation. The right of any Participant to the payment of any benefit hereunder shall not be assigned, transferred, pledged or encumbered.</w:t>
      </w:r>
    </w:p>
    <w:p>
      <w:pPr>
        <w:spacing w:after="0" w:line="185" w:lineRule="exact"/>
        <w:rPr>
          <w:sz w:val="20"/>
          <w:szCs w:val="20"/>
          <w:color w:val="auto"/>
        </w:rPr>
      </w:pPr>
    </w:p>
    <w:p>
      <w:pPr>
        <w:jc w:val="both"/>
        <w:ind w:left="1260" w:hanging="647"/>
        <w:spacing w:after="0" w:line="234" w:lineRule="auto"/>
        <w:tabs>
          <w:tab w:leader="none" w:pos="1240" w:val="left"/>
        </w:tabs>
        <w:rPr>
          <w:sz w:val="20"/>
          <w:szCs w:val="20"/>
          <w:color w:val="auto"/>
        </w:rPr>
      </w:pPr>
      <w:r>
        <w:rPr>
          <w:rFonts w:ascii="Times New Roman" w:cs="Times New Roman" w:eastAsia="Times New Roman" w:hAnsi="Times New Roman"/>
          <w:sz w:val="22"/>
          <w:szCs w:val="22"/>
          <w:color w:val="auto"/>
        </w:rPr>
        <w:t>8.5.</w:t>
        <w:tab/>
        <w:t>Incapacity. If the Administrator shall determine that a Participant to whom any payment is due under the Plan is unable to care for his or her affairs because of illness or incapacity, any payment due (unless a prior claim therefor shall have been made by a duly appointed guardian, committee or other legal representative) may be paid to the spouse of the Participant, to his or her child, parent, brother or sister, or to any other person deemed by the Administrator to have incurred expenses for such person otherwise entitled to payment, in such manner and proportions as the Administrator may determine. Any such payment shall be a complete discharge of the liabilities of the Company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30471287.117</w:t>
      </w:r>
      <w:r>
        <w:rPr>
          <w:sz w:val="20"/>
          <w:szCs w:val="20"/>
          <w:color w:val="auto"/>
        </w:rPr>
        <w:tab/>
      </w:r>
      <w:r>
        <w:rPr>
          <w:rFonts w:ascii="Times New Roman" w:cs="Times New Roman" w:eastAsia="Times New Roman" w:hAnsi="Times New Roman"/>
          <w:sz w:val="17"/>
          <w:szCs w:val="17"/>
          <w:color w:val="929292"/>
        </w:rPr>
        <w:t>- 7 -</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12" w:lineRule="exact"/>
        <w:rPr>
          <w:sz w:val="20"/>
          <w:szCs w:val="20"/>
          <w:color w:val="auto"/>
        </w:rPr>
      </w:pPr>
    </w:p>
    <w:p>
      <w:pPr>
        <w:ind w:left="1200" w:right="20" w:hanging="647"/>
        <w:spacing w:after="0" w:line="258" w:lineRule="auto"/>
        <w:tabs>
          <w:tab w:leader="none" w:pos="1180" w:val="left"/>
        </w:tabs>
        <w:rPr>
          <w:sz w:val="20"/>
          <w:szCs w:val="20"/>
          <w:color w:val="auto"/>
        </w:rPr>
      </w:pPr>
      <w:r>
        <w:rPr>
          <w:rFonts w:ascii="Times New Roman" w:cs="Times New Roman" w:eastAsia="Times New Roman" w:hAnsi="Times New Roman"/>
          <w:sz w:val="22"/>
          <w:szCs w:val="22"/>
          <w:color w:val="auto"/>
        </w:rPr>
        <w:t>8.6.</w:t>
        <w:tab/>
        <w:t>Succession. The Plan shall be binding upon and inure to the benefit of the Company, its successors and assigns, and the Participants and their heirs, executors, administrators, and legal representatives.</w:t>
      </w:r>
    </w:p>
    <w:p>
      <w:pPr>
        <w:spacing w:after="0" w:line="185" w:lineRule="exact"/>
        <w:rPr>
          <w:sz w:val="20"/>
          <w:szCs w:val="20"/>
          <w:color w:val="auto"/>
        </w:rPr>
      </w:pPr>
    </w:p>
    <w:p>
      <w:pPr>
        <w:ind w:left="1200" w:hanging="647"/>
        <w:spacing w:after="0" w:line="258" w:lineRule="auto"/>
        <w:tabs>
          <w:tab w:leader="none" w:pos="1180" w:val="left"/>
        </w:tabs>
        <w:rPr>
          <w:sz w:val="20"/>
          <w:szCs w:val="20"/>
          <w:color w:val="auto"/>
        </w:rPr>
      </w:pPr>
      <w:r>
        <w:rPr>
          <w:rFonts w:ascii="Times New Roman" w:cs="Times New Roman" w:eastAsia="Times New Roman" w:hAnsi="Times New Roman"/>
          <w:sz w:val="22"/>
          <w:szCs w:val="22"/>
          <w:color w:val="auto"/>
        </w:rPr>
        <w:t>8.7.</w:t>
        <w:tab/>
        <w:t>Governing Law. The Plan shall be construed in accordance with and governed by the laws of the Commonwealth of Pennsylvania, except to the extent superseded by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929292"/>
        </w:rPr>
        <w:t>30471287.118</w:t>
      </w:r>
      <w:r>
        <w:rPr>
          <w:sz w:val="20"/>
          <w:szCs w:val="20"/>
          <w:color w:val="auto"/>
        </w:rPr>
        <w:tab/>
      </w:r>
      <w:r>
        <w:rPr>
          <w:rFonts w:ascii="Times New Roman" w:cs="Times New Roman" w:eastAsia="Times New Roman" w:hAnsi="Times New Roman"/>
          <w:sz w:val="17"/>
          <w:szCs w:val="17"/>
          <w:color w:val="929292"/>
        </w:rPr>
        <w:t>- 8 -</w:t>
      </w:r>
    </w:p>
    <w:p>
      <w:pPr>
        <w:sectPr>
          <w:pgSz w:w="11900" w:h="16838" w:orient="portrait"/>
          <w:cols w:equalWidth="0" w:num="1">
            <w:col w:w="11240"/>
          </w:cols>
          <w:pgMar w:left="320" w:top="1440" w:right="339" w:bottom="1440" w:gutter="0" w:footer="0" w:header="0"/>
        </w:sectPr>
      </w:pPr>
    </w:p>
    <w:bookmarkStart w:id="109" w:name="page110"/>
    <w:bookmarkEnd w:id="109"/>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Amendment No. 1</w:t>
      </w: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CROWN HOLDINGS, INC.</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2022 STOCK-BASED INCENTIVE COMPENSATION PLAN</w:t>
      </w:r>
    </w:p>
    <w:p>
      <w:pPr>
        <w:spacing w:after="0" w:line="209" w:lineRule="exact"/>
        <w:rPr>
          <w:sz w:val="20"/>
          <w:szCs w:val="20"/>
          <w:color w:val="auto"/>
        </w:rPr>
      </w:pPr>
    </w:p>
    <w:p>
      <w:pPr>
        <w:ind w:right="180" w:firstLine="1296"/>
        <w:spacing w:after="0" w:line="244" w:lineRule="auto"/>
        <w:rPr>
          <w:sz w:val="20"/>
          <w:szCs w:val="20"/>
          <w:color w:val="auto"/>
        </w:rPr>
      </w:pPr>
      <w:r>
        <w:rPr>
          <w:rFonts w:ascii="Times New Roman" w:cs="Times New Roman" w:eastAsia="Times New Roman" w:hAnsi="Times New Roman"/>
          <w:sz w:val="22"/>
          <w:szCs w:val="22"/>
          <w:color w:val="auto"/>
        </w:rPr>
        <w:t>Pursuant to the power reserved to it in Section 13.1 of the Crown Holdings, Inc. 2022 Stock-Based Incentive Compensation Plan (the “2022 Plan”), the Board of Directors of Crown Holdings, Inc. hereby amends the 2022 Plan, effective October 26, 2023, as follows:</w:t>
      </w:r>
    </w:p>
    <w:p>
      <w:pPr>
        <w:spacing w:after="0" w:line="187"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22"/>
          <w:szCs w:val="22"/>
          <w:color w:val="auto"/>
        </w:rPr>
        <w:t>A new Section 8.4 shall be inserted, immediately following Section 8.3, as follows:</w:t>
      </w:r>
    </w:p>
    <w:p>
      <w:pPr>
        <w:spacing w:after="0" w:line="232"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“8.4. Each Non-Employee Director may make a written election to defer all or a portion of any Annual Stock Award for Non-Employee Directors in accordance with the terms of the Crown Holdings, Inc. Deferred Compensation Plan for Directors, as amended from time to time; provided that any deferral under this Section 8.4 shall comply with all applicable laws, rules and regulations, including, without limitation, Section 409A of the Code and such administrative procedures as established by the Committee in its sole discretion.”</w:t>
      </w: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 * *</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To record the adoption of this Amendment No. 1 to the 2022 Plan, Crown Holdings, Inc. has authorized its officer to affix its corporate name effective as of the date indicated above.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Timothy J. Donahue</w:t>
      </w:r>
    </w:p>
    <w:p>
      <w:pPr>
        <w:spacing w:after="0" w:line="231" w:lineRule="auto"/>
        <w:rPr>
          <w:sz w:val="20"/>
          <w:szCs w:val="20"/>
          <w:color w:val="auto"/>
        </w:rPr>
      </w:pPr>
      <w:r>
        <w:rPr>
          <w:rFonts w:ascii="Times New Roman" w:cs="Times New Roman" w:eastAsia="Times New Roman" w:hAnsi="Times New Roman"/>
          <w:sz w:val="22"/>
          <w:szCs w:val="22"/>
          <w:color w:val="auto"/>
        </w:rPr>
        <w:t>Name: Timothy J. Donahue</w:t>
      </w:r>
    </w:p>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ectPr>
          <w:pgSz w:w="11900" w:h="16838" w:orient="portrait"/>
          <w:cols w:equalWidth="0" w:num="1">
            <w:col w:w="11120"/>
          </w:cols>
          <w:pgMar w:left="320" w:top="1408" w:right="4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CASH SEVERANCE POLICY</w:t>
      </w:r>
    </w:p>
    <w:p>
      <w:pPr>
        <w:spacing w:after="0" w:line="219"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not enter into any future employment agreement, severance agreement or separation agreement with any Executive Officer of the Company, or establish any new severance plan or policy covering any Executive Officer of the Company, in each case that provides for Cash Severance Benefits exceeding 2.99 times the sum of the Executive Officer’s base salary plus Target Bonus, without seeking stockholder ratification of such agreement, plan or policy.</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5" w:lineRule="exact"/>
        <w:rPr>
          <w:sz w:val="20"/>
          <w:szCs w:val="20"/>
          <w:color w:val="auto"/>
        </w:rPr>
      </w:pPr>
    </w:p>
    <w:p>
      <w:pPr>
        <w:jc w:val="both"/>
        <w:ind w:firstLine="44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Severance Benefits</w:t>
      </w:r>
      <w:r>
        <w:rPr>
          <w:rFonts w:ascii="Times New Roman" w:cs="Times New Roman" w:eastAsia="Times New Roman" w:hAnsi="Times New Roman"/>
          <w:sz w:val="18"/>
          <w:szCs w:val="18"/>
          <w:color w:val="auto"/>
        </w:rPr>
        <w:t>” means cash payments: (i) in respect of the termination of the Executive Officer’s employment; (ii) to secure an agreement not to compete with the Company; or (iii) to offset any tax liability in respect of any of the foregoing. For the avoidance of doubt, “Cash Severance Benefits” do not include (a) the payment, vesting, acceleration or other handling of equity-based awards granted under stockholder-approved plans prior to the Executive Officer’s termination of employment, (b) payment of deferred compensation, earned retirement benefits or other vested employee benefits, in each case consistent with normal practices, provided under the Company’s retirement or employee benefit plans, (c) the provision of perquisites, insurance, disability, health and welfare plan coverage and other non-cash benefits generally available to similarly-situated employees, (d) any interest required to be paid pursuant to the terms of any Company plan or policy between the termination date and the payment date, (e) any unpaid bonus earned by the Executive Officer with respect to any previously completed performance period, (f) accrued but unpaid Base Salary or paid time off through the termination date and reimbursement for any expenses validly incurred prior to the termination date or (g) any payment in respect of the Executive Officer’s bonus for the year of termination based on target or actual performance (prorated based on the Executive Officer’s days of service during the annual performance period).</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has the same meaning assigned to that term in the Company’s Compensation Recovery Policy, as it exists from time to time.</w:t>
      </w:r>
    </w:p>
    <w:p>
      <w:pPr>
        <w:spacing w:after="0" w:line="239"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xml:space="preserve">” means the Executive Officer’s target bonus under the Company’s annual incentive plan applicable to the Executive Officer for the year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target bonus has been established for such year under such plan, the year immediately preceding the year of termination.</w:t>
      </w:r>
    </w:p>
    <w:p>
      <w:pPr>
        <w:sectPr>
          <w:pgSz w:w="11900" w:h="16838" w:orient="portrait"/>
          <w:cols w:equalWidth="0" w:num="1">
            <w:col w:w="11240"/>
          </w:cols>
          <w:pgMar w:left="320" w:top="1400" w:right="33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Crown Holdings, Inc.</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Exhibit 21 - Subsidiaries of Registrant</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and Seal Receivables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Receivables III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Investment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Crownway Insurance Company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Vermont</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Australia Pty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Australia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(Barbados)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Barbados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Belgium BVBA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Verpakking België NV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Shippers Europe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Belgium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Hanoi Investment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Bermuda</w:t>
            </w:r>
          </w:p>
        </w:tc>
        <w:tc>
          <w:tcPr>
            <w:tcW w:w="0" w:type="dxa"/>
            <w:vAlign w:val="bottom"/>
          </w:tcPr>
          <w:p>
            <w:pPr>
              <w:spacing w:after="0"/>
              <w:rPr>
                <w:sz w:val="1"/>
                <w:szCs w:val="1"/>
                <w:color w:val="auto"/>
              </w:rPr>
            </w:pPr>
          </w:p>
        </w:tc>
      </w:tr>
    </w:tbl>
    <w:p>
      <w:pPr>
        <w:sectPr>
          <w:pgSz w:w="11900" w:h="16838" w:orient="portrait"/>
          <w:cols w:equalWidth="0" w:num="1">
            <w:col w:w="11060"/>
          </w:cols>
          <w:pgMar w:left="420" w:top="759" w:right="419" w:bottom="1440"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Brasil Holdings Ltda.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Embalagens Métalicas da Amazonia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Brasil Ltda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Bulgaria EOOD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Bulgaria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(Cambodia)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Sihanoukville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Khmer Beverage Cans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Metal Packaging Canada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Metal Packaging Canada LP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Canada ULC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CMB Machinery and Technology (Shanghai)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Hangzhou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Heshan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Huizhou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Putian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Ziyang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Foshan Continental Can Co.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Foshan Crown Easy-Opening End Co.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(Qingdao)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Colombiana,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Colombia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Colombia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Colombia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Denmark ApS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Denmark</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Finland Oy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Finland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Butimove</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Developpement</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European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Europe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Division Services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Société Civile Immobilière des Baquets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Societe Civile Immobiliere Rousseau-Ivry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France Holdings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Deutschland Holdings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Mezger Heftsysteme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System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SMP Schwede Maschinenbau Weischlitz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Germany Service Management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Systems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Hellas Can Packaging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Greece</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13" w:name="page114"/>
    <w:bookmarkEnd w:id="1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China Holdings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Investment (H.K.)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Services Hungary Kft</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Hungary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India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7"/>
              </w:rPr>
              <w:t>India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PT CROWN Beverage Cans Indonesia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PT CROWN Indonesia Trading</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Ireland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Ireland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Italy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Holdings Italia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Italy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Strapex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Jamaica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Jamaica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Japan K.K.</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Middle East Can Manufacturing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7"/>
              </w:rPr>
              <w:t>Jordan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Kazakhstan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Kazakhstan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Kenya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Kenya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Lux II S.à.r.l.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Lux III S.à.r.l.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Lux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Luxembourg S.a.r.l.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Industrial Packaging S.a.r.l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Malaysia Sdn Bhd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Malaysia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Malaysia Sdn. Bhd.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Malaysia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Envases Mexico,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Famosa,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Fabricas Monterrey,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Mexico, S. de R.L.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Silice Del Istmo,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Silices De Veracruz, S.A. DE C.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De Mexico S. de R.L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Vichisa,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Myanmar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Myanmar</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Netherlands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Packaging Netherlands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New Zealand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New Zealand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Norway 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Norway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Poland Sp. z.o.o. w likwidacji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Poland sp. Z.o.o.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Portugal LDA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Portugal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Arabia Can Company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Saudi Arabia</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Asia Pacific Holdings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Singapore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Speciality Packaging Investment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Investment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Singapore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Superior Investments Holdings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Superior Multi-Packaging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Korea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South Korea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Espana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de Envases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Holdings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Josef Kihlberg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Sweden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Sweden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Switzerland AG</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Division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Holdings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Switzerland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AP (Thailand)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and Closures (Thailand)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Foodcan (Hat Yai)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Foodcan (Nakhon Pathom)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 Packaging (Thailand) Public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TCP Beverage Cans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Pet Containers (Thailand)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(Thailand)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Trinidad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Trinidad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Maghreb Can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6"/>
              </w:rPr>
              <w:t>Tunisia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Türkiye Ambalaj Sanayi Ve Ticaret Limited Sirketi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6"/>
              </w:rPr>
              <w:t>Turkey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Form Koruyucu Ambalaj Sanayi Ve Ticaret Limited Sirketi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6"/>
              </w:rPr>
              <w:t>Turkey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Emirates Company Limited</w:t>
            </w:r>
          </w:p>
        </w:tc>
        <w:tc>
          <w:tcPr>
            <w:tcW w:w="31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United Arab Emirates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Engineering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Group UK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Overseas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Commercial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Distribution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Services EMEA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UK Holdings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Mec-A-Tec Services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UK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Danang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(Dong Nai)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Hanoi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Saigon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Vung Tau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hanging="308"/>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includes only consolidated subsidiaries which are directly owned or indirectly owned by the Registrant.</w:t>
      </w:r>
    </w:p>
    <w:p>
      <w:pPr>
        <w:spacing w:after="0" w:line="27" w:lineRule="exact"/>
        <w:rPr>
          <w:rFonts w:ascii="Times New Roman" w:cs="Times New Roman" w:eastAsia="Times New Roman" w:hAnsi="Times New Roman"/>
          <w:sz w:val="18"/>
          <w:szCs w:val="18"/>
          <w:color w:val="auto"/>
        </w:rPr>
      </w:pPr>
    </w:p>
    <w:p>
      <w:pPr>
        <w:ind w:left="560" w:hanging="328"/>
        <w:spacing w:after="0" w:line="255" w:lineRule="auto"/>
        <w:tabs>
          <w:tab w:leader="none" w:pos="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1100"/>
          </w:cols>
          <w:pgMar w:left="420" w:top="794" w:right="379" w:bottom="1440" w:gutter="0" w:footer="0" w:header="0"/>
        </w:sectPr>
      </w:pPr>
    </w:p>
    <w:bookmarkStart w:id="116" w:name="page117"/>
    <w:bookmarkEnd w:id="116"/>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December 31, 2023,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December 31, 2023,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35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333- 188568, 333-166764, 333-140991, 333-230008, and 333-268351) of Crown Holdings, Inc. of our report dated February 27, 2024 relating to the financial statements</w:t>
      </w:r>
      <w:r>
        <w:rPr>
          <w:rFonts w:ascii="Georgia" w:cs="Georgia" w:eastAsia="Georgia" w:hAnsi="Georgia"/>
          <w:sz w:val="18"/>
          <w:szCs w:val="18"/>
          <w:b w:val="1"/>
          <w:bCs w:val="1"/>
          <w:color w:val="auto"/>
        </w:rPr>
        <w:t>,</w:t>
      </w:r>
      <w:r>
        <w:rPr>
          <w:rFonts w:ascii="Georgia" w:cs="Georgia" w:eastAsia="Georgia" w:hAnsi="Georgia"/>
          <w:sz w:val="18"/>
          <w:szCs w:val="18"/>
          <w:color w:val="auto"/>
        </w:rPr>
        <w:t xml:space="preserve"> financial statement schedule and the effectiveness of internal control over financial reporting, which appears in this Form 10-K.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8" w:lineRule="auto"/>
        <w:rPr>
          <w:sz w:val="20"/>
          <w:szCs w:val="20"/>
          <w:color w:val="auto"/>
        </w:rPr>
      </w:pPr>
      <w:r>
        <w:rPr>
          <w:rFonts w:ascii="Georgia" w:cs="Georgia" w:eastAsia="Georgia" w:hAnsi="Georgia"/>
          <w:sz w:val="18"/>
          <w:szCs w:val="18"/>
          <w:color w:val="auto"/>
        </w:rPr>
        <w:t>Philadelphia, Pennsylvania</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27, 2024</w:t>
      </w:r>
    </w:p>
    <w:p>
      <w:pPr>
        <w:sectPr>
          <w:pgSz w:w="11900" w:h="16838" w:orient="portrait"/>
          <w:cols w:equalWidth="0" w:num="1">
            <w:col w:w="11240"/>
          </w:cols>
          <w:pgMar w:left="320" w:top="1134" w:right="339" w:bottom="1440" w:gutter="0" w:footer="0" w:header="0"/>
        </w:sectPr>
      </w:pPr>
    </w:p>
    <w:bookmarkStart w:id="118" w:name="page119"/>
    <w:bookmarkEnd w:id="11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 Donahue,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Crown Holdings, Inc. (“the registrant”);</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2024</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119" w:name="page120"/>
    <w:bookmarkEnd w:id="11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 Clothier,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Crown Holdings, Inc. (“the registrant”);</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2024</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39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Annual Report of Crown Holdings, Inc. (the “Company”) on Form 10-K for the period ending December 31, 2023 (the “Report”), each of the undersigned officers certify, pursuant to 18 U.S.C. § 1350, as adopted pursuant to § 906 of the Sarbanes-Oxley Act of 2002, that:</w:t>
      </w:r>
    </w:p>
    <w:p>
      <w:pPr>
        <w:spacing w:after="0" w:line="27"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position and results of operations of the Company.</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2024</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2024</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p>
      <w:pPr>
        <w:sectPr>
          <w:pgSz w:w="11900" w:h="16838" w:orient="portrait"/>
          <w:cols w:equalWidth="0" w:num="1">
            <w:col w:w="11240"/>
          </w:cols>
          <w:pgMar w:left="320" w:top="88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4"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Crown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enable the Company to recover Erroneously Awarded Compensation (as defined below) in the event the Company is required to prepare an Accounting Restatement (as defined below). This Policy is intended to comply with, and shall be interpreted to be consistent with,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Rule 10D-1 promulgated under the Exchange Act (“</w:t>
      </w:r>
      <w:r>
        <w:rPr>
          <w:rFonts w:ascii="Times New Roman" w:cs="Times New Roman" w:eastAsia="Times New Roman" w:hAnsi="Times New Roman"/>
          <w:sz w:val="22"/>
          <w:szCs w:val="22"/>
          <w:u w:val="single" w:color="auto"/>
          <w:color w:val="auto"/>
        </w:rPr>
        <w:t>Rule 10D-1</w:t>
      </w:r>
      <w:r>
        <w:rPr>
          <w:rFonts w:ascii="Times New Roman" w:cs="Times New Roman" w:eastAsia="Times New Roman" w:hAnsi="Times New Roman"/>
          <w:sz w:val="22"/>
          <w:szCs w:val="22"/>
          <w:color w:val="auto"/>
        </w:rPr>
        <w:t>”) and Section 303A.14 of the New York Stock Exchange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Listed Company Manual (the “</w:t>
      </w:r>
      <w:r>
        <w:rPr>
          <w:rFonts w:ascii="Times New Roman" w:cs="Times New Roman" w:eastAsia="Times New Roman" w:hAnsi="Times New Roman"/>
          <w:sz w:val="22"/>
          <w:szCs w:val="22"/>
          <w:u w:val="single" w:color="auto"/>
          <w:color w:val="auto"/>
        </w:rPr>
        <w:t>Listing Standards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440" w:hanging="432"/>
        <w:spacing w:after="0"/>
        <w:tabs>
          <w:tab w:leader="none" w:pos="4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Policy, the following capitalized terms shall have the meanings set forth below:</w:t>
      </w:r>
    </w:p>
    <w:p>
      <w:pPr>
        <w:spacing w:after="0" w:line="247" w:lineRule="exact"/>
        <w:rPr>
          <w:sz w:val="20"/>
          <w:szCs w:val="20"/>
          <w:color w:val="auto"/>
        </w:rPr>
      </w:pPr>
    </w:p>
    <w:p>
      <w:pPr>
        <w:jc w:val="both"/>
        <w:ind w:left="660" w:hanging="328"/>
        <w:spacing w:after="0" w:line="253"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means an accounting restatement of the Company’s financial statements due to material noncompliance with any financial reporting requirement applicable to the Company under the securities laws of the United States of America,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5"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year). The “date on which the Company is required to prepare an Accounting Restatement” is the earlier to occur of (a) the date that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206"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xml:space="preserve">” means, in the event of an Accounting Restatement, the amount of Incentive-Based Compensation received that exceeds the amount of Incentive-Based Compensation that otherwise would have been received had it been determined based on the restated amounts in such Accounting Restatement, computed without regard to any taxes paid by the relevant Executive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Incentive-Based Compensation based on stock price or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BUSINESS.30229417.6</w:t>
      </w:r>
      <w:r>
        <w:rPr>
          <w:sz w:val="20"/>
          <w:szCs w:val="20"/>
          <w:color w:val="auto"/>
        </w:rPr>
        <w:tab/>
      </w: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22" w:name="page123"/>
    <w:bookmarkEnd w:id="122"/>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stockholder return, where the amount of Erroneously Awarded Compensation is not subject to mathematical recalculation directly from the information in an Accounting Restatement: (i) the amount of Erroneously Awarded Compensation must be based on the Company’s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spacing w:after="0" w:line="191" w:lineRule="exact"/>
        <w:rPr>
          <w:sz w:val="20"/>
          <w:szCs w:val="20"/>
          <w:color w:val="auto"/>
        </w:rPr>
      </w:pPr>
    </w:p>
    <w:p>
      <w:pPr>
        <w:jc w:val="both"/>
        <w:ind w:left="660" w:hanging="328"/>
        <w:spacing w:after="0" w:line="251" w:lineRule="auto"/>
        <w:tabs>
          <w:tab w:leader="none" w:pos="6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the Company’s president, principal financial officer, principal accounting officer (or if there is no such accounting officer, the controller), any vice-present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w:t>
      </w:r>
    </w:p>
    <w:p>
      <w:pPr>
        <w:spacing w:after="0" w:line="208" w:lineRule="exact"/>
        <w:rPr>
          <w:rFonts w:ascii="Times New Roman" w:cs="Times New Roman" w:eastAsia="Times New Roman" w:hAnsi="Times New Roman"/>
          <w:sz w:val="22"/>
          <w:szCs w:val="22"/>
          <w:color w:val="auto"/>
        </w:rPr>
      </w:pPr>
    </w:p>
    <w:p>
      <w:pPr>
        <w:jc w:val="both"/>
        <w:ind w:left="660" w:hanging="328"/>
        <w:spacing w:after="0" w:line="248" w:lineRule="auto"/>
        <w:tabs>
          <w:tab w:leader="none" w:pos="6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xml:space="preserve">” means any measure that is determined and presented in accordance with the accounting principles used in preparing the Company’s financial statements, and any measure that is derived wholly or in part from such measure;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Financial Reporting Measure is not required to be presented within the Company’s financial statements or included in a filing with the Securities Exchange Commission. Financial Reporting Measures include but are not limited to the following (and any measure derived from the following): Company stock price; total shareholder return (“TSR”); revenue; net income; operating income; profitability of one or more reportable segments; financial ratios (e.g., accounts receivable turnover and inventory turnover rates); earnings before interest, taxes depreciation and amortization (“EBITDA”); funds from operations and adjusted funds from operations; liquidity measures (e.g., working capital and operating cash flow); return measures (e.g., return on invested capital, return on assets and economic profit); earnings measures (e.g., earnings per share); and any of such financial reporting measures relative to a peer group.</w:t>
      </w:r>
    </w:p>
    <w:p>
      <w:pPr>
        <w:spacing w:after="0" w:line="215"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98"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Exchange</w:t>
      </w:r>
      <w:r>
        <w:rPr>
          <w:rFonts w:ascii="Times New Roman" w:cs="Times New Roman" w:eastAsia="Times New Roman" w:hAnsi="Times New Roman"/>
          <w:sz w:val="22"/>
          <w:szCs w:val="22"/>
          <w:color w:val="auto"/>
        </w:rPr>
        <w:t>” means the New York Stock Exchange or any other national stock exchange on which the Company’s common stock is then listed.</w:t>
      </w:r>
    </w:p>
    <w:p>
      <w:pPr>
        <w:spacing w:after="0" w:line="180"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Policy shall be administered by the Compensation Committee of the Board (the “Committee”). The Committee is authorized to interpret and construe this Policy and to make all determinations necessary or advisable for the administration of this Policy. In addition, the Committee shall have broad discretion to determine the appropriate means of recovery of Erroneously Awarded Compensation based upon all applicable facts and circumstances.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BUSINESS.30229417.6</w:t>
      </w:r>
      <w:r>
        <w:rPr>
          <w:sz w:val="20"/>
          <w:szCs w:val="20"/>
          <w:color w:val="auto"/>
        </w:rPr>
        <w:tab/>
      </w: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71" w:lineRule="auto"/>
        <w:rPr>
          <w:sz w:val="20"/>
          <w:szCs w:val="20"/>
          <w:color w:val="auto"/>
        </w:rPr>
      </w:pPr>
      <w:r>
        <w:rPr>
          <w:rFonts w:ascii="Times New Roman" w:cs="Times New Roman" w:eastAsia="Times New Roman" w:hAnsi="Times New Roman"/>
          <w:sz w:val="22"/>
          <w:szCs w:val="22"/>
          <w:color w:val="auto"/>
        </w:rPr>
        <w:t>determinations made by the Committee shall be final and binding on all affected individuals and need not be uniform with respect to each individual covered by the Policy.</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Recoupment of Erroneously Awarded Compensation.</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the Company shall reasonably promptly recover the amount of any Erroneously Awarded Compensation received by any Executive Officer during the Applicable Period.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Policy applies to all Incentive-Based Compensation received by a person: (a) after beginning services as an Executive Officer; (b) who served as an Executive Officer at any time during the performance period for such Incentive-Based Compensation; (c) while the Company had a listed class of securities on a national securities exchange; and (d) during the Applicable Period.</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204"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Recoupment</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Committee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applicable law, the Committee may affect recovery under this Policy from any amount otherwise payable to an Executive Officer, including amounts payable to such individual under any otherwise applicable Company plan or program, including base salary, bonuses, or commissions and compensation previously deferred by the Executive Officer.</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is authorized and directed pursuant to this Policy to recoup Erroneously Awarded Compensation in compliance with this Policy unless the Committee has determined that recovery would be impracticable solely for the following limited reasons, and subject to the following procedural and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BUSINESS.30229417.6</w:t>
      </w:r>
      <w:r>
        <w:rPr>
          <w:sz w:val="20"/>
          <w:szCs w:val="20"/>
          <w:color w:val="auto"/>
        </w:rPr>
        <w:tab/>
      </w: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660" w:right="20" w:hanging="328"/>
        <w:spacing w:after="0" w:line="256" w:lineRule="auto"/>
        <w:tabs>
          <w:tab w:leader="none" w:pos="6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Committee must make a reasonable attempt to recover such erroneously awarded compensation, document such reasonable attempt(s) to recover and provide that documentation to the Stock Exchange;</w:t>
      </w:r>
    </w:p>
    <w:p>
      <w:pPr>
        <w:spacing w:after="0" w:line="203"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6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of the Company where that law was adopted prior to November 28, 2022. Before concluding that it would be impracticable to recovery any amount of Erroneously Awarded Compensation based on violation of home country law of the Company, the Committee must satisfy the applicable opinion and disclosure requirements of Rule 10D-1 and the Listing Standards; or</w:t>
      </w:r>
    </w:p>
    <w:p>
      <w:pPr>
        <w:spacing w:after="0" w:line="219"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No Indemnification of Executive Officers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Notwithstanding the terms of any indemnification or insurance policy or any contractual arrangement with any Executive Officer that may be interpreted to the contrary, the Company shall not indemnify any Executive Officer against the loss of any Erroneously Awarded Compensation, including any payment or reimbursement for the cost of third-party insurance purchased by any Executive Officer to fund potential clawback obligations under this Policy.</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Administrator Indemnification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Committee or the Board under applicable law or Company policy.</w:t>
      </w:r>
    </w:p>
    <w:p>
      <w:pPr>
        <w:spacing w:after="0" w:line="2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Effective Date; Retroactive Application</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Policy shall be effective as of October 2,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terms of this Policy shall apply to any Incentive-Based Compensation that is received by Executive Officers on or after the Effective Date, even if such Incentive-Based Compensation was approved, awarded, granted or paid to Executive Officers prior to the Effective Date.</w:t>
      </w:r>
    </w:p>
    <w:p>
      <w:pPr>
        <w:spacing w:after="0" w:line="19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Amendment;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BUSINESS.30229417.6</w:t>
      </w:r>
      <w:r>
        <w:rPr>
          <w:sz w:val="20"/>
          <w:szCs w:val="20"/>
          <w:color w:val="auto"/>
        </w:rPr>
        <w:tab/>
      </w: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57" w:lineRule="auto"/>
        <w:rPr>
          <w:sz w:val="20"/>
          <w:szCs w:val="20"/>
          <w:color w:val="auto"/>
        </w:rPr>
      </w:pPr>
      <w:r>
        <w:rPr>
          <w:rFonts w:ascii="Times New Roman" w:cs="Times New Roman" w:eastAsia="Times New Roman" w:hAnsi="Times New Roman"/>
          <w:sz w:val="22"/>
          <w:szCs w:val="22"/>
          <w:color w:val="auto"/>
        </w:rPr>
        <w:t>The Committee may amend, modify, supplement, rescind or replace all or any portion of this Policy at any time and from time to time in its discretion, and shall amend this Policy as it deems necessary to comply with applicable law or any rules or standards adopted by the Stock Exchange.</w:t>
      </w:r>
    </w:p>
    <w:p>
      <w:pPr>
        <w:spacing w:after="0" w:line="200" w:lineRule="exact"/>
        <w:rPr>
          <w:sz w:val="20"/>
          <w:szCs w:val="20"/>
          <w:color w:val="auto"/>
        </w:rPr>
      </w:pPr>
    </w:p>
    <w:p>
      <w:pPr>
        <w:spacing w:after="0" w:line="252" w:lineRule="exact"/>
        <w:rPr>
          <w:sz w:val="20"/>
          <w:szCs w:val="20"/>
          <w:color w:val="auto"/>
        </w:rPr>
      </w:pPr>
    </w:p>
    <w:p>
      <w:pPr>
        <w:ind w:left="440" w:hanging="432"/>
        <w:spacing w:after="0"/>
        <w:tabs>
          <w:tab w:leader="none" w:pos="4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Recoupment Rights; Company Claims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20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Policy shall be binding and enforceable against all Executive Officers and their beneficiaries, heirs, executors, administrators or other legal representatives.</w:t>
      </w:r>
    </w:p>
    <w:p>
      <w:pPr>
        <w:spacing w:after="0" w:line="19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XII.</w:t>
      </w:r>
      <w:r>
        <w:rPr>
          <w:sz w:val="20"/>
          <w:szCs w:val="20"/>
          <w:color w:val="auto"/>
        </w:rPr>
        <w:tab/>
      </w:r>
      <w:r>
        <w:rPr>
          <w:rFonts w:ascii="Times New Roman" w:cs="Times New Roman" w:eastAsia="Times New Roman" w:hAnsi="Times New Roman"/>
          <w:sz w:val="21"/>
          <w:szCs w:val="21"/>
          <w:b w:val="1"/>
          <w:bCs w:val="1"/>
          <w:color w:val="auto"/>
        </w:rPr>
        <w:t>Governing Law; Venue</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This Policy and all rights and obligations hereunder are governed by and construed in accordance with the internal laws of the Commonwealth of Pennsylvania, excluding any choice of law rules or principles that may direct the application of the laws of another jurisdiction. All actions arising out of or relating to this Policy shall be heard and determined exclusively in the state courts of the Commonwealth of Pennsylvania in and for Bucks County or the federal courts of the Eastern District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BUSINESS.30229417.6</w:t>
      </w:r>
      <w:r>
        <w:rPr>
          <w:sz w:val="20"/>
          <w:szCs w:val="20"/>
          <w:color w:val="auto"/>
        </w:rPr>
        <w:tab/>
      </w:r>
      <w:r>
        <w:rPr>
          <w:rFonts w:ascii="Times New Roman" w:cs="Times New Roman" w:eastAsia="Times New Roman" w:hAnsi="Times New Roman"/>
          <w:sz w:val="22"/>
          <w:szCs w:val="22"/>
          <w:color w:val="auto"/>
        </w:rPr>
        <w:t>5</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upperLetter"/>
      <w:start w:val="16"/>
    </w:lvl>
  </w:abstractNum>
  <w:abstractNum w:abstractNumId="10">
    <w:nsid w:val="6CEAF087"/>
    <w:multiLevelType w:val="hybridMultilevel"/>
    <w:lvl w:ilvl="0">
      <w:lvlJc w:val="left"/>
      <w:lvlText w:val="%1:"/>
      <w:numFmt w:val="upperLetter"/>
      <w:start w:val="19"/>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Roman"/>
      <w:start w:val="7"/>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upperLetter"/>
      <w:start w:val="1"/>
    </w:lvl>
  </w:abstractNum>
  <w:abstractNum w:abstractNumId="21">
    <w:nsid w:val="7724C67E"/>
    <w:multiLevelType w:val="hybridMultilevel"/>
    <w:lvl w:ilvl="0">
      <w:lvlJc w:val="left"/>
      <w:lvlText w:val="%1."/>
      <w:numFmt w:val="upperLetter"/>
      <w:start w:val="16"/>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upperLetter"/>
      <w:start w:val="20"/>
    </w:lvl>
  </w:abstractNum>
  <w:abstractNum w:abstractNumId="26">
    <w:nsid w:val="2D517796"/>
    <w:multiLevelType w:val="hybridMultilevel"/>
    <w:lvl w:ilvl="0">
      <w:lvlJc w:val="left"/>
      <w:lvlText w:val="%1."/>
      <w:numFmt w:val="upperLetter"/>
      <w:start w:val="25"/>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lowerLetter"/>
      <w:start w:val="1"/>
    </w:lvl>
    <w:lvl w:ilvl="1">
      <w:lvlJc w:val="left"/>
      <w:lvlText w:val="(%2)"/>
      <w:numFmt w:val="decimal"/>
      <w:start w:val="1"/>
    </w:lvl>
  </w:abstractNum>
  <w:abstractNum w:abstractNumId="29">
    <w:nsid w:val="3855585C"/>
    <w:multiLevelType w:val="hybridMultilevel"/>
    <w:lvl w:ilvl="0">
      <w:lvlJc w:val="left"/>
      <w:lvlText w:val="(%1)"/>
      <w:numFmt w:val="decimal"/>
      <w:start w:val="3"/>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1."/>
      <w:numFmt w:val="decimal"/>
      <w:start w:val="4"/>
    </w:lvl>
  </w:abstractNum>
  <w:abstractNum w:abstractNumId="32">
    <w:nsid w:val="2A487CB0"/>
    <w:multiLevelType w:val="hybridMultilevel"/>
    <w:lvl w:ilvl="0">
      <w:lvlJc w:val="left"/>
      <w:lvlText w:val="%1."/>
      <w:numFmt w:val="decimal"/>
      <w:start w:val="4"/>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21"/>
    </w:lvl>
  </w:abstractNum>
  <w:abstractNum w:abstractNumId="36">
    <w:nsid w:val="57E4CCAF"/>
    <w:multiLevelType w:val="hybridMultilevel"/>
    <w:lvl w:ilvl="0">
      <w:lvlJc w:val="left"/>
      <w:lvlText w:val="%1"/>
      <w:numFmt w:val="decimal"/>
      <w:start w:val="32"/>
    </w:lvl>
    <w:lvl w:ilvl="1">
      <w:lvlJc w:val="left"/>
      <w:lvlText w:val="%2"/>
      <w:numFmt w:val="upperLetter"/>
      <w:start w:val="1"/>
    </w:lvl>
  </w:abstractNum>
  <w:abstractNum w:abstractNumId="37">
    <w:nsid w:val="7A6D8D3C"/>
    <w:multiLevelType w:val="hybridMultilevel"/>
    <w:lvl w:ilvl="0">
      <w:lvlJc w:val="left"/>
      <w:lvlText w:val="%1"/>
      <w:numFmt w:val="decimal"/>
      <w:start w:val="97"/>
    </w:lvl>
  </w:abstractNum>
  <w:abstractNum w:abstractNumId="38">
    <w:nsid w:val="4B588F54"/>
    <w:multiLevelType w:val="hybridMultilevel"/>
    <w:lvl w:ilvl="0">
      <w:lvlJc w:val="left"/>
      <w:lvlText w:val="%1"/>
      <w:numFmt w:val="decimal"/>
      <w:start w:val="101"/>
    </w:lvl>
  </w:abstractNum>
  <w:abstractNum w:abstractNumId="39">
    <w:nsid w:val="542289EC"/>
    <w:multiLevelType w:val="hybridMultilevel"/>
    <w:lvl w:ilvl="0">
      <w:lvlJc w:val="left"/>
      <w:lvlText w:val="%1"/>
      <w:numFmt w:val="decimal"/>
      <w:start w:val="104"/>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lvl w:ilvl="1">
      <w:lvlJc w:val="left"/>
      <w:lvlText w:val="%2)"/>
      <w:numFmt w:val="lowerLetter"/>
      <w:start w:val="1"/>
    </w:lvl>
  </w:abstractNum>
  <w:abstractNum w:abstractNumId="43">
    <w:nsid w:val="32FFF902"/>
    <w:multiLevelType w:val="hybridMultilevel"/>
    <w:lvl w:ilvl="0">
      <w:lvlJc w:val="left"/>
      <w:lvlText w:val="%1."/>
      <w:numFmt w:val="decimal"/>
      <w:start w:val="1"/>
    </w:lvl>
    <w:lvl w:ilvl="1">
      <w:lvlJc w:val="left"/>
      <w:lvlText w:val="%2)"/>
      <w:numFmt w:val="lowerLetter"/>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upperLetter"/>
      <w:start w:val="9"/>
    </w:lvl>
  </w:abstractNum>
  <w:abstractNum w:abstractNumId="46">
    <w:nsid w:val="749ABB43"/>
    <w:multiLevelType w:val="hybridMultilevel"/>
    <w:lvl w:ilvl="0">
      <w:lvlJc w:val="left"/>
      <w:lvlText w:val="%1."/>
      <w:numFmt w:val="upperLetter"/>
      <w:start w:val="35"/>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upperLetter"/>
      <w:start w:val="1"/>
    </w:lvl>
    <w:lvl w:ilvl="1">
      <w:lvlJc w:val="left"/>
      <w:lvlText w:val="%2."/>
      <w:numFmt w:val="decimal"/>
      <w:start w:val="4"/>
    </w:lvl>
  </w:abstractNum>
  <w:abstractNum w:abstractNumId="49">
    <w:nsid w:val="79A1DEAA"/>
    <w:multiLevelType w:val="hybridMultilevel"/>
    <w:lvl w:ilvl="0">
      <w:lvlJc w:val="left"/>
      <w:lvlText w:val="%1."/>
      <w:numFmt w:val="upperLetter"/>
      <w:start w:val="61"/>
    </w:lvl>
    <w:lvl w:ilvl="1">
      <w:lvlJc w:val="left"/>
      <w:lvlText w:val="%2"/>
      <w:numFmt w:val="decimal"/>
      <w:start w:val="1"/>
    </w:lvl>
  </w:abstractNum>
  <w:abstractNum w:abstractNumId="50">
    <w:nsid w:val="75C6C33A"/>
    <w:multiLevelType w:val="hybridMultilevel"/>
    <w:lvl w:ilvl="0">
      <w:lvlJc w:val="left"/>
      <w:lvlText w:val="%1."/>
      <w:numFmt w:val="upperLetter"/>
      <w:start w:val="22"/>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2" Type="http://schemas.openxmlformats.org/officeDocument/2006/relationships/image" Target="media/image133.png"/><Relationship Id="rId152" Type="http://schemas.openxmlformats.org/officeDocument/2006/relationships/image" Target="media/image134.png"/><Relationship Id="rId161" Type="http://schemas.openxmlformats.org/officeDocument/2006/relationships/image" Target="media/image135.png"/><Relationship Id="rId173" Type="http://schemas.openxmlformats.org/officeDocument/2006/relationships/image" Target="media/image136.png"/><Relationship Id="rId187"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140" Type="http://schemas.openxmlformats.org/officeDocument/2006/relationships/hyperlink" Target="http://www.sec.gov/Archives/edgar/data/1219601/000121960105000069/ex3a2004.htm" TargetMode="External"/><Relationship Id="rId141" Type="http://schemas.openxmlformats.org/officeDocument/2006/relationships/hyperlink" Target="https://www.sec.gov/Archives/edgar/data/1219601/000119312522303785/d417285dex31.htm" TargetMode="External"/><Relationship Id="rId143" Type="http://schemas.openxmlformats.org/officeDocument/2006/relationships/hyperlink" Target="http://www.sec.gov/Archives/edgar/data/1219601/000095016803000549/dex45.htm" TargetMode="External"/><Relationship Id="rId144" Type="http://schemas.openxmlformats.org/officeDocument/2006/relationships/hyperlink" Target="https://www.sec.gov/Archives/edgar/data/1219601/000119312516712850/d213162dex41.htm" TargetMode="External"/><Relationship Id="rId145" Type="http://schemas.openxmlformats.org/officeDocument/2006/relationships/hyperlink" Target="https://www.sec.gov/Archives/edgar/data/1219601/000119312516712850/d213162dex42.htm" TargetMode="External"/><Relationship Id="rId146" Type="http://schemas.openxmlformats.org/officeDocument/2006/relationships/hyperlink" Target="http://www.sec.gov/Archives/edgar/data/1219601/000121960115000034/ex10.htm" TargetMode="External"/><Relationship Id="rId147" Type="http://schemas.openxmlformats.org/officeDocument/2006/relationships/hyperlink" Target="http://www.sec.gov/Archives/edgar/data/1219601/000121960117000016/ex4march2017.htm" TargetMode="External"/><Relationship Id="rId148" Type="http://schemas.openxmlformats.org/officeDocument/2006/relationships/hyperlink" Target="http://www.sec.gov/Archives/edgar/data/1219601/000121960118000009/ex4dec2017.htm" TargetMode="External"/><Relationship Id="rId149" Type="http://schemas.openxmlformats.org/officeDocument/2006/relationships/hyperlink" Target="http://www.sec.gov/Archives/edgar/data/1219601/000121960119000005/ex4dec2018.htm" TargetMode="External"/><Relationship Id="rId150" Type="http://schemas.openxmlformats.org/officeDocument/2006/relationships/hyperlink" Target="http://www.sec.gov/Archives/edgar/data/1219601/000119312518029266/d470596dex41.htm" TargetMode="External"/><Relationship Id="rId151" Type="http://schemas.openxmlformats.org/officeDocument/2006/relationships/hyperlink" Target="http://www.sec.gov/Archives/edgar/data/1219601/000119312518029266/d470596dex42.htm" TargetMode="External"/><Relationship Id="rId153" Type="http://schemas.openxmlformats.org/officeDocument/2006/relationships/hyperlink" Target="http://www.sec.gov/Archives/edgar/data/1219601/000119312518029266/d470596dex43.htm" TargetMode="External"/><Relationship Id="rId154" Type="http://schemas.openxmlformats.org/officeDocument/2006/relationships/hyperlink" Target="http://www.sec.gov/Archives/edgar/data/1219601/000119312520053971/d896926dex41.htm" TargetMode="External"/><Relationship Id="rId155" Type="http://schemas.openxmlformats.org/officeDocument/2006/relationships/hyperlink" Target="https://www.sec.gov/Archives/edgar/data/1219601/000121960122000011/exhibit4.htm" TargetMode="External"/><Relationship Id="rId156" Type="http://schemas.openxmlformats.org/officeDocument/2006/relationships/hyperlink" Target="https://www.sec.gov/Archives/edgar/data/1219601/000119312522078481/d255990dex101.htm" TargetMode="External"/><Relationship Id="rId157" Type="http://schemas.openxmlformats.org/officeDocument/2006/relationships/hyperlink" Target="https://www.sec.gov/Archives/edgar/data/1219601/000119312522080655/d328295dex41.htm" TargetMode="External"/><Relationship Id="rId158" Type="http://schemas.openxmlformats.org/officeDocument/2006/relationships/hyperlink" Target="https://www.sec.gov/Archives/edgar/data/1219601/000119312522080655/d328295dex42.htm" TargetMode="External"/><Relationship Id="rId159" Type="http://schemas.openxmlformats.org/officeDocument/2006/relationships/hyperlink" Target="https://www.sec.gov/Archives/edgar/data/1219601/000119312522217895/d372551dex4z.htm" TargetMode="External"/><Relationship Id="rId160" Type="http://schemas.openxmlformats.org/officeDocument/2006/relationships/hyperlink" Target="https://www.sec.gov/Archives/edgar/data/1219601/000119312523142091/d479802dex101.htm" TargetMode="External"/><Relationship Id="rId162" Type="http://schemas.openxmlformats.org/officeDocument/2006/relationships/hyperlink" Target="https://www.sec.gov/Archives/edgar/data/1219601/000119312523152559/d479346dex41.htm" TargetMode="External"/><Relationship Id="rId163" Type="http://schemas.openxmlformats.org/officeDocument/2006/relationships/hyperlink" Target="https://www.sec.gov/Archives/edgar/data/1219601/000119312523288510/d637028dex101.htm" TargetMode="External"/><Relationship Id="rId164" Type="http://schemas.openxmlformats.org/officeDocument/2006/relationships/hyperlink" Target="https://www.sec.gov/Archives/edgar/data/1219601/000119312523293417/d653247dex41.htm" TargetMode="External"/><Relationship Id="rId165" Type="http://schemas.openxmlformats.org/officeDocument/2006/relationships/hyperlink" Target="https://www.sec.gov/Archives/edgar/data/1219601/000121960120000006/ex4ffdec2019.htm" TargetMode="External"/><Relationship Id="rId166" Type="http://schemas.openxmlformats.org/officeDocument/2006/relationships/hyperlink" Target="http://www.sec.gov/Archives/edgar/data/1219601/000121960116000041/ex101.htm" TargetMode="External"/><Relationship Id="rId167" Type="http://schemas.openxmlformats.org/officeDocument/2006/relationships/hyperlink" Target="http://www.sec.gov/Archives/edgar/data/1219601/000121960113000032/ex103june2013.htm" TargetMode="External"/><Relationship Id="rId168" Type="http://schemas.openxmlformats.org/officeDocument/2006/relationships/hyperlink" Target="http://www.sec.gov/Archives/edgar/data/1219601/000121960112000033/ex101a.htm" TargetMode="External"/><Relationship Id="rId169" Type="http://schemas.openxmlformats.org/officeDocument/2006/relationships/hyperlink" Target="https://www.sec.gov/Archives/edgar/data/1219601/000121960115000009/ex10c11dec2014.htm" TargetMode="External"/><Relationship Id="rId170" Type="http://schemas.openxmlformats.org/officeDocument/2006/relationships/hyperlink" Target="https://www.sec.gov/Archives/edgar/data/1219601/000121960116000056/ex102-1q2016.htm" TargetMode="External"/><Relationship Id="rId171" Type="http://schemas.openxmlformats.org/officeDocument/2006/relationships/hyperlink" Target="https://www.sec.gov/Archives/edgar/data/1219601/000121960122000003/kevincclothieremploymentag.htm" TargetMode="External"/><Relationship Id="rId172" Type="http://schemas.openxmlformats.org/officeDocument/2006/relationships/hyperlink" Target="http://www.sec.gov/Archives/edgar/data/1219601/000121960119000005/ex10bdec2018.htm" TargetMode="External"/><Relationship Id="rId174" Type="http://schemas.openxmlformats.org/officeDocument/2006/relationships/hyperlink" Target="http://www.sec.gov/Archives/edgar/data/1219601/000121960108000009/ex10l.htm" TargetMode="External"/><Relationship Id="rId175" Type="http://schemas.openxmlformats.org/officeDocument/2006/relationships/hyperlink" Target="http://www.sec.gov/Archives/edgar/data/1219601/000121960107000020/ex104emarch07.htm" TargetMode="External"/><Relationship Id="rId176" Type="http://schemas.openxmlformats.org/officeDocument/2006/relationships/hyperlink" Target="http://www.sec.gov/Archives/edgar/data/1219601/000121960112000033/ex102.htm" TargetMode="External"/><Relationship Id="rId177" Type="http://schemas.openxmlformats.org/officeDocument/2006/relationships/hyperlink" Target="http://www.sec.gov/Archives/edgar/data/1219601/000121960113000007/ex10m7dec2012.htm" TargetMode="External"/><Relationship Id="rId178" Type="http://schemas.openxmlformats.org/officeDocument/2006/relationships/hyperlink" Target="https://www.sec.gov/Archives/edgar/data/1219601/000121960115000009/ex10f9dec2014.htm" TargetMode="External"/><Relationship Id="rId179" Type="http://schemas.openxmlformats.org/officeDocument/2006/relationships/hyperlink" Target="https://www.sec.gov/Archives/edgar/data/1219601/000121960116000056/ex103-1q2016.htm" TargetMode="External"/><Relationship Id="rId180" Type="http://schemas.openxmlformats.org/officeDocument/2006/relationships/hyperlink" Target="https://www.sec.gov/Archives/edgar/data/1219601/000121960116000058/ex101may2016.htm" TargetMode="External"/><Relationship Id="rId181" Type="http://schemas.openxmlformats.org/officeDocument/2006/relationships/hyperlink" Target="https://www.sec.gov/Archives/edgar/data/1219601/000121960117000016/ex10cmarch2017.htm" TargetMode="External"/><Relationship Id="rId182" Type="http://schemas.openxmlformats.org/officeDocument/2006/relationships/hyperlink" Target="https://www.sec.gov/Archives/edgar/data/1219601/000121960120000035/ex10damendment1sept2020.htm" TargetMode="External"/><Relationship Id="rId183" Type="http://schemas.openxmlformats.org/officeDocument/2006/relationships/hyperlink" Target="http://www.sec.gov/Archives/edgar/data/1219601/000121960104000206/ex106sep04.htm" TargetMode="External"/><Relationship Id="rId184" Type="http://schemas.openxmlformats.org/officeDocument/2006/relationships/hyperlink" Target="http://www.sec.gov/Archives/edgar/data/1219601/000095015904000314/crownproxy.txt" TargetMode="External"/><Relationship Id="rId185" Type="http://schemas.openxmlformats.org/officeDocument/2006/relationships/hyperlink" Target="http://www.sec.gov/Archives/edgar/data/1219601/000121960105000075/ex10q1-2005.htm" TargetMode="External"/><Relationship Id="rId186" Type="http://schemas.openxmlformats.org/officeDocument/2006/relationships/hyperlink" Target="http://www.sec.gov/Archives/edgar/data/1219601/000095015913000173/crownproxy.htm" TargetMode="External"/><Relationship Id="rId188" Type="http://schemas.openxmlformats.org/officeDocument/2006/relationships/hyperlink" Target="http://www.sec.gov/Archives/edgar/data/1219601/000121960113000045/ex10sept2013.htm" TargetMode="External"/><Relationship Id="rId189" Type="http://schemas.openxmlformats.org/officeDocument/2006/relationships/hyperlink" Target="http://www.sec.gov/Archives/edgar/data/1219601/000121960113000045/ex102sept2013.htm" TargetMode="External"/><Relationship Id="rId190" Type="http://schemas.openxmlformats.org/officeDocument/2006/relationships/hyperlink" Target="http://www.sec.gov/Archives/edgar/data/1219601/000121960112000033/ex103.htm" TargetMode="External"/><Relationship Id="rId191" Type="http://schemas.openxmlformats.org/officeDocument/2006/relationships/hyperlink" Target="http://www.sec.gov/Archives/edgar/data/1219601/000121960112000033/ex104.htm" TargetMode="External"/><Relationship Id="rId192" Type="http://schemas.openxmlformats.org/officeDocument/2006/relationships/hyperlink" Target="https://www.sec.gov/Archives/edgar/data/1219601/000121960120000018/ex10uamendment1.htm" TargetMode="External"/><Relationship Id="rId193" Type="http://schemas.openxmlformats.org/officeDocument/2006/relationships/hyperlink" Target="https://www.sec.gov/Archives/edgar/data/1219601/000121960121000005/ex10vamendment2.htm" TargetMode="External"/><Relationship Id="rId194" Type="http://schemas.openxmlformats.org/officeDocument/2006/relationships/hyperlink" Target="https://www.sec.gov/Archives/edgar/data/1219601/000121960121000024/ex10d12.htm" TargetMode="External"/><Relationship Id="rId195" Type="http://schemas.openxmlformats.org/officeDocument/2006/relationships/hyperlink" Target="https://www.sec.gov/Archives/edgar/data/1219601/000121960121000024/ex10d13.htm" TargetMode="External"/><Relationship Id="rId196" Type="http://schemas.openxmlformats.org/officeDocument/2006/relationships/hyperlink" Target="https://www.sec.gov/Archives/edgar/data/1219601/000121960123000008/ex10r-rbourqueseparationle.htm" TargetMode="External"/><Relationship Id="rId197" Type="http://schemas.openxmlformats.org/officeDocument/2006/relationships/hyperlink" Target="https://www.sec.gov/Archives/edgar/data/1219601/000121960123000008/ex10s-cbailaemploymentagre.htm" TargetMode="External"/><Relationship Id="rId198" Type="http://schemas.openxmlformats.org/officeDocument/2006/relationships/hyperlink" Target="https://www.sec.gov/Archives/edgar/data/1219601/000095015922000090/crowndef14a.htm" TargetMode="External"/><Relationship Id="rId199" Type="http://schemas.openxmlformats.org/officeDocument/2006/relationships/hyperlink" Target="https://www.sec.gov/Archives/edgar/data/1219601/000121960122000035/restorationplan.htm" TargetMode="External"/><Relationship Id="rId200" Type="http://schemas.openxmlformats.org/officeDocument/2006/relationships/hyperlink" Target="https://www.sec.gov/Archives/edgar/data/1219601/000121960122000043/ex10p-9302022xexecemploymt.htm" TargetMode="External"/><Relationship Id="rId201" Type="http://schemas.openxmlformats.org/officeDocument/2006/relationships/hyperlink" Target="https://www.sec.gov/Archives/edgar/data/1219601/000119312521114840/d155915dex21.htm" TargetMode="External"/><Relationship Id="rId202" Type="http://schemas.openxmlformats.org/officeDocument/2006/relationships/hyperlink" Target="https://www.sec.gov/Archives/edgar/data/1219601/000119312522303785/d4172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2024-02-27T13:13:30Z</dcterms:created>
  <dcterms:modified xsi:type="dcterms:W3CDTF">2024-02-27T13:13:30Z</dcterms:modified>
</cp:coreProperties>
</file>