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04" w:type="dxa"/>
        <w:tblCellMar>
          <w:top w:w="0" w:type="dxa"/>
          <w:left w:w="0" w:type="dxa"/>
          <w:bottom w:w="0" w:type="dxa"/>
          <w:right w:w="0" w:type="dxa"/>
        </w:tblCellMar>
      </w:tblPr>
      <w:tr>
        <w:trPr>
          <w:trHeight w:val="212"/>
        </w:trPr>
        <w:tc>
          <w:tcPr>
            <w:tcW w:w="3120" w:type="dxa"/>
            <w:vAlign w:val="bottom"/>
          </w:tcPr>
          <w:p>
            <w:pPr>
              <w:jc w:val="center"/>
              <w:ind w:right="1102"/>
              <w:spacing w:after="0"/>
              <w:rPr>
                <w:sz w:val="20"/>
                <w:szCs w:val="20"/>
                <w:color w:val="auto"/>
              </w:rPr>
            </w:pPr>
            <w:r>
              <w:rPr>
                <w:rFonts w:ascii="Arial" w:cs="Arial" w:eastAsia="Arial" w:hAnsi="Arial"/>
                <w:sz w:val="18"/>
                <w:szCs w:val="18"/>
                <w:b w:val="1"/>
                <w:bCs w:val="1"/>
                <w:color w:val="auto"/>
                <w:w w:val="88"/>
              </w:rPr>
              <w:t>Pennsylvania</w:t>
            </w:r>
          </w:p>
        </w:tc>
        <w:tc>
          <w:tcPr>
            <w:tcW w:w="3340" w:type="dxa"/>
            <w:vAlign w:val="bottom"/>
          </w:tcPr>
          <w:p>
            <w:pPr>
              <w:ind w:left="1200"/>
              <w:spacing w:after="0"/>
              <w:rPr>
                <w:sz w:val="20"/>
                <w:szCs w:val="20"/>
                <w:color w:val="auto"/>
              </w:rPr>
            </w:pPr>
            <w:r>
              <w:rPr>
                <w:rFonts w:ascii="Arial" w:cs="Arial" w:eastAsia="Arial" w:hAnsi="Arial"/>
                <w:sz w:val="18"/>
                <w:szCs w:val="18"/>
                <w:b w:val="1"/>
                <w:bCs w:val="1"/>
                <w:color w:val="auto"/>
              </w:rPr>
              <w:t>000-50189</w:t>
            </w:r>
          </w:p>
        </w:tc>
        <w:tc>
          <w:tcPr>
            <w:tcW w:w="2460" w:type="dxa"/>
            <w:vAlign w:val="bottom"/>
          </w:tcPr>
          <w:p>
            <w:pPr>
              <w:jc w:val="center"/>
              <w:ind w:left="1242"/>
              <w:spacing w:after="0"/>
              <w:rPr>
                <w:sz w:val="20"/>
                <w:szCs w:val="20"/>
                <w:color w:val="auto"/>
              </w:rPr>
            </w:pPr>
            <w:r>
              <w:rPr>
                <w:rFonts w:ascii="Arial" w:cs="Arial" w:eastAsia="Arial" w:hAnsi="Arial"/>
                <w:sz w:val="18"/>
                <w:szCs w:val="18"/>
                <w:b w:val="1"/>
                <w:bCs w:val="1"/>
                <w:color w:val="auto"/>
                <w:w w:val="89"/>
              </w:rPr>
              <w:t>75-3099507</w:t>
            </w:r>
          </w:p>
        </w:tc>
      </w:tr>
      <w:tr>
        <w:trPr>
          <w:trHeight w:val="148"/>
        </w:trPr>
        <w:tc>
          <w:tcPr>
            <w:tcW w:w="3120" w:type="dxa"/>
            <w:vAlign w:val="bottom"/>
          </w:tcPr>
          <w:p>
            <w:pPr>
              <w:jc w:val="center"/>
              <w:ind w:right="110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40" w:type="dxa"/>
            <w:vAlign w:val="bottom"/>
          </w:tcPr>
          <w:p>
            <w:pPr>
              <w:ind w:left="120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120" w:type="dxa"/>
            <w:vAlign w:val="bottom"/>
          </w:tcPr>
          <w:p>
            <w:pPr>
              <w:jc w:val="center"/>
              <w:ind w:right="1102"/>
              <w:spacing w:after="0"/>
              <w:rPr>
                <w:sz w:val="20"/>
                <w:szCs w:val="20"/>
                <w:color w:val="auto"/>
              </w:rPr>
            </w:pPr>
            <w:r>
              <w:rPr>
                <w:rFonts w:ascii="Arial" w:cs="Arial" w:eastAsia="Arial" w:hAnsi="Arial"/>
                <w:sz w:val="14"/>
                <w:szCs w:val="14"/>
                <w:b w:val="1"/>
                <w:bCs w:val="1"/>
                <w:color w:val="auto"/>
                <w:w w:val="95"/>
              </w:rPr>
              <w:t>Incorporation or Organization)</w:t>
            </w:r>
          </w:p>
        </w:tc>
        <w:tc>
          <w:tcPr>
            <w:tcW w:w="3340" w:type="dxa"/>
            <w:vAlign w:val="bottom"/>
          </w:tcPr>
          <w:p>
            <w:pPr>
              <w:ind w:left="118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2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$5.00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7 3/8% Debentures Due 2026</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CCK26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7 1/2% Debentures Due 2096</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CCK96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Crown European Holdings S.A. (the “</w:t>
      </w:r>
      <w:r>
        <w:rPr>
          <w:rFonts w:ascii="Arial" w:cs="Arial" w:eastAsia="Arial" w:hAnsi="Arial"/>
          <w:sz w:val="17"/>
          <w:szCs w:val="17"/>
          <w:u w:val="single" w:color="auto"/>
          <w:color w:val="auto"/>
        </w:rPr>
        <w:t>2022 Note Issuer</w:t>
      </w:r>
      <w:r>
        <w:rPr>
          <w:rFonts w:ascii="Arial" w:cs="Arial" w:eastAsia="Arial" w:hAnsi="Arial"/>
          <w:sz w:val="17"/>
          <w:szCs w:val="17"/>
          <w:color w:val="auto"/>
        </w:rPr>
        <w:t>”), a wholly-owned subsidiary of Crown Holdings, Inc., a Pennsylvania corporation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has issued an unconditional notice of redemption to redeem all of the 2022 Note Issuer’s outstanding 4% Senior Notes due 2022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2022 Notes</w:t>
      </w:r>
      <w:r>
        <w:rPr>
          <w:rFonts w:ascii="Arial" w:cs="Arial" w:eastAsia="Arial" w:hAnsi="Arial"/>
          <w:sz w:val="17"/>
          <w:szCs w:val="17"/>
          <w:color w:val="auto"/>
        </w:rPr>
        <w:t>”) with an initial aggregate principal amount outstanding of €650 million. The 2022 Notes will be redeemed on October 14, 2021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Date</w:t>
      </w:r>
      <w:r>
        <w:rPr>
          <w:rFonts w:ascii="Arial" w:cs="Arial" w:eastAsia="Arial" w:hAnsi="Arial"/>
          <w:sz w:val="16"/>
          <w:szCs w:val="16"/>
          <w:color w:val="auto"/>
        </w:rPr>
        <w:t>”) for a redemption price equal to 100% of the principal amount thereof, plus accrued and unpaid interest, if any, to the Redemption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and a Make-Whole Premium (as defined in the indenture governing the 2022 Notes) to be calculated in accordance with paragraph 5 of the reverse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side of the 2022 Notes at least two business days prior to the Redemption Date.</w:t>
      </w:r>
    </w:p>
    <w:p>
      <w:pPr>
        <w:spacing w:after="0" w:line="21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Crown Americas LLC and Crown Americas Capital Corp. IV (collectively, the “</w:t>
      </w:r>
      <w:r>
        <w:rPr>
          <w:rFonts w:ascii="Arial" w:cs="Arial" w:eastAsia="Arial" w:hAnsi="Arial"/>
          <w:sz w:val="18"/>
          <w:szCs w:val="18"/>
          <w:u w:val="single" w:color="auto"/>
          <w:color w:val="auto"/>
        </w:rPr>
        <w:t>2023 Note Issuers</w:t>
      </w:r>
      <w:r>
        <w:rPr>
          <w:rFonts w:ascii="Arial" w:cs="Arial" w:eastAsia="Arial" w:hAnsi="Arial"/>
          <w:sz w:val="18"/>
          <w:szCs w:val="18"/>
          <w:color w:val="auto"/>
        </w:rPr>
        <w:t>”), each a wholly-owned subsidiary of the Company, have issued an unconditional notice of redemption to redeem all of the 2023 Note Issuers’ outstanding 4</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2</w:t>
      </w:r>
      <w:r>
        <w:rPr>
          <w:rFonts w:ascii="Arial" w:cs="Arial" w:eastAsia="Arial" w:hAnsi="Arial"/>
          <w:sz w:val="18"/>
          <w:szCs w:val="18"/>
          <w:color w:val="auto"/>
        </w:rPr>
        <w:t>% Senior Notes due 2023 (the “</w:t>
      </w:r>
      <w:r>
        <w:rPr>
          <w:rFonts w:ascii="Arial" w:cs="Arial" w:eastAsia="Arial" w:hAnsi="Arial"/>
          <w:sz w:val="18"/>
          <w:szCs w:val="18"/>
          <w:u w:val="single" w:color="auto"/>
          <w:color w:val="auto"/>
        </w:rPr>
        <w:t>2023 Notes</w:t>
      </w:r>
      <w:r>
        <w:rPr>
          <w:rFonts w:ascii="Arial" w:cs="Arial" w:eastAsia="Arial" w:hAnsi="Arial"/>
          <w:sz w:val="18"/>
          <w:szCs w:val="18"/>
          <w:color w:val="auto"/>
        </w:rPr>
        <w:t>”) with an initial aggregate principal amount outstanding of $1 billion. The 2023 Notes will be redeemed on the Redemption Date for a redemption price equal to 100% of the principal amount thereof, plus accrued and unpaid interest, if any, to the Redemption Date and a Make-Whole Premium (as defined in the indenture governing the 2023 Notes) to be calculated in accordance with paragraph 5 of the reverse side of the 2023 Notes at least two business days prior to the Redemption Date.</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14,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Vice President and Corporate Controller</w:t>
      </w:r>
    </w:p>
    <w:sectPr>
      <w:pgSz w:w="11900" w:h="16838" w:orient="portrait"/>
      <w:cols w:equalWidth="0" w:num="1">
        <w:col w:w="10720"/>
      </w:cols>
      <w:pgMar w:left="440" w:top="297"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2021-09-14T15:44:42Z</dcterms:created>
  <dcterms:modified xsi:type="dcterms:W3CDTF">2021-09-14T15:44:42Z</dcterms:modified>
</cp:coreProperties>
</file>