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DONAHUE TIMOTHY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95"/>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CROWN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CCK</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5"/>
        <w:spacing w:after="0"/>
        <w:rPr>
          <w:sz w:val="20"/>
          <w:szCs w:val="20"/>
          <w:color w:val="auto"/>
        </w:rPr>
      </w:pPr>
      <w:r>
        <w:rPr>
          <w:rFonts w:ascii="Arial" w:cs="Arial" w:eastAsia="Arial" w:hAnsi="Arial"/>
          <w:sz w:val="17"/>
          <w:szCs w:val="17"/>
          <w:color w:val="0000FF"/>
        </w:rPr>
        <w:t>President &amp; CEO</w:t>
      </w:r>
    </w:p>
    <w:p>
      <w:pPr>
        <w:spacing w:after="0" w:line="26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54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3540" w:type="dxa"/>
            <w:vAlign w:val="bottom"/>
            <w:gridSpan w:val="6"/>
            <w:vMerge w:val="continue"/>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YARDLEY</w:t>
            </w:r>
          </w:p>
        </w:tc>
        <w:tc>
          <w:tcPr>
            <w:tcW w:w="280" w:type="dxa"/>
            <w:vAlign w:val="bottom"/>
          </w:tcPr>
          <w:p>
            <w:pPr>
              <w:ind w:left="40"/>
              <w:spacing w:after="0"/>
              <w:rPr>
                <w:sz w:val="20"/>
                <w:szCs w:val="20"/>
                <w:color w:val="auto"/>
              </w:rPr>
            </w:pPr>
            <w:r>
              <w:rPr>
                <w:rFonts w:ascii="Arial" w:cs="Arial" w:eastAsia="Arial" w:hAnsi="Arial"/>
                <w:sz w:val="17"/>
                <w:szCs w:val="17"/>
                <w:color w:val="0000FF"/>
                <w:w w:val="96"/>
              </w:rPr>
              <w:t>PA</w:t>
            </w:r>
          </w:p>
        </w:tc>
        <w:tc>
          <w:tcPr>
            <w:tcW w:w="840" w:type="dxa"/>
            <w:vAlign w:val="bottom"/>
          </w:tcPr>
          <w:p>
            <w:pPr>
              <w:spacing w:after="0"/>
              <w:rPr>
                <w:sz w:val="21"/>
                <w:szCs w:val="21"/>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19067</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94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7"/>
                <w:szCs w:val="17"/>
                <w:color w:val="0000FF"/>
                <w:w w:val="95"/>
              </w:rPr>
              <w:t>Common</w:t>
            </w: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center"/>
              <w:ind w:right="377"/>
              <w:spacing w:after="0"/>
              <w:rPr>
                <w:sz w:val="20"/>
                <w:szCs w:val="20"/>
                <w:color w:val="auto"/>
              </w:rPr>
            </w:pPr>
            <w:r>
              <w:rPr>
                <w:rFonts w:ascii="Arial" w:cs="Arial" w:eastAsia="Arial" w:hAnsi="Arial"/>
                <w:sz w:val="17"/>
                <w:szCs w:val="17"/>
                <w:color w:val="0000FF"/>
                <w:w w:val="89"/>
              </w:rPr>
              <w:t>1,423</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5"/>
              </w:rPr>
              <w:t>Common</w:t>
            </w: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Arial" w:cs="Arial" w:eastAsia="Arial" w:hAnsi="Arial"/>
                <w:sz w:val="17"/>
                <w:szCs w:val="17"/>
                <w:color w:val="0000FF"/>
                <w:w w:val="93"/>
              </w:rPr>
              <w:t>01/08/2021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1"/>
              </w:rPr>
              <w:t>63,428</w:t>
            </w:r>
            <w:r>
              <w:rPr>
                <w:rFonts w:ascii="Arial" w:cs="Arial" w:eastAsia="Arial" w:hAnsi="Arial"/>
                <w:sz w:val="22"/>
                <w:szCs w:val="22"/>
                <w:color w:val="008000"/>
                <w:w w:val="91"/>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left="25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Arial" w:cs="Arial" w:eastAsia="Arial" w:hAnsi="Arial"/>
                <w:sz w:val="17"/>
                <w:szCs w:val="17"/>
                <w:color w:val="0000FF"/>
                <w:w w:val="91"/>
              </w:rPr>
              <w:t>649,898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5"/>
              </w:rPr>
              <w:t>Common</w:t>
            </w: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27"/>
              <w:spacing w:after="0"/>
              <w:rPr>
                <w:sz w:val="20"/>
                <w:szCs w:val="20"/>
                <w:color w:val="auto"/>
              </w:rPr>
            </w:pPr>
            <w:r>
              <w:rPr>
                <w:rFonts w:ascii="Arial" w:cs="Arial" w:eastAsia="Arial" w:hAnsi="Arial"/>
                <w:sz w:val="17"/>
                <w:szCs w:val="17"/>
                <w:color w:val="0000FF"/>
                <w:w w:val="91"/>
              </w:rPr>
              <w:t>01/11/2021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1"/>
              </w:rPr>
              <w:t>31,484</w:t>
            </w:r>
            <w:r>
              <w:rPr>
                <w:rFonts w:ascii="Arial" w:cs="Arial" w:eastAsia="Arial" w:hAnsi="Arial"/>
                <w:sz w:val="22"/>
                <w:szCs w:val="22"/>
                <w:color w:val="008000"/>
                <w:w w:val="91"/>
                <w:vertAlign w:val="superscript"/>
              </w:rPr>
              <w:t>(2)</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left="25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Arial" w:cs="Arial" w:eastAsia="Arial" w:hAnsi="Arial"/>
                <w:sz w:val="17"/>
                <w:szCs w:val="17"/>
                <w:color w:val="0000FF"/>
                <w:w w:val="91"/>
              </w:rPr>
              <w:t>681,382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5"/>
              </w:rPr>
              <w:t>Common</w:t>
            </w: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27"/>
              <w:spacing w:after="0"/>
              <w:rPr>
                <w:sz w:val="20"/>
                <w:szCs w:val="20"/>
                <w:color w:val="auto"/>
              </w:rPr>
            </w:pPr>
            <w:r>
              <w:rPr>
                <w:rFonts w:ascii="Arial" w:cs="Arial" w:eastAsia="Arial" w:hAnsi="Arial"/>
                <w:sz w:val="17"/>
                <w:szCs w:val="17"/>
                <w:color w:val="0000FF"/>
                <w:w w:val="91"/>
              </w:rPr>
              <w:t>01/11/2021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1"/>
              </w:rPr>
              <w:t>30,938</w:t>
            </w:r>
            <w:r>
              <w:rPr>
                <w:rFonts w:ascii="Arial" w:cs="Arial" w:eastAsia="Arial" w:hAnsi="Arial"/>
                <w:sz w:val="22"/>
                <w:szCs w:val="22"/>
                <w:color w:val="008000"/>
                <w:w w:val="91"/>
                <w:vertAlign w:val="superscript"/>
              </w:rPr>
              <w:t>(3)</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100.04</w:t>
            </w:r>
          </w:p>
        </w:tc>
        <w:tc>
          <w:tcPr>
            <w:tcW w:w="1200" w:type="dxa"/>
            <w:vAlign w:val="bottom"/>
            <w:tcBorders>
              <w:bottom w:val="single" w:sz="8" w:color="2C2C2C"/>
            </w:tcBorders>
            <w:gridSpan w:val="2"/>
          </w:tcPr>
          <w:p>
            <w:pPr>
              <w:jc w:val="center"/>
              <w:ind w:right="17"/>
              <w:spacing w:after="0"/>
              <w:rPr>
                <w:sz w:val="20"/>
                <w:szCs w:val="20"/>
                <w:color w:val="auto"/>
              </w:rPr>
            </w:pPr>
            <w:r>
              <w:rPr>
                <w:rFonts w:ascii="Arial" w:cs="Arial" w:eastAsia="Arial" w:hAnsi="Arial"/>
                <w:sz w:val="17"/>
                <w:szCs w:val="17"/>
                <w:color w:val="0000FF"/>
                <w:w w:val="91"/>
              </w:rPr>
              <w:t>650,444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-3533775</wp:posOffset>
            </wp:positionV>
            <wp:extent cx="7031355" cy="3579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5794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63,428 shares of Restricted Common Stock under the 2013 Stock-Based Compensation Plan. 21,786 time-vested restricted shares vest over a three year period as follows: 7,262 time-vested restricted shares on January 10, 2022, January 09, 2023 and January 8, 2024, respectively. 19,856 performance-based restricted shares are targeted to vest on January 8, 2024 based on the Company's Total Shareholder Return versus a defined peer group of companies, with the final number of performance-based vested shares varying from 0 to 200% of 19,856. 21,786 performance-based restricted shares are targeted to vest on January 8, 2024 based on the Return on Invested Capital achieved by the Company compared to the ROIC target, with the final number of performance-based vested shares varying from 0 to 200% of 21,786.</w:t>
      </w:r>
    </w:p>
    <w:p>
      <w:pPr>
        <w:spacing w:after="0" w:line="29" w:lineRule="exact"/>
        <w:rPr>
          <w:rFonts w:ascii="Arial" w:cs="Arial" w:eastAsia="Arial" w:hAnsi="Arial"/>
          <w:sz w:val="13"/>
          <w:szCs w:val="13"/>
          <w:color w:val="008000"/>
        </w:rPr>
      </w:pPr>
    </w:p>
    <w:p>
      <w:pPr>
        <w:ind w:left="40" w:right="50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additional performance-based shares of Restricted Common Stock that vested on January 11, 2021 whose grant was originally reported on a Form 4 filed with the U.S. Securities and Exchange Commission on January 8, 2018 (the "Original Form 4"). As reported on the Original Form 4, such performance-based shares were originally granted to the Reporting Person based on the Company's Total Shareholder Return versus a defined group of companies with the final number of performance-based vested shares varying from 0 to 200% of 31,484.</w:t>
      </w:r>
    </w:p>
    <w:p>
      <w:pPr>
        <w:spacing w:after="0" w:line="8"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transferred to the Company for tax withholding in connection with vesting of restricted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Rosemary M. Haselroth, by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01/12/2021</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1199"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2021-01-12T14:15:48Z</dcterms:created>
  <dcterms:modified xsi:type="dcterms:W3CDTF">2021-01-12T14:15:48Z</dcterms:modified>
</cp:coreProperties>
</file>