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16, 2019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820" w:type="dxa"/>
            <w:vAlign w:val="bottom"/>
          </w:tcPr>
          <w:p>
            <w:pPr>
              <w:ind w:left="520"/>
              <w:spacing w:after="0"/>
              <w:rPr>
                <w:sz w:val="20"/>
                <w:szCs w:val="20"/>
                <w:color w:val="auto"/>
              </w:rPr>
            </w:pPr>
            <w:r>
              <w:rPr>
                <w:rFonts w:ascii="Arial" w:cs="Arial" w:eastAsia="Arial" w:hAnsi="Arial"/>
                <w:sz w:val="16"/>
                <w:szCs w:val="16"/>
                <w:color w:val="auto"/>
              </w:rPr>
              <w:t>Trading Symbols</w:t>
            </w:r>
          </w:p>
        </w:tc>
        <w:tc>
          <w:tcPr>
            <w:tcW w:w="5560" w:type="dxa"/>
            <w:vAlign w:val="bottom"/>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7"/>
                <w:szCs w:val="17"/>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820" w:type="dxa"/>
            <w:vAlign w:val="bottom"/>
          </w:tcPr>
          <w:p>
            <w:pPr>
              <w:ind w:left="520"/>
              <w:spacing w:after="0"/>
              <w:rPr>
                <w:sz w:val="20"/>
                <w:szCs w:val="20"/>
                <w:color w:val="auto"/>
              </w:rPr>
            </w:pPr>
            <w:r>
              <w:rPr>
                <w:rFonts w:ascii="Arial" w:cs="Arial" w:eastAsia="Arial" w:hAnsi="Arial"/>
                <w:sz w:val="16"/>
                <w:szCs w:val="16"/>
                <w:color w:val="auto"/>
              </w:rPr>
              <w:t>CCK</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18"/>
                <w:szCs w:val="18"/>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820" w:type="dxa"/>
            <w:vAlign w:val="bottom"/>
          </w:tcPr>
          <w:p>
            <w:pPr>
              <w:ind w:left="520"/>
              <w:spacing w:after="0"/>
              <w:rPr>
                <w:sz w:val="20"/>
                <w:szCs w:val="20"/>
                <w:color w:val="auto"/>
              </w:rPr>
            </w:pPr>
            <w:r>
              <w:rPr>
                <w:rFonts w:ascii="Arial" w:cs="Arial" w:eastAsia="Arial" w:hAnsi="Arial"/>
                <w:sz w:val="16"/>
                <w:szCs w:val="16"/>
                <w:color w:val="auto"/>
              </w:rPr>
              <w:t>CCK26</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820" w:type="dxa"/>
            <w:vAlign w:val="bottom"/>
          </w:tcPr>
          <w:p>
            <w:pPr>
              <w:ind w:left="520"/>
              <w:spacing w:after="0"/>
              <w:rPr>
                <w:sz w:val="20"/>
                <w:szCs w:val="20"/>
                <w:color w:val="auto"/>
              </w:rPr>
            </w:pPr>
            <w:r>
              <w:rPr>
                <w:rFonts w:ascii="Arial" w:cs="Arial" w:eastAsia="Arial" w:hAnsi="Arial"/>
                <w:sz w:val="16"/>
                <w:szCs w:val="16"/>
                <w:color w:val="auto"/>
              </w:rPr>
              <w:t>CCK96</w:t>
            </w:r>
          </w:p>
        </w:tc>
        <w:tc>
          <w:tcPr>
            <w:tcW w:w="5560" w:type="dxa"/>
            <w:vAlign w:val="bottom"/>
          </w:tcPr>
          <w:p>
            <w:pPr>
              <w:ind w:left="200"/>
              <w:spacing w:after="0"/>
              <w:rPr>
                <w:sz w:val="20"/>
                <w:szCs w:val="20"/>
                <w:color w:val="auto"/>
              </w:rPr>
            </w:pPr>
            <w:r>
              <w:rPr>
                <w:rFonts w:ascii="Arial" w:cs="Arial" w:eastAsia="Arial" w:hAnsi="Arial"/>
                <w:sz w:val="16"/>
                <w:szCs w:val="16"/>
                <w:color w:val="auto"/>
              </w:rPr>
              <w:t>New York Stock Exchange</w:t>
            </w:r>
          </w:p>
        </w:tc>
        <w:tc>
          <w:tcPr>
            <w:tcW w:w="1400" w:type="dxa"/>
            <w:vAlign w:val="bottom"/>
          </w:tcPr>
          <w:p>
            <w:pPr>
              <w:spacing w:after="0"/>
              <w:rPr>
                <w:sz w:val="22"/>
                <w:szCs w:val="22"/>
                <w:color w:val="auto"/>
              </w:rPr>
            </w:pPr>
          </w:p>
        </w:tc>
      </w:tr>
      <w:tr>
        <w:trPr>
          <w:trHeight w:val="364"/>
        </w:trPr>
        <w:tc>
          <w:tcPr>
            <w:tcW w:w="2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October 16, 2019 Crown Holdings, Inc. issued a press release announcing its earnings for the third quarter ended September 30, 2019. A copy of the press release is attached hereto as Exhibit 99 and incorporated herein by reference.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October 16, 2019.</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16, 2019</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Exhibit Number</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99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Description</w:t>
      </w:r>
    </w:p>
    <w:p>
      <w:pPr>
        <w:spacing w:after="0" w:line="341" w:lineRule="exact"/>
        <w:rPr>
          <w:sz w:val="20"/>
          <w:szCs w:val="20"/>
          <w:color w:val="auto"/>
        </w:rPr>
      </w:pPr>
    </w:p>
    <w:p>
      <w:pPr>
        <w:spacing w:after="0"/>
        <w:rPr>
          <w:rFonts w:ascii="Arial" w:cs="Arial" w:eastAsia="Arial" w:hAnsi="Arial"/>
          <w:sz w:val="22"/>
          <w:szCs w:val="22"/>
          <w:u w:val="single" w:color="auto"/>
          <w:color w:val="0000FF"/>
        </w:rPr>
      </w:pPr>
      <w:hyperlink w:anchor="page6">
        <w:r>
          <w:rPr>
            <w:rFonts w:ascii="Arial" w:cs="Arial" w:eastAsia="Arial" w:hAnsi="Arial"/>
            <w:sz w:val="22"/>
            <w:szCs w:val="22"/>
            <w:u w:val="single" w:color="auto"/>
            <w:color w:val="0000FF"/>
          </w:rPr>
          <w:t>Press release, dated October 16, 2019, issued by Crown Holdings, Inc.</w:t>
        </w:r>
      </w:hyperlink>
    </w:p>
    <w:p>
      <w:pPr>
        <w:spacing w:after="0" w:line="34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Cover Page Interactive Data File - the cover page XBRL tags are embedded within the Inline XBRL document.</w:t>
      </w:r>
    </w:p>
    <w:p>
      <w:pPr>
        <w:spacing w:after="0" w:line="200" w:lineRule="exact"/>
        <w:rPr>
          <w:sz w:val="20"/>
          <w:szCs w:val="20"/>
          <w:color w:val="auto"/>
        </w:rPr>
      </w:pPr>
    </w:p>
    <w:p>
      <w:pPr>
        <w:sectPr>
          <w:pgSz w:w="11900" w:h="16838" w:orient="portrait"/>
          <w:cols w:equalWidth="0" w:num="2">
            <w:col w:w="1400" w:space="700"/>
            <w:col w:w="8040"/>
          </w:cols>
          <w:pgMar w:left="760" w:top="1050" w:right="999" w:bottom="6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40"/>
          </w:cols>
          <w:pgMar w:left="760" w:top="1050" w:right="999" w:bottom="645"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323850</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THIRD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165735</wp:posOffset>
            </wp:positionV>
            <wp:extent cx="58572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Yardley, PA - October 16, 2019. </w:t>
      </w:r>
      <w:r>
        <w:rPr>
          <w:rFonts w:ascii="Arial" w:cs="Arial" w:eastAsia="Arial" w:hAnsi="Arial"/>
          <w:sz w:val="16"/>
          <w:szCs w:val="16"/>
          <w:color w:val="auto"/>
        </w:rPr>
        <w:t>Crown Holdings, Inc. (NYSE: CCK) today announced its financial results for the third quarter ended September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Earnings per share $1.36 versus $1.23 in 2018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earnings per share $1.56 versus $1.71 in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Beverage can capacity projects on schedule</w:t>
      </w:r>
    </w:p>
    <w:p>
      <w:pPr>
        <w:spacing w:after="0" w:line="211" w:lineRule="exact"/>
        <w:rPr>
          <w:sz w:val="20"/>
          <w:szCs w:val="20"/>
          <w:color w:val="auto"/>
        </w:rPr>
      </w:pPr>
    </w:p>
    <w:p>
      <w:pPr>
        <w:ind w:right="3100"/>
        <w:spacing w:after="0" w:line="277" w:lineRule="auto"/>
        <w:rPr>
          <w:sz w:val="20"/>
          <w:szCs w:val="20"/>
          <w:color w:val="auto"/>
        </w:rPr>
      </w:pPr>
      <w:r>
        <w:rPr>
          <w:rFonts w:ascii="Arial" w:cs="Arial" w:eastAsia="Arial" w:hAnsi="Arial"/>
          <w:sz w:val="18"/>
          <w:szCs w:val="18"/>
          <w:color w:val="auto"/>
        </w:rPr>
        <w:t>Net sales in the third quarter were $3,084 million compared to $3,174 million in the third quarter of 2018 reflecting $64 million of unfavorable currency translation.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$352 million in the quarter compared to $365 million in the third quarter of 2018. Segment income was $395 million in the third quarter compared to $415 million in the prior year third quarter.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Commenting on the quarter, Timothy J. Donahue, President and Chief Executive Officer, stated, “Our overall performance during the third quarter was in line with expectations. Strong operating results in the Americas Beverage segment offset a disappointing performance in the European Food business due to unfavorable weather conditions and a weaker than expected harvest. Beverage can volumes were particularly robust in Europe, Mexico and Southeast Asia, as consumers in both emerging and developed markets continue to increasingly prefer cans over other packaging options. Recently installed beverage can capacity additions, including a third line at the Company’s existing plant in Phnom Penh, Cambodia, a new one line high-speed plant in Parma, Italy and a new two line high-speed plant in Valencia, Spain, have helped us meet the continuing expansion in demand. In November 2019, we plan to commence operations at a new beverage can facility in Rio Verde in central Brazil.</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meet the surge in volume requirements in our North American beverage can business, we have begun the construction of a third high-speed line at our Nichols, New York facility which will begin production during the second quarter of 2020. Also to support demand growth and targeted for a first quarter 2020 start-up, we are installing a new aluminum beverage can line at our Weston, Ontario plant. Both the Nichols and Weston lines will be capable of producing multiple sizes. In addition, we have begun construction of a new one line beverage can plant in Nong Khae, Thailand which will commence operations during the third quarter of 2020 and supply the increasing requirements of customers in the region.”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$95 million in the third quarter of 2019 compared to $105 million in 2018 primarily due to lower debt levels in the current year.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third quarter was $183 million compared to $164 million in the third quarter of 2018. Reported diluted earnings per share were $1.36 in the third quarter of 2019 compared to $1.23 in 2018. Adjusted diluted earnings per share were $1.56 compared to $1.71 in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Results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first nine months of 2019 increased to $8,874 million compared to $8,417 million in the first nine months of 2018 primarily due to the impact of the Signode acquisition, partially offset by $244 million of unfavorable currency translation.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was $997 million in the first nine months of 2019 compared to $878 million in 2018. Segment income in the first nine months of 2019 increased to $1,096 million over the $1,049 million in the prior year period reflecting the impact of the Signode acquisition offset by $26 million of unfavorable currency translation.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was $290 million for the first nine months of 2019 compared to $282 million in 2018 primarily due to higher average outstanding debt from borrowings incurred to finance the Signode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nine months of 2019 was $423 million compared to $386 million in the first nine months of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$3.14 compared to $2.88 in 2018. Adjusted diluted earnings per share were $4.07 compared to $4.20 in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fourth quarter and full year 2019 adjusted diluted earnings to be in the ranges of $0.93 to</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$0.98 and $5.00 to $5.05 per share, respectively, compared to the previous full year estimate of $5.05 to $5.20 per share, primarily due to a poor harvest in Europe and the impact of slowing economic activity on the Transit Packaging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adjusted effective income tax rate for the full year of 2019 is expected to be between 25% and 26%.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free cash flow, as defined below, is currently expected to be approximately $725 million for 2019 with capital spending of approximately $450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fourth quarter and full year of 2019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acquisition related costs including fair value adjustments to inventory, asbestos-related charges, losses from early extinguishment of debt, pension settlement and curtailment charges, the tax and noncontrolling interest impact of the items above, and the impact of tax law changes or other tax matters.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hold a conference call tomorrow, October 17, 2019 at 9:00 a.m. (EDT) to discuss this news release. Forward-looking and other material information may be discussed on the conference call. The dial-in numbers for the conference call are (630) 395-0194 or toll-free (888) 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October 24. The telephone numbers for</w:t>
      </w:r>
      <w:r>
        <w:rPr>
          <w:rFonts w:ascii="Arial" w:cs="Arial" w:eastAsia="Arial" w:hAnsi="Arial"/>
          <w:sz w:val="18"/>
          <w:szCs w:val="18"/>
          <w:color w:val="0000FF"/>
        </w:rPr>
        <w:t xml:space="preserve"> </w:t>
      </w:r>
      <w:r>
        <w:rPr>
          <w:rFonts w:ascii="Arial" w:cs="Arial" w:eastAsia="Arial" w:hAnsi="Arial"/>
          <w:sz w:val="18"/>
          <w:szCs w:val="18"/>
          <w:color w:val="000000"/>
        </w:rPr>
        <w:t>the replay are (203) 369-3918 or toll free (888) 568-0403.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future impact of currency translation; the continuation of performance and market trends in 2019, including consumer preference for beverage cans and increasing global beverage can demand and demand in Europe, Mexico and Southeast Asia; the Company’s ability to successfully complete and begin production at capacity expansion projects within expected timelines and budgets in Brazil, the U.S., Canada and Thailand the Company’s ability to generate expected earnings and cash flow in 2019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1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700"/>
        <w:spacing w:after="0" w:line="323"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852"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3,084</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3,174</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8,874</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8,417</w:t>
            </w:r>
          </w:p>
        </w:tc>
      </w:tr>
      <w:tr>
        <w:trPr>
          <w:trHeight w:val="318"/>
        </w:trPr>
        <w:tc>
          <w:tcPr>
            <w:tcW w:w="4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2,530</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7,082</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365</w:t>
            </w: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997</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878</w:t>
            </w:r>
          </w:p>
        </w:tc>
      </w:tr>
      <w:tr>
        <w:trPr>
          <w:trHeight w:val="230"/>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settlements and curtailments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347</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392</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979</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911</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257</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293</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695</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646</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509</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133,906,820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133,729,731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133,854,275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133,608,065</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134,981,636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133,849,368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134,768,003</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133,816,005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135,526,922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135,190,167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135,526,922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135,190,167</w:t>
            </w:r>
          </w:p>
        </w:tc>
      </w:tr>
      <w:tr>
        <w:trPr>
          <w:trHeight w:val="27"/>
        </w:trPr>
        <w:tc>
          <w:tcPr>
            <w:tcW w:w="4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20" w:right="5240" w:hanging="5090"/>
        <w:spacing w:after="0" w:line="659" w:lineRule="auto"/>
        <w:tabs>
          <w:tab w:leader="none" w:pos="383" w:val="left"/>
        </w:tabs>
        <w:numPr>
          <w:ilvl w:val="0"/>
          <w:numId w:val="3"/>
        </w:numPr>
        <w:rPr>
          <w:rFonts w:ascii="Arial" w:cs="Arial" w:eastAsia="Arial" w:hAnsi="Arial"/>
          <w:sz w:val="16"/>
          <w:szCs w:val="16"/>
          <w:color w:val="auto"/>
        </w:rPr>
      </w:pPr>
      <w:r>
        <w:rPr>
          <w:rFonts w:ascii="Arial" w:cs="Arial" w:eastAsia="Arial" w:hAnsi="Arial"/>
          <w:sz w:val="16"/>
          <w:szCs w:val="16"/>
          <w:color w:val="auto"/>
        </w:rPr>
        <w:t>A reconciliation from income from operations to segment income follows. Page 4 of 10</w:t>
      </w:r>
    </w:p>
    <w:p>
      <w:pPr>
        <w:sectPr>
          <w:pgSz w:w="11900" w:h="16838" w:orient="portrait"/>
          <w:cols w:equalWidth="0" w:num="1">
            <w:col w:w="11360"/>
          </w:cols>
          <w:pgMar w:left="280" w:top="852" w:right="259"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and the impact of fair value adjustments to inventory acquired in an acquisition.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00" w:type="dxa"/>
            <w:vAlign w:val="bottom"/>
            <w:gridSpan w:val="13"/>
          </w:tcPr>
          <w:p>
            <w:pPr>
              <w:ind w:left="60"/>
              <w:spacing w:after="0"/>
              <w:rPr>
                <w:sz w:val="20"/>
                <w:szCs w:val="20"/>
                <w:color w:val="auto"/>
              </w:rPr>
            </w:pPr>
            <w:r>
              <w:rPr>
                <w:rFonts w:ascii="Arial" w:cs="Arial" w:eastAsia="Arial" w:hAnsi="Arial"/>
                <w:sz w:val="18"/>
                <w:szCs w:val="18"/>
                <w:b w:val="1"/>
                <w:bCs w:val="1"/>
                <w:color w:val="auto"/>
                <w:w w:val="92"/>
              </w:rPr>
              <w:t>Three Months Ended September 30,</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997</w:t>
            </w:r>
          </w:p>
        </w:tc>
        <w:tc>
          <w:tcPr>
            <w:tcW w:w="4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8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Intangibles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40" w:type="dxa"/>
            <w:vAlign w:val="bottom"/>
            <w:gridSpan w:val="3"/>
          </w:tcPr>
          <w:p>
            <w:pPr>
              <w:spacing w:after="0" w:line="270" w:lineRule="exact"/>
              <w:rPr>
                <w:sz w:val="20"/>
                <w:szCs w:val="20"/>
                <w:color w:val="auto"/>
              </w:rPr>
            </w:pPr>
            <w:r>
              <w:rPr>
                <w:rFonts w:ascii="Arial" w:cs="Arial" w:eastAsia="Arial" w:hAnsi="Arial"/>
                <w:sz w:val="18"/>
                <w:szCs w:val="18"/>
                <w:color w:val="auto"/>
                <w:w w:val="98"/>
              </w:rPr>
              <w:t xml:space="preserve">Fair value adjustment to inventory </w:t>
            </w:r>
            <w:r>
              <w:rPr>
                <w:rFonts w:ascii="Arial" w:cs="Arial" w:eastAsia="Arial" w:hAnsi="Arial"/>
                <w:sz w:val="25"/>
                <w:szCs w:val="25"/>
                <w:color w:val="auto"/>
                <w:w w:val="98"/>
                <w:vertAlign w:val="superscript"/>
              </w:rPr>
              <w:t>(1)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Borders>
              <w:right w:val="single" w:sz="8" w:color="CCEEFF"/>
            </w:tcBorders>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restructuring and other</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Segment income</w:t>
            </w: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415</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c>
          <w:tcPr>
            <w:tcW w:w="40" w:type="dxa"/>
            <w:vAlign w:val="bottom"/>
            <w:tcBorders>
              <w:top w:val="single" w:sz="8" w:color="auto"/>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gridSpan w:val="5"/>
            <w:vMerge w:val="restart"/>
          </w:tcPr>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Included in cost of products sold</w:t>
            </w: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6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gridSpan w:val="2"/>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gridSpan w:val="2"/>
          </w:tcPr>
          <w:p>
            <w:pPr>
              <w:spacing w:after="0"/>
              <w:rPr>
                <w:sz w:val="8"/>
                <w:szCs w:val="8"/>
                <w:color w:val="auto"/>
              </w:rPr>
            </w:pPr>
          </w:p>
        </w:tc>
        <w:tc>
          <w:tcPr>
            <w:tcW w:w="820" w:type="dxa"/>
            <w:vAlign w:val="bottom"/>
            <w:tcBorders>
              <w:bottom w:val="single" w:sz="8" w:color="9A9A9A"/>
            </w:tcBorders>
            <w:gridSpan w:val="2"/>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89"/>
              </w:rPr>
              <w:t>Segment Information</w:t>
            </w:r>
          </w:p>
        </w:tc>
        <w:tc>
          <w:tcPr>
            <w:tcW w:w="4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13"/>
          </w:tcPr>
          <w:p>
            <w:pPr>
              <w:ind w:left="60"/>
              <w:spacing w:after="0"/>
              <w:rPr>
                <w:sz w:val="20"/>
                <w:szCs w:val="20"/>
                <w:color w:val="auto"/>
              </w:rPr>
            </w:pPr>
            <w:r>
              <w:rPr>
                <w:rFonts w:ascii="Arial" w:cs="Arial" w:eastAsia="Arial" w:hAnsi="Arial"/>
                <w:sz w:val="18"/>
                <w:szCs w:val="18"/>
                <w:b w:val="1"/>
                <w:bCs w:val="1"/>
                <w:color w:val="auto"/>
                <w:w w:val="92"/>
              </w:rPr>
              <w:t>Three Months Ended September 30,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68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w w:val="86"/>
              </w:rPr>
              <w:t>835</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w w:val="86"/>
              </w:rPr>
              <w:t>416</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8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w w:val="86"/>
              </w:rPr>
              <w:t>581</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ind w:left="640"/>
              <w:spacing w:after="0"/>
              <w:rPr>
                <w:sz w:val="20"/>
                <w:szCs w:val="20"/>
                <w:color w:val="auto"/>
              </w:rPr>
            </w:pPr>
            <w:r>
              <w:rPr>
                <w:rFonts w:ascii="Arial" w:cs="Arial" w:eastAsia="Arial" w:hAnsi="Arial"/>
                <w:sz w:val="18"/>
                <w:szCs w:val="18"/>
                <w:color w:val="auto"/>
                <w:w w:val="86"/>
              </w:rPr>
              <w:t>319</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Borders>
              <w:right w:val="single" w:sz="8" w:color="CCEEFF"/>
            </w:tcBorders>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w w:val="86"/>
              </w:rPr>
              <w:t>564</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2,715</w:t>
            </w:r>
          </w:p>
        </w:tc>
        <w:tc>
          <w:tcPr>
            <w:tcW w:w="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2,819</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Borders>
              <w:right w:val="single" w:sz="8" w:color="CCEEFF"/>
            </w:tcBorders>
          </w:tcPr>
          <w:p>
            <w:pPr>
              <w:spacing w:after="0"/>
              <w:rPr>
                <w:sz w:val="23"/>
                <w:szCs w:val="23"/>
                <w:color w:val="auto"/>
              </w:rPr>
            </w:pPr>
          </w:p>
        </w:tc>
        <w:tc>
          <w:tcPr>
            <w:tcW w:w="29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3"/>
            <w:shd w:val="clear" w:color="auto" w:fill="CCEEFF"/>
          </w:tcPr>
          <w:p>
            <w:pPr>
              <w:ind w:left="640"/>
              <w:spacing w:after="0"/>
              <w:rPr>
                <w:sz w:val="20"/>
                <w:szCs w:val="20"/>
                <w:color w:val="auto"/>
              </w:rPr>
            </w:pPr>
            <w:r>
              <w:rPr>
                <w:rFonts w:ascii="Arial" w:cs="Arial" w:eastAsia="Arial" w:hAnsi="Arial"/>
                <w:sz w:val="18"/>
                <w:szCs w:val="18"/>
                <w:color w:val="auto"/>
                <w:w w:val="86"/>
              </w:rPr>
              <w:t>369</w:t>
            </w:r>
          </w:p>
        </w:tc>
        <w:tc>
          <w:tcPr>
            <w:tcW w:w="4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3,084</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3,174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8,874</w:t>
            </w:r>
          </w:p>
        </w:tc>
        <w:tc>
          <w:tcPr>
            <w:tcW w:w="40" w:type="dxa"/>
            <w:vAlign w:val="bottom"/>
          </w:tcPr>
          <w:p>
            <w:pPr>
              <w:spacing w:after="0"/>
              <w:rPr>
                <w:sz w:val="22"/>
                <w:szCs w:val="2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8,417</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8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3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80" w:type="dxa"/>
            <w:vAlign w:val="bottom"/>
            <w:tcBorders>
              <w:right w:val="single" w:sz="8" w:color="CCEEFF"/>
            </w:tcBorders>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Borders>
              <w:right w:val="single" w:sz="8" w:color="CCEEFF"/>
            </w:tcBorders>
          </w:tcPr>
          <w:p>
            <w:pPr>
              <w:spacing w:after="0"/>
              <w:rPr>
                <w:sz w:val="23"/>
                <w:szCs w:val="23"/>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80" w:type="dxa"/>
            <w:vAlign w:val="bottom"/>
            <w:tcBorders>
              <w:right w:val="single" w:sz="8" w:color="CCEEFF"/>
            </w:tcBorders>
          </w:tcPr>
          <w:p>
            <w:pPr>
              <w:spacing w:after="0"/>
              <w:rPr>
                <w:sz w:val="23"/>
                <w:szCs w:val="23"/>
                <w:color w:val="auto"/>
              </w:rPr>
            </w:pPr>
          </w:p>
        </w:tc>
        <w:tc>
          <w:tcPr>
            <w:tcW w:w="29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w w:val="95"/>
              </w:rPr>
              <w:t>Corporate and other unallocated items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80" w:type="dxa"/>
            <w:vAlign w:val="bottom"/>
            <w:tcBorders>
              <w:right w:val="single" w:sz="8" w:color="CCEEFF"/>
            </w:tcBorders>
          </w:tcPr>
          <w:p>
            <w:pPr>
              <w:spacing w:after="0"/>
              <w:rPr>
                <w:sz w:val="22"/>
                <w:szCs w:val="22"/>
                <w:color w:val="auto"/>
              </w:rPr>
            </w:pPr>
          </w:p>
        </w:tc>
        <w:tc>
          <w:tcPr>
            <w:tcW w:w="29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3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395</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415</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4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-3939540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-3939540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55" w:lineRule="exact"/>
        <w:rPr>
          <w:sz w:val="20"/>
          <w:szCs w:val="20"/>
          <w:color w:val="auto"/>
        </w:rPr>
      </w:pPr>
    </w:p>
    <w:p>
      <w:pPr>
        <w:ind w:left="260" w:hanging="252"/>
        <w:spacing w:after="0" w:line="277" w:lineRule="auto"/>
        <w:tabs>
          <w:tab w:leader="none" w:pos="273" w:val="left"/>
        </w:tabs>
        <w:numPr>
          <w:ilvl w:val="0"/>
          <w:numId w:val="4"/>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420"/>
          </w:cols>
          <w:pgMar w:left="240" w:top="852" w:right="239" w:bottom="10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420"/>
          </w:cols>
          <w:pgMar w:left="240" w:top="852" w:right="239" w:bottom="1079"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11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160" w:type="dxa"/>
            <w:vAlign w:val="bottom"/>
            <w:gridSpan w:val="9"/>
          </w:tcPr>
          <w:p>
            <w:pPr>
              <w:ind w:left="12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20"/>
                <w:szCs w:val="20"/>
                <w:color w:val="auto"/>
              </w:rPr>
            </w:pPr>
          </w:p>
        </w:tc>
        <w:tc>
          <w:tcPr>
            <w:tcW w:w="2700" w:type="dxa"/>
            <w:vAlign w:val="bottom"/>
            <w:gridSpan w:val="9"/>
          </w:tcPr>
          <w:p>
            <w:pPr>
              <w:jc w:val="right"/>
              <w:ind w:right="34"/>
              <w:spacing w:after="0"/>
              <w:rPr>
                <w:sz w:val="20"/>
                <w:szCs w:val="20"/>
                <w:color w:val="auto"/>
              </w:rPr>
            </w:pPr>
            <w:r>
              <w:rPr>
                <w:rFonts w:ascii="Arial" w:cs="Arial" w:eastAsia="Arial" w:hAnsi="Arial"/>
                <w:sz w:val="17"/>
                <w:szCs w:val="17"/>
                <w:b w:val="1"/>
                <w:bCs w:val="1"/>
                <w:color w:val="auto"/>
                <w:w w:val="91"/>
              </w:rPr>
              <w:t>Nine Months Ended September 30,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4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39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income/diluted earnings per share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Crown Holdings, as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3"/>
              </w:rPr>
              <w:t>$ 183</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1"/>
              </w:rPr>
              <w:t>$ 1.36</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3"/>
              </w:rPr>
              <w:t>$ 164</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92"/>
              </w:rPr>
              <w:t>$ 2.88</w:t>
            </w:r>
          </w:p>
        </w:tc>
        <w:tc>
          <w:tcPr>
            <w:tcW w:w="0" w:type="dxa"/>
            <w:vAlign w:val="bottom"/>
          </w:tcPr>
          <w:p>
            <w:pPr>
              <w:spacing w:after="0"/>
              <w:rPr>
                <w:sz w:val="1"/>
                <w:szCs w:val="1"/>
                <w:color w:val="auto"/>
              </w:rPr>
            </w:pPr>
          </w:p>
        </w:tc>
      </w:tr>
      <w:tr>
        <w:trPr>
          <w:trHeight w:val="270"/>
        </w:trPr>
        <w:tc>
          <w:tcPr>
            <w:tcW w:w="34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3"/>
                <w:szCs w:val="23"/>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23"/>
                <w:szCs w:val="23"/>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3"/>
                <w:szCs w:val="23"/>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(2)</w:t>
            </w: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34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5"/>
                <w:szCs w:val="25"/>
                <w:color w:val="auto"/>
                <w:vertAlign w:val="superscript"/>
              </w:rPr>
              <w:t>(3)</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(0.01)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4"/>
              </w:rPr>
              <w:t>(0.30)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3"/>
                <w:szCs w:val="23"/>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7"/>
              </w:rPr>
              <w:t xml:space="preserve">Pension settlements and curtailments </w:t>
            </w:r>
            <w:r>
              <w:rPr>
                <w:rFonts w:ascii="Arial" w:cs="Arial" w:eastAsia="Arial" w:hAnsi="Arial"/>
                <w:sz w:val="25"/>
                <w:szCs w:val="25"/>
                <w:color w:val="auto"/>
                <w:w w:val="97"/>
                <w:vertAlign w:val="superscript"/>
              </w:rPr>
              <w:t>(4)</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Acquisition costs </w:t>
            </w:r>
            <w:r>
              <w:rPr>
                <w:rFonts w:ascii="Arial" w:cs="Arial" w:eastAsia="Arial" w:hAnsi="Arial"/>
                <w:sz w:val="25"/>
                <w:szCs w:val="25"/>
                <w:color w:val="auto"/>
                <w:vertAlign w:val="superscript"/>
              </w:rPr>
              <w:t>(5)</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580" w:type="dxa"/>
            <w:vAlign w:val="bottom"/>
          </w:tcPr>
          <w:p>
            <w:pPr>
              <w:jc w:val="right"/>
              <w:ind w:right="34"/>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w w:val="95"/>
              </w:rPr>
              <w:t xml:space="preserve">Loss from early extinguishment of debt </w:t>
            </w:r>
            <w:r>
              <w:rPr>
                <w:rFonts w:ascii="Arial" w:cs="Arial" w:eastAsia="Arial" w:hAnsi="Arial"/>
                <w:sz w:val="25"/>
                <w:szCs w:val="25"/>
                <w:color w:val="auto"/>
                <w:w w:val="95"/>
                <w:vertAlign w:val="superscript"/>
              </w:rPr>
              <w:t>(6)</w:t>
            </w: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(7)</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3"/>
                <w:szCs w:val="23"/>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4"/>
              </w:rPr>
              <w:t>(0.15)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5"/>
                <w:szCs w:val="25"/>
                <w:color w:val="auto"/>
                <w:vertAlign w:val="superscript"/>
              </w:rPr>
              <w:t>(8)</w:t>
            </w:r>
          </w:p>
        </w:tc>
        <w:tc>
          <w:tcPr>
            <w:tcW w:w="62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8"/>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w w:val="97"/>
              </w:rPr>
              <w:t>Adjusted net income/diluted earnings per</w:t>
            </w: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$ 210</w:t>
            </w:r>
          </w:p>
        </w:tc>
        <w:tc>
          <w:tcPr>
            <w:tcW w:w="180" w:type="dxa"/>
            <w:vAlign w:val="bottom"/>
          </w:tcPr>
          <w:p>
            <w:pPr>
              <w:spacing w:after="0"/>
              <w:rPr>
                <w:sz w:val="18"/>
                <w:szCs w:val="18"/>
                <w:color w:val="auto"/>
              </w:rPr>
            </w:pPr>
          </w:p>
        </w:tc>
        <w:tc>
          <w:tcPr>
            <w:tcW w:w="6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$ 1.56</w:t>
            </w:r>
          </w:p>
        </w:tc>
        <w:tc>
          <w:tcPr>
            <w:tcW w:w="160" w:type="dxa"/>
            <w:vAlign w:val="bottom"/>
          </w:tcPr>
          <w:p>
            <w:pPr>
              <w:spacing w:after="0"/>
              <w:rPr>
                <w:sz w:val="18"/>
                <w:szCs w:val="18"/>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$ 229</w:t>
            </w:r>
          </w:p>
        </w:tc>
        <w:tc>
          <w:tcPr>
            <w:tcW w:w="1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1.71</w:t>
            </w:r>
          </w:p>
        </w:tc>
        <w:tc>
          <w:tcPr>
            <w:tcW w:w="18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548</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4.07</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rPr>
              <w:t>562</w:t>
            </w:r>
          </w:p>
        </w:tc>
        <w:tc>
          <w:tcPr>
            <w:tcW w:w="120" w:type="dxa"/>
            <w:vAlign w:val="bottom"/>
          </w:tcPr>
          <w:p>
            <w:pPr>
              <w:spacing w:after="0"/>
              <w:rPr>
                <w:sz w:val="18"/>
                <w:szCs w:val="18"/>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w w:val="92"/>
              </w:rPr>
              <w:t>$ 4.20</w:t>
            </w:r>
          </w:p>
        </w:tc>
        <w:tc>
          <w:tcPr>
            <w:tcW w:w="0" w:type="dxa"/>
            <w:vAlign w:val="bottom"/>
          </w:tcPr>
          <w:p>
            <w:pPr>
              <w:spacing w:after="0"/>
              <w:rPr>
                <w:sz w:val="1"/>
                <w:szCs w:val="1"/>
                <w:color w:val="auto"/>
              </w:rPr>
            </w:pPr>
          </w:p>
        </w:tc>
      </w:tr>
      <w:tr>
        <w:trPr>
          <w:trHeight w:val="278"/>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share</w:t>
            </w:r>
          </w:p>
        </w:tc>
        <w:tc>
          <w:tcPr>
            <w:tcW w:w="6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Effective tax rate as reported</w:t>
            </w: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5"/>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1"/>
              </w:rPr>
              <w:t>30.3%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3480" w:type="dxa"/>
            <w:vAlign w:val="bottom"/>
          </w:tcPr>
          <w:p>
            <w:pPr>
              <w:ind w:left="20"/>
              <w:spacing w:after="0"/>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5"/>
                <w:szCs w:val="25"/>
                <w:color w:val="auto"/>
                <w:vertAlign w:val="superscript"/>
              </w:rPr>
              <w:t>(9)</w:t>
            </w: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5"/>
              </w:rPr>
              <w:t>25.5%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1"/>
              </w:rPr>
              <w:t>25.4%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47" w:lineRule="exact"/>
        <w:rPr>
          <w:sz w:val="20"/>
          <w:szCs w:val="20"/>
          <w:color w:val="auto"/>
        </w:rPr>
      </w:pPr>
    </w:p>
    <w:p>
      <w:pPr>
        <w:jc w:val="both"/>
        <w:ind w:left="400" w:hanging="392"/>
        <w:spacing w:after="0" w:line="25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and first nine months of 2019, the Company recorded charges of $42 million ($31 million net of tax) and $136 million ($101 million net of tax) for intangibles arising from acquisitions. Also in the third quarter and first nine months of 2019, the Company recorded charges of $1 million ($0 million net of tax) and $4 million ($3 million net of tax) for accelerated depreciation related to the planned shutdown of a steel beverage can operation in Spain. In the third quarter and first nine months of 2018, the Company recorded charges of $51 million ($38 million net of tax) and $103 million ($76 million net of tax) for intangibles amortization.</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70"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nine months of 2019, the Company recorded net restructuring and other gains of $41 million ($26 million net of tax). The nine months amount included gains of $50 million arising from favorable court rulings in lawsuits brought by the Company’s Brazilian subsidiaries claiming they were overcharged by local tax authorities for indirect taxes paid in prior years, offset by other net charges of $9 million primarily related to restructuring actions. In the third quarter and first nine months of 2018, the Company recorded net restructuring and other gains of $1 million ($1 million net of tax) and charges of $28 million ($27 million net of tax) including $22 million of transaction costs for the nine months in connection with its acquisition of Signode.</w:t>
      </w:r>
    </w:p>
    <w:p>
      <w:pPr>
        <w:spacing w:after="0" w:line="193"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and first nine months of 2019, the Company recorded charges of $6 million ($5 million net of tax) and $37 million ($31 million net of tax) arising from pension plan settlements. In the first quarter of 2019, the Company recorded a curtailment gain of $14 million ($12 million net of tax) in connection with the closure of a defined benefit pension plan to future accrual for active members.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ind w:left="332" w:right="20" w:hanging="332"/>
        <w:spacing w:after="0" w:line="26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2018, the Company recorded a charge of $15 million ($10 million net of tax) for net losses arising from its hedge of the U.S. dollar purchase price of its acquisition of Signode. Also in the first quarter, the Company incurred net charges of $9 million ($7 million net of tax) for pre-acquisition interest carrying costs on borrowings to finance the acquisition.</w:t>
      </w:r>
    </w:p>
    <w:p>
      <w:pPr>
        <w:spacing w:after="0" w:line="181"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8"/>
          <w:szCs w:val="18"/>
          <w:color w:val="auto"/>
        </w:rPr>
        <w:t>In the first quarter of 2019, the Company recorded a charge of $6 million ($5 million net of tax) for the write off of deferred financing fees in connection with the repayment of a portion of its term loan.</w:t>
      </w:r>
    </w:p>
    <w:p>
      <w:pPr>
        <w:spacing w:after="0" w:line="170" w:lineRule="exact"/>
        <w:rPr>
          <w:rFonts w:ascii="Arial" w:cs="Arial" w:eastAsia="Arial" w:hAnsi="Arial"/>
          <w:sz w:val="16"/>
          <w:szCs w:val="16"/>
          <w:color w:val="auto"/>
        </w:rPr>
      </w:pPr>
    </w:p>
    <w:p>
      <w:pPr>
        <w:ind w:left="332" w:hanging="332"/>
        <w:spacing w:after="0" w:line="273"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third quarter and first nine months of 2019, the Company recorded income tax benefits of $13 million and $26 million related to the items described above. Also in the third quarter of 2019, the Company recorded a tax benefit of $9 million arising from tax law changes in India. In the second quarter of 2019, the Company recorded a charge of $15 million to settle a tax contingency arising from a transaction that occurred prior to its acquisition of Signode. In the third quarter and first nine months of 2018, the Company recorded income tax benefits of $13 million and $46 million related to the items described above. Also in the third quarter of 2018, the Company recorded charges of $28 million related to taxes on the distribution of foreign earnings, including an adjustment for the impact of the “Tax Cut and Jobs Act.”</w:t>
      </w:r>
    </w:p>
    <w:p>
      <w:pPr>
        <w:spacing w:after="0" w:line="178" w:lineRule="exact"/>
        <w:rPr>
          <w:rFonts w:ascii="Arial" w:cs="Arial" w:eastAsia="Arial" w:hAnsi="Arial"/>
          <w:sz w:val="17"/>
          <w:szCs w:val="17"/>
          <w:color w:val="auto"/>
        </w:rPr>
      </w:pPr>
    </w:p>
    <w:p>
      <w:pPr>
        <w:ind w:left="332" w:right="160" w:hanging="332"/>
        <w:spacing w:after="0" w:line="308"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first nine months of 2019, the Company recorded noncontrolling interest expense of $17 million related to the items described above. In the first nine months of 2018, the Company recorded a noncontrolling interest benefit of $1 million related to the items described above.</w:t>
      </w:r>
    </w:p>
    <w:p>
      <w:pPr>
        <w:spacing w:after="0" w:line="146" w:lineRule="exact"/>
        <w:rPr>
          <w:rFonts w:ascii="Arial" w:cs="Arial" w:eastAsia="Arial" w:hAnsi="Arial"/>
          <w:sz w:val="17"/>
          <w:szCs w:val="17"/>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 effects on adjusted net income were calculated using the applicable tax rates of the underlying jurisdictions.</w:t>
      </w:r>
    </w:p>
    <w:p>
      <w:pPr>
        <w:spacing w:after="0" w:line="200" w:lineRule="exact"/>
        <w:rPr>
          <w:sz w:val="20"/>
          <w:szCs w:val="20"/>
          <w:color w:val="auto"/>
        </w:rPr>
      </w:pPr>
    </w:p>
    <w:p>
      <w:pPr>
        <w:spacing w:after="0" w:line="26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332"/>
          </w:cols>
          <w:pgMar w:left="248" w:top="852" w:right="319" w:bottom="1440" w:gutter="0" w:footer="0" w:header="0"/>
        </w:sectPr>
      </w:pPr>
    </w:p>
    <w:bookmarkStart w:id="12" w:name="page13"/>
    <w:bookmarkEnd w:id="12"/>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 xml:space="preserve">2019 </w:t>
            </w:r>
            <w:r>
              <w:rPr>
                <w:rFonts w:ascii="Arial" w:cs="Arial" w:eastAsia="Arial" w:hAnsi="Arial"/>
                <w:sz w:val="25"/>
                <w:szCs w:val="25"/>
                <w:b w:val="1"/>
                <w:bCs w:val="1"/>
                <w:color w:val="auto"/>
                <w:w w:val="97"/>
                <w:vertAlign w:val="superscript"/>
              </w:rPr>
              <w:t>(1)</w:t>
            </w: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spacing w:after="0"/>
              <w:rPr>
                <w:sz w:val="24"/>
                <w:szCs w:val="24"/>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1,795</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3,722</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15,337</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15,335</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3,632</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3,601</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8,042</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15,337</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15,335</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right="4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January 1, 2019, the Company adopted new lease accounting guidance resulting in increases in other non-current assets and other non-current liabilities of $220. Prior period amounts have not been recast and continue to be reported in accordance with accounting guidance in effect for those periods.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10</w:t>
      </w:r>
    </w:p>
    <w:p>
      <w:pPr>
        <w:sectPr>
          <w:pgSz w:w="11900" w:h="16838" w:orient="portrait"/>
          <w:cols w:equalWidth="0" w:num="1">
            <w:col w:w="11420"/>
          </w:cols>
          <w:pgMar w:left="240" w:top="852" w:right="23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w:t>
            </w:r>
          </w:p>
        </w:tc>
        <w:tc>
          <w:tcPr>
            <w:tcW w:w="26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509</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(1,029)</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w w:val="97"/>
              </w:rPr>
              <w:t xml:space="preserve">Net cash provided by/(used for) operating activities </w:t>
            </w:r>
            <w:r>
              <w:rPr>
                <w:rFonts w:ascii="Arial" w:cs="Arial" w:eastAsia="Arial" w:hAnsi="Arial"/>
                <w:sz w:val="28"/>
                <w:szCs w:val="28"/>
                <w:b w:val="1"/>
                <w:bCs w:val="1"/>
                <w:color w:val="auto"/>
                <w:w w:val="97"/>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201</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(232)</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(3,912)</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(3,719)</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3,999</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3,902</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70"/>
        </w:trPr>
        <w:tc>
          <w:tcPr>
            <w:tcW w:w="20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659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57"/>
        </w:trPr>
        <w:tc>
          <w:tcPr>
            <w:tcW w:w="2020" w:type="dxa"/>
            <w:vAlign w:val="bottom"/>
          </w:tcPr>
          <w:p>
            <w:pPr>
              <w:spacing w:after="0"/>
              <w:rPr>
                <w:sz w:val="22"/>
                <w:szCs w:val="22"/>
                <w:color w:val="auto"/>
              </w:rPr>
            </w:pPr>
          </w:p>
        </w:tc>
        <w:tc>
          <w:tcPr>
            <w:tcW w:w="478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September 30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398</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w:t>
            </w:r>
          </w:p>
        </w:tc>
        <w:tc>
          <w:tcPr>
            <w:tcW w:w="2020" w:type="dxa"/>
            <w:vAlign w:val="bottom"/>
          </w:tcPr>
          <w:p>
            <w:pPr>
              <w:spacing w:after="0"/>
              <w:rPr>
                <w:sz w:val="22"/>
                <w:szCs w:val="22"/>
                <w:color w:val="auto"/>
              </w:rPr>
            </w:pPr>
          </w:p>
        </w:tc>
      </w:tr>
      <w:tr>
        <w:trPr>
          <w:trHeight w:val="20"/>
        </w:trPr>
        <w:tc>
          <w:tcPr>
            <w:tcW w:w="20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6"/>
        </w:trPr>
        <w:tc>
          <w:tcPr>
            <w:tcW w:w="202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69" w:lineRule="exact"/>
        <w:rPr>
          <w:sz w:val="20"/>
          <w:szCs w:val="20"/>
          <w:color w:val="auto"/>
        </w:rPr>
      </w:pPr>
    </w:p>
    <w:p>
      <w:pPr>
        <w:ind w:left="400" w:right="20" w:hanging="324"/>
        <w:spacing w:after="0" w:line="26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free cash flow is defined by the Company as net cash used for operating activities plus beneficial interest in transferred receivables less capital expenditures and certain other items. A reconciliation from net cash used for operating activities to adjusted free cash flow for the three and nine months ended September 30, 2019 and 2018 follows.</w:t>
      </w:r>
    </w:p>
    <w:p>
      <w:pPr>
        <w:spacing w:after="0" w:line="167" w:lineRule="exact"/>
        <w:rPr>
          <w:rFonts w:ascii="Arial" w:cs="Arial" w:eastAsia="Arial" w:hAnsi="Arial"/>
          <w:sz w:val="17"/>
          <w:szCs w:val="17"/>
          <w:color w:val="auto"/>
        </w:rPr>
      </w:pPr>
    </w:p>
    <w:p>
      <w:pPr>
        <w:ind w:left="400" w:hanging="324"/>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and cash equivalents includes $59 and $56 of restricted cash at September 30, 2019 and 2018.</w:t>
      </w:r>
    </w:p>
    <w:p>
      <w:pPr>
        <w:spacing w:after="0" w:line="178"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206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jc w:val="right"/>
              <w:ind w:right="29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40" w:type="dxa"/>
            <w:vAlign w:val="bottom"/>
            <w:gridSpan w:val="3"/>
          </w:tcPr>
          <w:p>
            <w:pPr>
              <w:jc w:val="right"/>
              <w:ind w:right="195"/>
              <w:spacing w:after="0"/>
              <w:rPr>
                <w:sz w:val="20"/>
                <w:szCs w:val="20"/>
                <w:color w:val="auto"/>
              </w:rPr>
            </w:pPr>
            <w:r>
              <w:rPr>
                <w:rFonts w:ascii="Arial" w:cs="Arial" w:eastAsia="Arial" w:hAnsi="Arial"/>
                <w:sz w:val="17"/>
                <w:szCs w:val="17"/>
                <w:b w:val="1"/>
                <w:bCs w:val="1"/>
                <w:color w:val="auto"/>
                <w:w w:val="89"/>
              </w:rPr>
              <w:t>September 30,</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75"/>
              <w:spacing w:after="0"/>
              <w:rPr>
                <w:sz w:val="20"/>
                <w:szCs w:val="20"/>
                <w:color w:val="auto"/>
              </w:rPr>
            </w:pPr>
            <w:r>
              <w:rPr>
                <w:rFonts w:ascii="Arial" w:cs="Arial" w:eastAsia="Arial" w:hAnsi="Arial"/>
                <w:sz w:val="17"/>
                <w:szCs w:val="17"/>
                <w:b w:val="1"/>
                <w:bCs w:val="1"/>
                <w:color w:val="auto"/>
              </w:rPr>
              <w:t>2018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4"/>
              <w:spacing w:after="0"/>
              <w:rPr>
                <w:sz w:val="20"/>
                <w:szCs w:val="20"/>
                <w:color w:val="auto"/>
              </w:rPr>
            </w:pPr>
            <w:r>
              <w:rPr>
                <w:rFonts w:ascii="Arial" w:cs="Arial" w:eastAsia="Arial" w:hAnsi="Arial"/>
                <w:sz w:val="17"/>
                <w:szCs w:val="17"/>
                <w:b w:val="1"/>
                <w:bCs w:val="1"/>
                <w:color w:val="auto"/>
              </w:rPr>
              <w:t>2019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from operating activities</w:t>
            </w:r>
          </w:p>
        </w:tc>
        <w:tc>
          <w:tcPr>
            <w:tcW w:w="7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91"/>
              </w:rPr>
              <w:t>428</w:t>
            </w: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260</w:t>
            </w: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201</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(232)</w:t>
            </w:r>
          </w:p>
        </w:tc>
        <w:tc>
          <w:tcPr>
            <w:tcW w:w="0" w:type="dxa"/>
            <w:vAlign w:val="bottom"/>
          </w:tcPr>
          <w:p>
            <w:pPr>
              <w:spacing w:after="0"/>
              <w:rPr>
                <w:sz w:val="1"/>
                <w:szCs w:val="1"/>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7"/>
                <w:szCs w:val="17"/>
                <w:color w:val="auto"/>
                <w:w w:val="97"/>
              </w:rPr>
              <w:t>Beneficial interest in transferred receivables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155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181"/>
        </w:trPr>
        <w:tc>
          <w:tcPr>
            <w:tcW w:w="3260" w:type="dxa"/>
            <w:vAlign w:val="bottom"/>
          </w:tcPr>
          <w:p>
            <w:pPr>
              <w:ind w:left="20"/>
              <w:spacing w:after="0"/>
              <w:rPr>
                <w:sz w:val="20"/>
                <w:szCs w:val="20"/>
                <w:color w:val="auto"/>
              </w:rPr>
            </w:pPr>
            <w:r>
              <w:rPr>
                <w:rFonts w:ascii="Arial" w:cs="Arial" w:eastAsia="Arial" w:hAnsi="Arial"/>
                <w:sz w:val="14"/>
                <w:szCs w:val="14"/>
                <w:color w:val="auto"/>
              </w:rPr>
              <w:t>(3)</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 costs</w:t>
            </w: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color w:val="auto"/>
              </w:rPr>
              <w:t>Adjusted cash from operating activities</w:t>
            </w:r>
          </w:p>
        </w:tc>
        <w:tc>
          <w:tcPr>
            <w:tcW w:w="7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91"/>
              </w:rPr>
              <w:t>428</w:t>
            </w: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201</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Interest included in investing activities </w:t>
            </w:r>
            <w:r>
              <w:rPr>
                <w:rFonts w:ascii="Arial" w:cs="Arial" w:eastAsia="Arial" w:hAnsi="Arial"/>
                <w:sz w:val="28"/>
                <w:szCs w:val="28"/>
                <w:color w:val="auto"/>
                <w:vertAlign w:val="superscript"/>
              </w:rPr>
              <w:t>(4)</w:t>
            </w:r>
          </w:p>
        </w:tc>
        <w:tc>
          <w:tcPr>
            <w:tcW w:w="7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(88)</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5"/>
              </w:rPr>
              <w:t>(105)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7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91"/>
              </w:rPr>
              <w:t>355</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310</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160" w:hanging="264"/>
        <w:spacing w:after="0" w:line="27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Subsequent to amendments to the Company’s receivables securitization program during the third quarter of 2018, certain activity that was previously reported as investing activity is now reported as operating activity.</w:t>
      </w:r>
    </w:p>
    <w:p>
      <w:pPr>
        <w:sectPr>
          <w:pgSz w:w="11900" w:h="16838" w:orient="portrait"/>
          <w:cols w:equalWidth="0" w:num="1">
            <w:col w:w="11420"/>
          </w:cols>
          <w:pgMar w:left="240" w:top="852" w:right="239" w:bottom="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(4) Interest benefit of cross-currency swap included in investing activities.</w:t>
      </w:r>
    </w:p>
    <w:p>
      <w:pPr>
        <w:spacing w:after="0" w:line="255"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0139"/>
          </w:cols>
          <w:pgMar w:left="320" w:top="323"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Impact of Foreign Currency Translation by Segment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p>
    <w:p>
      <w:pPr>
        <w:ind w:left="40"/>
        <w:spacing w:after="0"/>
        <w:rPr>
          <w:sz w:val="20"/>
          <w:szCs w:val="20"/>
          <w:color w:val="auto"/>
        </w:rPr>
      </w:pPr>
      <w:r>
        <w:rPr>
          <w:rFonts w:ascii="Arial" w:cs="Arial" w:eastAsia="Arial" w:hAnsi="Arial"/>
          <w:sz w:val="18"/>
          <w:szCs w:val="18"/>
          <w:b w:val="1"/>
          <w:bCs w:val="1"/>
          <w:color w:val="auto"/>
        </w:rPr>
        <w:t>Favorable/(Unfavorable)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004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20"/>
                <w:szCs w:val="20"/>
                <w:color w:val="auto"/>
              </w:rPr>
            </w:pPr>
          </w:p>
        </w:tc>
        <w:tc>
          <w:tcPr>
            <w:tcW w:w="22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w:t>
            </w:r>
          </w:p>
        </w:tc>
      </w:tr>
      <w:tr>
        <w:trPr>
          <w:trHeight w:val="270"/>
        </w:trPr>
        <w:tc>
          <w:tcPr>
            <w:tcW w:w="2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Ended September 30, 2019</w:t>
            </w:r>
          </w:p>
        </w:tc>
        <w:tc>
          <w:tcPr>
            <w:tcW w:w="140" w:type="dxa"/>
            <w:vAlign w:val="bottom"/>
          </w:tcPr>
          <w:p>
            <w:pPr>
              <w:spacing w:after="0"/>
              <w:rPr>
                <w:sz w:val="23"/>
                <w:szCs w:val="23"/>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Ended September 30, 2019</w:t>
            </w:r>
          </w:p>
        </w:tc>
      </w:tr>
      <w:tr>
        <w:trPr>
          <w:trHeight w:val="27"/>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Segment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Segment</w:t>
            </w: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Income</w:t>
            </w:r>
          </w:p>
        </w:tc>
      </w:tr>
      <w:tr>
        <w:trPr>
          <w:trHeight w:val="27"/>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Americas Beverage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Beverage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European Food</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Transit Packaging</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Corporate and Non-Reportable</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r>
      <w:tr>
        <w:trPr>
          <w:trHeight w:val="27"/>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hanging="408"/>
        <w:spacing w:after="0" w:line="288"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w:t>
      </w:r>
    </w:p>
    <w:p>
      <w:pPr>
        <w:ind w:right="660" w:firstLine="729"/>
        <w:spacing w:after="0" w:line="261" w:lineRule="auto"/>
        <w:rPr>
          <w:sz w:val="20"/>
          <w:szCs w:val="20"/>
          <w:color w:val="auto"/>
        </w:rPr>
      </w:pPr>
      <w:r>
        <w:rPr>
          <w:rFonts w:ascii="Arial" w:cs="Arial" w:eastAsia="Arial" w:hAnsi="Arial"/>
          <w:sz w:val="18"/>
          <w:szCs w:val="18"/>
          <w:color w:val="auto"/>
        </w:rPr>
        <w:t xml:space="preserve">exchange rates and then multiplying or dividing, as appropriate, those amounts by the applicable prior year average foreign exchange rates. </w:t>
      </w:r>
      <w:r>
        <w:rPr>
          <w:rFonts w:ascii="Arial" w:cs="Arial" w:eastAsia="Arial" w:hAnsi="Arial"/>
          <w:sz w:val="18"/>
          <w:szCs w:val="18"/>
          <w:b w:val="1"/>
          <w:bCs w:val="1"/>
          <w:u w:val="single" w:color="auto"/>
          <w:color w:val="auto"/>
        </w:rPr>
        <w:t>Comparative Results for Transit Packaging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Segment Income</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86"/>
              </w:rPr>
              <w:t xml:space="preserve">Depreciation </w:t>
            </w:r>
            <w:r>
              <w:rPr>
                <w:rFonts w:ascii="Arial" w:cs="Arial" w:eastAsia="Arial" w:hAnsi="Arial"/>
                <w:sz w:val="25"/>
                <w:szCs w:val="25"/>
                <w:b w:val="1"/>
                <w:bCs w:val="1"/>
                <w:color w:val="auto"/>
                <w:w w:val="86"/>
                <w:vertAlign w:val="superscript"/>
              </w:rPr>
              <w:t>(2)</w:t>
            </w:r>
          </w:p>
        </w:tc>
        <w:tc>
          <w:tcPr>
            <w:tcW w:w="580" w:type="dxa"/>
            <w:vAlign w:val="bottom"/>
            <w:tcBorders>
              <w:bottom w:val="single" w:sz="8" w:color="auto"/>
            </w:tcBorders>
          </w:tcPr>
          <w:p>
            <w:pPr>
              <w:spacing w:after="0"/>
              <w:rPr>
                <w:sz w:val="24"/>
                <w:szCs w:val="24"/>
                <w:color w:val="auto"/>
              </w:rPr>
            </w:pP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ind w:left="40"/>
              <w:spacing w:after="0"/>
              <w:rPr>
                <w:sz w:val="20"/>
                <w:szCs w:val="20"/>
                <w:color w:val="auto"/>
              </w:rPr>
            </w:pPr>
            <w:r>
              <w:rPr>
                <w:rFonts w:ascii="Arial" w:cs="Arial" w:eastAsia="Arial" w:hAnsi="Arial"/>
                <w:sz w:val="18"/>
                <w:szCs w:val="18"/>
                <w:color w:val="auto"/>
              </w:rPr>
              <w:t>Q1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rPr>
              <w:t>Q3</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of depreciation expense included in segment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w:t>
            </w:r>
          </w:p>
        </w:tc>
        <w:tc>
          <w:tcPr>
            <w:tcW w:w="28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Full Year</w:t>
            </w:r>
          </w:p>
        </w:tc>
        <w:tc>
          <w:tcPr>
            <w:tcW w:w="320" w:type="dxa"/>
            <w:vAlign w:val="bottom"/>
          </w:tcPr>
          <w:p>
            <w:pPr>
              <w:spacing w:after="0"/>
              <w:rPr>
                <w:sz w:val="24"/>
                <w:szCs w:val="24"/>
                <w:color w:val="auto"/>
              </w:rPr>
            </w:pPr>
          </w:p>
        </w:tc>
        <w:tc>
          <w:tcPr>
            <w:tcW w:w="2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Twelve Months</w:t>
            </w:r>
          </w:p>
        </w:tc>
      </w:tr>
      <w:tr>
        <w:trPr>
          <w:trHeight w:val="270"/>
        </w:trPr>
        <w:tc>
          <w:tcPr>
            <w:tcW w:w="2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YTD 2019</w:t>
            </w:r>
          </w:p>
        </w:tc>
        <w:tc>
          <w:tcPr>
            <w:tcW w:w="180" w:type="dxa"/>
            <w:vAlign w:val="bottom"/>
          </w:tcPr>
          <w:p>
            <w:pPr>
              <w:spacing w:after="0"/>
              <w:rPr>
                <w:sz w:val="23"/>
                <w:szCs w:val="23"/>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YTD 2018</w:t>
            </w:r>
          </w:p>
        </w:tc>
        <w:tc>
          <w:tcPr>
            <w:tcW w:w="28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Ended September</w:t>
            </w:r>
          </w:p>
        </w:tc>
      </w:tr>
      <w:tr>
        <w:trPr>
          <w:trHeight w:val="270"/>
        </w:trPr>
        <w:tc>
          <w:tcPr>
            <w:tcW w:w="2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30, 2019</w:t>
            </w:r>
          </w:p>
        </w:tc>
      </w:tr>
      <w:tr>
        <w:trPr>
          <w:trHeight w:val="27"/>
        </w:trPr>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997</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878</w:t>
            </w:r>
          </w:p>
        </w:tc>
        <w:tc>
          <w:tcPr>
            <w:tcW w:w="3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3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1,215</w:t>
            </w:r>
          </w:p>
        </w:tc>
      </w:tr>
      <w:tr>
        <w:trPr>
          <w:trHeight w:val="27"/>
        </w:trPr>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Intangibles amortization</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Fair value adjustment to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Provision for restructuring and other</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7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Segment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43"/>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Other pension and postretirement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57"/>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1,333</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1,298</w:t>
            </w:r>
          </w:p>
        </w:tc>
        <w:tc>
          <w:tcPr>
            <w:tcW w:w="3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1,672</w:t>
            </w:r>
          </w:p>
        </w:tc>
        <w:tc>
          <w:tcPr>
            <w:tcW w:w="3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1,707</w:t>
            </w:r>
          </w:p>
        </w:tc>
      </w:tr>
      <w:tr>
        <w:trPr>
          <w:trHeight w:val="20"/>
        </w:trPr>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10</w:t>
      </w:r>
    </w:p>
    <w:sectPr>
      <w:pgSz w:w="11900" w:h="16838" w:orient="portrait"/>
      <w:cols w:equalWidth="0" w:num="1">
        <w:col w:w="11420"/>
      </w:cols>
      <w:pgMar w:left="240" w:top="852" w:right="239"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2019-12-28T05:31:55Z</dcterms:created>
  <dcterms:modified xsi:type="dcterms:W3CDTF">2019-12-28T05:31:55Z</dcterms:modified>
</cp:coreProperties>
</file>