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3)*</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Crown Holdings,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Par Value $5.00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228368106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Jesse A. Lynn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Chief Operating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Icahn Capital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16690 Collins Avenue, PH-1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Sunny Isles Beach, FL 33160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(305) 422-4100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November 16, 2023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38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240.13d-7 for other parties to whom copies are to be sent.</w:t>
      </w:r>
    </w:p>
    <w:p>
      <w:pPr>
        <w:spacing w:after="0" w:line="170"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Icahn Partners Master Fund LP</w:t>
      </w:r>
    </w:p>
    <w:p>
      <w:pPr>
        <w:ind w:left="1360" w:hanging="1352"/>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vMerge w:val="restart"/>
          </w:tcPr>
          <w:p>
            <w:pPr>
              <w:ind w:left="180"/>
              <w:spacing w:after="0"/>
              <w:rPr>
                <w:sz w:val="20"/>
                <w:szCs w:val="20"/>
                <w:color w:val="auto"/>
              </w:rPr>
            </w:pPr>
            <w:r>
              <w:rPr>
                <w:rFonts w:ascii="Arial" w:cs="Arial" w:eastAsia="Arial" w:hAnsi="Arial"/>
                <w:sz w:val="18"/>
                <w:szCs w:val="18"/>
                <w:color w:val="auto"/>
              </w:rPr>
              <w:t>2,516,876 (includes shares of Common Stock underlying forward contracts. See Item 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Pr>
          <w:p>
            <w:pPr>
              <w:spacing w:after="0"/>
              <w:rPr>
                <w:sz w:val="18"/>
                <w:szCs w:val="18"/>
                <w:color w:val="auto"/>
              </w:rPr>
            </w:pPr>
          </w:p>
        </w:tc>
        <w:tc>
          <w:tcPr>
            <w:tcW w:w="9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360" w:type="dxa"/>
            <w:vAlign w:val="bottom"/>
            <w:vMerge w:val="restart"/>
          </w:tcPr>
          <w:p>
            <w:pPr>
              <w:spacing w:after="0"/>
              <w:rPr>
                <w:sz w:val="20"/>
                <w:szCs w:val="20"/>
                <w:color w:val="auto"/>
              </w:rPr>
            </w:pPr>
            <w:r>
              <w:rPr>
                <w:rFonts w:ascii="Arial" w:cs="Arial" w:eastAsia="Arial" w:hAnsi="Arial"/>
                <w:sz w:val="18"/>
                <w:szCs w:val="18"/>
                <w:color w:val="auto"/>
              </w:rPr>
              <w:t>Owned</w:t>
            </w:r>
          </w:p>
        </w:tc>
        <w:tc>
          <w:tcPr>
            <w:tcW w:w="380" w:type="dxa"/>
            <w:vAlign w:val="bottom"/>
            <w:tcBorders>
              <w:bottom w:val="single" w:sz="8" w:color="auto"/>
            </w:tcBorders>
          </w:tcPr>
          <w:p>
            <w:pPr>
              <w:spacing w:after="0"/>
              <w:rPr>
                <w:sz w:val="12"/>
                <w:szCs w:val="12"/>
                <w:color w:val="auto"/>
              </w:rPr>
            </w:pPr>
          </w:p>
        </w:tc>
        <w:tc>
          <w:tcPr>
            <w:tcW w:w="9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360" w:type="dxa"/>
            <w:vAlign w:val="bottom"/>
            <w:vMerge w:val="continue"/>
          </w:tcPr>
          <w:p>
            <w:pPr>
              <w:spacing w:after="0"/>
              <w:rPr>
                <w:sz w:val="4"/>
                <w:szCs w:val="4"/>
                <w:color w:val="auto"/>
              </w:rPr>
            </w:pPr>
          </w:p>
        </w:tc>
        <w:tc>
          <w:tcPr>
            <w:tcW w:w="380" w:type="dxa"/>
            <w:vAlign w:val="bottom"/>
            <w:vMerge w:val="restart"/>
          </w:tcPr>
          <w:p>
            <w:pPr>
              <w:jc w:val="right"/>
              <w:ind w:right="90"/>
              <w:spacing w:after="0" w:line="201" w:lineRule="exact"/>
              <w:rPr>
                <w:sz w:val="20"/>
                <w:szCs w:val="20"/>
                <w:color w:val="auto"/>
              </w:rPr>
            </w:pPr>
            <w:r>
              <w:rPr>
                <w:rFonts w:ascii="Arial" w:cs="Arial" w:eastAsia="Arial" w:hAnsi="Arial"/>
                <w:sz w:val="18"/>
                <w:szCs w:val="18"/>
                <w:color w:val="auto"/>
                <w:w w:val="81"/>
              </w:rPr>
              <w:t>(8)</w:t>
            </w:r>
          </w:p>
        </w:tc>
        <w:tc>
          <w:tcPr>
            <w:tcW w:w="950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1360" w:type="dxa"/>
            <w:vAlign w:val="bottom"/>
            <w:vMerge w:val="restart"/>
          </w:tcPr>
          <w:p>
            <w:pPr>
              <w:spacing w:after="0"/>
              <w:rPr>
                <w:sz w:val="20"/>
                <w:szCs w:val="20"/>
                <w:color w:val="auto"/>
              </w:rPr>
            </w:pPr>
            <w:r>
              <w:rPr>
                <w:rFonts w:ascii="Arial" w:cs="Arial" w:eastAsia="Arial" w:hAnsi="Arial"/>
                <w:sz w:val="18"/>
                <w:szCs w:val="18"/>
                <w:color w:val="auto"/>
              </w:rPr>
              <w:t>by Each</w:t>
            </w:r>
          </w:p>
        </w:tc>
        <w:tc>
          <w:tcPr>
            <w:tcW w:w="38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500" w:type="dxa"/>
            <w:vAlign w:val="bottom"/>
            <w:vMerge w:val="restart"/>
          </w:tcPr>
          <w:p>
            <w:pPr>
              <w:ind w:left="280"/>
              <w:spacing w:after="0"/>
              <w:rPr>
                <w:sz w:val="20"/>
                <w:szCs w:val="20"/>
                <w:color w:val="auto"/>
              </w:rPr>
            </w:pPr>
            <w:r>
              <w:rPr>
                <w:rFonts w:ascii="Arial" w:cs="Arial" w:eastAsia="Arial" w:hAnsi="Arial"/>
                <w:sz w:val="18"/>
                <w:szCs w:val="18"/>
                <w:color w:val="auto"/>
              </w:rPr>
              <w:t>2,516,876 (includes shares of Common Stock underlying forward contracts. See Item 5)</w:t>
            </w:r>
          </w:p>
        </w:tc>
        <w:tc>
          <w:tcPr>
            <w:tcW w:w="0" w:type="dxa"/>
            <w:vAlign w:val="bottom"/>
          </w:tcPr>
          <w:p>
            <w:pPr>
              <w:spacing w:after="0"/>
              <w:rPr>
                <w:sz w:val="1"/>
                <w:szCs w:val="1"/>
                <w:color w:val="auto"/>
              </w:rPr>
            </w:pPr>
          </w:p>
        </w:tc>
      </w:tr>
      <w:tr>
        <w:trPr>
          <w:trHeight w:val="170"/>
        </w:trPr>
        <w:tc>
          <w:tcPr>
            <w:tcW w:w="1360" w:type="dxa"/>
            <w:vAlign w:val="bottom"/>
          </w:tcPr>
          <w:p>
            <w:pPr>
              <w:spacing w:after="0" w:line="170" w:lineRule="exact"/>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14"/>
                <w:szCs w:val="14"/>
                <w:color w:val="auto"/>
              </w:rPr>
            </w:pPr>
          </w:p>
        </w:tc>
        <w:tc>
          <w:tcPr>
            <w:tcW w:w="9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2,516,876 (includes shares of Common Stock underlying forward contracts.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14605</wp:posOffset>
            </wp:positionV>
            <wp:extent cx="6275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16" w:lineRule="exact"/>
        <w:rPr>
          <w:sz w:val="20"/>
          <w:szCs w:val="20"/>
          <w:color w:val="auto"/>
        </w:rPr>
      </w:pPr>
    </w:p>
    <w:p>
      <w:pPr>
        <w:ind w:left="1920" w:hanging="562"/>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2,516,876 (includes shares of Common Stock underlying forward contracts.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360" w:right="3320" w:hanging="1352"/>
        <w:spacing w:after="0" w:line="291" w:lineRule="auto"/>
        <w:tabs>
          <w:tab w:leader="none" w:pos="1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2,516,876 (includes shares of Common Stock underlying forward contracts. See Item 5)</w:t>
      </w:r>
    </w:p>
    <w:p>
      <w:pPr>
        <w:ind w:left="1360" w:hanging="1352"/>
        <w:spacing w:after="0" w:line="207" w:lineRule="exact"/>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2.08%</w:t>
      </w:r>
    </w:p>
    <w:p>
      <w:pPr>
        <w:ind w:left="1360" w:right="7380" w:hanging="1352"/>
        <w:spacing w:after="0" w:line="277" w:lineRule="auto"/>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Icahn Offshore LP</w:t>
      </w:r>
    </w:p>
    <w:p>
      <w:pPr>
        <w:ind w:left="1360" w:hanging="135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2,516,876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2,516,876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2,516,876 (includes shares of Common Stock underlying forward contracts. See Item 5)</w:t>
      </w:r>
    </w:p>
    <w:p>
      <w:pPr>
        <w:ind w:left="1360" w:hanging="1352"/>
        <w:spacing w:after="0" w:line="207" w:lineRule="exact"/>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2.08%</w:t>
      </w:r>
    </w:p>
    <w:p>
      <w:pPr>
        <w:ind w:left="1360" w:right="7380" w:hanging="1352"/>
        <w:spacing w:after="0" w:line="277"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Icahn Partners LP</w:t>
      </w:r>
    </w:p>
    <w:p>
      <w:pPr>
        <w:ind w:left="1360" w:hanging="135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vMerge w:val="restart"/>
          </w:tcPr>
          <w:p>
            <w:pPr>
              <w:ind w:left="180"/>
              <w:spacing w:after="0"/>
              <w:rPr>
                <w:sz w:val="20"/>
                <w:szCs w:val="20"/>
                <w:color w:val="auto"/>
              </w:rPr>
            </w:pPr>
            <w:r>
              <w:rPr>
                <w:rFonts w:ascii="Arial" w:cs="Arial" w:eastAsia="Arial" w:hAnsi="Arial"/>
                <w:sz w:val="18"/>
                <w:szCs w:val="18"/>
                <w:color w:val="auto"/>
              </w:rPr>
              <w:t>3,515,275 (includes shares of Common Stock underlying forward contracts. See Item 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Pr>
          <w:p>
            <w:pPr>
              <w:spacing w:after="0"/>
              <w:rPr>
                <w:sz w:val="18"/>
                <w:szCs w:val="18"/>
                <w:color w:val="auto"/>
              </w:rPr>
            </w:pPr>
          </w:p>
        </w:tc>
        <w:tc>
          <w:tcPr>
            <w:tcW w:w="9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360" w:type="dxa"/>
            <w:vAlign w:val="bottom"/>
            <w:vMerge w:val="restart"/>
          </w:tcPr>
          <w:p>
            <w:pPr>
              <w:spacing w:after="0"/>
              <w:rPr>
                <w:sz w:val="20"/>
                <w:szCs w:val="20"/>
                <w:color w:val="auto"/>
              </w:rPr>
            </w:pPr>
            <w:r>
              <w:rPr>
                <w:rFonts w:ascii="Arial" w:cs="Arial" w:eastAsia="Arial" w:hAnsi="Arial"/>
                <w:sz w:val="18"/>
                <w:szCs w:val="18"/>
                <w:color w:val="auto"/>
              </w:rPr>
              <w:t>Owned</w:t>
            </w:r>
          </w:p>
        </w:tc>
        <w:tc>
          <w:tcPr>
            <w:tcW w:w="380" w:type="dxa"/>
            <w:vAlign w:val="bottom"/>
            <w:tcBorders>
              <w:bottom w:val="single" w:sz="8" w:color="auto"/>
            </w:tcBorders>
          </w:tcPr>
          <w:p>
            <w:pPr>
              <w:spacing w:after="0"/>
              <w:rPr>
                <w:sz w:val="12"/>
                <w:szCs w:val="12"/>
                <w:color w:val="auto"/>
              </w:rPr>
            </w:pPr>
          </w:p>
        </w:tc>
        <w:tc>
          <w:tcPr>
            <w:tcW w:w="9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360" w:type="dxa"/>
            <w:vAlign w:val="bottom"/>
            <w:vMerge w:val="continue"/>
          </w:tcPr>
          <w:p>
            <w:pPr>
              <w:spacing w:after="0"/>
              <w:rPr>
                <w:sz w:val="4"/>
                <w:szCs w:val="4"/>
                <w:color w:val="auto"/>
              </w:rPr>
            </w:pPr>
          </w:p>
        </w:tc>
        <w:tc>
          <w:tcPr>
            <w:tcW w:w="380" w:type="dxa"/>
            <w:vAlign w:val="bottom"/>
            <w:vMerge w:val="restart"/>
          </w:tcPr>
          <w:p>
            <w:pPr>
              <w:jc w:val="right"/>
              <w:ind w:right="90"/>
              <w:spacing w:after="0" w:line="201" w:lineRule="exact"/>
              <w:rPr>
                <w:sz w:val="20"/>
                <w:szCs w:val="20"/>
                <w:color w:val="auto"/>
              </w:rPr>
            </w:pPr>
            <w:r>
              <w:rPr>
                <w:rFonts w:ascii="Arial" w:cs="Arial" w:eastAsia="Arial" w:hAnsi="Arial"/>
                <w:sz w:val="18"/>
                <w:szCs w:val="18"/>
                <w:color w:val="auto"/>
                <w:w w:val="81"/>
              </w:rPr>
              <w:t>(8)</w:t>
            </w:r>
          </w:p>
        </w:tc>
        <w:tc>
          <w:tcPr>
            <w:tcW w:w="950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1360" w:type="dxa"/>
            <w:vAlign w:val="bottom"/>
            <w:vMerge w:val="restart"/>
          </w:tcPr>
          <w:p>
            <w:pPr>
              <w:spacing w:after="0"/>
              <w:rPr>
                <w:sz w:val="20"/>
                <w:szCs w:val="20"/>
                <w:color w:val="auto"/>
              </w:rPr>
            </w:pPr>
            <w:r>
              <w:rPr>
                <w:rFonts w:ascii="Arial" w:cs="Arial" w:eastAsia="Arial" w:hAnsi="Arial"/>
                <w:sz w:val="18"/>
                <w:szCs w:val="18"/>
                <w:color w:val="auto"/>
              </w:rPr>
              <w:t>by Each</w:t>
            </w:r>
          </w:p>
        </w:tc>
        <w:tc>
          <w:tcPr>
            <w:tcW w:w="38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500" w:type="dxa"/>
            <w:vAlign w:val="bottom"/>
            <w:vMerge w:val="restart"/>
          </w:tcPr>
          <w:p>
            <w:pPr>
              <w:ind w:left="180"/>
              <w:spacing w:after="0"/>
              <w:rPr>
                <w:sz w:val="20"/>
                <w:szCs w:val="20"/>
                <w:color w:val="auto"/>
              </w:rPr>
            </w:pPr>
            <w:r>
              <w:rPr>
                <w:rFonts w:ascii="Arial" w:cs="Arial" w:eastAsia="Arial" w:hAnsi="Arial"/>
                <w:sz w:val="18"/>
                <w:szCs w:val="18"/>
                <w:color w:val="auto"/>
              </w:rPr>
              <w:t>3,515,275 (includes shares of Common Stock underlying forward contracts. See Item 5)</w:t>
            </w:r>
          </w:p>
        </w:tc>
        <w:tc>
          <w:tcPr>
            <w:tcW w:w="0" w:type="dxa"/>
            <w:vAlign w:val="bottom"/>
          </w:tcPr>
          <w:p>
            <w:pPr>
              <w:spacing w:after="0"/>
              <w:rPr>
                <w:sz w:val="1"/>
                <w:szCs w:val="1"/>
                <w:color w:val="auto"/>
              </w:rPr>
            </w:pPr>
          </w:p>
        </w:tc>
      </w:tr>
      <w:tr>
        <w:trPr>
          <w:trHeight w:val="170"/>
        </w:trPr>
        <w:tc>
          <w:tcPr>
            <w:tcW w:w="1360" w:type="dxa"/>
            <w:vAlign w:val="bottom"/>
          </w:tcPr>
          <w:p>
            <w:pPr>
              <w:spacing w:after="0" w:line="170" w:lineRule="exact"/>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14"/>
                <w:szCs w:val="14"/>
                <w:color w:val="auto"/>
              </w:rPr>
            </w:pPr>
          </w:p>
        </w:tc>
        <w:tc>
          <w:tcPr>
            <w:tcW w:w="9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3,515,275 (includes shares of Common Stock underlying forward contracts.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14605</wp:posOffset>
            </wp:positionV>
            <wp:extent cx="62750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16" w:lineRule="exact"/>
        <w:rPr>
          <w:sz w:val="20"/>
          <w:szCs w:val="20"/>
          <w:color w:val="auto"/>
        </w:rPr>
      </w:pPr>
    </w:p>
    <w:p>
      <w:pPr>
        <w:ind w:left="1920" w:hanging="562"/>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3,515,275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3,515,275 (includes shares of Common Stock underlying forward contracts. See Item 5)</w:t>
      </w:r>
    </w:p>
    <w:p>
      <w:pPr>
        <w:ind w:left="1360" w:hanging="1352"/>
        <w:spacing w:after="0" w:line="207" w:lineRule="exact"/>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2.91%</w:t>
      </w:r>
    </w:p>
    <w:p>
      <w:pPr>
        <w:ind w:left="1360" w:right="7380" w:hanging="1352"/>
        <w:spacing w:after="0" w:line="277"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Icahn Onshore LP</w:t>
      </w:r>
    </w:p>
    <w:p>
      <w:pPr>
        <w:ind w:left="1360" w:hanging="1352"/>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3,515,275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3,515,275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3,515,275 (includes shares of Common Stock underlying forward contracts. See Item 5)</w:t>
      </w:r>
    </w:p>
    <w:p>
      <w:pPr>
        <w:ind w:left="1360" w:hanging="1352"/>
        <w:spacing w:after="0" w:line="207" w:lineRule="exact"/>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2.91%</w:t>
      </w:r>
    </w:p>
    <w:p>
      <w:pPr>
        <w:ind w:left="1360" w:right="7380" w:hanging="1352"/>
        <w:spacing w:after="0" w:line="277"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Icahn Capital LP</w:t>
      </w:r>
    </w:p>
    <w:p>
      <w:pPr>
        <w:ind w:left="1360" w:hanging="135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6,032,251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6,032,251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6,032,251 (includes shares of Common Stock underlying forward contracts. See Item 5)</w:t>
      </w:r>
    </w:p>
    <w:p>
      <w:pPr>
        <w:ind w:left="1360" w:hanging="1352"/>
        <w:spacing w:after="0" w:line="207" w:lineRule="exact"/>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4.99%</w:t>
      </w:r>
    </w:p>
    <w:p>
      <w:pPr>
        <w:ind w:left="1360" w:right="7380" w:hanging="1352"/>
        <w:spacing w:after="0" w:line="277"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0"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IPH GP LLC</w:t>
      </w:r>
    </w:p>
    <w:p>
      <w:pPr>
        <w:spacing w:after="0" w:line="36" w:lineRule="exact"/>
        <w:rPr>
          <w:rFonts w:ascii="Arial" w:cs="Arial" w:eastAsia="Arial" w:hAnsi="Arial"/>
          <w:sz w:val="18"/>
          <w:szCs w:val="18"/>
          <w:color w:val="auto"/>
        </w:rPr>
      </w:pPr>
    </w:p>
    <w:p>
      <w:pPr>
        <w:ind w:left="1360" w:hanging="1352"/>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6,032,251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6,032,251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6,032,251 (includes shares of Common Stock underlying forward contracts. See Item 5)</w:t>
      </w:r>
    </w:p>
    <w:p>
      <w:pPr>
        <w:ind w:left="1360" w:hanging="1352"/>
        <w:spacing w:after="0" w:line="207" w:lineRule="exact"/>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4.99%</w:t>
      </w:r>
    </w:p>
    <w:p>
      <w:pPr>
        <w:ind w:left="1360" w:right="7380" w:hanging="1352"/>
        <w:spacing w:after="0" w:line="277" w:lineRule="auto"/>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Icahn Enterprises Holdings L.P.</w:t>
      </w:r>
    </w:p>
    <w:p>
      <w:pPr>
        <w:ind w:left="1360" w:hanging="1352"/>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6,032,251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6,032,251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6,032,251 (includes shares of Common Stock underlying forward contracts. See Item 5)</w:t>
      </w:r>
    </w:p>
    <w:p>
      <w:pPr>
        <w:ind w:left="1360" w:hanging="1352"/>
        <w:spacing w:after="0" w:line="207" w:lineRule="exact"/>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4.99%</w:t>
      </w:r>
    </w:p>
    <w:p>
      <w:pPr>
        <w:ind w:left="1360" w:right="7380" w:hanging="1352"/>
        <w:spacing w:after="0" w:line="277"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Icahn Enterprises G.P. Inc.</w:t>
      </w:r>
    </w:p>
    <w:p>
      <w:pPr>
        <w:ind w:left="1360" w:hanging="1352"/>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6,032,251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6,032,251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6,032,251 (includes shares of Common Stock underlying forward contracts. See Item 5)</w:t>
      </w:r>
    </w:p>
    <w:p>
      <w:pPr>
        <w:ind w:left="1360" w:hanging="1352"/>
        <w:spacing w:after="0" w:line="207" w:lineRule="exact"/>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4.99%</w:t>
      </w:r>
    </w:p>
    <w:p>
      <w:pPr>
        <w:ind w:left="1360" w:right="7380" w:hanging="1352"/>
        <w:spacing w:after="0" w:line="277" w:lineRule="auto"/>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Beckton Corp.</w:t>
      </w:r>
    </w:p>
    <w:p>
      <w:pPr>
        <w:ind w:left="1360" w:hanging="1352"/>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6,032,251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6,032,251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6,032,251 (includes shares of Common Stock underlying forward contracts. See Item 5)</w:t>
      </w:r>
    </w:p>
    <w:p>
      <w:pPr>
        <w:ind w:left="1360" w:hanging="1352"/>
        <w:spacing w:after="0" w:line="207" w:lineRule="exact"/>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4.99%</w:t>
      </w:r>
    </w:p>
    <w:p>
      <w:pPr>
        <w:ind w:left="1360" w:right="7380" w:hanging="1352"/>
        <w:spacing w:after="0" w:line="277" w:lineRule="auto"/>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Matsumura Fishworks LLC</w:t>
      </w:r>
    </w:p>
    <w:p>
      <w:pPr>
        <w:ind w:left="1360" w:hanging="1352"/>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right="6780" w:hanging="562"/>
        <w:spacing w:after="0" w:line="266"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DISPOSITIVE POWER 100</w:t>
      </w:r>
    </w:p>
    <w:p>
      <w:pPr>
        <w:ind w:left="1400" w:right="3320" w:hanging="1392"/>
        <w:spacing w:after="0" w:line="258" w:lineRule="auto"/>
        <w:tabs>
          <w:tab w:leader="none" w:pos="13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w:t>
      </w:r>
    </w:p>
    <w:p>
      <w:pPr>
        <w:spacing w:after="0" w:line="1" w:lineRule="exact"/>
        <w:rPr>
          <w:rFonts w:ascii="Arial" w:cs="Arial" w:eastAsia="Arial" w:hAnsi="Arial"/>
          <w:sz w:val="18"/>
          <w:szCs w:val="18"/>
          <w:color w:val="auto"/>
        </w:rPr>
      </w:pPr>
    </w:p>
    <w:p>
      <w:pPr>
        <w:ind w:left="1360" w:hanging="1352"/>
        <w:spacing w:after="0" w:line="207" w:lineRule="exact"/>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Less than 1%</w:t>
      </w:r>
    </w:p>
    <w:p>
      <w:pPr>
        <w:ind w:left="1360" w:right="7380" w:hanging="1352"/>
        <w:spacing w:after="0" w:line="277" w:lineRule="auto"/>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Carl C. Icahn</w:t>
      </w:r>
    </w:p>
    <w:p>
      <w:pPr>
        <w:ind w:left="1360" w:hanging="1352"/>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(7)</w:t>
            </w:r>
          </w:p>
        </w:tc>
        <w:tc>
          <w:tcPr>
            <w:tcW w:w="94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4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440" w:type="dxa"/>
            <w:vAlign w:val="bottom"/>
          </w:tcPr>
          <w:p>
            <w:pPr>
              <w:spacing w:after="0" w:line="175" w:lineRule="exact"/>
              <w:rPr>
                <w:sz w:val="20"/>
                <w:szCs w:val="20"/>
                <w:color w:val="auto"/>
              </w:rPr>
            </w:pPr>
            <w:r>
              <w:rPr>
                <w:rFonts w:ascii="Arial" w:cs="Arial" w:eastAsia="Arial" w:hAnsi="Arial"/>
                <w:sz w:val="18"/>
                <w:szCs w:val="18"/>
                <w:color w:val="auto"/>
              </w:rPr>
              <w:t>(8)</w:t>
            </w:r>
          </w:p>
        </w:tc>
        <w:tc>
          <w:tcPr>
            <w:tcW w:w="9440" w:type="dxa"/>
            <w:vAlign w:val="bottom"/>
          </w:tcPr>
          <w:p>
            <w:pPr>
              <w:ind w:left="12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44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6,032,251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tcBorders>
              <w:bottom w:val="single" w:sz="8" w:color="auto"/>
            </w:tcBorders>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440" w:type="dxa"/>
            <w:vAlign w:val="bottom"/>
          </w:tcPr>
          <w:p>
            <w:pPr>
              <w:spacing w:after="0" w:line="162" w:lineRule="exact"/>
              <w:rPr>
                <w:sz w:val="20"/>
                <w:szCs w:val="20"/>
                <w:color w:val="auto"/>
              </w:rPr>
            </w:pPr>
            <w:r>
              <w:rPr>
                <w:rFonts w:ascii="Arial" w:cs="Arial" w:eastAsia="Arial" w:hAnsi="Arial"/>
                <w:sz w:val="18"/>
                <w:szCs w:val="18"/>
                <w:color w:val="auto"/>
              </w:rPr>
              <w:t>(9)</w:t>
            </w:r>
          </w:p>
        </w:tc>
        <w:tc>
          <w:tcPr>
            <w:tcW w:w="9440" w:type="dxa"/>
            <w:vAlign w:val="bottom"/>
          </w:tcPr>
          <w:p>
            <w:pPr>
              <w:ind w:left="12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9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440" w:type="dxa"/>
            <w:vAlign w:val="bottom"/>
          </w:tcPr>
          <w:p>
            <w:pPr>
              <w:spacing w:after="0" w:line="201" w:lineRule="exact"/>
              <w:rPr>
                <w:sz w:val="20"/>
                <w:szCs w:val="20"/>
                <w:color w:val="auto"/>
              </w:rPr>
            </w:pPr>
            <w:r>
              <w:rPr>
                <w:rFonts w:ascii="Arial" w:cs="Arial" w:eastAsia="Arial" w:hAnsi="Arial"/>
                <w:sz w:val="18"/>
                <w:szCs w:val="18"/>
                <w:color w:val="auto"/>
              </w:rPr>
              <w:t>(10)</w:t>
            </w:r>
          </w:p>
        </w:tc>
        <w:tc>
          <w:tcPr>
            <w:tcW w:w="9440" w:type="dxa"/>
            <w:vAlign w:val="bottom"/>
          </w:tcPr>
          <w:p>
            <w:pPr>
              <w:ind w:left="12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6,032,251 (includes shares of Common Stock underlying forward contracts. See Item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360" w:right="3320" w:hanging="1352"/>
        <w:spacing w:after="0" w:line="291" w:lineRule="auto"/>
        <w:tabs>
          <w:tab w:leader="none" w:pos="13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6,032,251 (includes shares of Common Stock underlying forward contracts. See Item 5)</w:t>
      </w:r>
    </w:p>
    <w:p>
      <w:pPr>
        <w:ind w:left="1360" w:hanging="1352"/>
        <w:spacing w:after="0" w:line="207" w:lineRule="exact"/>
        <w:tabs>
          <w:tab w:leader="none" w:pos="1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4.99%</w:t>
      </w:r>
    </w:p>
    <w:p>
      <w:pPr>
        <w:ind w:left="1360" w:right="7380" w:hanging="1352"/>
        <w:spacing w:after="0" w:line="277" w:lineRule="auto"/>
        <w:tabs>
          <w:tab w:leader="none" w:pos="1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1325880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2" w:name="page13"/>
    <w:bookmarkEnd w:id="12"/>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6"/>
          <w:szCs w:val="16"/>
          <w:b w:val="1"/>
          <w:bCs w:val="1"/>
          <w:u w:val="single" w:color="auto"/>
          <w:color w:val="auto"/>
        </w:rPr>
        <w:t>Security and Issuer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statement constitutes Amendment No. 3 to the Schedule 13D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relating to shares of the common stock, par value $5.00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Crown Holdings, Inc., a Pennsylvania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and hereby amends the Schedule 13D initially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3, 2022. All capitalized terms contained herein but not otherwise defined shall have the meanings ascribed to such terms in the Schedule 13D.</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5</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5(a), (b) and (c) of the Schedule 13D is hereby amended by replacing it in its entirety with the following:</w:t>
      </w:r>
    </w:p>
    <w:p>
      <w:pPr>
        <w:spacing w:after="0" w:line="225" w:lineRule="exact"/>
        <w:rPr>
          <w:sz w:val="20"/>
          <w:szCs w:val="20"/>
          <w:color w:val="auto"/>
        </w:rPr>
      </w:pPr>
    </w:p>
    <w:p>
      <w:pPr>
        <w:jc w:val="both"/>
        <w:ind w:firstLine="656"/>
        <w:spacing w:after="0" w:line="259" w:lineRule="auto"/>
        <w:tabs>
          <w:tab w:leader="none" w:pos="8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November 20, 2023, the Reporting Persons may be deemed to beneficially own, in the aggregate, 6,032,251 shares of Common Stock (including shares of Common Stock underlying Forwards), representing approximately 4.99% of the Issuer’s outstanding shares of Common Stock, based on 120,646,389 shares of Common Stock outstanding as of October 27, 2023, as disclosed by the Issuer in its Form 10-Q for the quarterly period ended September 30, 2023.</w:t>
      </w:r>
    </w:p>
    <w:p>
      <w:pPr>
        <w:spacing w:after="0" w:line="186" w:lineRule="exact"/>
        <w:rPr>
          <w:rFonts w:ascii="Arial" w:cs="Arial" w:eastAsia="Arial" w:hAnsi="Arial"/>
          <w:sz w:val="18"/>
          <w:szCs w:val="18"/>
          <w:color w:val="auto"/>
        </w:rPr>
      </w:pPr>
    </w:p>
    <w:p>
      <w:pPr>
        <w:jc w:val="both"/>
        <w:ind w:firstLine="656"/>
        <w:spacing w:after="0" w:line="270" w:lineRule="auto"/>
        <w:tabs>
          <w:tab w:leader="none" w:pos="923" w:val="left"/>
        </w:tabs>
        <w:numPr>
          <w:ilvl w:val="0"/>
          <w:numId w:val="34"/>
        </w:numPr>
        <w:rPr>
          <w:rFonts w:ascii="Arial" w:cs="Arial" w:eastAsia="Arial" w:hAnsi="Arial"/>
          <w:sz w:val="17"/>
          <w:szCs w:val="17"/>
          <w:color w:val="auto"/>
        </w:rPr>
      </w:pPr>
      <w:r>
        <w:rPr>
          <w:rFonts w:ascii="Arial" w:cs="Arial" w:eastAsia="Arial" w:hAnsi="Arial"/>
          <w:sz w:val="17"/>
          <w:szCs w:val="17"/>
          <w:color w:val="auto"/>
        </w:rPr>
        <w:t>Icahn Master has sole voting and sole dispositive power with regard to 2,516,876 shares of Common Stock (including shares of Common Stock underlying Forwards). Each of Icahn Offshore, Icahn Capital, IPH GP, Icahn Enterprises Holdings, Icahn Enterprises GP, Beckton and Mr. Icahn, by virtue of their relationships to Icahn Master, has shared voting power and shared dispositive power with regard to such shares of Common Stock. Icahn Partners has sole voting and sole dispositive power with regard to 3,515,275 shares of Common Stock (including shares of Common Stock underlying Forwards). Each of Icahn Onshore, Icahn Capital, IPH GP, Icahn Enterprises Holdings, Icahn Enterprises GP, Beckton and Mr. Icahn, by virtue of their relationships to Icahn Partners, has shared voting power and shared dispositive power with regard to such shares of Common Stock. Matsumura has sole voting power and sole dispositive power and shared and shared dispositive power with respect to 100 shares of Common Stock. Each of Icahn Onshore, Icahn Capital, IPH GP, Icahn Enterprises Holdings, Icahn Enterprises GP, Beckton and Mr. Icahn, by virtue of their relationships to Matsumura, has shared voting power and shared dispositive power with regard to such shares of Common Stock</w:t>
      </w:r>
    </w:p>
    <w:p>
      <w:pPr>
        <w:spacing w:after="0" w:line="180" w:lineRule="exact"/>
        <w:rPr>
          <w:rFonts w:ascii="Arial" w:cs="Arial" w:eastAsia="Arial" w:hAnsi="Arial"/>
          <w:sz w:val="17"/>
          <w:szCs w:val="17"/>
          <w:color w:val="auto"/>
        </w:rPr>
      </w:pPr>
    </w:p>
    <w:p>
      <w:pPr>
        <w:jc w:val="both"/>
        <w:ind w:firstLine="656"/>
        <w:spacing w:after="0" w:line="263" w:lineRule="auto"/>
        <w:tabs>
          <w:tab w:leader="none" w:pos="8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table sets forth all transactions with respect to the shares of Common Stock effected during the past sixty (60) days by any of the Reporting Persons. Except as otherwise noted below, all such transactions were sales of Forwards or shares of Common Stock, as noted below, effected in the open market.</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140" w:type="dxa"/>
            <w:vAlign w:val="bottom"/>
            <w:tcBorders>
              <w:top w:val="single" w:sz="8" w:color="auto"/>
              <w:left w:val="single" w:sz="8" w:color="auto"/>
              <w:bottom w:val="single" w:sz="8" w:color="auto"/>
            </w:tcBorders>
            <w:vMerge w:val="restart"/>
          </w:tcPr>
          <w:p>
            <w:pPr>
              <w:spacing w:after="0"/>
              <w:rPr>
                <w:sz w:val="24"/>
                <w:szCs w:val="24"/>
                <w:color w:val="auto"/>
              </w:rPr>
            </w:pPr>
          </w:p>
        </w:tc>
        <w:tc>
          <w:tcPr>
            <w:tcW w:w="1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9"/>
              </w:rPr>
              <w:t>Name of Reporting Person</w:t>
            </w:r>
          </w:p>
        </w:tc>
        <w:tc>
          <w:tcPr>
            <w:tcW w:w="90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160" w:type="dxa"/>
            <w:vAlign w:val="bottom"/>
            <w:tcBorders>
              <w:top w:val="single" w:sz="8" w:color="auto"/>
              <w:bottom w:val="single" w:sz="8" w:color="auto"/>
            </w:tcBorders>
            <w:vMerge w:val="restart"/>
          </w:tcPr>
          <w:p>
            <w:pPr>
              <w:spacing w:after="0"/>
              <w:rPr>
                <w:sz w:val="24"/>
                <w:szCs w:val="24"/>
                <w:color w:val="auto"/>
              </w:rPr>
            </w:pPr>
          </w:p>
        </w:tc>
        <w:tc>
          <w:tcPr>
            <w:tcW w:w="1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0"/>
              </w:rPr>
              <w:t>Date of Transaction</w:t>
            </w:r>
          </w:p>
        </w:tc>
        <w:tc>
          <w:tcPr>
            <w:tcW w:w="20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180" w:type="dxa"/>
            <w:vAlign w:val="bottom"/>
            <w:tcBorders>
              <w:top w:val="single" w:sz="8" w:color="auto"/>
              <w:bottom w:val="single" w:sz="8" w:color="auto"/>
            </w:tcBorders>
            <w:vMerge w:val="restart"/>
          </w:tcPr>
          <w:p>
            <w:pPr>
              <w:spacing w:after="0"/>
              <w:rPr>
                <w:sz w:val="24"/>
                <w:szCs w:val="24"/>
                <w:color w:val="auto"/>
              </w:rPr>
            </w:pPr>
          </w:p>
        </w:tc>
        <w:tc>
          <w:tcPr>
            <w:tcW w:w="1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0"/>
              </w:rPr>
              <w:t>Type of Security</w:t>
            </w:r>
          </w:p>
        </w:tc>
        <w:tc>
          <w:tcPr>
            <w:tcW w:w="30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340" w:type="dxa"/>
            <w:vAlign w:val="bottom"/>
            <w:tcBorders>
              <w:top w:val="single" w:sz="8" w:color="auto"/>
              <w:bottom w:val="single" w:sz="8" w:color="auto"/>
            </w:tcBorders>
            <w:vMerge w:val="restart"/>
          </w:tcPr>
          <w:p>
            <w:pPr>
              <w:spacing w:after="0"/>
              <w:rPr>
                <w:sz w:val="24"/>
                <w:szCs w:val="2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Amount of Securities</w:t>
            </w:r>
          </w:p>
        </w:tc>
        <w:tc>
          <w:tcPr>
            <w:tcW w:w="36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120" w:type="dxa"/>
            <w:vAlign w:val="bottom"/>
            <w:tcBorders>
              <w:top w:val="single" w:sz="8" w:color="auto"/>
              <w:bottom w:val="single" w:sz="8" w:color="auto"/>
            </w:tcBorders>
            <w:vMerge w:val="restart"/>
          </w:tcPr>
          <w:p>
            <w:pPr>
              <w:spacing w:after="0"/>
              <w:rPr>
                <w:sz w:val="24"/>
                <w:szCs w:val="24"/>
                <w:color w:val="auto"/>
              </w:rPr>
            </w:pPr>
          </w:p>
        </w:tc>
        <w:tc>
          <w:tcPr>
            <w:tcW w:w="1440" w:type="dxa"/>
            <w:vAlign w:val="bottom"/>
            <w:tcBorders>
              <w:top w:val="single" w:sz="8" w:color="auto"/>
              <w:bottom w:val="single" w:sz="8" w:color="auto"/>
              <w:right w:val="single" w:sz="8" w:color="auto"/>
            </w:tcBorders>
            <w:gridSpan w:val="2"/>
            <w:vMerge w:val="restart"/>
          </w:tcPr>
          <w:p>
            <w:pPr>
              <w:spacing w:after="0"/>
              <w:rPr>
                <w:sz w:val="20"/>
                <w:szCs w:val="20"/>
                <w:color w:val="auto"/>
              </w:rPr>
            </w:pPr>
            <w:r>
              <w:rPr>
                <w:rFonts w:ascii="Arial" w:cs="Arial" w:eastAsia="Arial" w:hAnsi="Arial"/>
                <w:sz w:val="18"/>
                <w:szCs w:val="18"/>
                <w:color w:val="auto"/>
                <w:w w:val="92"/>
              </w:rPr>
              <w:t>Price Per Share</w:t>
            </w:r>
            <w:r>
              <w:rPr>
                <w:rFonts w:ascii="Arial" w:cs="Arial" w:eastAsia="Arial" w:hAnsi="Arial"/>
                <w:sz w:val="29"/>
                <w:szCs w:val="29"/>
                <w:color w:val="auto"/>
                <w:w w:val="92"/>
                <w:vertAlign w:val="superscript"/>
              </w:rPr>
              <w:t>(2)</w:t>
            </w:r>
          </w:p>
        </w:tc>
        <w:tc>
          <w:tcPr>
            <w:tcW w:w="0" w:type="dxa"/>
            <w:vAlign w:val="bottom"/>
          </w:tcPr>
          <w:p>
            <w:pPr>
              <w:spacing w:after="0"/>
              <w:rPr>
                <w:sz w:val="1"/>
                <w:szCs w:val="1"/>
                <w:color w:val="auto"/>
              </w:rPr>
            </w:pPr>
          </w:p>
        </w:tc>
      </w:tr>
      <w:tr>
        <w:trPr>
          <w:trHeight w:val="20"/>
        </w:trPr>
        <w:tc>
          <w:tcPr>
            <w:tcW w:w="1140" w:type="dxa"/>
            <w:vAlign w:val="bottom"/>
            <w:tcBorders>
              <w:left w:val="single" w:sz="8" w:color="auto"/>
            </w:tcBorders>
            <w:vMerge w:val="continu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Borders>
              <w:right w:val="single" w:sz="8" w:color="auto"/>
            </w:tcBorders>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right w:val="single" w:sz="8" w:color="auto"/>
            </w:tcBorders>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Borders>
              <w:right w:val="single" w:sz="8" w:color="auto"/>
            </w:tcBorders>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right w:val="single" w:sz="8" w:color="auto"/>
            </w:tcBorders>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4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140" w:type="dxa"/>
            <w:vAlign w:val="bottom"/>
            <w:tcBorders>
              <w:left w:val="single" w:sz="8" w:color="auto"/>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9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60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89"/>
              </w:rPr>
              <w:t>11/2/2023</w:t>
            </w:r>
          </w:p>
        </w:tc>
        <w:tc>
          <w:tcPr>
            <w:tcW w:w="2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Forwards</w:t>
            </w:r>
          </w:p>
        </w:tc>
        <w:tc>
          <w:tcPr>
            <w:tcW w:w="18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5"/>
              </w:rPr>
              <w:t>(94,052)</w:t>
            </w:r>
            <w:r>
              <w:rPr>
                <w:rFonts w:ascii="Arial" w:cs="Arial" w:eastAsia="Arial" w:hAnsi="Arial"/>
                <w:sz w:val="29"/>
                <w:szCs w:val="29"/>
                <w:color w:val="auto"/>
                <w:w w:val="85"/>
                <w:vertAlign w:val="superscript"/>
              </w:rPr>
              <w:t>(1)</w:t>
            </w:r>
          </w:p>
        </w:tc>
        <w:tc>
          <w:tcPr>
            <w:tcW w:w="3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84"/>
              </w:rPr>
              <w:t>$6.03</w:t>
            </w:r>
            <w:r>
              <w:rPr>
                <w:rFonts w:ascii="Arial" w:cs="Arial" w:eastAsia="Arial" w:hAnsi="Arial"/>
                <w:sz w:val="29"/>
                <w:szCs w:val="29"/>
                <w:color w:val="auto"/>
                <w:w w:val="84"/>
                <w:vertAlign w:val="superscript"/>
              </w:rPr>
              <w:t>(2)</w:t>
            </w: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9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60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89"/>
              </w:rPr>
              <w:t>11/3/2023</w:t>
            </w:r>
          </w:p>
        </w:tc>
        <w:tc>
          <w:tcPr>
            <w:tcW w:w="2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Forwards</w:t>
            </w:r>
          </w:p>
        </w:tc>
        <w:tc>
          <w:tcPr>
            <w:tcW w:w="18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(122,181)</w:t>
            </w:r>
            <w:r>
              <w:rPr>
                <w:rFonts w:ascii="Arial" w:cs="Arial" w:eastAsia="Arial" w:hAnsi="Arial"/>
                <w:sz w:val="29"/>
                <w:szCs w:val="29"/>
                <w:color w:val="auto"/>
                <w:vertAlign w:val="superscript"/>
              </w:rPr>
              <w:t>(1)</w:t>
            </w:r>
          </w:p>
        </w:tc>
        <w:tc>
          <w:tcPr>
            <w:tcW w:w="3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84"/>
              </w:rPr>
              <w:t>$8.34</w:t>
            </w:r>
            <w:r>
              <w:rPr>
                <w:rFonts w:ascii="Arial" w:cs="Arial" w:eastAsia="Arial" w:hAnsi="Arial"/>
                <w:sz w:val="29"/>
                <w:szCs w:val="29"/>
                <w:color w:val="auto"/>
                <w:w w:val="84"/>
                <w:vertAlign w:val="superscript"/>
              </w:rPr>
              <w:t>(2)</w:t>
            </w: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9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6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11/6/2023</w:t>
            </w:r>
          </w:p>
        </w:tc>
        <w:tc>
          <w:tcPr>
            <w:tcW w:w="2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1880" w:type="dxa"/>
            <w:vAlign w:val="bottom"/>
            <w:gridSpan w:val="2"/>
          </w:tcPr>
          <w:p>
            <w:pPr>
              <w:jc w:val="center"/>
              <w:ind w:left="290"/>
              <w:spacing w:after="0"/>
              <w:rPr>
                <w:sz w:val="20"/>
                <w:szCs w:val="20"/>
                <w:color w:val="auto"/>
              </w:rPr>
            </w:pPr>
            <w:r>
              <w:rPr>
                <w:rFonts w:ascii="Arial" w:cs="Arial" w:eastAsia="Arial" w:hAnsi="Arial"/>
                <w:sz w:val="18"/>
                <w:szCs w:val="18"/>
                <w:color w:val="auto"/>
                <w:w w:val="92"/>
              </w:rPr>
              <w:t>(10,494)</w:t>
            </w:r>
          </w:p>
        </w:tc>
        <w:tc>
          <w:tcPr>
            <w:tcW w:w="360" w:type="dxa"/>
            <w:vAlign w:val="bottom"/>
            <w:tcBorders>
              <w:right w:val="single" w:sz="8" w:color="auto"/>
            </w:tcBorders>
          </w:tcPr>
          <w:p>
            <w:pPr>
              <w:spacing w:after="0"/>
              <w:rPr>
                <w:sz w:val="24"/>
                <w:szCs w:val="24"/>
                <w:color w:val="auto"/>
              </w:rPr>
            </w:pPr>
          </w:p>
        </w:tc>
        <w:tc>
          <w:tcPr>
            <w:tcW w:w="124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$82.48</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9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6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11/7/2023</w:t>
            </w:r>
          </w:p>
        </w:tc>
        <w:tc>
          <w:tcPr>
            <w:tcW w:w="2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1880" w:type="dxa"/>
            <w:vAlign w:val="bottom"/>
            <w:gridSpan w:val="2"/>
          </w:tcPr>
          <w:p>
            <w:pPr>
              <w:jc w:val="center"/>
              <w:ind w:left="290"/>
              <w:spacing w:after="0"/>
              <w:rPr>
                <w:sz w:val="20"/>
                <w:szCs w:val="20"/>
                <w:color w:val="auto"/>
              </w:rPr>
            </w:pPr>
            <w:r>
              <w:rPr>
                <w:rFonts w:ascii="Arial" w:cs="Arial" w:eastAsia="Arial" w:hAnsi="Arial"/>
                <w:sz w:val="18"/>
                <w:szCs w:val="18"/>
                <w:color w:val="auto"/>
                <w:w w:val="92"/>
              </w:rPr>
              <w:t>(93,711)</w:t>
            </w:r>
          </w:p>
        </w:tc>
        <w:tc>
          <w:tcPr>
            <w:tcW w:w="360" w:type="dxa"/>
            <w:vAlign w:val="bottom"/>
            <w:tcBorders>
              <w:right w:val="single" w:sz="8" w:color="auto"/>
            </w:tcBorders>
          </w:tcPr>
          <w:p>
            <w:pPr>
              <w:spacing w:after="0"/>
              <w:rPr>
                <w:sz w:val="24"/>
                <w:szCs w:val="24"/>
                <w:color w:val="auto"/>
              </w:rPr>
            </w:pPr>
          </w:p>
        </w:tc>
        <w:tc>
          <w:tcPr>
            <w:tcW w:w="124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$81.25</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9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6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11/8/2023</w:t>
            </w:r>
          </w:p>
        </w:tc>
        <w:tc>
          <w:tcPr>
            <w:tcW w:w="2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1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(110,142)</w:t>
            </w:r>
          </w:p>
        </w:tc>
        <w:tc>
          <w:tcPr>
            <w:tcW w:w="360" w:type="dxa"/>
            <w:vAlign w:val="bottom"/>
            <w:tcBorders>
              <w:right w:val="single" w:sz="8" w:color="auto"/>
            </w:tcBorders>
          </w:tcPr>
          <w:p>
            <w:pPr>
              <w:spacing w:after="0"/>
              <w:rPr>
                <w:sz w:val="24"/>
                <w:szCs w:val="24"/>
                <w:color w:val="auto"/>
              </w:rPr>
            </w:pPr>
          </w:p>
        </w:tc>
        <w:tc>
          <w:tcPr>
            <w:tcW w:w="124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$81.27</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9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6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11/9/2023</w:t>
            </w:r>
          </w:p>
        </w:tc>
        <w:tc>
          <w:tcPr>
            <w:tcW w:w="2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1880" w:type="dxa"/>
            <w:vAlign w:val="bottom"/>
            <w:gridSpan w:val="2"/>
          </w:tcPr>
          <w:p>
            <w:pPr>
              <w:jc w:val="center"/>
              <w:ind w:left="290"/>
              <w:spacing w:after="0"/>
              <w:rPr>
                <w:sz w:val="20"/>
                <w:szCs w:val="20"/>
                <w:color w:val="auto"/>
              </w:rPr>
            </w:pPr>
            <w:r>
              <w:rPr>
                <w:rFonts w:ascii="Arial" w:cs="Arial" w:eastAsia="Arial" w:hAnsi="Arial"/>
                <w:sz w:val="18"/>
                <w:szCs w:val="18"/>
                <w:color w:val="auto"/>
                <w:w w:val="92"/>
              </w:rPr>
              <w:t>(99,069)</w:t>
            </w:r>
          </w:p>
        </w:tc>
        <w:tc>
          <w:tcPr>
            <w:tcW w:w="360" w:type="dxa"/>
            <w:vAlign w:val="bottom"/>
            <w:tcBorders>
              <w:right w:val="single" w:sz="8" w:color="auto"/>
            </w:tcBorders>
          </w:tcPr>
          <w:p>
            <w:pPr>
              <w:spacing w:after="0"/>
              <w:rPr>
                <w:sz w:val="24"/>
                <w:szCs w:val="24"/>
                <w:color w:val="auto"/>
              </w:rPr>
            </w:pPr>
          </w:p>
        </w:tc>
        <w:tc>
          <w:tcPr>
            <w:tcW w:w="124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$80.12</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6"/>
        </w:trPr>
        <w:tc>
          <w:tcPr>
            <w:tcW w:w="39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60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88"/>
              </w:rPr>
              <w:t>11/13/2023</w:t>
            </w:r>
          </w:p>
        </w:tc>
        <w:tc>
          <w:tcPr>
            <w:tcW w:w="2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Forwards</w:t>
            </w:r>
          </w:p>
        </w:tc>
        <w:tc>
          <w:tcPr>
            <w:tcW w:w="18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5"/>
              </w:rPr>
              <w:t>(31,826)</w:t>
            </w:r>
            <w:r>
              <w:rPr>
                <w:rFonts w:ascii="Arial" w:cs="Arial" w:eastAsia="Arial" w:hAnsi="Arial"/>
                <w:sz w:val="29"/>
                <w:szCs w:val="29"/>
                <w:color w:val="auto"/>
                <w:w w:val="85"/>
                <w:vertAlign w:val="superscript"/>
              </w:rPr>
              <w:t>(1)</w:t>
            </w:r>
          </w:p>
        </w:tc>
        <w:tc>
          <w:tcPr>
            <w:tcW w:w="3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84"/>
              </w:rPr>
              <w:t>$5.11</w:t>
            </w:r>
            <w:r>
              <w:rPr>
                <w:rFonts w:ascii="Arial" w:cs="Arial" w:eastAsia="Arial" w:hAnsi="Arial"/>
                <w:sz w:val="29"/>
                <w:szCs w:val="29"/>
                <w:color w:val="auto"/>
                <w:w w:val="84"/>
                <w:vertAlign w:val="superscript"/>
              </w:rPr>
              <w:t>(2)</w:t>
            </w: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9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60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88"/>
              </w:rPr>
              <w:t>11/14/2023</w:t>
            </w:r>
          </w:p>
        </w:tc>
        <w:tc>
          <w:tcPr>
            <w:tcW w:w="2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Forwards</w:t>
            </w:r>
          </w:p>
        </w:tc>
        <w:tc>
          <w:tcPr>
            <w:tcW w:w="18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5"/>
              </w:rPr>
              <w:t>(97,839)</w:t>
            </w:r>
            <w:r>
              <w:rPr>
                <w:rFonts w:ascii="Arial" w:cs="Arial" w:eastAsia="Arial" w:hAnsi="Arial"/>
                <w:sz w:val="29"/>
                <w:szCs w:val="29"/>
                <w:color w:val="auto"/>
                <w:w w:val="85"/>
                <w:vertAlign w:val="superscript"/>
              </w:rPr>
              <w:t>(1)</w:t>
            </w:r>
          </w:p>
        </w:tc>
        <w:tc>
          <w:tcPr>
            <w:tcW w:w="3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84"/>
              </w:rPr>
              <w:t>$8.01</w:t>
            </w:r>
            <w:r>
              <w:rPr>
                <w:rFonts w:ascii="Arial" w:cs="Arial" w:eastAsia="Arial" w:hAnsi="Arial"/>
                <w:sz w:val="29"/>
                <w:szCs w:val="29"/>
                <w:color w:val="auto"/>
                <w:w w:val="84"/>
                <w:vertAlign w:val="superscript"/>
              </w:rPr>
              <w:t>(2)</w:t>
            </w: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4"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86"/>
        </w:trPr>
        <w:tc>
          <w:tcPr>
            <w:tcW w:w="39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LP</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11/15/2023</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Forwards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(40,793)</w:t>
            </w:r>
            <w:r>
              <w:rPr>
                <w:rFonts w:ascii="Arial" w:cs="Arial" w:eastAsia="Arial" w:hAnsi="Arial"/>
                <w:sz w:val="29"/>
                <w:szCs w:val="29"/>
                <w:color w:val="auto"/>
                <w:w w:val="85"/>
                <w:vertAlign w:val="superscript"/>
              </w:rPr>
              <w:t>(1)</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$9.11</w:t>
            </w:r>
            <w:r>
              <w:rPr>
                <w:rFonts w:ascii="Arial" w:cs="Arial" w:eastAsia="Arial" w:hAnsi="Arial"/>
                <w:sz w:val="29"/>
                <w:szCs w:val="29"/>
                <w:color w:val="auto"/>
                <w:w w:val="84"/>
                <w:vertAlign w:val="superscript"/>
              </w:rPr>
              <w:t>(2)</w:t>
            </w:r>
          </w:p>
        </w:tc>
      </w:tr>
      <w:tr>
        <w:trPr>
          <w:trHeight w:val="46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LP</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11/16/2023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Forwards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(72,903)</w:t>
            </w:r>
            <w:r>
              <w:rPr>
                <w:rFonts w:ascii="Arial" w:cs="Arial" w:eastAsia="Arial" w:hAnsi="Arial"/>
                <w:sz w:val="29"/>
                <w:szCs w:val="29"/>
                <w:color w:val="auto"/>
                <w:w w:val="85"/>
                <w:vertAlign w:val="superscript"/>
              </w:rPr>
              <w:t>(1)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$8.28</w:t>
            </w:r>
            <w:r>
              <w:rPr>
                <w:rFonts w:ascii="Arial" w:cs="Arial" w:eastAsia="Arial" w:hAnsi="Arial"/>
                <w:sz w:val="29"/>
                <w:szCs w:val="29"/>
                <w:color w:val="auto"/>
                <w:w w:val="84"/>
                <w:vertAlign w:val="superscript"/>
              </w:rPr>
              <w:t>(2)</w:t>
            </w:r>
          </w:p>
        </w:tc>
      </w:tr>
      <w:tr>
        <w:trPr>
          <w:trHeight w:val="318"/>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LP</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11/16/2023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(71,504)</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$83.51</w:t>
            </w:r>
          </w:p>
        </w:tc>
      </w:tr>
      <w:tr>
        <w:trPr>
          <w:trHeight w:val="108"/>
        </w:trPr>
        <w:tc>
          <w:tcPr>
            <w:tcW w:w="396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r>
      <w:tr>
        <w:trPr>
          <w:trHeight w:val="46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LP</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11/17/2023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Forwards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(160,258)</w:t>
            </w:r>
            <w:r>
              <w:rPr>
                <w:rFonts w:ascii="Arial" w:cs="Arial" w:eastAsia="Arial" w:hAnsi="Arial"/>
                <w:sz w:val="29"/>
                <w:szCs w:val="29"/>
                <w:color w:val="auto"/>
                <w:w w:val="87"/>
                <w:vertAlign w:val="superscript"/>
              </w:rPr>
              <w:t>(1)</w:t>
            </w:r>
          </w:p>
        </w:tc>
        <w:tc>
          <w:tcPr>
            <w:tcW w:w="156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$8.51</w:t>
            </w:r>
            <w:r>
              <w:rPr>
                <w:rFonts w:ascii="Arial" w:cs="Arial" w:eastAsia="Arial" w:hAnsi="Arial"/>
                <w:sz w:val="29"/>
                <w:szCs w:val="29"/>
                <w:color w:val="auto"/>
                <w:vertAlign w:val="superscript"/>
              </w:rPr>
              <w:t>(2)</w:t>
            </w:r>
          </w:p>
        </w:tc>
      </w:tr>
      <w:tr>
        <w:trPr>
          <w:trHeight w:val="318"/>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LP</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11/20/2023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240" w:type="dxa"/>
            <w:vAlign w:val="bottom"/>
            <w:tcBorders>
              <w:right w:val="single" w:sz="8" w:color="auto"/>
            </w:tcBorders>
          </w:tcPr>
          <w:p>
            <w:pPr>
              <w:jc w:val="right"/>
              <w:ind w:right="690"/>
              <w:spacing w:after="0"/>
              <w:rPr>
                <w:sz w:val="20"/>
                <w:szCs w:val="20"/>
                <w:color w:val="auto"/>
              </w:rPr>
            </w:pPr>
            <w:r>
              <w:rPr>
                <w:rFonts w:ascii="Arial" w:cs="Arial" w:eastAsia="Arial" w:hAnsi="Arial"/>
                <w:sz w:val="18"/>
                <w:szCs w:val="18"/>
                <w:color w:val="auto"/>
              </w:rPr>
              <w:t>(41,014)</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$82.96</w:t>
            </w:r>
          </w:p>
        </w:tc>
      </w:tr>
      <w:tr>
        <w:trPr>
          <w:trHeight w:val="108"/>
        </w:trPr>
        <w:tc>
          <w:tcPr>
            <w:tcW w:w="396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r>
      <w:tr>
        <w:trPr>
          <w:trHeight w:val="46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LP</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11/20/2023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Forwards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(169,466)</w:t>
            </w:r>
            <w:r>
              <w:rPr>
                <w:rFonts w:ascii="Arial" w:cs="Arial" w:eastAsia="Arial" w:hAnsi="Arial"/>
                <w:sz w:val="29"/>
                <w:szCs w:val="29"/>
                <w:color w:val="auto"/>
                <w:w w:val="87"/>
                <w:vertAlign w:val="superscript"/>
              </w:rPr>
              <w:t>(1)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$8.16</w:t>
            </w:r>
            <w:r>
              <w:rPr>
                <w:rFonts w:ascii="Arial" w:cs="Arial" w:eastAsia="Arial" w:hAnsi="Arial"/>
                <w:sz w:val="29"/>
                <w:szCs w:val="29"/>
                <w:color w:val="auto"/>
                <w:w w:val="84"/>
                <w:vertAlign w:val="superscript"/>
              </w:rPr>
              <w:t>(2)</w:t>
            </w:r>
          </w:p>
        </w:tc>
      </w:tr>
      <w:tr>
        <w:trPr>
          <w:trHeight w:val="46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11/2/2023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Forwards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(67,340)</w:t>
            </w:r>
            <w:r>
              <w:rPr>
                <w:rFonts w:ascii="Arial" w:cs="Arial" w:eastAsia="Arial" w:hAnsi="Arial"/>
                <w:sz w:val="29"/>
                <w:szCs w:val="29"/>
                <w:color w:val="auto"/>
                <w:w w:val="85"/>
                <w:vertAlign w:val="superscript"/>
              </w:rPr>
              <w:t>(1)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$6.03</w:t>
            </w:r>
            <w:r>
              <w:rPr>
                <w:rFonts w:ascii="Arial" w:cs="Arial" w:eastAsia="Arial" w:hAnsi="Arial"/>
                <w:sz w:val="29"/>
                <w:szCs w:val="29"/>
                <w:color w:val="auto"/>
                <w:w w:val="84"/>
                <w:vertAlign w:val="superscript"/>
              </w:rPr>
              <w:t>(2)</w:t>
            </w:r>
          </w:p>
        </w:tc>
      </w:tr>
      <w:tr>
        <w:trPr>
          <w:trHeight w:val="46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11/3/2023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Forwards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(87,519)</w:t>
            </w:r>
            <w:r>
              <w:rPr>
                <w:rFonts w:ascii="Arial" w:cs="Arial" w:eastAsia="Arial" w:hAnsi="Arial"/>
                <w:sz w:val="29"/>
                <w:szCs w:val="29"/>
                <w:color w:val="auto"/>
                <w:w w:val="85"/>
                <w:vertAlign w:val="superscript"/>
              </w:rPr>
              <w:t>(1)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$8.34</w:t>
            </w:r>
            <w:r>
              <w:rPr>
                <w:rFonts w:ascii="Arial" w:cs="Arial" w:eastAsia="Arial" w:hAnsi="Arial"/>
                <w:sz w:val="29"/>
                <w:szCs w:val="29"/>
                <w:color w:val="auto"/>
                <w:w w:val="84"/>
                <w:vertAlign w:val="superscript"/>
              </w:rPr>
              <w:t>(2)</w:t>
            </w:r>
          </w:p>
        </w:tc>
      </w:tr>
      <w:tr>
        <w:trPr>
          <w:trHeight w:val="318"/>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11/6/2023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(5,806)</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$82.48</w:t>
            </w:r>
          </w:p>
        </w:tc>
      </w:tr>
      <w:tr>
        <w:trPr>
          <w:trHeight w:val="108"/>
        </w:trPr>
        <w:tc>
          <w:tcPr>
            <w:tcW w:w="396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r>
      <w:tr>
        <w:trPr>
          <w:trHeight w:val="318"/>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11/7/2023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(67,096)</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$81.25</w:t>
            </w:r>
          </w:p>
        </w:tc>
      </w:tr>
      <w:tr>
        <w:trPr>
          <w:trHeight w:val="108"/>
        </w:trPr>
        <w:tc>
          <w:tcPr>
            <w:tcW w:w="396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r>
      <w:tr>
        <w:trPr>
          <w:trHeight w:val="318"/>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11/8/2023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(78,859)</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$81.27</w:t>
            </w:r>
          </w:p>
        </w:tc>
      </w:tr>
      <w:tr>
        <w:trPr>
          <w:trHeight w:val="108"/>
        </w:trPr>
        <w:tc>
          <w:tcPr>
            <w:tcW w:w="396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r>
      <w:tr>
        <w:trPr>
          <w:trHeight w:val="318"/>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11/9/2023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(70,931)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$80.12</w:t>
            </w:r>
          </w:p>
        </w:tc>
      </w:tr>
      <w:tr>
        <w:trPr>
          <w:trHeight w:val="108"/>
        </w:trPr>
        <w:tc>
          <w:tcPr>
            <w:tcW w:w="396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r>
      <w:tr>
        <w:trPr>
          <w:trHeight w:val="46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11/13/2023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Forwards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(24,743)</w:t>
            </w:r>
            <w:r>
              <w:rPr>
                <w:rFonts w:ascii="Arial" w:cs="Arial" w:eastAsia="Arial" w:hAnsi="Arial"/>
                <w:sz w:val="29"/>
                <w:szCs w:val="29"/>
                <w:color w:val="auto"/>
                <w:w w:val="85"/>
                <w:vertAlign w:val="superscript"/>
              </w:rPr>
              <w:t>(1)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$5.11</w:t>
            </w:r>
            <w:r>
              <w:rPr>
                <w:rFonts w:ascii="Arial" w:cs="Arial" w:eastAsia="Arial" w:hAnsi="Arial"/>
                <w:sz w:val="29"/>
                <w:szCs w:val="29"/>
                <w:color w:val="auto"/>
                <w:w w:val="84"/>
                <w:vertAlign w:val="superscript"/>
              </w:rPr>
              <w:t>(2)</w:t>
            </w:r>
          </w:p>
        </w:tc>
      </w:tr>
      <w:tr>
        <w:trPr>
          <w:trHeight w:val="46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11/14/2023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Forwards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(70,052)</w:t>
            </w:r>
            <w:r>
              <w:rPr>
                <w:rFonts w:ascii="Arial" w:cs="Arial" w:eastAsia="Arial" w:hAnsi="Arial"/>
                <w:sz w:val="29"/>
                <w:szCs w:val="29"/>
                <w:color w:val="auto"/>
                <w:w w:val="85"/>
                <w:vertAlign w:val="superscript"/>
              </w:rPr>
              <w:t>(1)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$8.01</w:t>
            </w:r>
            <w:r>
              <w:rPr>
                <w:rFonts w:ascii="Arial" w:cs="Arial" w:eastAsia="Arial" w:hAnsi="Arial"/>
                <w:sz w:val="29"/>
                <w:szCs w:val="29"/>
                <w:color w:val="auto"/>
                <w:w w:val="84"/>
                <w:vertAlign w:val="superscript"/>
              </w:rPr>
              <w:t>(2)</w:t>
            </w:r>
          </w:p>
        </w:tc>
      </w:tr>
      <w:tr>
        <w:trPr>
          <w:trHeight w:val="46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11/15/2023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Forwards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(29,207)</w:t>
            </w:r>
            <w:r>
              <w:rPr>
                <w:rFonts w:ascii="Arial" w:cs="Arial" w:eastAsia="Arial" w:hAnsi="Arial"/>
                <w:sz w:val="29"/>
                <w:szCs w:val="29"/>
                <w:color w:val="auto"/>
                <w:w w:val="85"/>
                <w:vertAlign w:val="superscript"/>
              </w:rPr>
              <w:t>(1)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$9.11</w:t>
            </w:r>
            <w:r>
              <w:rPr>
                <w:rFonts w:ascii="Arial" w:cs="Arial" w:eastAsia="Arial" w:hAnsi="Arial"/>
                <w:sz w:val="29"/>
                <w:szCs w:val="29"/>
                <w:color w:val="auto"/>
                <w:w w:val="84"/>
                <w:vertAlign w:val="superscript"/>
              </w:rPr>
              <w:t>(2)</w:t>
            </w:r>
          </w:p>
        </w:tc>
      </w:tr>
      <w:tr>
        <w:trPr>
          <w:trHeight w:val="46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11/16/2023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Forwards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(52,197)</w:t>
            </w:r>
            <w:r>
              <w:rPr>
                <w:rFonts w:ascii="Arial" w:cs="Arial" w:eastAsia="Arial" w:hAnsi="Arial"/>
                <w:sz w:val="29"/>
                <w:szCs w:val="29"/>
                <w:color w:val="auto"/>
                <w:w w:val="85"/>
                <w:vertAlign w:val="superscript"/>
              </w:rPr>
              <w:t>(1)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$8.28</w:t>
            </w:r>
            <w:r>
              <w:rPr>
                <w:rFonts w:ascii="Arial" w:cs="Arial" w:eastAsia="Arial" w:hAnsi="Arial"/>
                <w:sz w:val="29"/>
                <w:szCs w:val="29"/>
                <w:color w:val="auto"/>
                <w:w w:val="84"/>
                <w:vertAlign w:val="superscript"/>
              </w:rPr>
              <w:t>(2)</w:t>
            </w:r>
          </w:p>
        </w:tc>
      </w:tr>
      <w:tr>
        <w:trPr>
          <w:trHeight w:val="318"/>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11/16/2023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(51,196)</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$83.51</w:t>
            </w:r>
          </w:p>
        </w:tc>
      </w:tr>
      <w:tr>
        <w:trPr>
          <w:trHeight w:val="108"/>
        </w:trPr>
        <w:tc>
          <w:tcPr>
            <w:tcW w:w="396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r>
      <w:tr>
        <w:trPr>
          <w:trHeight w:val="46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11/17/2023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Forwards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(114,742)</w:t>
            </w:r>
            <w:r>
              <w:rPr>
                <w:rFonts w:ascii="Arial" w:cs="Arial" w:eastAsia="Arial" w:hAnsi="Arial"/>
                <w:sz w:val="29"/>
                <w:szCs w:val="29"/>
                <w:color w:val="auto"/>
                <w:w w:val="85"/>
                <w:vertAlign w:val="superscript"/>
              </w:rPr>
              <w:t>(1)</w:t>
            </w:r>
          </w:p>
        </w:tc>
        <w:tc>
          <w:tcPr>
            <w:tcW w:w="156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$8.51</w:t>
            </w:r>
            <w:r>
              <w:rPr>
                <w:rFonts w:ascii="Arial" w:cs="Arial" w:eastAsia="Arial" w:hAnsi="Arial"/>
                <w:sz w:val="29"/>
                <w:szCs w:val="29"/>
                <w:color w:val="auto"/>
                <w:vertAlign w:val="superscript"/>
              </w:rPr>
              <w:t>(2)</w:t>
            </w:r>
          </w:p>
        </w:tc>
      </w:tr>
      <w:tr>
        <w:trPr>
          <w:trHeight w:val="318"/>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11/20/2023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(29,186)</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$82.96</w:t>
            </w:r>
          </w:p>
        </w:tc>
      </w:tr>
      <w:tr>
        <w:trPr>
          <w:trHeight w:val="108"/>
        </w:trPr>
        <w:tc>
          <w:tcPr>
            <w:tcW w:w="396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r>
      <w:tr>
        <w:trPr>
          <w:trHeight w:val="46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11/20/2023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Forwards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(121,334)</w:t>
            </w:r>
            <w:r>
              <w:rPr>
                <w:rFonts w:ascii="Arial" w:cs="Arial" w:eastAsia="Arial" w:hAnsi="Arial"/>
                <w:sz w:val="29"/>
                <w:szCs w:val="29"/>
                <w:color w:val="auto"/>
                <w:w w:val="87"/>
                <w:vertAlign w:val="superscript"/>
              </w:rPr>
              <w:t>(1)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$8.16</w:t>
            </w:r>
            <w:r>
              <w:rPr>
                <w:rFonts w:ascii="Arial" w:cs="Arial" w:eastAsia="Arial" w:hAnsi="Arial"/>
                <w:sz w:val="29"/>
                <w:szCs w:val="29"/>
                <w:color w:val="auto"/>
                <w:w w:val="84"/>
                <w:vertAlign w:val="superscript"/>
              </w:rPr>
              <w:t>(2)</w:t>
            </w:r>
          </w:p>
        </w:tc>
      </w:tr>
    </w:tbl>
    <w:p>
      <w:pPr>
        <w:spacing w:after="0" w:line="202" w:lineRule="exact"/>
        <w:rPr>
          <w:sz w:val="20"/>
          <w:szCs w:val="20"/>
          <w:color w:val="auto"/>
        </w:rPr>
      </w:pPr>
    </w:p>
    <w:p>
      <w:pPr>
        <w:ind w:left="780" w:hanging="675"/>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sales of shares of Common Stock underlying Forwards, which Forwards expire on September 8, 2025.</w:t>
      </w:r>
    </w:p>
    <w:p>
      <w:pPr>
        <w:spacing w:after="0" w:line="23" w:lineRule="exact"/>
        <w:rPr>
          <w:rFonts w:ascii="Arial" w:cs="Arial" w:eastAsia="Arial" w:hAnsi="Arial"/>
          <w:sz w:val="18"/>
          <w:szCs w:val="18"/>
          <w:color w:val="auto"/>
        </w:rPr>
      </w:pPr>
    </w:p>
    <w:p>
      <w:pPr>
        <w:jc w:val="both"/>
        <w:ind w:left="780" w:right="100" w:hanging="675"/>
        <w:spacing w:after="0" w:line="255"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amount per share of Common Stock that the Reporting Person received from the counterparty upon the sale of such Forward. The forward price was $75.00 per share, which was subject to adjustment to account for any dividends or other distributions declared by the Issuer.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Item 5(d) of the Schedule 13D is hereby amended by replacing it in its entirety with the following:</w:t>
      </w:r>
    </w:p>
    <w:p>
      <w:pPr>
        <w:spacing w:after="0" w:line="225" w:lineRule="exact"/>
        <w:rPr>
          <w:sz w:val="20"/>
          <w:szCs w:val="20"/>
          <w:color w:val="auto"/>
        </w:rPr>
      </w:pPr>
    </w:p>
    <w:p>
      <w:pPr>
        <w:ind w:right="260" w:firstLine="656"/>
        <w:spacing w:after="0" w:line="277" w:lineRule="auto"/>
        <w:tabs>
          <w:tab w:leader="none" w:pos="11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a result of the transactions reported in this Schedule 13D, the Reporting Persons ceased to be the beneficial owners of more than five percent of the Shares and are no longer subject to the reporting requirements of Rule 13d-1(a) of the 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SIGNATURE</w:t>
      </w:r>
    </w:p>
    <w:p>
      <w:pPr>
        <w:spacing w:after="0" w:line="3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each of the undersigned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20,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ICAHN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ONSHORE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ICAHN PARTNERS MASTER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ICAHN OFFSHORE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ICAHN CAPITAL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IPH GP LLC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Jesse Lynn</w:t>
            </w:r>
          </w:p>
        </w:tc>
        <w:tc>
          <w:tcPr>
            <w:tcW w:w="680" w:type="dxa"/>
            <w:vAlign w:val="bottom"/>
            <w:gridSpan w:val="2"/>
          </w:tcPr>
          <w:p>
            <w:pPr>
              <w:spacing w:after="0"/>
              <w:rPr>
                <w:sz w:val="17"/>
                <w:szCs w:val="17"/>
                <w:color w:val="auto"/>
              </w:rPr>
            </w:pPr>
          </w:p>
        </w:tc>
      </w:tr>
      <w:tr>
        <w:trPr>
          <w:trHeight w:val="222"/>
        </w:trPr>
        <w:tc>
          <w:tcPr>
            <w:tcW w:w="460" w:type="dxa"/>
            <w:vAlign w:val="bottom"/>
          </w:tcPr>
          <w:p>
            <w:pPr>
              <w:spacing w:after="0"/>
              <w:rPr>
                <w:sz w:val="19"/>
                <w:szCs w:val="19"/>
                <w:color w:val="auto"/>
              </w:rPr>
            </w:pPr>
          </w:p>
        </w:tc>
        <w:tc>
          <w:tcPr>
            <w:tcW w:w="2340" w:type="dxa"/>
            <w:vAlign w:val="bottom"/>
            <w:gridSpan w:val="4"/>
          </w:tcPr>
          <w:p>
            <w:pPr>
              <w:ind w:left="200"/>
              <w:spacing w:after="0"/>
              <w:rPr>
                <w:sz w:val="20"/>
                <w:szCs w:val="20"/>
                <w:color w:val="auto"/>
              </w:rPr>
            </w:pPr>
            <w:r>
              <w:rPr>
                <w:rFonts w:ascii="Arial" w:cs="Arial" w:eastAsia="Arial" w:hAnsi="Arial"/>
                <w:sz w:val="18"/>
                <w:szCs w:val="18"/>
                <w:color w:val="auto"/>
              </w:rPr>
              <w:t>Name: Jesse Lynn</w:t>
            </w:r>
          </w:p>
        </w:tc>
      </w:tr>
      <w:tr>
        <w:trPr>
          <w:trHeight w:val="230"/>
        </w:trPr>
        <w:tc>
          <w:tcPr>
            <w:tcW w:w="460" w:type="dxa"/>
            <w:vAlign w:val="bottom"/>
          </w:tcPr>
          <w:p>
            <w:pPr>
              <w:spacing w:after="0"/>
              <w:rPr>
                <w:sz w:val="20"/>
                <w:szCs w:val="20"/>
                <w:color w:val="auto"/>
              </w:rPr>
            </w:pPr>
          </w:p>
        </w:tc>
        <w:tc>
          <w:tcPr>
            <w:tcW w:w="2340" w:type="dxa"/>
            <w:vAlign w:val="bottom"/>
            <w:gridSpan w:val="4"/>
          </w:tcPr>
          <w:p>
            <w:pPr>
              <w:ind w:left="200"/>
              <w:spacing w:after="0"/>
              <w:rPr>
                <w:sz w:val="20"/>
                <w:szCs w:val="20"/>
                <w:color w:val="auto"/>
              </w:rPr>
            </w:pPr>
            <w:r>
              <w:rPr>
                <w:rFonts w:ascii="Arial" w:cs="Arial" w:eastAsia="Arial" w:hAnsi="Arial"/>
                <w:sz w:val="18"/>
                <w:szCs w:val="18"/>
                <w:color w:val="auto"/>
                <w:w w:val="92"/>
              </w:rPr>
              <w:t>Title: Chief Operating Officer</w:t>
            </w:r>
          </w:p>
        </w:tc>
      </w:tr>
      <w:tr>
        <w:trPr>
          <w:trHeight w:val="648"/>
        </w:trPr>
        <w:tc>
          <w:tcPr>
            <w:tcW w:w="2800" w:type="dxa"/>
            <w:vAlign w:val="bottom"/>
            <w:gridSpan w:val="5"/>
          </w:tcPr>
          <w:p>
            <w:pPr>
              <w:spacing w:after="0"/>
              <w:rPr>
                <w:sz w:val="20"/>
                <w:szCs w:val="20"/>
                <w:color w:val="auto"/>
              </w:rPr>
            </w:pPr>
            <w:r>
              <w:rPr>
                <w:rFonts w:ascii="Arial" w:cs="Arial" w:eastAsia="Arial" w:hAnsi="Arial"/>
                <w:sz w:val="18"/>
                <w:szCs w:val="18"/>
                <w:color w:val="auto"/>
              </w:rPr>
              <w:t>BECKTON CORP.</w:t>
            </w:r>
          </w:p>
        </w:tc>
      </w:tr>
      <w:tr>
        <w:trPr>
          <w:trHeight w:val="39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/s/ Ted Papapostolou</w:t>
            </w:r>
          </w:p>
        </w:tc>
        <w:tc>
          <w:tcPr>
            <w:tcW w:w="58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2340" w:type="dxa"/>
            <w:vAlign w:val="bottom"/>
            <w:gridSpan w:val="4"/>
          </w:tcPr>
          <w:p>
            <w:pPr>
              <w:ind w:left="200"/>
              <w:spacing w:after="0"/>
              <w:rPr>
                <w:sz w:val="20"/>
                <w:szCs w:val="20"/>
                <w:color w:val="auto"/>
              </w:rPr>
            </w:pPr>
            <w:r>
              <w:rPr>
                <w:rFonts w:ascii="Arial" w:cs="Arial" w:eastAsia="Arial" w:hAnsi="Arial"/>
                <w:sz w:val="18"/>
                <w:szCs w:val="18"/>
                <w:color w:val="auto"/>
              </w:rPr>
              <w:t>Name: Ted Papapostolou</w:t>
            </w:r>
          </w:p>
        </w:tc>
      </w:tr>
      <w:tr>
        <w:trPr>
          <w:trHeight w:val="230"/>
        </w:trPr>
        <w:tc>
          <w:tcPr>
            <w:tcW w:w="460" w:type="dxa"/>
            <w:vAlign w:val="bottom"/>
          </w:tcPr>
          <w:p>
            <w:pPr>
              <w:spacing w:after="0"/>
              <w:rPr>
                <w:sz w:val="20"/>
                <w:szCs w:val="20"/>
                <w:color w:val="auto"/>
              </w:rPr>
            </w:pPr>
          </w:p>
        </w:tc>
        <w:tc>
          <w:tcPr>
            <w:tcW w:w="2340" w:type="dxa"/>
            <w:vAlign w:val="bottom"/>
            <w:gridSpan w:val="4"/>
          </w:tcPr>
          <w:p>
            <w:pPr>
              <w:ind w:left="200"/>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HOLDINGS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Icahn Enterprises G.P. Inc.,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G.P. INC.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18"/>
                <w:szCs w:val="18"/>
                <w:color w:val="auto"/>
              </w:rPr>
            </w:pPr>
          </w:p>
        </w:tc>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Ted Papapostolou</w:t>
            </w:r>
          </w:p>
        </w:tc>
        <w:tc>
          <w:tcPr>
            <w:tcW w:w="34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2460" w:type="dxa"/>
            <w:vAlign w:val="bottom"/>
            <w:gridSpan w:val="4"/>
          </w:tcPr>
          <w:p>
            <w:pPr>
              <w:ind w:left="200"/>
              <w:spacing w:after="0"/>
              <w:rPr>
                <w:sz w:val="20"/>
                <w:szCs w:val="20"/>
                <w:color w:val="auto"/>
              </w:rPr>
            </w:pPr>
            <w:r>
              <w:rPr>
                <w:rFonts w:ascii="Arial" w:cs="Arial" w:eastAsia="Arial" w:hAnsi="Arial"/>
                <w:sz w:val="18"/>
                <w:szCs w:val="18"/>
                <w:color w:val="auto"/>
              </w:rPr>
              <w:t>Name: Ted Papapostolou</w:t>
            </w:r>
          </w:p>
        </w:tc>
      </w:tr>
      <w:tr>
        <w:trPr>
          <w:trHeight w:val="230"/>
        </w:trPr>
        <w:tc>
          <w:tcPr>
            <w:tcW w:w="460" w:type="dxa"/>
            <w:vAlign w:val="bottom"/>
          </w:tcPr>
          <w:p>
            <w:pPr>
              <w:spacing w:after="0"/>
              <w:rPr>
                <w:sz w:val="20"/>
                <w:szCs w:val="20"/>
                <w:color w:val="auto"/>
              </w:rPr>
            </w:pPr>
          </w:p>
        </w:tc>
        <w:tc>
          <w:tcPr>
            <w:tcW w:w="2460" w:type="dxa"/>
            <w:vAlign w:val="bottom"/>
            <w:gridSpan w:val="4"/>
          </w:tcPr>
          <w:p>
            <w:pPr>
              <w:ind w:left="200"/>
              <w:spacing w:after="0"/>
              <w:rPr>
                <w:sz w:val="20"/>
                <w:szCs w:val="20"/>
                <w:color w:val="auto"/>
              </w:rPr>
            </w:pPr>
            <w:r>
              <w:rPr>
                <w:rFonts w:ascii="Arial" w:cs="Arial" w:eastAsia="Arial" w:hAnsi="Arial"/>
                <w:sz w:val="18"/>
                <w:szCs w:val="18"/>
                <w:color w:val="auto"/>
                <w:w w:val="94"/>
              </w:rPr>
              <w:t>Title: Chief Accounting Officer</w:t>
            </w:r>
          </w:p>
        </w:tc>
      </w:tr>
      <w:tr>
        <w:trPr>
          <w:trHeight w:val="648"/>
        </w:trPr>
        <w:tc>
          <w:tcPr>
            <w:tcW w:w="2920" w:type="dxa"/>
            <w:vAlign w:val="bottom"/>
            <w:gridSpan w:val="5"/>
          </w:tcPr>
          <w:p>
            <w:pPr>
              <w:spacing w:after="0"/>
              <w:rPr>
                <w:sz w:val="20"/>
                <w:szCs w:val="20"/>
                <w:color w:val="auto"/>
              </w:rPr>
            </w:pPr>
            <w:r>
              <w:rPr>
                <w:rFonts w:ascii="Arial" w:cs="Arial" w:eastAsia="Arial" w:hAnsi="Arial"/>
                <w:sz w:val="18"/>
                <w:szCs w:val="18"/>
                <w:color w:val="auto"/>
              </w:rPr>
              <w:t>MATSUMURA FISHWORKS LLC</w:t>
            </w:r>
          </w:p>
        </w:tc>
      </w:tr>
      <w:tr>
        <w:trPr>
          <w:trHeight w:val="39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Jesse Lynn</w:t>
            </w:r>
          </w:p>
        </w:tc>
        <w:tc>
          <w:tcPr>
            <w:tcW w:w="800" w:type="dxa"/>
            <w:vAlign w:val="bottom"/>
            <w:gridSpan w:val="2"/>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2460" w:type="dxa"/>
            <w:vAlign w:val="bottom"/>
            <w:gridSpan w:val="4"/>
          </w:tcPr>
          <w:p>
            <w:pPr>
              <w:ind w:left="200"/>
              <w:spacing w:after="0"/>
              <w:rPr>
                <w:sz w:val="20"/>
                <w:szCs w:val="20"/>
                <w:color w:val="auto"/>
              </w:rPr>
            </w:pPr>
            <w:r>
              <w:rPr>
                <w:rFonts w:ascii="Arial" w:cs="Arial" w:eastAsia="Arial" w:hAnsi="Arial"/>
                <w:sz w:val="18"/>
                <w:szCs w:val="18"/>
                <w:color w:val="auto"/>
              </w:rPr>
              <w:t>Name: Jesse Lyn</w:t>
            </w:r>
          </w:p>
        </w:tc>
      </w:tr>
      <w:tr>
        <w:trPr>
          <w:trHeight w:val="230"/>
        </w:trPr>
        <w:tc>
          <w:tcPr>
            <w:tcW w:w="460" w:type="dxa"/>
            <w:vAlign w:val="bottom"/>
          </w:tcPr>
          <w:p>
            <w:pPr>
              <w:spacing w:after="0"/>
              <w:rPr>
                <w:sz w:val="20"/>
                <w:szCs w:val="20"/>
                <w:color w:val="auto"/>
              </w:rPr>
            </w:pPr>
          </w:p>
        </w:tc>
        <w:tc>
          <w:tcPr>
            <w:tcW w:w="2460" w:type="dxa"/>
            <w:vAlign w:val="bottom"/>
            <w:gridSpan w:val="4"/>
          </w:tcPr>
          <w:p>
            <w:pPr>
              <w:ind w:left="200"/>
              <w:spacing w:after="0"/>
              <w:rPr>
                <w:sz w:val="20"/>
                <w:szCs w:val="20"/>
                <w:color w:val="auto"/>
              </w:rPr>
            </w:pPr>
            <w:r>
              <w:rPr>
                <w:rFonts w:ascii="Arial" w:cs="Arial" w:eastAsia="Arial" w:hAnsi="Arial"/>
                <w:sz w:val="18"/>
                <w:szCs w:val="18"/>
                <w:color w:val="auto"/>
                <w:w w:val="98"/>
              </w:rPr>
              <w:t>Title: Chief Operating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Carl C. Icahn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201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CARL C. ICAHN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3 to Schedule 13D – Crown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lvl w:ilvl="1">
      <w:lvlJc w:val="left"/>
      <w:lvlText w:val="(%2)"/>
      <w:numFmt w:val="lowerLetter"/>
      <w:start w:val="1"/>
    </w:lvl>
  </w:abstractNum>
  <w:abstractNum w:abstractNumId="2">
    <w:nsid w:val="257130A3"/>
    <w:multiLevelType w:val="hybridMultilevel"/>
    <w:lvl w:ilvl="0">
      <w:lvlJc w:val="left"/>
      <w:lvlText w:val="(%1)"/>
      <w:numFmt w:val="decimal"/>
      <w:start w:val="10"/>
    </w:lvl>
  </w:abstractNum>
  <w:abstractNum w:abstractNumId="3">
    <w:nsid w:val="62BBD95A"/>
    <w:multiLevelType w:val="hybridMultilevel"/>
    <w:lvl w:ilvl="0">
      <w:lvlJc w:val="left"/>
      <w:lvlText w:val="(%1)"/>
      <w:numFmt w:val="decimal"/>
      <w:start w:val="11"/>
    </w:lvl>
  </w:abstractNum>
  <w:abstractNum w:abstractNumId="4">
    <w:nsid w:val="436C6125"/>
    <w:multiLevelType w:val="hybridMultilevel"/>
    <w:lvl w:ilvl="0">
      <w:lvlJc w:val="left"/>
      <w:lvlText w:val="(%1)"/>
      <w:numFmt w:val="decimal"/>
      <w:start w:val="1"/>
    </w:lvl>
    <w:lvl w:ilvl="1">
      <w:lvlJc w:val="left"/>
      <w:lvlText w:val="(%2)"/>
      <w:numFmt w:val="lowerLetter"/>
      <w:start w:val="1"/>
    </w:lvl>
  </w:abstractNum>
  <w:abstractNum w:abstractNumId="5">
    <w:nsid w:val="628C895D"/>
    <w:multiLevelType w:val="hybridMultilevel"/>
    <w:lvl w:ilvl="0">
      <w:lvlJc w:val="left"/>
      <w:lvlText w:val="%1"/>
      <w:numFmt w:val="decimal"/>
      <w:start w:val="1"/>
    </w:lvl>
    <w:lvl w:ilvl="1">
      <w:lvlJc w:val="left"/>
      <w:lvlText w:val="(%2)"/>
      <w:numFmt w:val="decimal"/>
      <w:start w:val="10"/>
    </w:lvl>
  </w:abstractNum>
  <w:abstractNum w:abstractNumId="6">
    <w:nsid w:val="333AB105"/>
    <w:multiLevelType w:val="hybridMultilevel"/>
    <w:lvl w:ilvl="0">
      <w:lvlJc w:val="left"/>
      <w:lvlText w:val="(%1)"/>
      <w:numFmt w:val="decimal"/>
      <w:start w:val="11"/>
    </w:lvl>
    <w:lvl w:ilvl="1">
      <w:lvlJc w:val="left"/>
      <w:lvlText w:val="%2"/>
      <w:numFmt w:val="decimal"/>
      <w:start w:val="1"/>
    </w:lvl>
  </w:abstractNum>
  <w:abstractNum w:abstractNumId="7">
    <w:nsid w:val="721DA317"/>
    <w:multiLevelType w:val="hybridMultilevel"/>
    <w:lvl w:ilvl="0">
      <w:lvlJc w:val="left"/>
      <w:lvlText w:val="(%1)"/>
      <w:numFmt w:val="decimal"/>
      <w:start w:val="1"/>
    </w:lvl>
    <w:lvl w:ilvl="1">
      <w:lvlJc w:val="left"/>
      <w:lvlText w:val="(%2)"/>
      <w:numFmt w:val="lowerLetter"/>
      <w:start w:val="1"/>
    </w:lvl>
  </w:abstractNum>
  <w:abstractNum w:abstractNumId="8">
    <w:nsid w:val="2443A858"/>
    <w:multiLevelType w:val="hybridMultilevel"/>
    <w:lvl w:ilvl="0">
      <w:lvlJc w:val="left"/>
      <w:lvlText w:val="%1"/>
      <w:numFmt w:val="decimal"/>
      <w:start w:val="1"/>
    </w:lvl>
    <w:lvl w:ilvl="1">
      <w:lvlJc w:val="left"/>
      <w:lvlText w:val="(%2)"/>
      <w:numFmt w:val="decimal"/>
      <w:start w:val="10"/>
    </w:lvl>
  </w:abstractNum>
  <w:abstractNum w:abstractNumId="9">
    <w:nsid w:val="2D1D5AE9"/>
    <w:multiLevelType w:val="hybridMultilevel"/>
    <w:lvl w:ilvl="0">
      <w:lvlJc w:val="left"/>
      <w:lvlText w:val="(%1)"/>
      <w:numFmt w:val="decimal"/>
      <w:start w:val="11"/>
    </w:lvl>
    <w:lvl w:ilvl="1">
      <w:lvlJc w:val="left"/>
      <w:lvlText w:val="%2"/>
      <w:numFmt w:val="decimal"/>
      <w:start w:val="1"/>
    </w:lvl>
  </w:abstractNum>
  <w:abstractNum w:abstractNumId="10">
    <w:nsid w:val="6763845E"/>
    <w:multiLevelType w:val="hybridMultilevel"/>
    <w:lvl w:ilvl="0">
      <w:lvlJc w:val="left"/>
      <w:lvlText w:val="(%1)"/>
      <w:numFmt w:val="decimal"/>
      <w:start w:val="1"/>
    </w:lvl>
    <w:lvl w:ilvl="1">
      <w:lvlJc w:val="left"/>
      <w:lvlText w:val="(%2)"/>
      <w:numFmt w:val="lowerLetter"/>
      <w:start w:val="1"/>
    </w:lvl>
  </w:abstractNum>
  <w:abstractNum w:abstractNumId="11">
    <w:nsid w:val="75A2A8D4"/>
    <w:multiLevelType w:val="hybridMultilevel"/>
    <w:lvl w:ilvl="0">
      <w:lvlJc w:val="left"/>
      <w:lvlText w:val="%1"/>
      <w:numFmt w:val="decimal"/>
      <w:start w:val="1"/>
    </w:lvl>
    <w:lvl w:ilvl="1">
      <w:lvlJc w:val="left"/>
      <w:lvlText w:val="(%2)"/>
      <w:numFmt w:val="decimal"/>
      <w:start w:val="10"/>
    </w:lvl>
  </w:abstractNum>
  <w:abstractNum w:abstractNumId="12">
    <w:nsid w:val="8EDBDAB"/>
    <w:multiLevelType w:val="hybridMultilevel"/>
    <w:lvl w:ilvl="0">
      <w:lvlJc w:val="left"/>
      <w:lvlText w:val="(%1)"/>
      <w:numFmt w:val="decimal"/>
      <w:start w:val="11"/>
    </w:lvl>
    <w:lvl w:ilvl="1">
      <w:lvlJc w:val="left"/>
      <w:lvlText w:val="%2"/>
      <w:numFmt w:val="decimal"/>
      <w:start w:val="1"/>
    </w:lvl>
  </w:abstractNum>
  <w:abstractNum w:abstractNumId="13">
    <w:nsid w:val="79838CB2"/>
    <w:multiLevelType w:val="hybridMultilevel"/>
    <w:lvl w:ilvl="0">
      <w:lvlJc w:val="left"/>
      <w:lvlText w:val="(%1)"/>
      <w:numFmt w:val="decimal"/>
      <w:start w:val="1"/>
    </w:lvl>
    <w:lvl w:ilvl="1">
      <w:lvlJc w:val="left"/>
      <w:lvlText w:val="(%2)"/>
      <w:numFmt w:val="lowerLetter"/>
      <w:start w:val="1"/>
    </w:lvl>
  </w:abstractNum>
  <w:abstractNum w:abstractNumId="14">
    <w:nsid w:val="4353D0CD"/>
    <w:multiLevelType w:val="hybridMultilevel"/>
    <w:lvl w:ilvl="0">
      <w:lvlJc w:val="left"/>
      <w:lvlText w:val="%1"/>
      <w:numFmt w:val="decimal"/>
      <w:start w:val="1"/>
    </w:lvl>
    <w:lvl w:ilvl="1">
      <w:lvlJc w:val="left"/>
      <w:lvlText w:val="(%2)"/>
      <w:numFmt w:val="decimal"/>
      <w:start w:val="10"/>
    </w:lvl>
  </w:abstractNum>
  <w:abstractNum w:abstractNumId="15">
    <w:nsid w:val="B03E0C6"/>
    <w:multiLevelType w:val="hybridMultilevel"/>
    <w:lvl w:ilvl="0">
      <w:lvlJc w:val="left"/>
      <w:lvlText w:val="(%1)"/>
      <w:numFmt w:val="decimal"/>
      <w:start w:val="11"/>
    </w:lvl>
    <w:lvl w:ilvl="1">
      <w:lvlJc w:val="left"/>
      <w:lvlText w:val="%2"/>
      <w:numFmt w:val="decimal"/>
      <w:start w:val="1"/>
    </w:lvl>
  </w:abstractNum>
  <w:abstractNum w:abstractNumId="16">
    <w:nsid w:val="189A769B"/>
    <w:multiLevelType w:val="hybridMultilevel"/>
    <w:lvl w:ilvl="0">
      <w:lvlJc w:val="left"/>
      <w:lvlText w:val="(%1)"/>
      <w:numFmt w:val="decimal"/>
      <w:start w:val="1"/>
    </w:lvl>
    <w:lvl w:ilvl="1">
      <w:lvlJc w:val="left"/>
      <w:lvlText w:val="(%2)"/>
      <w:numFmt w:val="lowerLetter"/>
      <w:start w:val="1"/>
    </w:lvl>
  </w:abstractNum>
  <w:abstractNum w:abstractNumId="17">
    <w:nsid w:val="54E49EB4"/>
    <w:multiLevelType w:val="hybridMultilevel"/>
    <w:lvl w:ilvl="0">
      <w:lvlJc w:val="left"/>
      <w:lvlText w:val="%1"/>
      <w:numFmt w:val="decimal"/>
      <w:start w:val="1"/>
    </w:lvl>
    <w:lvl w:ilvl="1">
      <w:lvlJc w:val="left"/>
      <w:lvlText w:val="(%2)"/>
      <w:numFmt w:val="decimal"/>
      <w:start w:val="10"/>
    </w:lvl>
  </w:abstractNum>
  <w:abstractNum w:abstractNumId="18">
    <w:nsid w:val="71F32454"/>
    <w:multiLevelType w:val="hybridMultilevel"/>
    <w:lvl w:ilvl="0">
      <w:lvlJc w:val="left"/>
      <w:lvlText w:val="(%1)"/>
      <w:numFmt w:val="decimal"/>
      <w:start w:val="11"/>
    </w:lvl>
    <w:lvl w:ilvl="1">
      <w:lvlJc w:val="left"/>
      <w:lvlText w:val="%2"/>
      <w:numFmt w:val="decimal"/>
      <w:start w:val="1"/>
    </w:lvl>
  </w:abstractNum>
  <w:abstractNum w:abstractNumId="19">
    <w:nsid w:val="2CA88611"/>
    <w:multiLevelType w:val="hybridMultilevel"/>
    <w:lvl w:ilvl="0">
      <w:lvlJc w:val="left"/>
      <w:lvlText w:val="(%1)"/>
      <w:numFmt w:val="decimal"/>
      <w:start w:val="1"/>
    </w:lvl>
    <w:lvl w:ilvl="1">
      <w:lvlJc w:val="left"/>
      <w:lvlText w:val="(%2)"/>
      <w:numFmt w:val="lowerLetter"/>
      <w:start w:val="1"/>
    </w:lvl>
  </w:abstractNum>
  <w:abstractNum w:abstractNumId="20">
    <w:nsid w:val="836C40E"/>
    <w:multiLevelType w:val="hybridMultilevel"/>
    <w:lvl w:ilvl="0">
      <w:lvlJc w:val="left"/>
      <w:lvlText w:val="%1"/>
      <w:numFmt w:val="decimal"/>
      <w:start w:val="1"/>
    </w:lvl>
    <w:lvl w:ilvl="1">
      <w:lvlJc w:val="left"/>
      <w:lvlText w:val="(%2)"/>
      <w:numFmt w:val="decimal"/>
      <w:start w:val="10"/>
    </w:lvl>
  </w:abstractNum>
  <w:abstractNum w:abstractNumId="21">
    <w:nsid w:val="2901D82"/>
    <w:multiLevelType w:val="hybridMultilevel"/>
    <w:lvl w:ilvl="0">
      <w:lvlJc w:val="left"/>
      <w:lvlText w:val="(%1)"/>
      <w:numFmt w:val="decimal"/>
      <w:start w:val="11"/>
    </w:lvl>
    <w:lvl w:ilvl="1">
      <w:lvlJc w:val="left"/>
      <w:lvlText w:val="%2"/>
      <w:numFmt w:val="decimal"/>
      <w:start w:val="1"/>
    </w:lvl>
  </w:abstractNum>
  <w:abstractNum w:abstractNumId="22">
    <w:nsid w:val="3A95F874"/>
    <w:multiLevelType w:val="hybridMultilevel"/>
    <w:lvl w:ilvl="0">
      <w:lvlJc w:val="left"/>
      <w:lvlText w:val="(%1)"/>
      <w:numFmt w:val="decimal"/>
      <w:start w:val="1"/>
    </w:lvl>
    <w:lvl w:ilvl="1">
      <w:lvlJc w:val="left"/>
      <w:lvlText w:val="(%2)"/>
      <w:numFmt w:val="lowerLetter"/>
      <w:start w:val="1"/>
    </w:lvl>
  </w:abstractNum>
  <w:abstractNum w:abstractNumId="23">
    <w:nsid w:val="8138641"/>
    <w:multiLevelType w:val="hybridMultilevel"/>
    <w:lvl w:ilvl="0">
      <w:lvlJc w:val="left"/>
      <w:lvlText w:val="%1"/>
      <w:numFmt w:val="decimal"/>
      <w:start w:val="1"/>
    </w:lvl>
    <w:lvl w:ilvl="1">
      <w:lvlJc w:val="left"/>
      <w:lvlText w:val="(%2)"/>
      <w:numFmt w:val="decimal"/>
      <w:start w:val="10"/>
    </w:lvl>
  </w:abstractNum>
  <w:abstractNum w:abstractNumId="24">
    <w:nsid w:val="1E7FF521"/>
    <w:multiLevelType w:val="hybridMultilevel"/>
    <w:lvl w:ilvl="0">
      <w:lvlJc w:val="left"/>
      <w:lvlText w:val="(%1)"/>
      <w:numFmt w:val="decimal"/>
      <w:start w:val="11"/>
    </w:lvl>
    <w:lvl w:ilvl="1">
      <w:lvlJc w:val="left"/>
      <w:lvlText w:val="%2"/>
      <w:numFmt w:val="decimal"/>
      <w:start w:val="1"/>
    </w:lvl>
  </w:abstractNum>
  <w:abstractNum w:abstractNumId="25">
    <w:nsid w:val="7C3DBD3D"/>
    <w:multiLevelType w:val="hybridMultilevel"/>
    <w:lvl w:ilvl="0">
      <w:lvlJc w:val="left"/>
      <w:lvlText w:val="(%1)"/>
      <w:numFmt w:val="decimal"/>
      <w:start w:val="1"/>
    </w:lvl>
    <w:lvl w:ilvl="1">
      <w:lvlJc w:val="left"/>
      <w:lvlText w:val="(%2)"/>
      <w:numFmt w:val="lowerLetter"/>
      <w:start w:val="1"/>
    </w:lvl>
  </w:abstractNum>
  <w:abstractNum w:abstractNumId="26">
    <w:nsid w:val="737B8DDC"/>
    <w:multiLevelType w:val="hybridMultilevel"/>
    <w:lvl w:ilvl="0">
      <w:lvlJc w:val="left"/>
      <w:lvlText w:val="%1"/>
      <w:numFmt w:val="decimal"/>
      <w:start w:val="1"/>
    </w:lvl>
    <w:lvl w:ilvl="1">
      <w:lvlJc w:val="left"/>
      <w:lvlText w:val="(%2)"/>
      <w:numFmt w:val="decimal"/>
      <w:start w:val="10"/>
    </w:lvl>
  </w:abstractNum>
  <w:abstractNum w:abstractNumId="27">
    <w:nsid w:val="6CEAF087"/>
    <w:multiLevelType w:val="hybridMultilevel"/>
    <w:lvl w:ilvl="0">
      <w:lvlJc w:val="left"/>
      <w:lvlText w:val="(%1)"/>
      <w:numFmt w:val="decimal"/>
      <w:start w:val="11"/>
    </w:lvl>
    <w:lvl w:ilvl="1">
      <w:lvlJc w:val="left"/>
      <w:lvlText w:val="%2"/>
      <w:numFmt w:val="decimal"/>
      <w:start w:val="1"/>
    </w:lvl>
  </w:abstractNum>
  <w:abstractNum w:abstractNumId="28">
    <w:nsid w:val="22221A70"/>
    <w:multiLevelType w:val="hybridMultilevel"/>
    <w:lvl w:ilvl="0">
      <w:lvlJc w:val="left"/>
      <w:lvlText w:val="(%1)"/>
      <w:numFmt w:val="decimal"/>
      <w:start w:val="1"/>
    </w:lvl>
    <w:lvl w:ilvl="1">
      <w:lvlJc w:val="left"/>
      <w:lvlText w:val="(%2)"/>
      <w:numFmt w:val="lowerLetter"/>
      <w:start w:val="1"/>
    </w:lvl>
  </w:abstractNum>
  <w:abstractNum w:abstractNumId="29">
    <w:nsid w:val="4516DDE9"/>
    <w:multiLevelType w:val="hybridMultilevel"/>
    <w:lvl w:ilvl="0">
      <w:lvlJc w:val="left"/>
      <w:lvlText w:val="%1"/>
      <w:numFmt w:val="decimal"/>
      <w:start w:val="1"/>
    </w:lvl>
    <w:lvl w:ilvl="1">
      <w:lvlJc w:val="left"/>
      <w:lvlText w:val="(%2)"/>
      <w:numFmt w:val="decimal"/>
      <w:start w:val="10"/>
    </w:lvl>
  </w:abstractNum>
  <w:abstractNum w:abstractNumId="30">
    <w:nsid w:val="3006C83E"/>
    <w:multiLevelType w:val="hybridMultilevel"/>
    <w:lvl w:ilvl="0">
      <w:lvlJc w:val="left"/>
      <w:lvlText w:val="(%1)"/>
      <w:numFmt w:val="decimal"/>
      <w:start w:val="11"/>
    </w:lvl>
    <w:lvl w:ilvl="1">
      <w:lvlJc w:val="left"/>
      <w:lvlText w:val="%2"/>
      <w:numFmt w:val="decimal"/>
      <w:start w:val="1"/>
    </w:lvl>
  </w:abstractNum>
  <w:abstractNum w:abstractNumId="31">
    <w:nsid w:val="614FD4A1"/>
    <w:multiLevelType w:val="hybridMultilevel"/>
    <w:lvl w:ilvl="0">
      <w:lvlJc w:val="left"/>
      <w:lvlText w:val="(%1)"/>
      <w:numFmt w:val="decimal"/>
      <w:start w:val="1"/>
    </w:lvl>
    <w:lvl w:ilvl="1">
      <w:lvlJc w:val="left"/>
      <w:lvlText w:val="(%2)"/>
      <w:numFmt w:val="lowerLetter"/>
      <w:start w:val="1"/>
    </w:lvl>
  </w:abstractNum>
  <w:abstractNum w:abstractNumId="32">
    <w:nsid w:val="419AC241"/>
    <w:multiLevelType w:val="hybridMultilevel"/>
    <w:lvl w:ilvl="0">
      <w:lvlJc w:val="left"/>
      <w:lvlText w:val="(%1)"/>
      <w:numFmt w:val="decimal"/>
      <w:start w:val="11"/>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2023-11-20T16:23:07Z</dcterms:created>
  <dcterms:modified xsi:type="dcterms:W3CDTF">2023-11-20T16:23:07Z</dcterms:modified>
</cp:coreProperties>
</file>