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6, 2018</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32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0-50189</w:t>
            </w:r>
          </w:p>
        </w:tc>
        <w:tc>
          <w:tcPr>
            <w:tcW w:w="2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252"/>
        </w:trPr>
        <w:tc>
          <w:tcPr>
            <w:tcW w:w="320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(Commission</w:t>
            </w:r>
          </w:p>
        </w:tc>
        <w:tc>
          <w:tcPr>
            <w:tcW w:w="25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File Number)</w:t>
            </w: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Yardley, Pennsylvania 19067-4232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cs="Times New Roman" w:eastAsia="Times New Roman" w:hAnsi="Times New Roman"/>
          <w:sz w:val="18"/>
          <w:szCs w:val="18"/>
          <w:b w:val="1"/>
          <w:bCs w:val="1"/>
          <w:color w:val="auto"/>
        </w:rPr>
        <w:t>o</w:t>
      </w:r>
    </w:p>
    <w:p>
      <w:pPr>
        <w:spacing w:after="0" w:line="3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00" w:lineRule="exact"/>
        <w:rPr>
          <w:sz w:val="20"/>
          <w:szCs w:val="20"/>
          <w:color w:val="auto"/>
        </w:rPr>
      </w:pPr>
    </w:p>
    <w:p>
      <w:pPr>
        <w:spacing w:after="0" w:line="35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This Current Report on Form 8-K ("Current Report") is being filed by Crown Holdings, Inc. (the "Company") to retrospectively recast certain financial information and related disclosures contained in the Company's Annual Report on Form 10-K for the fiscal year ended December 31, 2017, filed on February 26, 2018 ("2017 Form 10-K"), as described below.</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Adoption of New Accounting Guidance</w:t>
      </w:r>
    </w:p>
    <w:p>
      <w:pPr>
        <w:spacing w:after="0" w:line="200" w:lineRule="exact"/>
        <w:rPr>
          <w:sz w:val="20"/>
          <w:szCs w:val="20"/>
          <w:color w:val="auto"/>
        </w:rPr>
      </w:pPr>
    </w:p>
    <w:p>
      <w:pPr>
        <w:spacing w:after="0" w:line="35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Effective January 1, 2018, the Company adopted the following new accounting guidance that required retrospective adoption and applied the changes retrospectively to all periods presented.</w:t>
      </w:r>
    </w:p>
    <w:p>
      <w:pPr>
        <w:spacing w:after="0" w:line="200" w:lineRule="exact"/>
        <w:rPr>
          <w:sz w:val="20"/>
          <w:szCs w:val="20"/>
          <w:color w:val="auto"/>
        </w:rPr>
      </w:pPr>
    </w:p>
    <w:p>
      <w:pPr>
        <w:spacing w:after="0" w:line="293" w:lineRule="exact"/>
        <w:rPr>
          <w:sz w:val="20"/>
          <w:szCs w:val="20"/>
          <w:color w:val="auto"/>
        </w:rPr>
      </w:pPr>
    </w:p>
    <w:p>
      <w:pPr>
        <w:ind w:left="660" w:hanging="328"/>
        <w:spacing w:after="0" w:line="256"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Statement of Cash Flows </w:t>
      </w:r>
      <w:r>
        <w:rPr>
          <w:rFonts w:ascii="Times New Roman" w:cs="Times New Roman" w:eastAsia="Times New Roman" w:hAnsi="Times New Roman"/>
          <w:sz w:val="20"/>
          <w:szCs w:val="20"/>
          <w:color w:val="auto"/>
        </w:rPr>
        <w:t>- Under new guidance, premiums paid for debt extinguishments are classified as cash outflows from 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activities. In addition, beneficial interests obtained in a securitization of financial assets are disclosed as a noncash activity and cash receipts from the beneficial interests are classified as cash inflows from investing activities.</w:t>
      </w:r>
    </w:p>
    <w:p>
      <w:pPr>
        <w:spacing w:after="0" w:line="114" w:lineRule="exact"/>
        <w:rPr>
          <w:rFonts w:ascii="Times New Roman" w:cs="Times New Roman" w:eastAsia="Times New Roman" w:hAnsi="Times New Roman"/>
          <w:sz w:val="20"/>
          <w:szCs w:val="20"/>
          <w:color w:val="auto"/>
        </w:rPr>
      </w:pPr>
    </w:p>
    <w:p>
      <w:pPr>
        <w:ind w:left="660" w:hanging="328"/>
        <w:spacing w:after="0" w:line="256" w:lineRule="auto"/>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Statement of Cash Flows - </w:t>
      </w:r>
      <w:r>
        <w:rPr>
          <w:rFonts w:ascii="Times New Roman" w:cs="Times New Roman" w:eastAsia="Times New Roman" w:hAnsi="Times New Roman"/>
          <w:sz w:val="20"/>
          <w:szCs w:val="20"/>
          <w:color w:val="auto"/>
        </w:rPr>
        <w:t>Under new guidance, the statement of cash flows must explain the change in the total of cash,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equivalents and restricted cash. In addition, restricted cash is included in a cash reconciliation of beginning-of-period and end-of-period total amounts shown on the statements of cash flow.</w:t>
      </w:r>
    </w:p>
    <w:p>
      <w:pPr>
        <w:spacing w:after="0" w:line="114" w:lineRule="exact"/>
        <w:rPr>
          <w:rFonts w:ascii="Times New Roman" w:cs="Times New Roman" w:eastAsia="Times New Roman" w:hAnsi="Times New Roman"/>
          <w:sz w:val="20"/>
          <w:szCs w:val="20"/>
          <w:color w:val="auto"/>
        </w:rPr>
      </w:pPr>
    </w:p>
    <w:p>
      <w:pPr>
        <w:ind w:left="660" w:right="480" w:hanging="328"/>
        <w:spacing w:after="0" w:line="276" w:lineRule="auto"/>
        <w:tabs>
          <w:tab w:leader="none" w:pos="6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Pension and other postretirement benefit costs - </w:t>
      </w:r>
      <w:r>
        <w:rPr>
          <w:rFonts w:ascii="Times New Roman" w:cs="Times New Roman" w:eastAsia="Times New Roman" w:hAnsi="Times New Roman"/>
          <w:sz w:val="19"/>
          <w:szCs w:val="19"/>
          <w:color w:val="auto"/>
        </w:rPr>
        <w:t>Under new guidance, only the service cost component of pension and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postretirement benefit costs is presented with other employee compensation costs within income from operations or capitalized in assets. The other components are reported separately outside of income from operations and are not eligible for capitalization.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Segment Reporting</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January 1, 2018, the Company made the following changes to its segment reporting to reflect refinements to its internal reporting.</w:t>
      </w:r>
    </w:p>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North America Food Segment was moved to non-reportable segments.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 of the segment performance measure, segment income, was revised to exclude intangible amortization charges.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 for all periods presented has been retrospectively adjusted to conform to the 2018 presentation.</w:t>
      </w:r>
    </w:p>
    <w:p>
      <w:pPr>
        <w:spacing w:after="0" w:line="200" w:lineRule="exact"/>
        <w:rPr>
          <w:sz w:val="20"/>
          <w:szCs w:val="20"/>
          <w:color w:val="auto"/>
        </w:rPr>
      </w:pPr>
    </w:p>
    <w:p>
      <w:pPr>
        <w:spacing w:after="0" w:line="353"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To reflect all of the changes noted above, the following Items of the 2017 Form 10-K are being adjusted retrospectively (which Items as adjusted are attached as an Exhibit hereto and incorporated by reference herein):</w:t>
      </w:r>
    </w:p>
    <w:p>
      <w:pPr>
        <w:spacing w:after="0" w:line="10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I, Item 1. Business;</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II, Item 6. Selected Financial Data;</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II, Item 7. Management's Discussion and Analysis of Financial Condition and Results of Operations; and</w:t>
      </w:r>
    </w:p>
    <w:p>
      <w:pPr>
        <w:sectPr>
          <w:pgSz w:w="11900" w:h="16838" w:orient="portrait"/>
          <w:cols w:equalWidth="0" w:num="1">
            <w:col w:w="11400"/>
          </w:cols>
          <w:pgMar w:left="240" w:top="653" w:right="259" w:bottom="1440" w:gutter="0" w:footer="0" w:header="0"/>
        </w:sectPr>
      </w:pPr>
    </w:p>
    <w:bookmarkStart w:id="2" w:name="page3"/>
    <w:bookmarkEnd w:id="2"/>
    <w:p>
      <w:pPr>
        <w:ind w:left="660" w:right="120" w:hanging="328"/>
        <w:spacing w:after="0" w:line="269"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II, Item 8. Financial Statements and Supplementary Data from Crown Holdings, Inc.'s Annual Report on Form 10-K for the year ended December 31, 2017.</w:t>
      </w:r>
    </w:p>
    <w:p>
      <w:pPr>
        <w:spacing w:after="0" w:line="200" w:lineRule="exact"/>
        <w:rPr>
          <w:sz w:val="20"/>
          <w:szCs w:val="20"/>
          <w:color w:val="auto"/>
        </w:rPr>
      </w:pPr>
    </w:p>
    <w:p>
      <w:pPr>
        <w:spacing w:after="0" w:line="29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Current Report does not reflect events that may have occurred subsequent to the original filing date of the 2017 Form 10-K and does not modify or update in any way the disclosures made in the 2017 Form 10-K other than as required to retrospectively reflect changes from the adoption of new accounting guidance and changes to segment reporting, as described above. All other information in the 2017 Form 10-K remains unchanged. Without limitation of the foregoing, this filing does not purport to update the Management's Discussion and Analysis of Financial Condition and Results of Operations contained in the 2017 Form 10-K for any information, uncertainties, transactions, risks, events or trends occurring, or becoming known to management subsequent to the date of filing of the 2017 Form 10-K and the subsequent Quarterly Report on Form 10-Q of the company for the quarterly period ended September 30, 2018, filed on October 29, 2018. For information on developments since the filing of the 2017 Form 10-K, please refer to the Company's subsequent filings with the Securities and Exchange Commission. The information contained in this Current Report on Form 8-K is not an amendment to, or a restatement of, the 2017 Form 10-K.</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 Exhibits</w:t>
      </w:r>
    </w:p>
    <w:p>
      <w:pPr>
        <w:spacing w:after="0" w:line="395" w:lineRule="exact"/>
        <w:rPr>
          <w:sz w:val="20"/>
          <w:szCs w:val="20"/>
          <w:color w:val="auto"/>
        </w:rPr>
      </w:pPr>
    </w:p>
    <w:tbl>
      <w:tblPr>
        <w:tblLayout w:type="fixed"/>
        <w:tblInd w:w="580" w:type="dxa"/>
        <w:tblCellMar>
          <w:top w:w="0" w:type="dxa"/>
          <w:left w:w="0" w:type="dxa"/>
          <w:bottom w:w="0" w:type="dxa"/>
          <w:right w:w="0" w:type="dxa"/>
        </w:tblCellMar>
      </w:tblPr>
      <w:tr>
        <w:trPr>
          <w:trHeight w:val="258"/>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Exhibit No.</w:t>
            </w:r>
          </w:p>
        </w:tc>
        <w:tc>
          <w:tcPr>
            <w:tcW w:w="2140" w:type="dxa"/>
            <w:vAlign w:val="bottom"/>
          </w:tcPr>
          <w:p>
            <w:pPr>
              <w:spacing w:after="0"/>
              <w:rPr>
                <w:sz w:val="22"/>
                <w:szCs w:val="22"/>
                <w:color w:val="auto"/>
              </w:rPr>
            </w:pPr>
          </w:p>
        </w:tc>
        <w:tc>
          <w:tcPr>
            <w:tcW w:w="6440" w:type="dxa"/>
            <w:vAlign w:val="bottom"/>
            <w:gridSpan w:val="5"/>
          </w:tcPr>
          <w:p>
            <w:pPr>
              <w:ind w:left="1720"/>
              <w:spacing w:after="0"/>
              <w:rPr>
                <w:sz w:val="20"/>
                <w:szCs w:val="20"/>
                <w:color w:val="auto"/>
              </w:rPr>
            </w:pPr>
            <w:r>
              <w:rPr>
                <w:rFonts w:ascii="Times New Roman" w:cs="Times New Roman" w:eastAsia="Times New Roman" w:hAnsi="Times New Roman"/>
                <w:sz w:val="20"/>
                <w:szCs w:val="20"/>
                <w:color w:val="auto"/>
              </w:rPr>
              <w:t>Description</w:t>
            </w:r>
          </w:p>
        </w:tc>
      </w:tr>
      <w:tr>
        <w:trPr>
          <w:trHeight w:val="237"/>
        </w:trPr>
        <w:tc>
          <w:tcPr>
            <w:tcW w:w="20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9"/>
              </w:rPr>
              <w:t>23</w:t>
            </w:r>
          </w:p>
        </w:tc>
        <w:tc>
          <w:tcPr>
            <w:tcW w:w="4760" w:type="dxa"/>
            <w:vAlign w:val="bottom"/>
            <w:tcBorders>
              <w:bottom w:val="single" w:sz="8" w:color="0000FF"/>
            </w:tcBorders>
            <w:gridSpan w:val="2"/>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color w:val="0000FF"/>
                  <w:w w:val="98"/>
                </w:rPr>
                <w:t>Consent of Independent Registered Public Accounting Firm</w:t>
              </w:r>
            </w:hyperlink>
          </w:p>
        </w:tc>
        <w:tc>
          <w:tcPr>
            <w:tcW w:w="3820" w:type="dxa"/>
            <w:vAlign w:val="bottom"/>
            <w:gridSpan w:val="4"/>
          </w:tcPr>
          <w:p>
            <w:pPr>
              <w:spacing w:after="0"/>
              <w:rPr>
                <w:sz w:val="20"/>
                <w:szCs w:val="20"/>
                <w:color w:val="auto"/>
              </w:rPr>
            </w:pPr>
          </w:p>
        </w:tc>
      </w:tr>
      <w:tr>
        <w:trPr>
          <w:trHeight w:val="264"/>
        </w:trPr>
        <w:tc>
          <w:tcPr>
            <w:tcW w:w="20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rPr>
              <w:t>99.1</w:t>
            </w:r>
          </w:p>
        </w:tc>
        <w:tc>
          <w:tcPr>
            <w:tcW w:w="8260" w:type="dxa"/>
            <w:vAlign w:val="bottom"/>
            <w:tcBorders>
              <w:bottom w:val="single" w:sz="8" w:color="0000FF"/>
            </w:tcBorders>
            <w:gridSpan w:val="3"/>
          </w:tcPr>
          <w:p>
            <w:pPr>
              <w:spacing w:after="0"/>
              <w:rPr>
                <w:rFonts w:ascii="Times New Roman" w:cs="Times New Roman" w:eastAsia="Times New Roman" w:hAnsi="Times New Roman"/>
                <w:sz w:val="20"/>
                <w:szCs w:val="20"/>
                <w:color w:val="0000FF"/>
                <w:w w:val="98"/>
              </w:rPr>
            </w:pPr>
            <w:hyperlink w:anchor="page6">
              <w:r>
                <w:rPr>
                  <w:rFonts w:ascii="Times New Roman" w:cs="Times New Roman" w:eastAsia="Times New Roman" w:hAnsi="Times New Roman"/>
                  <w:sz w:val="20"/>
                  <w:szCs w:val="20"/>
                  <w:color w:val="0000FF"/>
                  <w:w w:val="98"/>
                </w:rPr>
                <w:t>Updated Part 1, Item 1. Business, Part II, Item 6. Selected Financial Data, Part II, Item 7. Management's</w:t>
              </w:r>
            </w:hyperlink>
          </w:p>
        </w:tc>
        <w:tc>
          <w:tcPr>
            <w:tcW w:w="320" w:type="dxa"/>
            <w:vAlign w:val="bottom"/>
            <w:gridSpan w:val="3"/>
          </w:tcPr>
          <w:p>
            <w:pPr>
              <w:spacing w:after="0"/>
              <w:rPr>
                <w:sz w:val="22"/>
                <w:szCs w:val="22"/>
                <w:color w:val="auto"/>
              </w:rPr>
            </w:pPr>
          </w:p>
        </w:tc>
      </w:tr>
      <w:tr>
        <w:trPr>
          <w:trHeight w:val="210"/>
        </w:trPr>
        <w:tc>
          <w:tcPr>
            <w:tcW w:w="2040" w:type="dxa"/>
            <w:vAlign w:val="bottom"/>
          </w:tcPr>
          <w:p>
            <w:pPr>
              <w:spacing w:after="0"/>
              <w:rPr>
                <w:sz w:val="18"/>
                <w:szCs w:val="18"/>
                <w:color w:val="auto"/>
              </w:rPr>
            </w:pPr>
          </w:p>
        </w:tc>
        <w:tc>
          <w:tcPr>
            <w:tcW w:w="8280" w:type="dxa"/>
            <w:vAlign w:val="bottom"/>
            <w:tcBorders>
              <w:bottom w:val="single" w:sz="8" w:color="0000FF"/>
            </w:tcBorders>
            <w:gridSpan w:val="4"/>
          </w:tcPr>
          <w:p>
            <w:pPr>
              <w:spacing w:after="0" w:line="209" w:lineRule="exact"/>
              <w:rPr>
                <w:rFonts w:ascii="Times New Roman" w:cs="Times New Roman" w:eastAsia="Times New Roman" w:hAnsi="Times New Roman"/>
                <w:sz w:val="20"/>
                <w:szCs w:val="20"/>
                <w:color w:val="0000FF"/>
                <w:w w:val="98"/>
              </w:rPr>
            </w:pPr>
            <w:hyperlink w:anchor="page6">
              <w:r>
                <w:rPr>
                  <w:rFonts w:ascii="Times New Roman" w:cs="Times New Roman" w:eastAsia="Times New Roman" w:hAnsi="Times New Roman"/>
                  <w:sz w:val="20"/>
                  <w:szCs w:val="20"/>
                  <w:color w:val="0000FF"/>
                  <w:w w:val="98"/>
                </w:rPr>
                <w:t>Discussion and Analysis of Financial Condition and Results of Operations, and Part II, Item 8. Financial</w:t>
              </w:r>
            </w:hyperlink>
          </w:p>
        </w:tc>
        <w:tc>
          <w:tcPr>
            <w:tcW w:w="300" w:type="dxa"/>
            <w:vAlign w:val="bottom"/>
            <w:gridSpan w:val="2"/>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8560" w:type="dxa"/>
            <w:vAlign w:val="bottom"/>
            <w:tcBorders>
              <w:bottom w:val="single" w:sz="8" w:color="0000FF"/>
            </w:tcBorders>
            <w:gridSpan w:val="5"/>
          </w:tcPr>
          <w:p>
            <w:pPr>
              <w:spacing w:after="0" w:line="209" w:lineRule="exact"/>
              <w:rPr>
                <w:rFonts w:ascii="Times New Roman" w:cs="Times New Roman" w:eastAsia="Times New Roman" w:hAnsi="Times New Roman"/>
                <w:sz w:val="20"/>
                <w:szCs w:val="20"/>
                <w:color w:val="0000FF"/>
                <w:w w:val="98"/>
              </w:rPr>
            </w:pPr>
            <w:hyperlink w:anchor="page6">
              <w:r>
                <w:rPr>
                  <w:rFonts w:ascii="Times New Roman" w:cs="Times New Roman" w:eastAsia="Times New Roman" w:hAnsi="Times New Roman"/>
                  <w:sz w:val="20"/>
                  <w:szCs w:val="20"/>
                  <w:color w:val="0000FF"/>
                  <w:w w:val="98"/>
                </w:rPr>
                <w:t>Statements and Supplementary Data from Crown Holdings, Inc.'s Annual Report on Form 10-K for the year</w:t>
              </w:r>
            </w:hyperlink>
          </w:p>
        </w:tc>
        <w:tc>
          <w:tcPr>
            <w:tcW w:w="20" w:type="dxa"/>
            <w:vAlign w:val="bottom"/>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2140" w:type="dxa"/>
            <w:vAlign w:val="bottom"/>
            <w:tcBorders>
              <w:bottom w:val="single" w:sz="8" w:color="0000FF"/>
            </w:tcBorders>
          </w:tcPr>
          <w:p>
            <w:pPr>
              <w:spacing w:after="0" w:line="209" w:lineRule="exact"/>
              <w:rPr>
                <w:rFonts w:ascii="Times New Roman" w:cs="Times New Roman" w:eastAsia="Times New Roman" w:hAnsi="Times New Roman"/>
                <w:sz w:val="20"/>
                <w:szCs w:val="20"/>
                <w:color w:val="0000FF"/>
                <w:w w:val="98"/>
              </w:rPr>
            </w:pPr>
            <w:hyperlink w:anchor="page6">
              <w:r>
                <w:rPr>
                  <w:rFonts w:ascii="Times New Roman" w:cs="Times New Roman" w:eastAsia="Times New Roman" w:hAnsi="Times New Roman"/>
                  <w:sz w:val="20"/>
                  <w:szCs w:val="20"/>
                  <w:color w:val="0000FF"/>
                  <w:w w:val="98"/>
                </w:rPr>
                <w:t>ended December 31, 2017.</w:t>
              </w:r>
            </w:hyperlink>
          </w:p>
        </w:tc>
        <w:tc>
          <w:tcPr>
            <w:tcW w:w="6440" w:type="dxa"/>
            <w:vAlign w:val="bottom"/>
            <w:gridSpan w:val="5"/>
          </w:tcPr>
          <w:p>
            <w:pPr>
              <w:spacing w:after="0"/>
              <w:rPr>
                <w:sz w:val="18"/>
                <w:szCs w:val="18"/>
                <w:color w:val="auto"/>
              </w:rPr>
            </w:pPr>
          </w:p>
        </w:tc>
      </w:tr>
      <w:tr>
        <w:trPr>
          <w:trHeight w:val="281"/>
        </w:trPr>
        <w:tc>
          <w:tcPr>
            <w:tcW w:w="2040" w:type="dxa"/>
            <w:vAlign w:val="bottom"/>
          </w:tcPr>
          <w:p>
            <w:pPr>
              <w:spacing w:after="0"/>
              <w:rPr>
                <w:sz w:val="24"/>
                <w:szCs w:val="24"/>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following recast financial information related to Crown Holdings, Inc.'s Annual Report on Form 10-K</w:t>
            </w:r>
          </w:p>
        </w:tc>
      </w:tr>
      <w:tr>
        <w:trPr>
          <w:trHeight w:val="230"/>
        </w:trPr>
        <w:tc>
          <w:tcPr>
            <w:tcW w:w="2040" w:type="dxa"/>
            <w:vAlign w:val="bottom"/>
          </w:tcPr>
          <w:p>
            <w:pPr>
              <w:spacing w:after="0"/>
              <w:rPr>
                <w:sz w:val="19"/>
                <w:szCs w:val="19"/>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for the year ended December 31, 2017, formatted in XBRL (Extensible Business Reporting Language): (i)</w:t>
            </w:r>
          </w:p>
        </w:tc>
      </w:tr>
      <w:tr>
        <w:trPr>
          <w:trHeight w:val="230"/>
        </w:trPr>
        <w:tc>
          <w:tcPr>
            <w:tcW w:w="2040" w:type="dxa"/>
            <w:vAlign w:val="bottom"/>
          </w:tcPr>
          <w:p>
            <w:pPr>
              <w:spacing w:after="0"/>
              <w:rPr>
                <w:sz w:val="19"/>
                <w:szCs w:val="19"/>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the Consolidated Statements of Operations, (ii) the Consolidated Statements of Comprehensive Income, (iii)</w:t>
            </w:r>
          </w:p>
        </w:tc>
      </w:tr>
      <w:tr>
        <w:trPr>
          <w:trHeight w:val="230"/>
        </w:trPr>
        <w:tc>
          <w:tcPr>
            <w:tcW w:w="2040" w:type="dxa"/>
            <w:vAlign w:val="bottom"/>
          </w:tcPr>
          <w:p>
            <w:pPr>
              <w:spacing w:after="0"/>
              <w:rPr>
                <w:sz w:val="19"/>
                <w:szCs w:val="19"/>
                <w:color w:val="auto"/>
              </w:rPr>
            </w:pPr>
          </w:p>
        </w:tc>
        <w:tc>
          <w:tcPr>
            <w:tcW w:w="8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Consolidated Balance Sheets, (iv) the Consolidated Statements of Cash Flows, (v) the Consolidated</w:t>
            </w:r>
          </w:p>
        </w:tc>
      </w:tr>
      <w:tr>
        <w:trPr>
          <w:trHeight w:val="258"/>
        </w:trPr>
        <w:tc>
          <w:tcPr>
            <w:tcW w:w="204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3"/>
              </w:rPr>
              <w:t>101</w:t>
            </w:r>
          </w:p>
        </w:tc>
        <w:tc>
          <w:tcPr>
            <w:tcW w:w="85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Statements of Changes in Shareholders' Equity and (vi) Notes to the Consolidated Statements.</w:t>
            </w:r>
          </w:p>
        </w:tc>
      </w:tr>
    </w:tbl>
    <w:p>
      <w:pPr>
        <w:sectPr>
          <w:pgSz w:w="11900" w:h="16838" w:orient="portrait"/>
          <w:cols w:equalWidth="0" w:num="1">
            <w:col w:w="11320"/>
          </w:cols>
          <w:pgMar w:left="240" w:top="65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Form 8-K to be signed on its behalf by the undersigned hereunto duly authorized.</w:t>
      </w:r>
    </w:p>
    <w:p>
      <w:pPr>
        <w:spacing w:after="0" w:line="200" w:lineRule="exact"/>
        <w:rPr>
          <w:sz w:val="20"/>
          <w:szCs w:val="20"/>
          <w:color w:val="auto"/>
        </w:rPr>
      </w:pP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31115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David A. Beaver</w:t>
      </w:r>
    </w:p>
    <w:p>
      <w:pPr>
        <w:spacing w:after="0" w:line="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December 6, 2018</w:t>
      </w:r>
    </w:p>
    <w:p>
      <w:pPr>
        <w:sectPr>
          <w:pgSz w:w="11900" w:h="16838" w:orient="portrait"/>
          <w:cols w:equalWidth="0" w:num="1">
            <w:col w:w="11400"/>
          </w:cols>
          <w:pgMar w:left="240" w:top="657" w:right="2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Forms S-8 (Nos.333-134005, 333-188568, 333-166764, 333-140992 and 333-140991) of Crown Holdings, Inc. of our report dated February 26, 2018, except with respect to our opinion on the consolidated financial statements insofar as it relates to the effects of the changes in accounting for pension and other postretirement benefit costs and certain cash receipts and payments discussed in Note A and the change in the Company’s reportable segments discussed in Note V, as to which the date is December 6, 2018, relating to the financial statements, financial statement schedule, and the effectiveness of internal control over financial reporting, which appears in this Current Report on Form 8-K.</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2018</w:t>
      </w:r>
    </w:p>
    <w:p>
      <w:pPr>
        <w:sectPr>
          <w:pgSz w:w="11900" w:h="16838" w:orient="portrait"/>
          <w:cols w:equalWidth="0" w:num="1">
            <w:col w:w="11420"/>
          </w:cols>
          <w:pgMar w:left="240" w:top="79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Holdings, Inc. (the "Company") is filing this exhibit (the "Exhibit") to revise certain financial information and related disclosures included in the Annual Report on Form 10-K of the Company for the year ended December 31, 2017 ("Annual Report"), which was filed with the Securities and Exchange Commission ("SEC") on February 26, 2018, as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Guidance</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January 1, 2018, the Company adopted the following new accounting guidance that required retrospective adoption and applied the changes retrospectively to all periods presented.</w:t>
      </w:r>
    </w:p>
    <w:p>
      <w:pPr>
        <w:spacing w:after="0" w:line="106" w:lineRule="exact"/>
        <w:rPr>
          <w:sz w:val="20"/>
          <w:szCs w:val="20"/>
          <w:color w:val="auto"/>
        </w:rPr>
      </w:pPr>
    </w:p>
    <w:p>
      <w:pPr>
        <w:ind w:left="660" w:right="6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Under new guidance, premiums paid for debt extinguishments are classified as cash outflows from financing activities.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beneficial interests obtained in a securitization of financial assets are disclosed as a noncash activity and cash receipts from the beneficial interests are classified as cash inflows from investing activities.</w:t>
      </w:r>
    </w:p>
    <w:p>
      <w:pPr>
        <w:spacing w:after="0" w:line="119" w:lineRule="exact"/>
        <w:rPr>
          <w:rFonts w:ascii="Times New Roman" w:cs="Times New Roman" w:eastAsia="Times New Roman" w:hAnsi="Times New Roman"/>
          <w:sz w:val="18"/>
          <w:szCs w:val="18"/>
          <w:color w:val="auto"/>
        </w:rPr>
      </w:pPr>
    </w:p>
    <w:p>
      <w:pPr>
        <w:ind w:left="660" w:right="14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 </w:t>
      </w:r>
      <w:r>
        <w:rPr>
          <w:rFonts w:ascii="Times New Roman" w:cs="Times New Roman" w:eastAsia="Times New Roman" w:hAnsi="Times New Roman"/>
          <w:sz w:val="18"/>
          <w:szCs w:val="18"/>
          <w:color w:val="auto"/>
        </w:rPr>
        <w:t>Under new guidance, the statement of cash flows must explain the change in the total of cash,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In addition, restricted cash is included in a cash reconciliation of beginning-of-period and end-of-period total amounts shown on the statements of cash flow.</w:t>
      </w:r>
    </w:p>
    <w:p>
      <w:pPr>
        <w:spacing w:after="0" w:line="119"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Pension and other postretirement benefit costs - </w:t>
      </w:r>
      <w:r>
        <w:rPr>
          <w:rFonts w:ascii="Times New Roman" w:cs="Times New Roman" w:eastAsia="Times New Roman" w:hAnsi="Times New Roman"/>
          <w:sz w:val="18"/>
          <w:szCs w:val="18"/>
          <w:color w:val="auto"/>
        </w:rPr>
        <w:t>Under new guidance, only the service cost component of pension and other postretirement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is presented with other employee compensation costs within income from operations or capitalized in assets. The other components are reported separately outside of income from operations and are not eligible for capitalization.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Segment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2018, the Company made the following changes to its segment reporting to reflect refinements to its internal reporting.</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North America Food Segment was moved to non-reportable segments.</w:t>
      </w:r>
    </w:p>
    <w:p>
      <w:pPr>
        <w:spacing w:after="0" w:line="171" w:lineRule="exact"/>
        <w:rPr>
          <w:rFonts w:ascii="Times New Roman" w:cs="Times New Roman" w:eastAsia="Times New Roman" w:hAnsi="Times New Roman"/>
          <w:sz w:val="18"/>
          <w:szCs w:val="18"/>
          <w:color w:val="auto"/>
        </w:rPr>
      </w:pPr>
    </w:p>
    <w:p>
      <w:pPr>
        <w:ind w:right="2020" w:firstLine="332"/>
        <w:spacing w:after="0" w:line="470"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 of the segment performance measure, segment income was revised to exclude intangible amortization charges. Segment information for all periods presented has been retrospectively adjusted to conform to the 2018 presentation.</w:t>
      </w:r>
    </w:p>
    <w:p>
      <w:pPr>
        <w:spacing w:after="0" w:line="3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other information in the 2017 Form 10-K remains unchanged. Unaffected items and unaffected portions of the Annual Report have not been repeated in, and are not amended by, this Exhibit. Without limitation of the foregoing, this filing does not purport to update the Management's Discussion and Analysis of Financial Condition and Results of Operations contained in the 2017 Form 10-K for any information, uncertainties, transactions, risks, events or trends occurring, or becoming known to management subsequent to the date of filing of the 2017 Form 10-K and the subsequent Quarterly Report on Form 10-Q of the company for the quarterly period ended September 30, 2018, filed on October 29, 2018. For information on developments since the filing of the 2017 Form 10-K, please refer to the Company's subsequent filings with the Securities and Exchange Commission. The information contained in this Current Report on Form 8-K is not an amendment to, or a restatement of, the 2017 Form 10-K.</w:t>
      </w:r>
    </w:p>
    <w:p>
      <w:pPr>
        <w:sectPr>
          <w:pgSz w:w="11900" w:h="16838" w:orient="portrait"/>
          <w:cols w:equalWidth="0" w:num="1">
            <w:col w:w="11420"/>
          </w:cols>
          <w:pgMar w:left="240" w:top="19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TABLE OF CONTENTS TO RECAST PORTIONS OF ANNUAL REPORT ON FORM 10-K</w:t>
            </w:r>
          </w:p>
        </w:tc>
        <w:tc>
          <w:tcPr>
            <w:tcW w:w="1140" w:type="dxa"/>
            <w:vAlign w:val="bottom"/>
          </w:tcPr>
          <w:p>
            <w:pPr>
              <w:spacing w:after="0"/>
              <w:rPr>
                <w:sz w:val="20"/>
                <w:szCs w:val="20"/>
                <w:color w:val="auto"/>
              </w:rPr>
            </w:pPr>
          </w:p>
        </w:tc>
      </w:tr>
      <w:tr>
        <w:trPr>
          <w:trHeight w:val="756"/>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80" w:type="dxa"/>
            <w:vAlign w:val="bottom"/>
            <w:gridSpan w:val="2"/>
          </w:tcPr>
          <w:p>
            <w:pPr>
              <w:jc w:val="center"/>
              <w:ind w:right="3460"/>
              <w:spacing w:after="0"/>
              <w:rPr>
                <w:sz w:val="20"/>
                <w:szCs w:val="20"/>
                <w:color w:val="auto"/>
              </w:rPr>
            </w:pPr>
            <w:r>
              <w:rPr>
                <w:rFonts w:ascii="Times New Roman" w:cs="Times New Roman" w:eastAsia="Times New Roman" w:hAnsi="Times New Roman"/>
                <w:sz w:val="18"/>
                <w:szCs w:val="18"/>
                <w:color w:val="auto"/>
                <w:w w:val="95"/>
              </w:rPr>
              <w:t>PART I</w:t>
            </w:r>
          </w:p>
        </w:tc>
        <w:tc>
          <w:tcPr>
            <w:tcW w:w="1140" w:type="dxa"/>
            <w:vAlign w:val="bottom"/>
          </w:tcPr>
          <w:p>
            <w:pPr>
              <w:spacing w:after="0"/>
              <w:rPr>
                <w:sz w:val="24"/>
                <w:szCs w:val="24"/>
                <w:color w:val="auto"/>
              </w:rPr>
            </w:pPr>
          </w:p>
        </w:tc>
      </w:tr>
      <w:tr>
        <w:trPr>
          <w:trHeight w:val="459"/>
        </w:trPr>
        <w:tc>
          <w:tcPr>
            <w:tcW w:w="1140" w:type="dxa"/>
            <w:vAlign w:val="bottom"/>
            <w:gridSpan w:val="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Item 1</w:t>
              </w:r>
            </w:hyperlink>
          </w:p>
        </w:tc>
        <w:tc>
          <w:tcPr>
            <w:tcW w:w="8800" w:type="dxa"/>
            <w:vAlign w:val="bottom"/>
            <w:gridSpan w:val="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Business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20"/>
        </w:trPr>
        <w:tc>
          <w:tcPr>
            <w:tcW w:w="4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8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color w:val="auto"/>
                <w:w w:val="95"/>
              </w:rPr>
              <w:t>PART II</w:t>
            </w:r>
          </w:p>
        </w:tc>
        <w:tc>
          <w:tcPr>
            <w:tcW w:w="1140" w:type="dxa"/>
            <w:vAlign w:val="bottom"/>
          </w:tcPr>
          <w:p>
            <w:pPr>
              <w:spacing w:after="0"/>
              <w:rPr>
                <w:sz w:val="24"/>
                <w:szCs w:val="24"/>
                <w:color w:val="auto"/>
              </w:rPr>
            </w:pPr>
          </w:p>
        </w:tc>
      </w:tr>
      <w:tr>
        <w:trPr>
          <w:trHeight w:val="459"/>
        </w:trPr>
        <w:tc>
          <w:tcPr>
            <w:tcW w:w="1140" w:type="dxa"/>
            <w:vAlign w:val="bottom"/>
            <w:gridSpan w:val="2"/>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6</w:t>
              </w:r>
            </w:hyperlink>
          </w:p>
        </w:tc>
        <w:tc>
          <w:tcPr>
            <w:tcW w:w="8800" w:type="dxa"/>
            <w:vAlign w:val="bottom"/>
            <w:gridSpan w:val="5"/>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Selected Financial Data</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0"/>
        </w:trPr>
        <w:tc>
          <w:tcPr>
            <w:tcW w:w="1140" w:type="dxa"/>
            <w:vAlign w:val="bottom"/>
            <w:gridSpan w:val="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Item 7</w:t>
              </w:r>
            </w:hyperlink>
          </w:p>
        </w:tc>
        <w:tc>
          <w:tcPr>
            <w:tcW w:w="8800" w:type="dxa"/>
            <w:vAlign w:val="bottom"/>
            <w:gridSpan w:val="5"/>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80"/>
        </w:trPr>
        <w:tc>
          <w:tcPr>
            <w:tcW w:w="1140" w:type="dxa"/>
            <w:vAlign w:val="bottom"/>
            <w:gridSpan w:val="2"/>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8</w:t>
              </w:r>
            </w:hyperlink>
          </w:p>
        </w:tc>
        <w:tc>
          <w:tcPr>
            <w:tcW w:w="8800" w:type="dxa"/>
            <w:vAlign w:val="bottom"/>
            <w:gridSpan w:val="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Financial Statements and Supplementary Data</w:t>
              </w:r>
            </w:hyperlink>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ectPr>
          <w:pgSz w:w="11900" w:h="16838" w:orient="portrait"/>
          <w:cols w:equalWidth="0" w:num="1">
            <w:col w:w="11080"/>
          </w:cols>
          <w:pgMar w:left="380" w:top="364"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91" w:lineRule="exact"/>
        <w:rPr>
          <w:sz w:val="20"/>
          <w:szCs w:val="20"/>
          <w:color w:val="auto"/>
        </w:rPr>
      </w:pPr>
    </w:p>
    <w:p>
      <w:pPr>
        <w:ind w:left="4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worldwide leader in the design, manufacture and sale of packaging products for consumer goods. The Company’s primary products include steel and aluminum cans for food, beverage, household and other consumer products, glass bottles for beverage products and metal vacuum closures, steel crowns and caps. These products are manufactured in the Company’s plants both within and outside the U.S. and are sold through the Company’s sales organization to the soft drink, food, citrus, brewing, household products, personal care and various other industries. At December 31, 2017, the Company operated 143 plants along with sales and service facilities throughout 36 countries and had approximately 24,000 employees. Consolidated net sales for the Company in 2017 were $8.7 billion with 78% derived from operations outside the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DIVISIONS AND OPERATING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is organized geographically within three divisions: Americas, Europe and Asia Pacific. Within each Division, the Company is generally organized along product lines. The Company’s reportable segment within the Americas Division is Americas Beverage. The Company’s reportable segments within the European Division are European Beverage and European Food. The Company's Asia Pacific Division is a reportable segment which primarily consists of beverage can operations and also includes the Company's non-beverage can operations, primarily food cans and specialty packaging. The Company's non-reportable segments include its North American food can business, its European aerosol and promotional packaging business, its North American aerosol can business and its tooling and equipment operations in the U.S. and U.K.</w:t>
      </w:r>
    </w:p>
    <w:p>
      <w:pPr>
        <w:spacing w:after="0" w:line="188"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information concerning the Company’s operating segments is set forth within “Management’s Discussion and Analysis of Financial Condition and Results of Operations” of this Annual Report and under </w:t>
      </w:r>
      <w:hyperlink w:anchor="page72">
        <w:r>
          <w:rPr>
            <w:rFonts w:ascii="Times New Roman" w:cs="Times New Roman" w:eastAsia="Times New Roman" w:hAnsi="Times New Roman"/>
            <w:sz w:val="18"/>
            <w:szCs w:val="18"/>
            <w:u w:val="single" w:color="auto"/>
            <w:color w:val="0000EE"/>
          </w:rPr>
          <w:t>Note 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DIVISION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Division includes operations in the U.S., Brazil, Canada, the Caribbean, Colombia and Mexico. These operations manufacture beverage, food and aerosol cans and ends, glass bottles, specialty packaging, metal vacuum closures, steel crowns and caps. At December 31, 2017, the division operated 50 plants in 7 countries and had approximately 7,000 employees. In 2017, the Americas Division had net sales of $3.8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Americas Beverage segment manufactures aluminum beverage cans and ends, glass bottles, steel crowns and aluminum caps. Manufacturing facilities are located in the U.S., Brazil, Canada, Colombia and Mexico. Americas Beverage had net sales in 2017 of $2.9 billion and segment income (as defined under </w:t>
      </w:r>
      <w:hyperlink w:anchor="page72">
        <w:r>
          <w:rPr>
            <w:rFonts w:ascii="Times New Roman" w:cs="Times New Roman" w:eastAsia="Times New Roman" w:hAnsi="Times New Roman"/>
            <w:sz w:val="18"/>
            <w:szCs w:val="18"/>
            <w:u w:val="single" w:color="auto"/>
            <w:color w:val="0000EE"/>
          </w:rPr>
          <w:t>Note V</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consolidated financial statements) of $470 million.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EUROPEAN DIVISION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European Division includes operations in Europe, the Middle East and Africa. These operations manufacture beverage, food and aerosol cans and ends, promotional packaging and metal vacuum closures and caps. At December 31, 2017, the division operated 61 plants in 22 countries and had approximately 12,000 employees. Net sales in 2017 were $3.6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29"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European Beverage segment manufactures steel and aluminum beverage cans and ends in Europe, the Middle East and North Africa. European Beverage had net sales in 2017 of $1.5 billion and segment income (as defined under </w:t>
      </w:r>
      <w:hyperlink w:anchor="page72">
        <w:r>
          <w:rPr>
            <w:rFonts w:ascii="Times New Roman" w:cs="Times New Roman" w:eastAsia="Times New Roman" w:hAnsi="Times New Roman"/>
            <w:sz w:val="18"/>
            <w:szCs w:val="18"/>
            <w:u w:val="single" w:color="auto"/>
            <w:color w:val="0000EE"/>
          </w:rPr>
          <w:t>Note 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of $235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Food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Food segment manufactures steel and aluminum food cans and ends, and metal vacuum closures, in Europe, Africa and the Middle East.</w:t>
      </w:r>
    </w:p>
    <w:p>
      <w:pPr>
        <w:spacing w:after="0" w:line="2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European Food had net sales in 2017 of $1.9 billion and segment income (as defined under </w:t>
      </w:r>
      <w:hyperlink w:anchor="page72">
        <w:r>
          <w:rPr>
            <w:rFonts w:ascii="Times New Roman" w:cs="Times New Roman" w:eastAsia="Times New Roman" w:hAnsi="Times New Roman"/>
            <w:sz w:val="18"/>
            <w:szCs w:val="18"/>
            <w:u w:val="single" w:color="auto"/>
            <w:color w:val="0000EE"/>
          </w:rPr>
          <w:t>Note 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of $264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 DIVISION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Asia Pacific Division is a reportable segment which primarily consists of beverage can operations in Cambodia, China, Indonesia, Malaysia, Singapore, Thailand and Vietnam and also includes the Company's non-beverage can operations, primarily food cans and specialty packaging in China, Singapore, Thailand and Vietnam. At December 31, 2017, the division operated 29 plants in 7 countries and had approximately 4,000 employees.</w:t>
      </w:r>
    </w:p>
    <w:p>
      <w:pPr>
        <w:spacing w:after="0" w:line="176"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Asia Pacific segment had net sales in 2017 of $1.2 billion and segment income (as defined under </w:t>
      </w:r>
      <w:hyperlink w:anchor="page72">
        <w:r>
          <w:rPr>
            <w:rFonts w:ascii="Times New Roman" w:cs="Times New Roman" w:eastAsia="Times New Roman" w:hAnsi="Times New Roman"/>
            <w:sz w:val="18"/>
            <w:szCs w:val="18"/>
            <w:u w:val="single" w:color="auto"/>
            <w:color w:val="0000EE"/>
          </w:rPr>
          <w:t>Note 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of $168 million.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Beverage Cans and Glass Bottles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supplies beverage cans and ends and other packaging products to a variety of beverage and beer companies, including Anheuser-Busch InBev, Coca-Cola, Cott Beverages, Dr Pepper Snapple Group, Heineken, Molson Coors and Pepsi-Cola, among others. The Company’s beverage can business is built around local, regional and global markets, which has served to develop the Company’s understanding of global customer and consumer expectations. The Company's glass bottle business is based in Mexico and serves customers in the local market.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beverage market is dynamic and highly competitive, with each packaging manufacturer working together with its customers to satisfy consumers’ ever-changing needs. The Company competes by offering its customers broad market knowledge, resources at all levels of its worldwide organization and extensive research and development capabilities that have enabled the Company to provide its customers with innovative products. The Company meets its customers’ beverage packaging needs with an array of two-piece beverage cans and ends and metal bottle caps. Innovations include the SuperEnd® and 360 End™ beverage can ends, and size variations, such as slim cans for low calorie products or larger sizes for high volume consumption. The Company expects to continue to add capacity in many of the growth markets around the world.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Beverage can and glass bottle manufacturing is capital intensive, requiring significant investment in tools and machinery. The Company seeks to effectively manage its invested capital and is continuing its efforts to reduce the metal content of its cans and reduce non-metal costs, including water and energy usage, while improving production processes.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Cans and 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manufactures a variety of food cans and ends, including two-piece and three-piece cans in assorted shapes and sizes, and sells food cans to food marketers such as Abbot Laboratories, Bonduelle, Cecab, Morgan Foods, Nestlé, Princes Group and Simmons Foods, among others. The Company offers a wide variety of metal vacuum closures and sealing equipment solutions to leading marketers such as Abbot Laboratories, Danone, H. J. Heinz, Nestlé and Unilever, among others, from a network of metal vacuum closure plants around the world. The Company supplies total packaging solutions, including metal and composite closures, capping systems and services while working closely with customers, retailers and glass and plastic container manufacturers to develop innovative closure solutions and meet customer requirements.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Technologies used to produce food cans include three-piece welded, two-piece drawn and wall-ironed and two-piece drawn and redrawn. The Company also offers its LIFTOFF™ series of food ends, including its Easylift™ full aperture steel food can ends, and PeelSeam™ and PeelFit™ flexible aluminum foil laminated ends. The Company offers expertise in closure design and decoration, ranging from quality printing of the closure in up to nine colors, to inside-the-cap printing, which offers customers new promotional possibilities, to better product protection through Ideal Closures™, Orbit™ and Superplus™. The Company’s commitment to innovation has led to developments in packaging materials, surface finishes, can shaping, lithography, filling, retorting, sealing and opening techniques and environmental performance. The Company manufactures easy open, vacuum and conventional ends for a variety of heat-processed and dry food products including fruits and vegetables, meat and seafood, soups, ready-made meals, infant formula, coffee and pet food.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Aerosol Cans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customers for aerosol cans and ends include manufacturers of personal care, food, household and industrial products, including Friesland Campina, Procter &amp; Gamble, SC Johnson and Unilever, among others. The aerosol can business is highly competitive. The Company competes by offering its customers a broad range of products including multiple sizes, multiple color schemes and shaped packaging.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Promotional and Specialty Packaging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promotional and specialty packaging businesses are primarily located in Europe and Asia. The Company produces a wide range of promotional and specialty packaging containers with numerous lid and closure variations. The Company’s customers include Britvic and Nestlé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AND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marketers qualify suppliers on the basis of their ability to provide global service, innovative designs and technologies in a cost-effective manner.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global reach, the Company markets and sells products to customers through its own sales and marketing staffs.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its existing contracts.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products is short, any backlog of customer orders in relation to overall sales is not 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food packaging business is somewhat seasonal with the first quarter tending to be the slowest period as the autumn packing period in the Northern Hemisphere has ended and new crops are not yet planted. The industry generally enters its busiest period in the third quarter when the majority of fruits and vegetables are harvested and immediately canned. Due to this seasonality, inventory levels increase in the first half of the year to meet peak demand in the second and third quarters. Weather represents a substantial uncertainty in the yield of food products and is a major factor in determining the demand for food cans in any given year. Generally, beverage products are consumed in greater amounts during the warmer months of the year in the Northern Hemisphere, and sales and earnings have generally been higher in the second and third quarters of the calendar year.</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businesses primarily include aerosol, promotional and specialty packaging and canmaking equipment, which tend not to be as significantly affected by seasonal variations.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products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Group, Ball Corporation, BWAY Corporation, Can-Pack S.A., Metal Container Corporation and Silgan Holdings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largest customers consist of many of the leading manufacturers and marketers of packaged consumer products in the world. Consolidation trends among beverage and food marketers have led to a concentrated customer base. The Company’s top ten global customers represented in the aggregate approximately 33% of its 2017 net sales. In each of the years in the period 2015 through 2017, no one customer accounted for more than ten percent of the Company’s net sales. Each operating segment of the Company has major customers and the loss of one or more of these major customers could have a material adverse effect on an individual segment or the Company as a whole. Major customers include those listed above under the Products discussion. In addition to sales to Coca-Cola and Pepsi-Cola, the Company also supplies independent licensees of Coca-Cola and Pepsi-Cola.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principal Research, Development &amp; Engineering (RD&amp;E) Centers are located in Alsip, Illinois and Wantage, United Kingdom. The Company utilizes its centralized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Eole™ easy-open food ends and can shaping have been licensed in Australia, Japan, and Africa to provide customers with global access to Crown's brand building innovations.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spent $39 million in both 2017 and 2015 and $41 million in 2016 in its centralized RD&amp;E activities. Certain of these activities are expected to improve and expand the Company's product lines in the future. These expenditures include projects within the Company's RD&amp;E facilities to improve manufacturing efficiencies, reduce unit costs, and develop new and improved value-added packaging systems. These expenditures do not include related product and process developments occurring within the Company's decentralized business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raw materials, primarily aluminum and steel, in its manufacturing operations.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2017, consumption of steel and aluminum represented 21% and 42%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steel contracts typically one year in duration with fixed prices or set repricing dates, and aluminum contracts typically multi-year in duration with fluctuating prices based on aluminum ingot costs. The Company generally attempts to mitigate its steel and aluminum price risk by matching its purchase obligations with its sales agreements; however, there can be no assurance that the Company will be able to fully mitigate that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 agreement with customers in many cases, also uses commodity and foreign currency forwards in an attempt to manage its exposure to aluminum price volatility.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steel and aluminum for a significant period of time, its operations would be disrupted, and if the Company were unable to fully recover the higher cost of steel and aluminum, its financial results may be adversely affected. The Company continues to monitor this situation and the effect on its operations. As a result of continuing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supply and demand pressures, other commodity-related costs affecting the Company’s business may increase as well, including natural gas, electricity and freight-related costs. The Company will attempt to increase prices on its products accordingly in order to recover these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the volatility of raw material prices, ongoing productivity and cost reduction efforts in recent years have focused on improving raw material cost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Aluminum and steel, by their very nature, can be recycled at high effectiveness and can be repeatedly reused to form new consumer packaging with minimal or no degradation in performance, quality or safety. By recycling these metals, large amounts of energy can be saved and significant water use and carbon dioxide emissions avoided.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 AND ENVIRONMENTAL, HEALTH AND SAFETY MATTERS</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 Company has a Corporate Sustainability Policy and a Corporate Environmental Protection Policy. Environmental awareness is a key component of sustainability. Environmental considerations are among the criteria by which the Company evaluates projects, products, processes and purchases. The Company is committed to continuous improvement in product design and manufacturing practices to provide the best outcome for the human and natural environment, both now and in the future. By reducing the per-unit amount of raw materials used in manufacturing its products, the Company can significantly reduce the amount of energy, water and other resources and associated emissions necessary to manufacture metal containers. The Company aims to continue that process of improvement in its manufacturing process to assure that consumers and the environment are best served through the use of metal packaging. The Company is also committed to providing a safe work environment for its employees through programs that emphasize safety awareness and the elimination of injuries and incidents. There can be no assurance that current or future environmental laws or liabilities will not have a material effect on the Company’s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page51">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generally uses cash during the first nine months of the year to finance seasonal working capital needs. The Company’s working capital requirements are funded by cash flows from operations, revolving credit facilities and receivables securitization and factoring programs.</w:t>
      </w:r>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page55">
        <w:r>
          <w:rPr>
            <w:rFonts w:ascii="Times New Roman" w:cs="Times New Roman" w:eastAsia="Times New Roman" w:hAnsi="Times New Roman"/>
            <w:sz w:val="18"/>
            <w:szCs w:val="18"/>
            <w:u w:val="single" w:color="auto"/>
            <w:color w:val="0000EE"/>
          </w:rPr>
          <w:t>Note 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the Company had approximately 24,000 employees. Collective bargaining agreements with varying terms and expiration dates cover approximately 15,000 employees. The Company does not expect that renegotiation of the agreements expiring in 2018 will have a material adverse effect on its consolidated results of operations, financial position or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internet website address is </w:t>
      </w:r>
      <w:r>
        <w:rPr>
          <w:rFonts w:ascii="Times New Roman" w:cs="Times New Roman" w:eastAsia="Times New Roman" w:hAnsi="Times New Roman"/>
          <w:sz w:val="18"/>
          <w:szCs w:val="18"/>
          <w:u w:val="single" w:color="auto"/>
          <w:color w:val="auto"/>
        </w:rPr>
        <w:t>www.crowncork.com</w:t>
      </w:r>
      <w:r>
        <w:rPr>
          <w:rFonts w:ascii="Times New Roman" w:cs="Times New Roman" w:eastAsia="Times New Roman" w:hAnsi="Times New Roman"/>
          <w:sz w:val="18"/>
          <w:szCs w:val="18"/>
          <w:color w:val="auto"/>
        </w:rPr>
        <w:t>.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Commission pursuant to sections 13(a) and 15(d) of the Securities Exchange Act of 1934, as amended, are accessible free of charge through the Company’s website as soon as reasonably practicable after the documents are filed with, or otherwise furnished to,</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U. S. Securities and Exchange Commission. The Company’s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containing reports, proxy and information statements, and other information regarding issuers that file electronically with the SEC.</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3" w:name="page14"/>
    <w:bookmarkEnd w:id="1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 millions, except per share, ratios and other statistics)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2015 (a)</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2014 (b)</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8,698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9,097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8,656</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7,006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6,623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7,140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7,529</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7,168</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asbestos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 and equity earnings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478</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67"/>
        </w:trPr>
        <w:tc>
          <w:tcPr>
            <w:tcW w:w="5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10"/>
        </w:trPr>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Position at December 31</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10,663</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9,599</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10,050</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9,673</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8,025</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5,343</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4,911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5,518</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5,194</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3,805</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97"/>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Common Share Data (dollars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5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price on December 31</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56.25</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50.70</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50.90</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44.57</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5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shares outstanding at year-end</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134.3</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139.0</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135.3</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138.5</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135.6</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The amounts above reflect changes from the adoption of this new accounting guidance.</w:t>
      </w:r>
    </w:p>
    <w:p>
      <w:pPr>
        <w:spacing w:after="0" w:line="176"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results of the Empaque acquisition from February 18, 2015 through December 31, 2015.</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results of the Mivisa acquisition from April 23, 2014 through December 31, 2014.</w:t>
      </w:r>
    </w:p>
    <w:p>
      <w:pPr>
        <w:sectPr>
          <w:pgSz w:w="11900" w:h="16838" w:orient="portrait"/>
          <w:cols w:equalWidth="0" w:num="1">
            <w:col w:w="11180"/>
          </w:cols>
          <w:pgMar w:left="240" w:top="117" w:right="47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240" w:top="117" w:right="47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right="1880" w:hanging="647"/>
        <w:spacing w:after="0" w:line="313" w:lineRule="auto"/>
        <w:rPr>
          <w:sz w:val="20"/>
          <w:szCs w:val="20"/>
          <w:color w:val="auto"/>
        </w:rPr>
      </w:pPr>
      <w:r>
        <w:rPr>
          <w:rFonts w:ascii="Times New Roman" w:cs="Times New Roman" w:eastAsia="Times New Roman" w:hAnsi="Times New Roman"/>
          <w:sz w:val="17"/>
          <w:szCs w:val="17"/>
          <w:u w:val="single" w:color="auto"/>
          <w:color w:val="auto"/>
        </w:rPr>
        <w:t xml:space="preserve">ITEM 7. MANAGEMENT'S DISCUSSION AND ANALYSIS OF FINANCIAL CONDITION AND RESULTS OF OPERATIONS </w:t>
      </w:r>
      <w:r>
        <w:rPr>
          <w:rFonts w:ascii="Times New Roman" w:cs="Times New Roman" w:eastAsia="Times New Roman" w:hAnsi="Times New Roman"/>
          <w:sz w:val="17"/>
          <w:szCs w:val="17"/>
          <w:color w:val="auto"/>
        </w:rPr>
        <w:t>(in millions, except per share, average settlement cost per asbestos claim, employee, shareholder and statistical data)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results of operations and financial condition of Crown Holdings, Inc. (the "Company") as of and during the three-year period ended December 31, 2017. This discussion should be read in conjunction with the consolidated financial statements included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STRATEGY AND TRENDS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2017, the Company announced that it has entered into an agreement to acquire Signode Industrial Group, a leading global provider of transit packaging systems and solutions, for cash consideration of $3.91 billion. With the acquisition, the Company will add a portfolio of premier transit and protective packaging franchises to its existing metal packaging businesses, thereby broadening and diversifying its customer base and significantly increasing cash flow.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global beverage can business continues to be a major strategic focus for organic growth. For several years, global industry demand for beverage cans has been growing and this is expected to continue in the coming years. While emerging markets such as Southeast Asia and Mexico have experienced higher growth rates due to rising per capita incomes and accompanying increases in beverage consumption, the more mature economies in Europe and North America have also seen market expansion. This is being propelled by the growth of beverages such as energy drinks, teas, juices, sparkling waters and craft beer and an increased preference for cans over certain other forms of beverage packaging. In addition, the Company's acquisition of Empaque in 2015 significantly increased its strategic position in beverage cans and its presence in the growing Mexican market.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Global food and aerosol can sales unit volumes have been stable to declining in recent years primarily due to lower consumer spending. The Company continues to benefit from the 2014 acquisition of Mivisa which provided the Company the leading position in Spain, a major European agricultural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monitors capacity across all of its businesses and, where necessary, may take action such as closing a plant or reducing headcount to better manage its costs. Any or all of these actions may result in additional restructuring charges in the future which may be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2020, the Company's primary capital allocation focus will be to reduce leverage, as was successfully accomplished following the Mivisa and Empaque acquisitions.</w:t>
      </w:r>
    </w:p>
    <w:p>
      <w:pPr>
        <w:spacing w:after="0" w:line="1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5" w:lineRule="exact"/>
        <w:rPr>
          <w:sz w:val="20"/>
          <w:szCs w:val="20"/>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key measure used by the Company in assessing performance is segment income, a non-GAAP measure generally defined by the Company as income from operations adjusted to add back provisions for asbestos and restructuring and other, the impact of fair value adjustments related to the sale of inventory acquired in an acquisition and the timing impact of hedge ineffectiveness. Effective January 1, 2018, the Company made changes to its segment reporting to reflect refinements to its internal reporting. The North America Food Segment was classified as a non-reportable segments. Additionally, the Company revised its definition of segment income to also exclude intangibles amortization charges. Prior period segment income amounts have been recast to conform to current year presentation of intangible amortization charges and the new guidance related to the presentation of pension and other postretirement benefit costs discussed in </w:t>
      </w:r>
      <w:hyperlink w:anchor="page40">
        <w:r>
          <w:rPr>
            <w:rFonts w:ascii="Times New Roman" w:cs="Times New Roman" w:eastAsia="Times New Roman" w:hAnsi="Times New Roman"/>
            <w:sz w:val="18"/>
            <w:szCs w:val="18"/>
            <w:u w:val="single" w:color="auto"/>
            <w:color w:val="0000EE"/>
          </w:rPr>
          <w:t>Note A</w:t>
        </w:r>
      </w:hyperlink>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euro and pound sterling in the Company's European segments, the Brazilian real, Canadian dollar and Mexican peso in the Company's Americas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segments and the Chinese renminbi and Thai baht in the Company's Asia Pacific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SEGMENT INCOME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99"/>
        </w:trPr>
        <w:tc>
          <w:tcPr>
            <w:tcW w:w="304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30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$ 8,698</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$ 8,284</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$ 8,762</w:t>
            </w:r>
          </w:p>
        </w:tc>
      </w:tr>
      <w:tr>
        <w:trPr>
          <w:trHeight w:val="24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Beverage cans and ends as a percentage of net sales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cans and ends as a percentage of net sales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04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costs, higher global beverage and food can sales unit volumes and the impact of foreign currency translation. Net sales would have been $19 lower using exchange rates in effect during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impact of foreign currency translation and the pass-through of lower raw material costs. Net sales would have been $277 higher using exchange rates in effect during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net sales and segment income by segment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have experienced stable volumes in recent years. In Brazil, Mexico and Colombia, the Company's sales unit volumes have increased in recent years primarily due to market growth driven by increased per capita incomes and consumption, combined with an increased preference for cans over other forms of beverage packaging.</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2016, the Company began commercial production at a new beverage can plant in Monterrey, Mexico that is capable of producing multiple can sizes. Additionally, in the first half of 2017, the Company began commercial shipments from its new beverage can plant in Nichols, New York. In addition to enhancing the Company's presence in specialty beverage can sizes, the plant provides an attractive cost platform, including reduced freight, from which to serve customers in the northeastern region of the U.S. and eastern region of Canada. In June 2017, the company completed a capacity expansion project in Colombia. In January 2018, the Company commenced operations in a new glass bottle facility in Chihuahua, Mexico to serve the expanding beer market in the northern part of the country.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2,928</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2,757</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the pass-through of higher aluminum costs of $135 and a 3% increase in sales unit volumes.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sales unit volumes and geographic mix, partially offset by $10 of incremental start-up costs associated with the Company's new facility in Nichols,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announced plans to close a U.S. beverage can facility in 2018 in an effort to reduce costs by eliminating excess capacity and consolidating manufacturing processes. The Company expects this action to result in annual cost savings of approximately $10 when completed in 2018 but there can be no assurances these pre-tax savings will be realized.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the impact of foreign currency translation and the pass-through of lower material costs partially offset by a 6% increase in sales unit volumes, which includes the impact of Empaque for an additional six weeks. Net sales would have been $133 higher using exchange rates in effect during 2015.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Segment income increased primarily due to $41 from higher sales unit volumes, including the impact of an additional six weeks of Empaque, improved cost performance, and a benefit of $11 from lower aluminum premium costs in Brazil, partially offset by the impact of foreign currency translation and start-up costs at new facilities in Mexico and New York as described above. Segment income would have been $19 higher using exchange rates in effect during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European Beverage segment manufactures steel and aluminum beverage cans and ends and supplies a variety of customers from its operations throughout Europe, the Middle East and North Africa. In recent years, the European beverage can market has been growing.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2016, a second line at the Osmaniye, Turkey plant began commercial production in response to growing demand for multiple can sizes. In addition, the Company completed the conversion of its plant in Custines, France, from steel to aluminum with the start-up of the second line in April 2017. The Company has also announced plans to construct a new plant in the Valencia region of Spain which will facilitate the conversion from steel to aluminum beverage cans. Production is expected to commence during the fourth quarter of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1,420</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1,504</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2% higher sales unit volumes, with higher volumes in Europe partially offset by lower volumes in the Middle East, and the pass-through of higher aluminum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decreased primarily due to lower sales in the Middle East being partially offset by higher sales unit volumes in Europe.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impact of foreign currency translation and the pass-through of lower aluminum costs. Net sales would have been $52 higher using exchange rates in effect during 2015.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lower aluminum premium costs partially offset by the impact of foreign currency translation. Segment income would have been $9 higher using exchange rates in effect during 2015.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Food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which has experienced stable to slightly declining volumes in recent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Food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34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1,935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1,855</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1,984</w:t>
            </w: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3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486"/>
        </w:trPr>
        <w:tc>
          <w:tcPr>
            <w:tcW w:w="3440" w:type="dxa"/>
            <w:vAlign w:val="bottom"/>
          </w:tcPr>
          <w:p>
            <w:pPr>
              <w:spacing w:after="0"/>
              <w:rPr>
                <w:sz w:val="24"/>
                <w:szCs w:val="24"/>
                <w:color w:val="auto"/>
              </w:rPr>
            </w:pP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tinplate costs and the impact of foreign currency translation partially offset by the negative impact of product mix. Net sales would have been $26 lower using exchange rates in effect during 2016.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income was comparable to 2016 as benefits from foreign currency translation, prior year restructuring actions and improved cost performance offset the negative impact of product mix. Segment income would have been $5 lower using exchange rates in effect during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product and geographic mix including a 1% decline in sales unit volumes, $43 from the pass-through of lower tinplate costs and the impact of foreign currency translation. Net sales would have been $32 higher using exchange rates in effect during 2015.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due to a decline in sales unit volumes partially offset by improved cost performance, including the impact of recent restructuring and other actions.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Asia Pacific segment primarily consists of beverage can operations in Cambodia, China, Indonesia, Malaysia, Singapore, Thailand and Vietnam and also includes the Company's non-beverage can operations, primarily food cans and specialty packaging in China, Singapore, Thailand and Vietnam. In recent years, the beverage can market in Asia has been growing. The Company's third beverage can plant in Cambodia began commercial production in the second quarter of 2016. The Company's new beverage can facility in Jakarta, Indonesia, and a second line at its beverage can plant in Danang, Vietnam, began commercial production in June and October 2017. In addition, a new beverage can plant in Yangon, Myanmar is scheduled for start-up in the first half of 2018. The Company also announced the closure of its Shanghai and Beijing beverage can facilities in 2016 and 2017 in an effort to reduce costs by consolidating the manufacturing processes in China.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1,116</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1,202</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11% higher sales unit volume in Southeast Asia partially offset by a sales unit volume decrease related to the closure of the Shanghai and Beijing beverage can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increased sales unit volumes and cost reductions related to the closure of the Shanghai and Beijing beverage can facilities, partially offset by higher raw material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$79 from lower selling prices, including the pass-through of lower raw material costs, and from the impact of foreign currency translation, partially offset by a 2% increase in sales unit volumes. Net sales would have been $26 higher using exchange rates in effect during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primarily due to higher sales unit volumes in Southeast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Non-reportable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non-reportable segments include its North American food can business, its European aerosol can and promotional packaging business, its North American aerosol can business and its tooling and equipment operations in the U.S. and U.K. In recent years, the Company's aerosol can and promotional packaging businesses have experienced slightly declining volumes. In 2015, the Company completed the sale of four of its European industrial specialty packaging plants.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non-reportable segments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1,201</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1,136</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2017 compared to 2016</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tinplate costs in the Company's North America food can business and global aerosol businesses and 5% higher sales unit volumes in the Company's North America food can business. Segment income was comparable.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announced the closure of a promotional packaging facility in Europe in an effort to reduce cost. The Company expects this action to result in annual cost savings of approximately $5 when completed in 2018 but there can be no assurance that these pre-tax savings will be realized.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2016 compared to 2015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primarily due to $46 from lower equipment sales, $45 from the divestiture of certain operations within the Company's European aerosol and promotional packaging businesses in 2015, $53 from lower selling prices in the Company's food can, aerosol and promotional packaging businesses, including the pass-through of lower tinplate prices, and the impact of foreign currency translation. Net sales would have been $34 higher using exchange rates in effect during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income decreased primarily due to lower sales unit volumes partially offset by improved cost performance in the Company's North America food can business, $7 from lower sales in the Company's North America aerosol can business and the impact of foreign currency translation. Segment income would have been $9 higher using exchange rates in effect during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8"/>
        </w:trPr>
        <w:tc>
          <w:tcPr>
            <w:tcW w:w="58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w:t>
            </w:r>
          </w:p>
        </w:tc>
      </w:tr>
      <w:tr>
        <w:trPr>
          <w:trHeight w:val="27"/>
        </w:trPr>
        <w:tc>
          <w:tcPr>
            <w:tcW w:w="5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increased primarily due to a benefit of $8 due to the timing impact of hedge ineffectiveness in 2016 that did not recur in 2017. The increase was partially offset by lower technology and other general corporate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unallocated items in 2016 included an $8 benefit related to the timing impact of hedge ineffectiveness as compared to a charge of $1 in 2015. Additionally, corporate and unallocated expenses decreased due to $7 of lower stock-based compensation expense and a 2015 charge of $6 related to fair value adjustments for the sale of inventory acquired in the acquisition of Empaque.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PRODUCTS SOLD (EXCLUDING DEPRECIATION AND AMORTIZATION)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 increased from $6,623 in 2016 to $7,006 in 2017 primarily due to the impact of higher raw material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products sold (excluding depreciation and amortization) decreased from $7,140 in 2015 to $6,623 in 2016 primarily due to the impact of foreign currency translation and lower raw material costs partially offset by the impact of the Empaque acquisition. Cost of products sold would have been $214 higher using exchange rates in effect during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 as a percentage of net sales was 81% in 2017, 80% in 2016 and 82% in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was $247 in both 2017 and 2016.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from $237 in 2015 to $247 in 2016 primarily due to the impact of recent capacity expansion and depreciation and amortization of fixed assets and intangible assets recorded in connection with the Company's acquisition of Empaque in 2015, partially offset by favorable currency translation.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ADMINISTRATIVE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 was comparable in 2016 and 2017.</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 decreased from $382 in 2015 to $366 in 2016 primarily due to $12 from the impact of foreign currency translation and $7 from lower stock-compensation expense, partially offset by higher general corporate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ASBESTOS</w:t>
      </w:r>
    </w:p>
    <w:p>
      <w:pPr>
        <w:spacing w:after="0" w:line="225"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 Cork &amp; Seal Company, Inc. is one of many defendants in a substantial number of lawsuits filed throughout the U.S. by persons alleging bodily injury as a result of exposure to asbestos. During 2017, 2016 and 2015 the Company recorded charges of $3, $21 and $26 to increase its accrual for asbestos-related costs and made asbestos-related payments of $30 in each year. The Company currently expects 2018 payments to be approximately $30. See </w:t>
      </w:r>
      <w:hyperlink w:anchor="page49">
        <w:r>
          <w:rPr>
            <w:rFonts w:ascii="Times New Roman" w:cs="Times New Roman" w:eastAsia="Times New Roman" w:hAnsi="Times New Roman"/>
            <w:sz w:val="18"/>
            <w:szCs w:val="18"/>
            <w:u w:val="single" w:color="auto"/>
            <w:color w:val="auto"/>
          </w:rPr>
          <w:t xml:space="preserve">Note L </w:t>
        </w:r>
      </w:hyperlink>
      <w:r>
        <w:rPr>
          <w:rFonts w:ascii="Times New Roman" w:cs="Times New Roman" w:eastAsia="Times New Roman" w:hAnsi="Times New Roman"/>
          <w:sz w:val="18"/>
          <w:szCs w:val="18"/>
          <w:color w:val="auto"/>
        </w:rPr>
        <w:t>to the consolidated financial statements for additional information regarding the provision for asbestos-related costs. Also see the Critical Accounting Policies section of this “Management’s Discussion and Analysis of Financial Condition and Results of Operations” for a discussion of the Company’s policies with respect to asbestos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2017 compared to 2016, interest expense increased from $243 to $252 primarily due to increased average borrowing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2016 compared to 2015, interest expense decreased from $270 to $243 primarily due to lower average debt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ON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639</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higher effective tax rate in 2017 was primarily due to a net charge of $177 to recognize the provisional impact of the new U.S. federal tax reform legislation. The Tax Act imposed a limitation on the tax deduction for interest expense , net of interest income, to 30% of a U.S. corporation's adjusted taxable income. The Tax Act also changes certain provisions related to the taxation of non-U.S. subsidiary earnings. As a result, beginning in 2018, the Company will no longer record U.S. federal income tax on its share of foreign subsidiaries (except for certain categories of passive and intangible income), nor will the Company record a benefit for foreign tax credits related to that income. The Company does not believe these changes will have a material effect on its effective tax rate.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low effective tax rate in 2016 was primarily due to a benefit of $31 from the release of the valuation allowance against the Company's net deferred tax assets in Canada.</w:t>
      </w:r>
    </w:p>
    <w:p>
      <w:pPr>
        <w:spacing w:after="0" w:line="162"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additional information regarding income taxes, see </w:t>
      </w:r>
      <w:hyperlink w:anchor="page69">
        <w:r>
          <w:rPr>
            <w:rFonts w:ascii="Times New Roman" w:cs="Times New Roman" w:eastAsia="Times New Roman" w:hAnsi="Times New Roman"/>
            <w:sz w:val="18"/>
            <w:szCs w:val="18"/>
            <w:u w:val="single" w:color="auto"/>
            <w:color w:val="0000EE"/>
          </w:rPr>
          <w:t>Note U</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and the Critical Accounting Policies section of this “Management’s Discussion and Analysis of Financial Condition and Results of Operations” for a discussion of the Company’s policies with respect to valuation allowances.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NONCONTROLLING INTERESTS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from $68 in 2015 to $87 in 2016 and $105 in 2017 primarily due to higher earnings in the Company's beverage can operations in Brazil.</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by operating activities increased from $134 in 2016 to $251 in 2017 primarily due to higher pension contributions, including a voluntary contribution to the Company's U.K. defined benefit pension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increased from $865 in 2016 to $1,041 in 2017 primarily due to increased sales unit volumes and the impact of foreign currency translation. Days sales outstanding for trade receivables increased from 32 in 2016 to 34 in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increased from $1,245 in 2016 to $1,385 in 2017 primarily due to the impact of foreign currency translation and higher raw material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turnover was 66 days at December 31, 2016 compared to 67 days at December 31, 2017.</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Accounts payable and accrued liabilities increased from $2,702 in 2016 to $3,124 in 2017 primarily due to higher raw material costs and the impact of foreign currency translation. Days outstanding for trade payables increased from 102 days at December 31, 2016 to 119 days at December 31, 2017 primarily due to higher raw material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decreased from $633 in 2016 to $496 in 2017 primarily due to lower cash collections on beneficial interests in transferred receivables and an increase in capital expenditures. The Company currently expects capital expenditures in 2018 of approximately $425.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2017, the Company had $130 of capital commitments, primarily related to its Europe Beverage segment. The Company expects to fund these commitments primarily through cash generated from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used cash of $400 in 2017 primarily due to purchases of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used cash of $638 in 2016 primarily due to repayments of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2017, $347 of the Company's $424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$175 was held by subsidiaries for which earnings are considered indefinitely reinvested. While based on current operating plans the Company does not foresee a need to repatriate these funds, the Company is still evaluating the impact of the Tax Act. If such earnings were repatriated the Company may be required to record incremental foreign taxes on the repatriated funds.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funds its worldwide cash needs through a combination of cash flows from operations, borrowings under its revolving credit facilities and the acceleration of cash receipts under its receivables securitization and factoring facilities. As of December 31, 2017, the Company had available capacity of $1,236 under its revolving credit facilities. The Company could have borrowed this amount at December 31, 2017 and would still be in compliance with its leverage ratio covenants.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ratio of total debt, less cash and cash equivalents, to total capitalization was 84.2% and 86.7% at December 31, 2017 and 2016. Total capitalization is defined by the Company as total debt plus total equity, less cash and cash equivalents.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The amount of restricted payments permitted to be made, including dividends and repurchases of the Company's common stock, may be limited to the cumulative excess of $200 plus 50% of adjusted net income plus proceeds from the exercise of employee stock options over the aggregate of restricted payments made since July 2004. Adjustments to net income may include, but are not limited to, items such as asset impairments, gains and losses from asset sales and early extinguishments of debt.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revolving credit facility and term loans also contain a net leverage ratio covenant. The total net leverage ratio is calculated as total net debt divided by Adjusted EBITDA. Total net debt is defined in the credit agreement as total debt less cash and cash equivalents. Adjusted EBITDA is calculated as the sum of net income attributable to Crown Holdings, net income attributable to noncontrolling interests, income taxes, interest expense, depreciation and amortization, and certain non-cash charges. The Company’s total net leverage ratio of 3.55 to 1.0 at December 31, 2017 was in compliance with the covenant requiring a ratio no greater than 4.50 to 1.0. The ratio is calculated at the end of each quarter using debt and cash balances as of the end of the quarter and Adjusted EBITDA for the most recent twelve months. Failure to meet the financial covenant could result in the acceleration of any outstanding amounts due under the revolving credit facilities, term loan facilities and farm credit facility.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current sources of liquidity include securitization facilities with program limits that expire as follows: $350 in December 2018 and $175 in December 2019. Additional sources of liquidity include borrowings that mature as follows: its $1,400 revolving credit facilities in April 2022; its €650 ($781 at December 31, 2017) 4.0% senior notes in July 2022; its $1,000 4.50% senior notes in January 2023; its €600 ($720 at December 31, 2017) 2.625% senior notes in September 2024; its €600 ($720 at December 31, 2017) 3.375% senior notes in May 2025; its $400 4.25% senior notes in September 2026; its $350 7.375% senior notes in December 2026; its $40 7.5% senior notes in December 2096; and its $130 of other indebtedness in various currencies at various dates through 2036. In addition, the Company's term loan and farm credit facilities mature as follows: $32 in December 2018, $47 in December 2019, $54 in both December 2020 and December 2021 and $878 in December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CONTRACTUAL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 as of December 31, 2017 are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Payments Due by Period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after</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5,320</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pension contributions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5,450</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due in foreign currencies are translated at exchange rates as of December 31, 2017.</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fund its obligations through a combination of cash flows from operations, borrowings under its revolving credit facilities and the acceleration of cash receipts under its receivables securitization and factoring programs.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maturities of long-term debt, including capital lease obligations, for the five years subsequent to 2017 exclude unamortized discounts and debt issuance costs.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on long-term debt is presented through 2023 only and represents the interest that will accrue by year based on debt outstanding and interest rates in effect as of December 31, 2017.</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Projected pension contributions represent the Company's expected funding contributions for the next five years. Future changes to mortality tables or other factors used to determine pension contributions could have a significant impact on the Company’s future contributions and its cash flow available for debt reduction, capital expenditures or other purposes.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Postretirement obligations represent expected payments to retirees for medical and life insurance coverage for the next ten years. Pension and postretirement obligation projections require the use of numerous estimates and assumptions such as discount rates, rates of return on plan assets, compensation increases, health care cost increases, mortality and employee turnover and have therefore been provided for only five years for pension and ten years for postretirement.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 obligations include commitments for raw materials and utilities at December 31, 2017. These commitments specify significant terms, including fixed or minimum quantities to be purchased; fixed, minimum or variable pricing provisions; and the approximate timing of transactions.</w:t>
      </w:r>
    </w:p>
    <w:p>
      <w:pPr>
        <w:spacing w:after="0" w:line="108"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table above excludes $29 of liabilities for unrecognized tax benefits because the Company is unable to estimate when these amounts may be paid, if at all. See </w:t>
      </w:r>
      <w:hyperlink w:anchor="page69">
        <w:r>
          <w:rPr>
            <w:rFonts w:ascii="Times New Roman" w:cs="Times New Roman" w:eastAsia="Times New Roman" w:hAnsi="Times New Roman"/>
            <w:sz w:val="18"/>
            <w:szCs w:val="18"/>
            <w:u w:val="single" w:color="auto"/>
            <w:color w:val="0000EE"/>
          </w:rPr>
          <w:t>Note U</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additional information on the Company’s unrecognized tax benefits.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exchange shares of its common stock for the Company’s outstanding notes and debentures, or seek to refinance its existing credit facilities and other indebtedness. The Company will evaluate any such transactions in light of then existing market conditions and may determine not to pursue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in U.S. dollars as of December 31, 2017 about the Company’s forward currency exchange contracts. The contracts primarily hedge anticipated transactions, unrecognized firm commitments and intercompany debt. The contracts with no amounts in the fair value column have a fair value of less than $1.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Contract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Contract</w:t>
            </w: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fair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34"/>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Buy/Sell</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w:t>
            </w: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gain/(loss)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exchange rate</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dollars/Euro</w:t>
            </w:r>
          </w:p>
        </w:tc>
        <w:tc>
          <w:tcPr>
            <w:tcW w:w="2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Sterling/Euro</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Euro/Sterling</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Euro/U.S. dollars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dollars/Sterling</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Sterling/U.S. dollars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Singapore dollars/U.S. dollars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Polish Zloty/Euro</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dollars/Turkish Lira</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Turkish Lira/U.S. dollars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Euro/Singapore dollars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Euro/Polish Zloty</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the Company had additional contracts with an aggregate notional value of $83 to purchase or sell other currencies, primarily Asian currencies, including the Malaysian Ringgit, Thai Baht, Japanese Yen, and Hong Kong Dollar; European currencies, including the Hungarian Florint; the South African Rand; and the Canadian Dollar. The aggregate fair value of these contracts was a loss of less than $1.</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principal cash flows and related interest rates by year of maturity for the Company’s debt obligations as of December 31,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represent the rates in effect as of December 31, 2017.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Year of Maturity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Thereafter</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3,247</w:t>
            </w:r>
          </w:p>
        </w:tc>
      </w:tr>
      <w:tr>
        <w:trPr>
          <w:trHeight w:val="243"/>
        </w:trPr>
        <w:tc>
          <w:tcPr>
            <w:tcW w:w="3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future payments at December 31, 2017 include $2,658 of U.S. dollar-denominated debt, $2,591 of euro-denominated debt and $141 of debt denominated in other currencies.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various raw materials, such as steel and aluminum in its manufacturing operations, which expose it to risk from adverse fluctuations in commodity prices. In 2017, consumption of steel and aluminum represented 21% and 42% of the Company’s consolidated cost of products sold, excluding depreciation and amortization. The Company primarily manages its risk to adverse commodity price fluctuations and surcharges through contracts that pass through raw material costs to customers.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2017, the Company had forward commodity contracts to hedge aluminum price fluctuations with a notional value of $297 and a net gain of $34. The maturities of the commodity contracts closely correlate to the anticipated purchases of those commodities. In addition, the Company's manufacturing facilities are dependent, to varying degrees, upon the availability of water and processed energy, such as natural gas and electricity.</w:t>
      </w:r>
    </w:p>
    <w:p>
      <w:pPr>
        <w:spacing w:after="0" w:line="18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56">
        <w:r>
          <w:rPr>
            <w:rFonts w:ascii="Times New Roman" w:cs="Times New Roman" w:eastAsia="Times New Roman" w:hAnsi="Times New Roman"/>
            <w:sz w:val="18"/>
            <w:szCs w:val="18"/>
            <w:u w:val="single" w:color="auto"/>
            <w:color w:val="0000EE"/>
          </w:rPr>
          <w:t>Note 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further information on the Company’s 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225"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certain guarantees and indemnification agreements that could require the payment of cash upon the occurrence of certain events. The guarantees and agreements are further discussed under </w:t>
      </w:r>
      <w:hyperlink w:anchor="page51">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consolidated financial statements. The Company also utilizes receivables securitization and factoring facilities and derivative financial instruments as further discussed under </w:t>
      </w:r>
      <w:hyperlink w:anchor="page46">
        <w:r>
          <w:rPr>
            <w:rFonts w:ascii="Times New Roman" w:cs="Times New Roman" w:eastAsia="Times New Roman" w:hAnsi="Times New Roman"/>
            <w:sz w:val="18"/>
            <w:szCs w:val="18"/>
            <w:u w:val="single" w:color="auto"/>
            <w:color w:val="0000EE"/>
          </w:rPr>
          <w:t>Note 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w:anchor="page56">
        <w:r>
          <w:rPr>
            <w:rFonts w:ascii="Times New Roman" w:cs="Times New Roman" w:eastAsia="Times New Roman" w:hAnsi="Times New Roman"/>
            <w:sz w:val="18"/>
            <w:szCs w:val="18"/>
            <w:u w:val="single" w:color="auto"/>
            <w:color w:val="0000EE"/>
          </w:rPr>
          <w:t>Note 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MATTERS</w:t>
      </w:r>
    </w:p>
    <w:p>
      <w:pPr>
        <w:spacing w:after="0" w:line="225"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2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176"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51">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additional information on environmental matters including the Company's accrual for environmental remediation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 Company's sales contracts contain non-metal pass-through provisions that include annual selling price adjustments based on a producer price index. In certain years the referenced index would be negative, requiring the Company to reduce its selling prices while its actual costs may have increased.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5"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page40">
        <w:r>
          <w:rPr>
            <w:rFonts w:ascii="Times New Roman" w:cs="Times New Roman" w:eastAsia="Times New Roman" w:hAnsi="Times New Roman"/>
            <w:sz w:val="18"/>
            <w:szCs w:val="18"/>
            <w:u w:val="single" w:color="auto"/>
            <w:color w:val="0000EE"/>
          </w:rPr>
          <w:t>Note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Certain accounting policies, however, are considered to be critical in that (i) they are most important to the depiction</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Company’s financial condition and results of operations and (ii) their application requires management’s most subjective judgment in making estimates about the effect of matters that are inherently uncertain.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Liabilities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potential liability for asbestos cases is highly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w:t>
      </w:r>
    </w:p>
    <w:p>
      <w:pPr>
        <w:spacing w:after="0" w:line="3" w:lineRule="exact"/>
        <w:rPr>
          <w:sz w:val="20"/>
          <w:szCs w:val="20"/>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state asbestos legislation (including the validity and applicability of the Pennsylvania legislation to non-Pennsylvania jurisdictions, where the substantial majority of the Company’s asbestos cases are filed). See </w:t>
      </w:r>
      <w:hyperlink w:anchor="page49">
        <w:r>
          <w:rPr>
            <w:rFonts w:ascii="Times New Roman" w:cs="Times New Roman" w:eastAsia="Times New Roman" w:hAnsi="Times New Roman"/>
            <w:sz w:val="18"/>
            <w:szCs w:val="18"/>
            <w:u w:val="single" w:color="auto"/>
            <w:color w:val="0000EE"/>
          </w:rPr>
          <w:t>Note L</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additional information regarding the provision for asbestos-related costs.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Company estimates its liability without limitation to a specified time period and provides for the estimated amounts expected to be paid related to outstanding claims, projected future claims and legal costs.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2017, the Company recorded a charge of $3 to increase its asbestos liability compared to charges of $21 in 2016 and $26 in 2015. The charge in 2017 was primarily to increase the Company's accrual due to an increase in projected claims. The charge in 2016 was primarily due to an increase in projected claims and higher average settlement costs per claim. The five year average settlement cost per claim increased from $13,000 in 2015 to $13,800 in 2016 and remained at $13,800 in 2017.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Crown Cork's experience continues to be settling a higher percentage of claims alleging serious disease (primarily mesothelioma) which are settled at higher dollar amounts. Accordingly, a higher percentage of claims projected into the future continue to relate to serious diseases and are therefore valued at higher dollar amounts. For example, in each of the years 2017, 2016 and 2015, of the projected claims related to claimants alleging first exposure to asbestos before or during 1964 and filed in states that have not enacted asbestos legislation, approximately 60% relate to claims alleging serious diseases such as mesothelioma.</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trend of settling a higher percentage of claims alleging serious disease (primarily mesothelioma) at higher dollar amounts.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continues, average settlement costs per claim are likely to increase and, if not offset by a reduction in overall claims and settlements, the Company will record additional charges in the future. A 10% change in either the average cost per claim or the number of projected claims would increase or decrease the estimated liability at December 31, 2017 by $32. A 10% increase in these two factors at the same time would increase the estimated liability at December 31, 2017 by $66. A 10% decrease in these two factors at the same time would decrease the estimated liability at December 31, 2017 by $60.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changes in input costs that may affect earnings and cash flows, trends over multiple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and the difference between the reporting unit's fair value and carrying amount as determined in the most recent fair value calculation.</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quantitative impairment test involves a number of assumptions and judgments, including the calculation of fair value for the Company’s identified reporting units. The Company determines the estimated fair value for each reporting unit based on the average of the estimated fair values calculated using market values for comparable businesses and discounted cash flow projections. The Company uses an average of the two methods in estimating fair value because it believes they provide an equal probability of yielding an appropriate fair value for the reporting unit. The Company’s estimates of future cash flows include assumptions concerning future operating performance and economic conditions and may differ from actual future cash flows. Under the first method of calculating estimated fair value, the Company obtains available information regarding multiples used in recent transactions, if any, involving transfers of controlling interests in the packaging industry. The Company also reviews publicly available trading multiples based on the enterprise value of companies in the packaging industry whose shares are publicly traded. The appropriate multiple is applied to the forecasted Adjusted EBITDA (a non-GAAP item defined by the Company as net customer sales, less cost of products sold excluding depreciation and amortization, less selling and administrative expenses) of the reporting unit to obtain an estimated fair value. Under the second method, fair value is calculated as the sum of the projected discounted cash flows of the reporting unit over the next five years and the terminal value at the end of those five years. The projected cash flows generally include moderate to no growth assumptions unless there has recently been a material change in the business or a</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change is forecasted. The discount rate used is based on the average weighted-average cost of capital of companies in the packaging industry, which information is available through various sources.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terminal value at the end of five years is the product of forecasted Adjusted EBITDA at the end of the five year period and the trading multiple. The Company used an EBITDA multiple of 8.0 times and a discount rate of 7.25% based on the weighted average cost of capital of companies in the packaging industry.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completed its annual review for 2017 and determined that no adjustments to the carrying value of goodwill were necessary. Although no goodwill impairment was recorded, there can be no assurances that future goodwill impairments will not occur. Based upon the Company’s qualitative and quantitative assessment including consideration of the sensitivity of the assumptions made and methods used to determine fair value, industry trends and other relevant factors, the Company did not have any reporting unit whose fair value did not materially exceed its carrying value except for the North America Food reporting unit discussed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1, 2017, the estimated fair value of the North America Food reporting unit, using the methods and assumptions described above, was 63% higher than its carrying value, and the reporting unit had $117 of goodwill. The maximum potential effect of weighting the two valuation methods other than equally would have been to increase or decrease the estimated fair value by $18. Assuming all other factors remain the same, a $1 change in forecasted annual Adjusted EBITDA changes the excess of estimated fair value over carrying value by $8; a change of 0.5 in the assumed EBITDA multiple changes the excess of estimated fair value over carrying value by $22; and an increase in the discount rate from 7.25% to 8.25% changes the excess of estimated fair value over carrying value by $9. Under each of these scenarios, the reporting unit's fair value exceeded its carrying value. If Adjusted EBITDA decreased by 38% the fair value of the reporting unit would approximate carrying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reporting unit operates in a low-growth environment with multiple competitors, which could result in lower selling prices. In addition, shifts in consumer demand could result in lower volumes. While the Company believes current Adjusted EBITDA projections are reasonable, the reporting unit's ability to maintain or grow Adjusted EBITDA could be negatively impacted by the above factors. To the extent future operating results were to decline causing the estimated fair value to fall below carrying value, it is possible that an impairment charge of up to $117 for North America Food could be recorded.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Impairment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review of its long-lived assets, including definite-lived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Valuation Allowance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Company change its estimate of the amount of deferred tax assets that it would be able to realize, an adjustment to the valuation allowance would result in an increase or decrease in tax expense in the period such a change in estimate was made.</w:t>
      </w:r>
    </w:p>
    <w:p>
      <w:pPr>
        <w:spacing w:after="0" w:line="180"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had a deferred tax asset of $56 related to French tax loss carryforwards which do not expire. After considering all sources of taxable income as of December 31, 2017, the Company estimates these losses can be utilized. As discussed in </w:t>
      </w:r>
      <w:hyperlink w:anchor="page44">
        <w:r>
          <w:rPr>
            <w:rFonts w:ascii="Times New Roman" w:cs="Times New Roman" w:eastAsia="Times New Roman" w:hAnsi="Times New Roman"/>
            <w:sz w:val="18"/>
            <w:szCs w:val="18"/>
            <w:u w:val="single" w:color="auto"/>
            <w:color w:val="0000EE"/>
          </w:rPr>
          <w:t>Note 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subsequent to year-end, the Company completed an offering of unsecured notes and amended its credit agreements to provide for additional term loan borrowings to be used in connection with the Signode acquisition. The Company is still evaluating the impact of the acquisition on its global structure but it is possible that additional interest expense in France could cause the Company to incur losses which may result in recording a valuation allowance in the future.</w:t>
      </w:r>
    </w:p>
    <w:p>
      <w:pPr>
        <w:spacing w:after="0" w:line="184"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69">
        <w:r>
          <w:rPr>
            <w:rFonts w:ascii="Times New Roman" w:cs="Times New Roman" w:eastAsia="Times New Roman" w:hAnsi="Times New Roman"/>
            <w:sz w:val="18"/>
            <w:szCs w:val="18"/>
            <w:u w:val="single" w:color="auto"/>
            <w:color w:val="0000EE"/>
          </w:rPr>
          <w:t>Note U</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additional information on the Company’s valuation allowances.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and Postretirement Benefits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$13 in 2017 and currently projects its 2018 pension expense to be $4, using foreign currency exchange rates in effect at December 31, 2017. In 2016, the company changed the method used to estimate the service and interest cost components of net periodic pension and postretirement benefits cost. The new method uses the spot yield curve approach to estimate the service and interest cost by applying the specific spot rates along the yield curve used to determine the benefit plan obligations to relevant projected cash outflows. Previously, the service and interest cost components were determined using a single weighted average discount rate. The change does not affect the measurement of the total benefit plan obligations. The spot yield curve approach provides a more precise measure of service and interest cost by improving the correlation between the projected benefit cash flows and the discrete spot yield curve rates. The company accounted for this change as a change in estimate prospectively beginning in 2016. The rate of return assumptions are reviewed at each measurement date based on the pension plans’ investment policies, current asset allocations and an analysis of the historical returns of the capital markets.</w:t>
      </w:r>
    </w:p>
    <w:p>
      <w:pPr>
        <w:spacing w:after="0" w:line="19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plan’s assumed rate of return was 7.5 % in 2017 and is 7.25% in 2018. The U.K. plan’s assumed rate of return was 4.25% in 2017 and is 4.25% in 2018. A 0.25% change in the expected rates of return would change 2018 pension expense by approximately $12.</w:t>
      </w:r>
    </w:p>
    <w:p>
      <w:pPr>
        <w:spacing w:after="0" w:line="162" w:lineRule="exact"/>
        <w:rPr>
          <w:sz w:val="20"/>
          <w:szCs w:val="20"/>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Discount rates were selected using a method that matches projected payouts from the plans to an actuarially determined yield curve based on market observable AA bond yields in the respective plan jurisdictions and currencies. In certain jurisdictions, government securities were used along with corporate bonds to develop country-specific yield curves the extent that the underlying markets were not deemed sufficiently developed. A 0.25% change in the discount rates from those used at December 31, 2017 would change 2018 pension expense by approximately $4 and postretirement expense by less than $1. A 0.25% change in the discount rates from those used at December 31, 2017 would have changed the pension benefit obligation by approximately $175 and the postretirement benefit obligation approximately $4 as of December 31, 2017. See </w:t>
      </w:r>
      <w:hyperlink w:anchor="page60">
        <w:r>
          <w:rPr>
            <w:rFonts w:ascii="Times New Roman" w:cs="Times New Roman" w:eastAsia="Times New Roman" w:hAnsi="Times New Roman"/>
            <w:sz w:val="18"/>
            <w:szCs w:val="18"/>
            <w:u w:val="single" w:color="auto"/>
            <w:color w:val="0000EE"/>
          </w:rPr>
          <w:t>Note 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additional information on pension and postretirement benefit obligations and assumptions.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2017, the Company had pre-tax unrecognized net losses in other comprehensive income of $2,057 related to its pension plans and $49 related to its other postretirement benefit plans. Unrecognized gains and losses arise each year primarily due to changes in discount rates, differences in actual plan asset returns compared to expected returns, and changes in actuarial assumptions such as mortality. For example, the unrecognized net loss in the Company’s pension plans included a current year loss of $90 primarily due to lower discount rates at the end of 2017 compared to 2016, partially offset by a gain of $69 due to actual asset returns higher than expected returns.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2017 included charges of $95 for the amortization of unrecognized net losses, and the Company estimates charges of $93 in 2018. Amortizable losses are being recognized over either the average expected life of inactive employees or the remaining service life of active participants depending on the status of the individual plans. The weighted average amortization periods range between 8 - 19 years. An increase of 10% in the number of years used to amortize unrecognized losses in each plan would decrease estimated charges for 2018 by $9. A decrease of 10% in the number of years would increase the estimated 2018 charge by $11.</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unrecognized net losses in the Company’s postretirement benefit plans are being recognized over the average remaining service life of active participants of 9 years. The Company’s postretirement benefits expense for the year ended December 31, 2017 included a loss of $4 for the amortization of unrecognized net losses, and the Company estimates losses of $4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GUIDANCE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the FASB issued new guidance which outlines a single comprehensive model to use in accounting for revenue arising from contracts with customers and supersedes most current revenue recognition guidance. Under the new guidance, revenue is recognized when a customer obtains control of promised goods or services which will either be at a point in time or over time. Certain products that the Company manufactures for customers have no alternative use and are expected to follow an over-time revenue recognition model. For example, beverage cans are generally printed for a specific customer and do not have an alternative use. Food cans may be printed depending upon customer preference which can vary by geographic market. Under current guidance, the Company generally recognizes revenue upon shipment or delivery. Under the new guidance, revenue for products that follow an over-time revenue recognition model will be recognized prior to shipment or delivery dependent upon contract-specific terms. The Company does not expect the new standard to have a material impact on its annual income from operations, however, the guidance could have an impact to income from operations in each quarter as the Company may now recognize revenue for certain products as it builds inventory levels in anticipation of seasonal demands.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accelerating the timing of revenue recognition, an unbilled receivable will be recognized with an offsetting decrease to inventory. The new guidance also requires enhanced disclosures about the nature, amount, timing, and uncertainty of revenue and cash flows arising from contracts with customers. The Company has completed its impact assessment and is in the process of implementing changes to processes, systems and controls to adopt the standard on a modified retrospective basis in the first quarter of 2018.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new guidance on lease accounting. Under the new guidance lease classification criteria and income statement recognition is similar to current guidance; however, all leases with a lease term longer than one year will be recorded on the balance sheet through a right-of-use asset and a corresponding lease liability. The guidance will be effective for the Company on January 1, 2019. The Company is currently evaluating the impact of adopting this guidance on its financial position and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2016, the FASB issued new guidance related to the classification of certain cash receipts and payments on the statement of cash flows. The Company adopted this guidance on January 1, 2018 and recast prior period amounts to conform to the current year presentation. Under the new guidance, premiums paid for debt extinguishments are classified as cash outflows from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premiums paid for debt extinguishments as cash flows from operating activities.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the FASB issued new guidance on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 The Company adopted this guidance on January 1, 2018 and recast prior period amounts to conform to the current year presentation.</w:t>
      </w:r>
    </w:p>
    <w:p>
      <w:pPr>
        <w:spacing w:after="0" w:line="180"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40">
        <w:r>
          <w:rPr>
            <w:rFonts w:ascii="Times New Roman" w:cs="Times New Roman" w:eastAsia="Times New Roman" w:hAnsi="Times New Roman"/>
            <w:sz w:val="18"/>
            <w:szCs w:val="18"/>
            <w:u w:val="single" w:color="auto"/>
            <w:color w:val="0000EE"/>
          </w:rPr>
          <w:t>Note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for information on recently adopted accounting guidance.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25"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Statements in this Annual Report, including those in “Management’s Discussion and Analysis of Financial Condition and Results of Operations,” in the discussions of the provision for asbestos under </w:t>
      </w:r>
      <w:hyperlink w:anchor="page49">
        <w:r>
          <w:rPr>
            <w:rFonts w:ascii="Times New Roman" w:cs="Times New Roman" w:eastAsia="Times New Roman" w:hAnsi="Times New Roman"/>
            <w:sz w:val="18"/>
            <w:szCs w:val="18"/>
            <w:u w:val="single" w:color="auto"/>
            <w:color w:val="0000EE"/>
          </w:rPr>
          <w:t>Note L</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other contingencies under </w:t>
      </w:r>
      <w:hyperlink w:anchor="page51">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included in this Annual Report and in discussions incorporated by reference into this Annual Report (including, but not limited to, those in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and (vii) the expected outcome of contingencies, including with respect to asbestos-related litigation and pension and postretirement liabilities.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the Company to differ include, but are not necessarily limited to, the ability of the Company to expand successfully in international and emerging markets; whether the acquisition of Empaque will be accretive to the Company’s earnings; whether sales and profits of Empaque will continue to grow;</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whether the combination of the Company and Empaque will provide benefits to customers and shareholders; whether the operations of Empaque can be successfully integrated into the Company’s operations; the ability of the Company to repay, refinance or restructure its short and long-term indebtedness on adequate terms and to comply with the terms of its agreements relating to debt; the impact of the recent European Sovereign debt crisis;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 the impact of health care reform in the U.S.; the impact of foreign trade laws and practices; the collectability of receivables; war or acts of terrorism that may disrupt the Company’s production or the supply or pricing of raw materials, including in the Company’s Middle East operations,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potential dispositions, acquisitions or other strategic realignments, which may impact the Company’s operations, financial profile, investments or levels of indebtedness; the Company’s ability to realize efficient capacity utilization and inventory levels and to innovate new designs and technologies for</w:t>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the Company’s ability to generate sufficient production capacity; the Company’s ability to improve and expand its existing product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and changes in the Company’s strategic areas of focus, which may impact the Company’s operations, financial profile or levels of indebtedness.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Annual Report and prior Company filings with the Securities and Exchange Commission (“SEC”), including within Part I, Item 1A,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in this Annual Report. In addition, other factors have been or may be discussed from time to time in the Company’s SEC filings.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40" w:type="dxa"/>
            <w:vAlign w:val="bottom"/>
          </w:tcPr>
          <w:p>
            <w:pPr>
              <w:spacing w:after="0"/>
              <w:rPr>
                <w:sz w:val="20"/>
                <w:szCs w:val="20"/>
                <w:color w:val="auto"/>
              </w:rPr>
            </w:pPr>
          </w:p>
        </w:tc>
      </w:tr>
      <w:tr>
        <w:trPr>
          <w:trHeight w:val="79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ITEM 8.</w:t>
            </w:r>
          </w:p>
        </w:tc>
        <w:tc>
          <w:tcPr>
            <w:tcW w:w="934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4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74"/>
        </w:trPr>
        <w:tc>
          <w:tcPr>
            <w:tcW w:w="3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INDEX TO FINANCIAL STATEMENTS</w:t>
            </w:r>
          </w:p>
        </w:tc>
        <w:tc>
          <w:tcPr>
            <w:tcW w:w="692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574"/>
        </w:trPr>
        <w:tc>
          <w:tcPr>
            <w:tcW w:w="34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810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r>
      <w:tr>
        <w:trPr>
          <w:trHeight w:val="615"/>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2017, 2016 and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567"/>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2017, 2016 and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as of December 31, 2017 and 2016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2017, 2016 and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2017, 2016 and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59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Supplementary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554"/>
        </w:trPr>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0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15"/>
        </w:trPr>
        <w:tc>
          <w:tcPr>
            <w:tcW w:w="34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2017, 2016 and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91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5"/>
          </w:tcPr>
          <w:p>
            <w:pPr>
              <w:ind w:left="4960"/>
              <w:spacing w:after="0"/>
              <w:rPr>
                <w:sz w:val="20"/>
                <w:szCs w:val="20"/>
                <w:color w:val="auto"/>
              </w:rPr>
            </w:pPr>
            <w:r>
              <w:rPr>
                <w:rFonts w:ascii="Times New Roman" w:cs="Times New Roman" w:eastAsia="Times New Roman" w:hAnsi="Times New Roman"/>
                <w:sz w:val="18"/>
                <w:szCs w:val="18"/>
                <w:color w:val="auto"/>
              </w:rPr>
              <w:t>25</w:t>
            </w:r>
          </w:p>
        </w:tc>
        <w:tc>
          <w:tcPr>
            <w:tcW w:w="39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000"/>
          </w:cols>
          <w:pgMar w:left="280" w:top="117" w:right="6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2017.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its assessment, management has concluded that, as of December 31, 2017,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based on those criteria.</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2017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Crown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Crown Holdings, Inc. and its subsidiaries (the “Company”) as of December 31, 2017 and 2016, and the related consolidated statements of operations, comprehensive income, changes in shareholders’ equity, and cash flows for each of the three years in the period ended December 31, 2017, including the related notes and financial statement schedule listed in the accompanying index (collectively referred to as the “consolidated financial statements”). We also have audited the Company's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discussed in Note A to the consolidated financial statements, the Company changed the manner in which it accounts for pension and other postretirement benefit costs and the manner in which it accounts for certain cash receipts and payments in 2018.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7" w:right="2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February 26, 2018, except with respect to our opinion on the consolidated financial statements insofar as it relates to the effects of the changes in accounting for pension and other postretirement benefit costs and certain cash receipts and payments discussed in Note A and the change in the Company’s reportable segments discussed in Note V, as to which the date is December 6,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7" w:right="27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8,698</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8,762</w:t>
            </w: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7,006</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6,623</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67"/>
        </w:trPr>
        <w:tc>
          <w:tcPr>
            <w:tcW w:w="70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5" w:name="page36"/>
    <w:bookmarkEnd w:id="3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228600</wp:posOffset>
            </wp:positionV>
            <wp:extent cx="6226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43"/>
        </w:trPr>
        <w:tc>
          <w:tcPr>
            <w:tcW w:w="6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43"/>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 / (loss)</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280"/>
          </w:cols>
          <w:pgMar w:left="580" w:top="522" w:right="1039" w:bottom="1440" w:gutter="0" w:footer="0" w:header="0"/>
        </w:sectPr>
      </w:pPr>
    </w:p>
    <w:bookmarkStart w:id="36" w:name="page37"/>
    <w:bookmarkEnd w:id="36"/>
    <w:p>
      <w:pPr>
        <w:ind w:left="49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43"/>
        </w:trPr>
        <w:tc>
          <w:tcPr>
            <w:tcW w:w="7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7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318"/>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3,518</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3,239</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4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7"/>
        </w:trPr>
        <w:tc>
          <w:tcPr>
            <w:tcW w:w="72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10,663</w:t>
            </w:r>
          </w:p>
        </w:tc>
        <w:tc>
          <w:tcPr>
            <w:tcW w:w="4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67"/>
        </w:trPr>
        <w:tc>
          <w:tcPr>
            <w:tcW w:w="292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27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72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3,124</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318"/>
        </w:trPr>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3"/>
        </w:trPr>
        <w:tc>
          <w:tcPr>
            <w:tcW w:w="7240" w:type="dxa"/>
            <w:vAlign w:val="bottom"/>
            <w:gridSpan w:val="5"/>
          </w:tcPr>
          <w:p>
            <w:pPr>
              <w:ind w:left="40"/>
              <w:spacing w:after="0" w:line="20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Commitments and contingent liabilities </w:t>
            </w:r>
            <w:hyperlink w:anchor="page51">
              <w:r>
                <w:rPr>
                  <w:rFonts w:ascii="Times New Roman" w:cs="Times New Roman" w:eastAsia="Times New Roman" w:hAnsi="Times New Roman"/>
                  <w:sz w:val="18"/>
                  <w:szCs w:val="18"/>
                  <w:color w:val="0000EE"/>
                </w:rPr>
                <w:t>(Note M)</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2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gridSpan w:val="5"/>
          </w:tcPr>
          <w:p>
            <w:pPr>
              <w:ind w:left="40"/>
              <w:spacing w:after="0" w:line="20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Preferred stock, authorized: 30,000,000; none issued </w:t>
            </w:r>
            <w:hyperlink w:anchor="page53">
              <w:r>
                <w:rPr>
                  <w:rFonts w:ascii="Times New Roman" w:cs="Times New Roman" w:eastAsia="Times New Roman" w:hAnsi="Times New Roman"/>
                  <w:sz w:val="18"/>
                  <w:szCs w:val="18"/>
                  <w:color w:val="0000EE"/>
                </w:rPr>
                <w:t>(Note O)</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par value: $5.00; authorized: 500,000,000 shares; issued: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185,744,072 shares (Note O)</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Accumulated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3,004</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43"/>
        </w:trPr>
        <w:tc>
          <w:tcPr>
            <w:tcW w:w="72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Treasury stock at par value (2017 - 51,468,463 shares; 2016 - 45,903,844 shares)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7"/>
        </w:trPr>
        <w:tc>
          <w:tcPr>
            <w:tcW w:w="72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40" w:type="dxa"/>
            <w:vAlign w:val="bottom"/>
            <w:tcBorders>
              <w:bottom w:val="single" w:sz="8" w:color="CCEEFF"/>
            </w:tcBorders>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10,663</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gridSpan w:val="5"/>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117" w:right="1019" w:bottom="1440" w:gutter="0" w:footer="0" w:header="0"/>
        </w:sectPr>
      </w:pP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40"/>
          </w:cols>
          <w:pgMar w:left="240" w:top="117" w:right="101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Pension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3"/>
        </w:trPr>
        <w:tc>
          <w:tcPr>
            <w:tcW w:w="7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b w:val="1"/>
                <w:bCs w:val="1"/>
                <w:color w:val="auto"/>
              </w:rPr>
              <w:t>Net cash (used for)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Proceeds from sale of businesses, net of cash sold</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investment hedge settlements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76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Net cash provided by (used for)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Premiums paid to retire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766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Net cash (used for) provided by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at December 31</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36830</wp:posOffset>
            </wp:positionV>
            <wp:extent cx="3636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per share, employee and statistical data)</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and Principles of Consolidation</w:t>
      </w:r>
      <w:r>
        <w:rPr>
          <w:rFonts w:ascii="Times New Roman" w:cs="Times New Roman" w:eastAsia="Times New Roman" w:hAnsi="Times New Roman"/>
          <w:sz w:val="18"/>
          <w:szCs w:val="18"/>
          <w:color w:val="auto"/>
        </w:rPr>
        <w:t>. The consolidated financial statements include the accounts of Crown Holdings, Inc.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subsidiary companies (where the context requires, the “Company” shall include reference to the Company and its consolidated subsidiary companies).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manufactures and sells metal and glass packaging containers, metal closures, and canmaking equipment. These products are manufactured in the Company’s plants both within and outside the U.S. and are sold through the Company’s sales organization to the soft drink, food, citrus, brewing, household products, personal care and various other industries. 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 Investments in companies in which the Company does not have control, but has the ability to exercise significant influence over operating and financial policies, are accounted for by the equity method. Other investments are carried at cost.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 non-U.S. subsidiaries which operate in a local currency environment, assets and liabilities are translated into U.S. 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approximate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Revenue is recognized from product sales when the goods are shipped and the title and risk of loss pass to the customer.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discounts and rebates to customers, returns, and other adjustments are estimated and provided for in the period that the related sales are recorded. Taxes collected from customers and remitted to governmental authorities are excluded from net sales. Shipping and handling fees and costs from product sales are reported as cost of products sold.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 For awards with a service or market condition, compensation expense is recognized over the vesting period on a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using the grant date fair value of the award and the estimated number of awards that are expected to vest. For awards with a performance condition, the Company reassess the probability of vesting at each reporting period and adjust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2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Cash equivalents represent investments with maturities of three months or less from the time of purchase and are carried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which approximates fair value because of the short maturity of those instruments. Outstanding checks in excess of funds on deposit are included in accounts payable.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r>
        <w:rPr>
          <w:rFonts w:ascii="Times New Roman" w:cs="Times New Roman" w:eastAsia="Times New Roman" w:hAnsi="Times New Roman"/>
          <w:sz w:val="18"/>
          <w:szCs w:val="18"/>
          <w:color w:val="auto"/>
        </w:rPr>
        <w:t>. Trade accounts receivable are recorded at the invoiced amount and do not bear interest.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doubtful accounts is the best estimate of the amount of probable credit losses in the existing accounts receivable. The allowance is determined based on a review of individual accounts for collectability, generally focusing on those accounts that are past due or experiencing financial difficulties. The current year expense to adjust the allowance for doubtful accounts is recorded within selling and administrative expense in the consolidated statements of operations.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 Inventories are stated at the lower of cost or market, with cost for U.S. inventories principally determined under the first-in, first-out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(“FIFO”) method and for non-U.S. inventories under the FIFO or average cost method.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 Property, plant and equipment (“PP&amp;E”) is carried at cost less accumulated depreciation and includes expenditures for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improvements</w:t>
            </w:r>
          </w:p>
        </w:tc>
        <w:tc>
          <w:tcPr>
            <w:tcW w:w="42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w:t>
            </w:r>
          </w:p>
        </w:tc>
      </w:tr>
      <w:tr>
        <w:trPr>
          <w:trHeight w:val="27"/>
        </w:trPr>
        <w:tc>
          <w:tcPr>
            <w:tcW w:w="68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r>
      <w:tr>
        <w:trPr>
          <w:trHeight w:val="27"/>
        </w:trPr>
        <w:tc>
          <w:tcPr>
            <w:tcW w:w="682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color w:val="auto"/>
        </w:rPr>
        <w:t>Goodwill is carried at cost and reviewed for impairment annually in the fourth quarter of each year or when facts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goodwill may be impaired. Goodwill was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If the Company determines that an impairment is more likely than not, it will perform the two-step quantitative impairment test using a combination of market values for comparable businesses and discounted cash flow projections compared to the reporting unit's carrying value including goodwill. If the carrying value of a reporting unit exceeds its fair value, any impairment loss is measured by comparing the carrying value of the reporting unit to its implied fair value.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carried at cost less accumulated amortization. Definite-lived intangibles are amortized on a straight-line basis over their estimated useful lives. Definite-lived intangible assets are tested for impairment when facts and circumstances indicate the carrying value may not be recoverable from their undiscounted cash flows. If impaired, the assets are written down to fair value based on either discounted cash flows or appraised values.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Impairment or Disposal of Long-Lived Assets</w:t>
      </w:r>
      <w:r>
        <w:rPr>
          <w:rFonts w:ascii="Times New Roman" w:cs="Times New Roman" w:eastAsia="Times New Roman" w:hAnsi="Times New Roman"/>
          <w:sz w:val="18"/>
          <w:szCs w:val="18"/>
          <w:color w:val="auto"/>
        </w:rPr>
        <w:t>. In the event that facts and circumstances indicate that the carrying value of long-lived assets,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PP&amp;E and certain identifiable intangible assets with finite lives, may be impaired, the Company performs a recoverability evaluation. If the evaluation indicates that the carrying value of an asset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The provision for income taxes is determined using the asset and liability approach. Deferred taxes represent the future expected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differences between the financial reporting and tax bases of assets and liabilities based upon enacted tax rates and laws. The Tax Act creates a new requirement that certain intangible income of foreign subsidiaries</w:t>
      </w:r>
    </w:p>
    <w:p>
      <w:pPr>
        <w:spacing w:after="0"/>
        <w:rPr>
          <w:sz w:val="20"/>
          <w:szCs w:val="20"/>
          <w:color w:val="auto"/>
        </w:rPr>
      </w:pPr>
      <w:r>
        <w:rPr>
          <w:rFonts w:ascii="Times New Roman" w:cs="Times New Roman" w:eastAsia="Times New Roman" w:hAnsi="Times New Roman"/>
          <w:sz w:val="18"/>
          <w:szCs w:val="18"/>
          <w:color w:val="auto"/>
        </w:rPr>
        <w:t>must be included currently in the gross income of the U.S. shareholder. The Company has made an accounting policy election to treat taxes due on future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inclusions in taxable income related to this intangible income as a current period expense when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Derivatives and Hedging</w:t>
      </w:r>
      <w:r>
        <w:rPr>
          <w:rFonts w:ascii="Times New Roman" w:cs="Times New Roman" w:eastAsia="Times New Roman" w:hAnsi="Times New Roman"/>
          <w:sz w:val="18"/>
          <w:szCs w:val="18"/>
          <w:color w:val="auto"/>
        </w:rPr>
        <w:t>. All outstanding derivative financial instruments are recognized in the balance sheet at their fair values. The impact 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anticipated transactions are no longer probable.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effectiveness of derivative instruments in reducing risks associated with the hedged exposures is assessed at inception and on an ongoing basis. Any amounts excluded from the assessment of hedge effectiveness, and any ineffective portion of designated hedges, are reported currently in earnings. Time value, a component of an instrument’s fair value, is excluded in assessing effectiveness for fair value hedges, except hedges of firm commitments, and included for cash flow hedges.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Treasury Stock</w:t>
      </w:r>
      <w:r>
        <w:rPr>
          <w:rFonts w:ascii="Times New Roman" w:cs="Times New Roman" w:eastAsia="Times New Roman" w:hAnsi="Times New Roman"/>
          <w:sz w:val="18"/>
          <w:szCs w:val="18"/>
          <w:color w:val="auto"/>
        </w:rPr>
        <w:t>. Treasury stock is reported at par value. The excess of fair value over par value is first charged to paid-in capital, if any, and then to retained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development and engineering costs of $39 in both 2017 and 2015 and $41 in 2016 were expensed as incurred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reclassifications of prior years’ data have been made to conform to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and Reporting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2015, the FASB issued new guidance related to the subsequent measurement of inventory. The new guidance requires an entity to subsequently measure inventory at the lower of cost or net realizable value, which is defined as the estimated selling prices in the ordinary course of business, less reasonably predictable costs of completion, disposal and transportation. The guidance became effective for the Company on January 1, 2017 and did not have a material impact on the Company’s consolidated financial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2016, the FASB issued new guidance on share-based payments. The standard eliminates the APIC pool concept and requires that excess tax benefits and deficiencies be recorded in the income statement when awards are settled. The pronouncement simplifies statement of cash flows classification, accounting for forfeitures, and minimum statutory tax withholding requirements. Upon adoption of the standard on January 1, 2017, the Company recorded $60 of deferred tax assets attributable to excess tax benefits that were not previously recognized, because they did not reduce taxes payable, as a cumulative-effect adjustment to retained earnings under the modified retrospective method. The Company also prospectively adopted the guidance requiring all excess tax benefits and deficiencies to be recognized as income tax expense or benefit as discrete items and the guidance requiring all excess tax benefits or deficiencies to be reported as operating activities in the statement of cash flows. The Company elected to continue its current process of estimating forfeitures. Adoption of these provisions did not have a material impact on the Company's results of operations or statement of cash flows.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guidance that clarifies the definition of a business by adding a framework to assist entities in evaluating whether transactions should be accounted for as acquisitions of assets or businesses. In order to be considered a business under the new guidance, the assets in the transaction need to include an input and a substantive process that together significantly contribute to the ability to create outputs. The Company early adopted this guidance as of January 1, 2017. Adoption did not have an impact on the Company's consolidated financial statements. However, it could have a material impact on the Company’s consolidated financial statements if the Company enters into future business combinations.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2017, the FASB issued guidance to simplify the accounting for goodwill impairment by removing step two of the impairment test, which requires a hypothetical purchase price allocation. The Company early adopted this guidance as of January 1, 2017. The amount of goodwill impaired will now be the amount by which a reporting unit's carrying value exceeds its fair value, not to exceed the carrying amount of goodwill.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2017, the FASB issued guidance to clarify when to account for a change to terms or conditions of a share-based payment award as a modification. Under the new guidance, modification accounting is required only if the fair value, the vesting conditions or the classification of an award change as a result of a change in terms or conditions. Previously, judgment was required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determine if certain changes to an award were substantive and may have impacted whether or not modification accounting was applied. The Company early adopted this guidance during the second quarter of 2017. Adopting this standard did not have a material impact on the Company's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the FASB issued new guidance on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 The Company adopted this guidance on January 1, 2018 and recast prior period amounts to conform to the current year presentation.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reclassified the following net (benefits) charges on the Statement of Operations to conform to current year presentation:</w:t>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2016, the FASB issued new guidance related to the classification of certain cash receipts and payments on the statement of cash flows. The Company adopted this guidance on January 1, 2018 and recast prior period amounts to conform to the current year presentation. Under the new guidance, premiums paid for debt extinguishments are classified as cash outflows from financing activities. For the year ended December 31, 2016, the Company reclassified $22 of premiums paid from net cash used for operating activities to net cash used for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premiums paid for debt extinguishments as cash flows from operating activities. For the years ended December 31, 2017, 2016, and 2015, the Company reclassified $1,010, $1,086, and $865 from net cash (used for) provided by operating activities to net cash provided by investing activities. Additionally, for the years ended December 31, 2017, 2016 and 2015, beneficial interests obtained in securitized receivables were $1,047, $1,032, and $834.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2016, new accounting guidance was issued that requires the statement of cash flows to explain the change in the total of cash, cash equivalents and restricted cash. In addition, restricted cash is included in a cash reconciliation of beginning-of-period and end-of-period total amounts shown on the statements of cash flows. The Company adopted this guidance on January 1, 2018 and recast prior period amounts to conform to the current year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r>
      <w:tr>
        <w:trPr>
          <w:trHeight w:val="27"/>
        </w:trPr>
        <w:tc>
          <w:tcPr>
            <w:tcW w:w="5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559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8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576</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r>
      <w:tr>
        <w:trPr>
          <w:trHeight w:val="20"/>
        </w:trPr>
        <w:tc>
          <w:tcPr>
            <w:tcW w:w="5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set aside by certain of the Company's receivables securitization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FASB issued new guidance which outlines a single comprehensive model to use in accounting for revenue arising from contracts with customers and supersedes most current revenue recognition guidance. Under the new guidance, revenue is recognized when a customer obtains control of promised goods or services which will either be at a point in time or over time. Certain products that the Company manufactures for customers have no alternative use and are expected to follow an over-time revenue recognition model. For example, beverage cans are generally printed for a specific customer and do not have an alternative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use. Food cans may be printed depending upon customer preference which can vary by geographic market. Under current guidance, the Company generally recognizes revenue upon shipment or delivery. Under the new guidance, revenue for products that follow an over-time revenue recognition model will be recognized prior to shipment or delivery dependent upon contract-specific terms. The Company does not expect the new standard to have a material impact on its annual income from operations, however, the guidance could have an impact to income from operations in each quarter as the Company may now recognize revenue for certain products as it builds inventory levels in anticipation of seasonal demands.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accelerating the timing of revenue recognition, an unbilled receivable will be recognized with an offsetting decrease to inventory. The new guidance also requires enhanced disclosures about the nature, amount, timing, and uncertainty of revenue and cash flows arising from contracts with customers. The Company has completed its impact assessment and is in the process of implementing changes to processes, systems and controls to adopt the standard on a modified retrospective basis in the first quarter of 2018.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new guidance on lease accounting. Under the new guidance, lease classification criteria and income statement recognition are similar to current guidance; however, all leases with a term longer than one year will be recorded on the balance sheet through a right-of-use asset and a corresponding lease liability. The guidance will be effective for the Company on January 1, 2019. The Company is currently evaluating the impact of adopting this guidance, which may have a material impact on its financial position.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2016, the FASB issued new guidance related to intra-entity transfers of assets other than inventory. Under current guidance, income tax expense associated with intra-entity profits in an intercompany sale or transfer of assets is deferred until the assets leave the consolidated group. Similarly, the entity is prohibited from recognizing deferred tax assets for any increases in tax bases due to the intercompany sale or transfer. The new guidance requires the recognition of income tax expense and deferred tax benefits on increases on tax bases when an intercompany sale or transfer of other assets occurs. Income tax effects of intercompany inventory transactions will continue to be deferred until the assets leave the consolidated group. The guidance will be effective for the Company on January 1, 2018. The Company is currently evaluating the impact of adopting this guidance on its consolidated financial statements, which is not expected to have a material impact on the Company's consolidated financial statements.</w:t>
      </w:r>
    </w:p>
    <w:p>
      <w:pPr>
        <w:spacing w:after="0" w:line="2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2017, the FASB issued new guidance on hedge accounting. The new guidance will allow contractually-specified price components of a commodity purchase or sale to be eligible for hedge accounting. Additionally, the new standard permits qualitative effectiveness assessments for certain hedges after the initial hedge qualification analysis. Finally, the standard amends various presentation and disclosure requirements. The guidance is effective as of January 1, 2019, however, early adoption is permitted. The Company is currently evaluating the impact of adopting this guidance on its consolidated financial statements.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Acquisition of Signode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19, 2017, the Company entered into an agreement to acquire Signode Industrial Group Holdings (Bermuda) Ltd. (“Signode”), a leading global provider of transit packaging systems and solutions, from The Carlyle Group and certain other sellers for $3.91 billion in cash, subject to adjustment. The acquisition will be undertaken by a subsidiary of Crown European Holdings S.A. The closing is subject to customary closing conditions including the receipt of regulatory approval from antitrust regulators in certain jurisdictions.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28, 2017, the Company amended its revolving credit agreements to provide additional capacity under the revolving credit facility, amend restrictive covenants regarding indebtedness and liens to permit incurrence of debt that may be used to fund the acquisition of Signode and extend the timetable for compliance with total leverage ratios.</w:t>
      </w: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2018, the Company completed offerings of €335 of 2.250% senior unsecured notes due 2023, €500 of 2.875% senior unsecured notes due 2026 and $875 of 4.750% senior unsecured notes due 2026 (collectively, the “Notes”). The Euro denominated notes were issued by Crown European Holdings S.A, and the U.S. dollar notes were issued by Crown Americas LLC and Crown Americas Capital Corp. VI, each subsidiaries of the Company. The Notes are subject to a special mandatory redemption in the event that the Signode acquisition does not close by August 15, 2018.</w:t>
      </w: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on January 29, 2018, the Company amended its revolving credit agreements to, among other changes, provide for the commitment to fund additional Term A loans and Term B loans to be used, among other things, in connection with the Signode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The maturity date for the Term B loans will be the seventh anniversary of the closing date of the acquisition. The interest rates on the Term B loans are based on LIBOR or EURIBOR plus a margin of 1.00% up to 2.375%.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Accumulated Other Comprehensive Loss Attributable to Crown Holdings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 for the years ended December 31, 2017 and 2016.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Foreign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Gains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Defined</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currency</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losses on 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benefit plans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translation</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flow hedges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7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amounts reclassified from accumulated other comprehensive income in 2017 and 2016.</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Details about Accumulated Other Comprehensive Income Components</w:t>
      </w:r>
    </w:p>
    <w:p>
      <w:pPr>
        <w:spacing w:after="0" w:line="13" w:lineRule="exact"/>
        <w:rPr>
          <w:sz w:val="20"/>
          <w:szCs w:val="20"/>
          <w:color w:val="auto"/>
        </w:rPr>
      </w:pPr>
    </w:p>
    <w:p>
      <w:pPr>
        <w:ind w:left="220" w:right="1540" w:hanging="179"/>
        <w:spacing w:after="0" w:line="344" w:lineRule="auto"/>
        <w:rPr>
          <w:sz w:val="20"/>
          <w:szCs w:val="20"/>
          <w:color w:val="auto"/>
        </w:rPr>
      </w:pPr>
      <w:r>
        <w:rPr>
          <w:rFonts w:ascii="Times New Roman" w:cs="Times New Roman" w:eastAsia="Times New Roman" w:hAnsi="Times New Roman"/>
          <w:sz w:val="18"/>
          <w:szCs w:val="18"/>
          <w:color w:val="auto"/>
        </w:rPr>
        <w:t>(Gains) / losses on cash flow hedges Commodities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4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Amount reclassified from</w:t>
            </w:r>
          </w:p>
        </w:tc>
        <w:tc>
          <w:tcPr>
            <w:tcW w:w="4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27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Accumulated Other Comprehensive</w:t>
            </w:r>
          </w:p>
        </w:tc>
        <w:tc>
          <w:tcPr>
            <w:tcW w:w="44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70"/>
        </w:trPr>
        <w:tc>
          <w:tcPr>
            <w:tcW w:w="300" w:type="dxa"/>
            <w:vAlign w:val="bottom"/>
          </w:tcPr>
          <w:p>
            <w:pPr>
              <w:spacing w:after="0"/>
              <w:rPr>
                <w:sz w:val="23"/>
                <w:szCs w:val="23"/>
                <w:color w:val="auto"/>
              </w:rPr>
            </w:pPr>
          </w:p>
        </w:tc>
        <w:tc>
          <w:tcPr>
            <w:tcW w:w="15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Income</w:t>
            </w: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Affected line item in the Statement of</w:t>
            </w:r>
          </w:p>
        </w:tc>
      </w:tr>
      <w:tr>
        <w:trPr>
          <w:trHeight w:val="234"/>
        </w:trPr>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3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Operations</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0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-539750</wp:posOffset>
            </wp:positionV>
            <wp:extent cx="72123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2123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-891540</wp:posOffset>
            </wp:positionV>
            <wp:extent cx="72123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580"/>
            <w:col w:w="6640"/>
          </w:cols>
          <w:pgMar w:left="240" w:top="117" w:right="2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sales</w:t>
            </w:r>
          </w:p>
        </w:tc>
      </w:tr>
      <w:tr>
        <w:trPr>
          <w:trHeight w:val="24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7"/>
        </w:trPr>
        <w:tc>
          <w:tcPr>
            <w:tcW w:w="4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before tax</w:t>
            </w:r>
          </w:p>
        </w:tc>
      </w:tr>
      <w:tr>
        <w:trPr>
          <w:trHeight w:val="24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7"/>
        </w:trPr>
        <w:tc>
          <w:tcPr>
            <w:tcW w:w="4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of tax</w:t>
            </w:r>
          </w:p>
        </w:tc>
      </w:tr>
      <w:tr>
        <w:trPr>
          <w:trHeight w:val="264"/>
        </w:trPr>
        <w:tc>
          <w:tcPr>
            <w:tcW w:w="47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r>
      <w:tr>
        <w:trPr>
          <w:trHeight w:val="26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(gains) / losses on cash flow hedges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840" w:type="dxa"/>
            <w:vAlign w:val="bottom"/>
            <w:tcBorders>
              <w:bottom w:val="single" w:sz="8" w:color="CCEEFF"/>
            </w:tcBorders>
            <w:shd w:val="clear" w:color="auto" w:fill="CCEEFF"/>
          </w:tcPr>
          <w:p>
            <w:pPr>
              <w:spacing w:after="0"/>
              <w:rPr>
                <w:sz w:val="22"/>
                <w:szCs w:val="22"/>
                <w:color w:val="auto"/>
              </w:rPr>
            </w:pPr>
          </w:p>
        </w:tc>
      </w:tr>
      <w:tr>
        <w:trPr>
          <w:trHeight w:val="264"/>
        </w:trPr>
        <w:tc>
          <w:tcPr>
            <w:tcW w:w="47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84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defined benefit plan items</w:t>
            </w: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losses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service credit</w:t>
            </w: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w:t>
            </w:r>
          </w:p>
        </w:tc>
      </w:tr>
      <w:tr>
        <w:trPr>
          <w:trHeight w:val="237"/>
        </w:trPr>
        <w:tc>
          <w:tcPr>
            <w:tcW w:w="47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before tax</w:t>
            </w: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amortization of defined benefit plan items</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of tax</w:t>
            </w:r>
          </w:p>
        </w:tc>
      </w:tr>
      <w:tr>
        <w:trPr>
          <w:trHeight w:val="27"/>
        </w:trPr>
        <w:tc>
          <w:tcPr>
            <w:tcW w:w="4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r>
      <w:tr>
        <w:trPr>
          <w:trHeight w:val="223"/>
        </w:trPr>
        <w:tc>
          <w:tcPr>
            <w:tcW w:w="4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r>
        <w:trPr>
          <w:trHeight w:val="264"/>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reclassifications</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of tax</w:t>
            </w:r>
          </w:p>
        </w:tc>
      </w:tr>
      <w:tr>
        <w:trPr>
          <w:trHeight w:val="20"/>
        </w:trPr>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accumulated other comprehensive income components are included in the computation of net period pension and postretirement cost. See </w:t>
      </w:r>
      <w:hyperlink w:anchor="page60">
        <w:r>
          <w:rPr>
            <w:rFonts w:ascii="Times New Roman" w:cs="Times New Roman" w:eastAsia="Times New Roman" w:hAnsi="Times New Roman"/>
            <w:sz w:val="18"/>
            <w:szCs w:val="18"/>
            <w:u w:val="single" w:color="auto"/>
            <w:color w:val="0000EE"/>
          </w:rPr>
          <w:t>Note T</w:t>
        </w:r>
      </w:hyperlink>
      <w:r>
        <w:rPr>
          <w:rFonts w:ascii="Times New Roman" w:cs="Times New Roman" w:eastAsia="Times New Roman" w:hAnsi="Times New Roman"/>
          <w:sz w:val="18"/>
          <w:szCs w:val="18"/>
          <w:color w:val="auto"/>
        </w:rPr>
        <w:t xml:space="preserve"> for further details.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Receivables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6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66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66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6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43"/>
        </w:trPr>
        <w:tc>
          <w:tcPr>
            <w:tcW w:w="66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660" w:type="dxa"/>
            <w:vAlign w:val="bottom"/>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70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0"/>
        </w:trPr>
        <w:tc>
          <w:tcPr>
            <w:tcW w:w="66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receivables securitization and factoring facilities in the normal course of business as part of managing its cash flows. The Company accounts for transfers under its securitization facilities as sales because the Company sells full title and ownership in the underlying receivables and has met the criteria for control of the receivables to be considered transferred.</w:t>
      </w:r>
    </w:p>
    <w:p>
      <w:pPr>
        <w:spacing w:after="0" w:line="1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its factoring arrangements as either sales or secured borrowing based on whether it has transferred control over the factored receivables. The Company’s continuing involvement in factored receivables accounted for as sales is limited to servicing the receivables. The Company receives adequate compensation for servicing the receivables and no servicing asset or liability is recorded.</w:t>
      </w:r>
    </w:p>
    <w:p>
      <w:pPr>
        <w:sectPr>
          <w:pgSz w:w="11900" w:h="16838" w:orient="portrait"/>
          <w:cols w:equalWidth="0" w:num="1">
            <w:col w:w="11420"/>
          </w:cols>
          <w:pgMar w:left="240" w:top="117" w:right="239"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780" w:type="dxa"/>
            <w:vAlign w:val="bottom"/>
            <w:gridSpan w:val="2"/>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7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amounts securitized or factored were as follows:</w:t>
            </w: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4840" w:type="dxa"/>
            <w:vAlign w:val="bottom"/>
          </w:tcPr>
          <w:p>
            <w:pPr>
              <w:spacing w:after="0"/>
              <w:rPr>
                <w:sz w:val="24"/>
                <w:szCs w:val="24"/>
                <w:color w:val="auto"/>
              </w:rPr>
            </w:pPr>
          </w:p>
        </w:tc>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48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Accounted for as secured borrowings</w:t>
            </w:r>
          </w:p>
        </w:tc>
        <w:tc>
          <w:tcPr>
            <w:tcW w:w="37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Accounted for as sales</w:t>
            </w:r>
          </w:p>
        </w:tc>
        <w:tc>
          <w:tcPr>
            <w:tcW w:w="2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securitization facilities include a deferred purchase price component. As consideration for the sale of its receivables, the Company receives a cash payment and a new asset, the deferred purchase price receivable from the purchaser, which will be paid to the Company as payments on the receivables are collected from the account debtors. As the criteria for sale accounting have been met, the Company derecognizes the entire amount of receivables sold from its balance sheet and recognizes an asset at fair value for the deferred purchase price receivable as well as the cash received. As the deferred purchase price is not a trade receivable, it is reported in prepaid expenses and other current assets in the Company’s balance sheet. As receipt of the deferred purchase price coincides with collections of the underlying receivables, the collection period is short in duration. As of December 31, 2017 and 2016, the amount of deferred purchase price included in prepaid expenses and other current assets was $106 and $83.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expenses related to securitization and factoring facilities of $15 in 2017, $13 in 2016, and $12 in 2015 as interest expense.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Inventories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7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7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37"/>
        </w:trPr>
        <w:tc>
          <w:tcPr>
            <w:tcW w:w="75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1,385</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1,245</w:t>
            </w:r>
          </w:p>
        </w:tc>
      </w:tr>
      <w:tr>
        <w:trPr>
          <w:trHeight w:val="27"/>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December 31, 2017 and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European</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Non-reportable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Beverage</w:t>
            </w:r>
          </w:p>
        </w:tc>
        <w:tc>
          <w:tcPr>
            <w:tcW w:w="24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Beverage</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European Food</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segments</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3,003</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and 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r>
      <w:tr>
        <w:trPr>
          <w:trHeight w:val="27"/>
        </w:trPr>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5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3,046</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 December 31, 2017 and 2016 was net of the following accumulated impairments: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Americas</w:t>
            </w:r>
          </w:p>
        </w:tc>
        <w:tc>
          <w:tcPr>
            <w:tcW w:w="28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European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Non-reportable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Beverage</w:t>
            </w:r>
          </w:p>
        </w:tc>
        <w:tc>
          <w:tcPr>
            <w:tcW w:w="280" w:type="dxa"/>
            <w:vAlign w:val="bottom"/>
          </w:tcPr>
          <w:p>
            <w:pPr>
              <w:spacing w:after="0"/>
              <w:rPr>
                <w:sz w:val="20"/>
                <w:szCs w:val="20"/>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Beverage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European Food</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segments</w:t>
            </w:r>
          </w:p>
        </w:tc>
        <w:tc>
          <w:tcPr>
            <w:tcW w:w="3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106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r>
      <w:tr>
        <w:trPr>
          <w:trHeight w:val="675"/>
        </w:trPr>
        <w:tc>
          <w:tcPr>
            <w:tcW w:w="4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at December 31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Accumulated</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Accumulated</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Gross</w:t>
            </w:r>
          </w:p>
        </w:tc>
        <w:tc>
          <w:tcPr>
            <w:tcW w:w="32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Gross</w:t>
            </w:r>
          </w:p>
        </w:tc>
        <w:tc>
          <w:tcPr>
            <w:tcW w:w="32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supply contacts</w:t>
            </w:r>
          </w:p>
        </w:tc>
        <w:tc>
          <w:tcPr>
            <w:tcW w:w="18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excludes other intangible assets with net balances of $3 and $2 at December 31,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2017, 2016, and 2015 was $39, $41 and $40.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amortization expense for each of the five years subsequent to 2017 is estimated to be $41.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 Property, Plant and Equipment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5,131</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3,239</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H. Other Non-Current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 Accounts Payable and Accrued Liabilities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Salaries, wages and other employee benefits, including pension and postretirement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taxes, other than on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920" w:type="dxa"/>
            <w:vAlign w:val="bottom"/>
            <w:gridSpan w:val="2"/>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75"/>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Other Non-Current Liabilities</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700" w:type="dxa"/>
            <w:vAlign w:val="bottom"/>
          </w:tcPr>
          <w:p>
            <w:pPr>
              <w:spacing w:after="0"/>
              <w:rPr>
                <w:sz w:val="24"/>
                <w:szCs w:val="24"/>
                <w:color w:val="auto"/>
              </w:rPr>
            </w:pPr>
          </w:p>
        </w:tc>
        <w:tc>
          <w:tcPr>
            <w:tcW w:w="4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37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 liabilities</w:t>
            </w:r>
          </w:p>
        </w:tc>
        <w:tc>
          <w:tcPr>
            <w:tcW w:w="492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w:t>
            </w:r>
          </w:p>
        </w:tc>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37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Postemployment benefits</w:t>
            </w:r>
          </w:p>
        </w:tc>
        <w:tc>
          <w:tcPr>
            <w:tcW w:w="3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7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Environmental</w:t>
            </w:r>
          </w:p>
        </w:tc>
        <w:tc>
          <w:tcPr>
            <w:tcW w:w="3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37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taxes payable includes unrecognized tax benefits as discussed in </w:t>
      </w:r>
      <w:hyperlink w:anchor="page69">
        <w:r>
          <w:rPr>
            <w:rFonts w:ascii="Times New Roman" w:cs="Times New Roman" w:eastAsia="Times New Roman" w:hAnsi="Times New Roman"/>
            <w:sz w:val="18"/>
            <w:szCs w:val="18"/>
            <w:u w:val="single" w:color="auto"/>
            <w:color w:val="0000EE"/>
          </w:rPr>
          <w:t>Note U</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Lease Commitments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manufacturing, warehouse and office facilities and certain equipment. Certain of the leases contain renewal or purchase options, but the leases do not contain significant contingent rental payments, escalation clauses, rent holidays, rent concessions or leasehold improvement incentives. Under long-term operating leases, minimum annual rentals are $44 in 2018, $32 in 2019, $24 in 2020, $17 in 2021, $12 in 2022 and $67 thereafter. Such rental commitments have been reduced by minimum sublease rentals of $1 due under non-cancelable subleases. Rental expense (net of sublease rental income) was $50 in 2017 and $53 in both 2016 and 2015.</w:t>
      </w:r>
    </w:p>
    <w:p>
      <w:pPr>
        <w:spacing w:after="0" w:line="3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Asbestos-Related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 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approximate claims activity for the years ended 2017, 2016 and 2015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7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54,500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54,000</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6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7"/>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55,500</w:t>
            </w:r>
          </w:p>
        </w:tc>
        <w:tc>
          <w:tcPr>
            <w:tcW w:w="200" w:type="dxa"/>
            <w:vAlign w:val="bottom"/>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54,500</w:t>
            </w:r>
          </w:p>
        </w:tc>
      </w:tr>
      <w:tr>
        <w:trPr>
          <w:trHeight w:val="27"/>
        </w:trPr>
        <w:tc>
          <w:tcPr>
            <w:tcW w:w="67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payments during the years ended 2017, 2016, and 2015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Asbestos-related payments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Settled claims payments (included in asbestos-related payments above)</w:t>
            </w: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by year of exposure and state filed.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and December 31, 2016, the Company's outstanding claims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7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16,500</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Texas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Pennsylvania</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7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states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18,500</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18,500</w:t>
            </w:r>
          </w:p>
        </w:tc>
      </w:tr>
      <w:tr>
        <w:trPr>
          <w:trHeight w:val="27"/>
        </w:trPr>
        <w:tc>
          <w:tcPr>
            <w:tcW w:w="7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55,500</w:t>
            </w:r>
          </w:p>
        </w:tc>
        <w:tc>
          <w:tcPr>
            <w:tcW w:w="4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55,500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the percentage of outstanding claims related to claimants alleging serious diseases (primarily mesothelioma and other malignancies)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2017</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Pre-1964 claims in states without asbestos legislation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81% of the claims outstanding at the end of 2017 were filed by plaintiffs who do not claim a specific amount of damages or claim a minimum amount as established by court rules relating to jurisdiction; approximately 15% were filed by plaintiffs who claim damages of less than $5; approximately 3% were filed by plaintiffs who claim damages from $5 to less than $100 (35% of whom claim damages less than $25) and 6 were filed by plaintiffs who claim damages in excess of $100.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2017, the Company’s accrual for pending and future asbestos-related claims and related legal costs was $315, including $272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Commitments and Contingent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$9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market for the supply of metal packaging products. The FCO’s investigation is ongoing. To date, the FCO has not officially charged the Company or any of its subsidiaries with any violations of competition law. The Company conducted an internal investigation into the matter and has discovered instances of inappropriate conduct by certain employees of German subsidiaries of the Company. The Company is cooperating with the FCO and submitted a leniency application which disclosed the findings of its internal investigation to date and which may lead to the reduction of penalties that the FCO may impose. If the FCO finds that the Company or any of its subsidiaries violated competition law, the FCO has wide discretion to levy fines. At this stage of the investigation the Company believes that a loss is probable. However, the Company is unable to predict the ultimate outcome of the FCO’s investigation and is unable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 the loss or possible range of any additional losses that could be incurred, which could be material to the Company’s operating results and cash flows for the periods in which they are resolved or become reasonably estimable.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  Restructuring and Other</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restructuring and other charges as follows:</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66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impairments and sales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costs</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costs</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2017, asset impairments and sales included a charges of $19 for the write down of carrying value of fixed assets related to the closure of beverage can plants in China and the U.S., a promotional packaging facility in Europe and a food can facility in Peru. Asset impairments and sales also includes a benefit of $5 due to the expiration of an environmental indemnification related to the sale of certain operations in the Company's European Promotional Packaging business during 2015. Additionally, the Company recorded restructuring charges of $18 for termination benefits related to the plant closures listed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2017, the Company also recorded a charge of $19 due to the settlement of a litigation matter related to Mivisa that arose prior to its acquisition by the Company in 2014.</w:t>
      </w:r>
    </w:p>
    <w:p>
      <w:pPr>
        <w:spacing w:after="0" w:line="16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costs in 2017 relate to the acquisition of Signode as described in </w:t>
      </w:r>
      <w:hyperlink w:anchor="page44">
        <w:r>
          <w:rPr>
            <w:rFonts w:ascii="Times New Roman" w:cs="Times New Roman" w:eastAsia="Times New Roman" w:hAnsi="Times New Roman"/>
            <w:sz w:val="18"/>
            <w:szCs w:val="18"/>
            <w:u w:val="single" w:color="auto"/>
            <w:color w:val="0000EE"/>
          </w:rPr>
          <w:t>Note B</w:t>
        </w:r>
      </w:hyperlink>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Company recorded an impairment charge of $9 to write down the carrying value of fixed assets and $3 for termination benefits related to the announced closure of a beverage can plant in the Company's Asia Pacific segment. The Company announced plans to close the plant in an effort to reduce cost by consolidating manufacturing processes in China.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2015, asset impairments and sales and restructuring primarily related to the closure of two North America food can plants in the Company's Non-reportable segment and two plants in its European Food segment. Transaction costs related to the acquisition of Empaque.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3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segment were as follows:</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80" w:type="dxa"/>
            <w:vAlign w:val="bottom"/>
          </w:tcPr>
          <w:p>
            <w:pPr>
              <w:spacing w:after="0"/>
              <w:rPr>
                <w:sz w:val="24"/>
                <w:szCs w:val="24"/>
                <w:color w:val="auto"/>
              </w:rPr>
            </w:pPr>
          </w:p>
        </w:tc>
        <w:tc>
          <w:tcPr>
            <w:tcW w:w="3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Beverage</w:t>
            </w:r>
          </w:p>
        </w:tc>
        <w:tc>
          <w:tcPr>
            <w:tcW w:w="334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European Food</w:t>
            </w:r>
          </w:p>
        </w:tc>
        <w:tc>
          <w:tcPr>
            <w:tcW w:w="2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Non-reportable segments</w:t>
            </w:r>
          </w:p>
        </w:tc>
        <w:tc>
          <w:tcPr>
            <w:tcW w:w="2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2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type were as follows:</w:t>
            </w:r>
          </w:p>
        </w:tc>
        <w:tc>
          <w:tcPr>
            <w:tcW w:w="2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vMerge w:val="continu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80" w:type="dxa"/>
            <w:vAlign w:val="bottom"/>
          </w:tcPr>
          <w:p>
            <w:pPr>
              <w:spacing w:after="0"/>
              <w:rPr>
                <w:sz w:val="24"/>
                <w:szCs w:val="24"/>
                <w:color w:val="auto"/>
              </w:rPr>
            </w:pPr>
          </w:p>
        </w:tc>
        <w:tc>
          <w:tcPr>
            <w:tcW w:w="3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Termination benefits</w:t>
            </w:r>
          </w:p>
        </w:tc>
        <w:tc>
          <w:tcPr>
            <w:tcW w:w="334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exit costs</w:t>
            </w:r>
          </w:p>
        </w:tc>
        <w:tc>
          <w:tcPr>
            <w:tcW w:w="2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2017, the Company had a restructuring accrual of $17, primarily related to the closure of the beverage can plant in the U.S. and the promotional packaging facility in Europe discussed above, and prior actions to reduce manufacturing capacity and headcount in its European businesses. The Company expects to pay this liability over the next twelve months. The Company continues to review its supply and demand profile and long-term plans in its businesses, and it is possible that the Company may record additional restructuring charges in the future.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common share activity for the years ended December 31 follows (in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outstanding at January 1</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139,840,228</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139,441,298</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139,000,471</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repurchased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(6,157,010)</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(162,563)</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(165,138)</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upon exercise of employee stock options</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299,050</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348,640</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207,890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issued to employees, net of forfeitures</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269,025</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187,209</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375,575</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non-employee directors</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24,316</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25,644</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r>
      <w:tr>
        <w:trPr>
          <w:trHeight w:val="25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shares outstanding at December 31</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134,275,609</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139,840,228</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139,441,298</w:t>
            </w:r>
          </w:p>
        </w:tc>
      </w:tr>
      <w:tr>
        <w:trPr>
          <w:trHeight w:val="20"/>
        </w:trPr>
        <w:tc>
          <w:tcPr>
            <w:tcW w:w="6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2016, the Company's Board of Directors authorized the repurchase of an aggregate amount of $1 billion of Company common stock through the end of 2019.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December 31, 2017, $669 million of the Company’s outstanding common stock may be repurchased under the program.</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 The repurchased shares, if any, are expected to be used for the Company's stock-based benefit plans, as required, and to offset dilution resulting from the issuance of shares thereunder.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and repurchase its common stock is limited by certain restrictions in its debt agreements. These restrictions are subject to a number of exceptions, however, allowing the Company to make otherwise restricted payments. The amount of restricted payments permitted to be made, including dividends and repurchases of the Company’s common stock, may be limited to the cumulative excess of $200 plus 50% of adjusted net income plus proceeds from the exercise of employee stock options over the aggregate of restricted payments made since July 2004. Adjustments to net income may include, but are not limited to, items such as asset impairments, gains and losses from asset sales and early extinguishments of debt.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At December 31, 2017, there were 4.4 million authorized shares available for future awards.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2017 and 2016 there were 70,000 and 369,050 options outstanding with weighted average exercise prices of $38.00 and $26.74. There were no stock options granted in 2017, 2016 or 2015. The aggregate intrinsic values of options exercised during the years ended December 31, 2017, 2016 and 2015 were $7, $8 and $5. As of December 31, 2017, all outstanding options have vested and all expense has been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and Deferred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Annually, the Company awards shares of restricted stock to certain senior executives in the form of time-vested restricted stock and performance-based shares. The time-vested restricted stock vests ratably over three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will be settled in shares of common stock. Participants who terminate employment because of retirement, disability or death receive accelerated vesting of their time-vested awards to the date of termination. However, restrictions will lapse on performance-based awards, if at all, on the original vesting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issues shares of time-vesting restricted stock to U.S. employees and deferred stock to non-U.S. employees which vest ratably over three to five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and deferred stock activity follows:</w:t>
            </w:r>
          </w:p>
        </w:tc>
        <w:tc>
          <w:tcPr>
            <w:tcW w:w="3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January 1, 2017</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1,321,292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3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Time-vesting</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Performance-based</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149,843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3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Time-vesting</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(351,403)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Performance-based</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3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Time-vesting</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Performance-based</w:t>
            </w: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(58,749)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December 31, 2017</w:t>
            </w:r>
          </w:p>
        </w:tc>
        <w:tc>
          <w:tcPr>
            <w:tcW w:w="5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1,053,842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48</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grant-date fair value of restricted stock awarded in 2017, 2016 and 2015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Time-vested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r>
      <w:tr>
        <w:trPr>
          <w:trHeight w:val="243"/>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49.50</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values of the performance-based awards that include a market condition were calculated using a Monte Carlo valuation model and the following weighted 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21.1%</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19.8%</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6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2017, unrecognized compensation cost related to outstanding restricted and deferred stock was $27. The weighted average period over which the expense is expected to be recognized is 1.5 years. The aggregate market value of the shares released on the vesting dates was $26 in 2017.</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maintains a Stock-Based Compensation Plan for Non-Employee Directors. Under the plan a portion of the non-employee directors' quarterly compensation is provided in the form of restricted stock. During 2017, $1 of stock-based compensation was recognized under this plan.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  Debt</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Principal</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Principal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Carrying</w:t>
            </w:r>
          </w:p>
        </w:tc>
      </w:tr>
      <w:tr>
        <w:trPr>
          <w:trHeight w:val="270"/>
        </w:trPr>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amount</w:t>
            </w:r>
          </w:p>
        </w:tc>
        <w:tc>
          <w:tcPr>
            <w:tcW w:w="1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36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360" w:type="dxa"/>
            <w:vAlign w:val="bottom"/>
            <w:tcBorders>
              <w:right w:val="single" w:sz="8" w:color="CCEEFF"/>
            </w:tcBorders>
          </w:tcPr>
          <w:p>
            <w:pPr>
              <w:spacing w:after="0"/>
              <w:rPr>
                <w:sz w:val="15"/>
                <w:szCs w:val="15"/>
                <w:color w:val="auto"/>
              </w:rPr>
            </w:pPr>
          </w:p>
        </w:tc>
        <w:tc>
          <w:tcPr>
            <w:tcW w:w="48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33</w:t>
            </w:r>
          </w:p>
        </w:tc>
      </w:tr>
      <w:tr>
        <w:trPr>
          <w:trHeight w:val="61"/>
        </w:trPr>
        <w:tc>
          <w:tcPr>
            <w:tcW w:w="360" w:type="dxa"/>
            <w:vAlign w:val="bottom"/>
            <w:tcBorders>
              <w:right w:val="single" w:sz="8" w:color="CCEEFF"/>
            </w:tcBorders>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4"/>
        </w:trPr>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60" w:type="dxa"/>
            <w:vAlign w:val="bottom"/>
            <w:tcBorders>
              <w:right w:val="single" w:sz="8" w:color="CCEEFF"/>
            </w:tcBorders>
          </w:tcPr>
          <w:p>
            <w:pPr>
              <w:spacing w:after="0"/>
              <w:rPr>
                <w:sz w:val="17"/>
                <w:szCs w:val="17"/>
                <w:color w:val="auto"/>
              </w:rPr>
            </w:pPr>
          </w:p>
        </w:tc>
        <w:tc>
          <w:tcPr>
            <w:tcW w:w="48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360" w:type="dxa"/>
            <w:vAlign w:val="bottom"/>
            <w:tcBorders>
              <w:right w:val="single" w:sz="8" w:color="CCEEFF"/>
            </w:tcBorders>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60" w:type="dxa"/>
            <w:vAlign w:val="bottom"/>
          </w:tcPr>
          <w:p>
            <w:pPr>
              <w:spacing w:after="0"/>
              <w:rPr>
                <w:sz w:val="21"/>
                <w:szCs w:val="21"/>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Term loan facilities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dollar at LIBOR plus 1.50% due 2022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r>
      <w:tr>
        <w:trPr>
          <w:trHeight w:val="270"/>
        </w:trPr>
        <w:tc>
          <w:tcPr>
            <w:tcW w:w="360" w:type="dxa"/>
            <w:vAlign w:val="bottom"/>
          </w:tcPr>
          <w:p>
            <w:pPr>
              <w:spacing w:after="0"/>
              <w:rPr>
                <w:sz w:val="23"/>
                <w:szCs w:val="23"/>
                <w:color w:val="auto"/>
              </w:rPr>
            </w:pPr>
          </w:p>
        </w:tc>
        <w:tc>
          <w:tcPr>
            <w:tcW w:w="4860" w:type="dxa"/>
            <w:vAlign w:val="bottom"/>
            <w:gridSpan w:val="3"/>
          </w:tcPr>
          <w:p>
            <w:pPr>
              <w:ind w:left="680"/>
              <w:spacing w:after="0" w:line="270" w:lineRule="exact"/>
              <w:rPr>
                <w:sz w:val="20"/>
                <w:szCs w:val="20"/>
                <w:color w:val="auto"/>
              </w:rPr>
            </w:pPr>
            <w:r>
              <w:rPr>
                <w:rFonts w:ascii="Times New Roman" w:cs="Times New Roman" w:eastAsia="Times New Roman" w:hAnsi="Times New Roman"/>
                <w:sz w:val="18"/>
                <w:szCs w:val="18"/>
                <w:color w:val="auto"/>
              </w:rPr>
              <w:t>Euro at EURIBOR plus 1.50% due 2022</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Farm credit facility at LIBOR plus 2.00% due 2019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360" w:type="dxa"/>
            <w:vAlign w:val="bottom"/>
          </w:tcPr>
          <w:p>
            <w:pPr>
              <w:spacing w:after="0"/>
              <w:rPr>
                <w:sz w:val="21"/>
                <w:szCs w:val="21"/>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€650 at 4.0% due 2022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 S. dollar at 4.50% due 2023</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€600 at 3.375% due 2025</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360" w:type="dxa"/>
            <w:vAlign w:val="bottom"/>
          </w:tcPr>
          <w:p>
            <w:pPr>
              <w:spacing w:after="0"/>
              <w:rPr>
                <w:sz w:val="21"/>
                <w:szCs w:val="21"/>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360" w:type="dxa"/>
            <w:vAlign w:val="bottom"/>
            <w:tcBorders>
              <w:right w:val="single" w:sz="8" w:color="CCEEFF"/>
            </w:tcBorders>
          </w:tcPr>
          <w:p>
            <w:pPr>
              <w:spacing w:after="0"/>
              <w:rPr>
                <w:sz w:val="19"/>
                <w:szCs w:val="19"/>
                <w:color w:val="auto"/>
              </w:rPr>
            </w:pPr>
          </w:p>
        </w:tc>
        <w:tc>
          <w:tcPr>
            <w:tcW w:w="4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Fixed rate with rates in 2017 from 3.94% to 7.5% due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360" w:type="dxa"/>
            <w:vAlign w:val="bottom"/>
            <w:tcBorders>
              <w:right w:val="single" w:sz="8" w:color="CCEEFF"/>
            </w:tcBorders>
          </w:tcPr>
          <w:p>
            <w:pPr>
              <w:spacing w:after="0"/>
              <w:rPr>
                <w:sz w:val="20"/>
                <w:szCs w:val="20"/>
                <w:color w:val="auto"/>
              </w:rPr>
            </w:pPr>
          </w:p>
        </w:tc>
        <w:tc>
          <w:tcPr>
            <w:tcW w:w="48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through 2036</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25"/>
        </w:trPr>
        <w:tc>
          <w:tcPr>
            <w:tcW w:w="360" w:type="dxa"/>
            <w:vAlign w:val="bottom"/>
          </w:tcPr>
          <w:p>
            <w:pPr>
              <w:spacing w:after="0"/>
              <w:rPr>
                <w:sz w:val="19"/>
                <w:szCs w:val="19"/>
                <w:color w:val="auto"/>
              </w:rPr>
            </w:pPr>
          </w:p>
        </w:tc>
        <w:tc>
          <w:tcPr>
            <w:tcW w:w="4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Variable rate with average rates in 2017 of 2.81% due through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1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60" w:type="dxa"/>
            <w:vAlign w:val="bottom"/>
          </w:tcPr>
          <w:p>
            <w:pPr>
              <w:spacing w:after="0"/>
              <w:rPr>
                <w:sz w:val="20"/>
                <w:szCs w:val="20"/>
                <w:color w:val="auto"/>
              </w:rPr>
            </w:pPr>
          </w:p>
        </w:tc>
        <w:tc>
          <w:tcPr>
            <w:tcW w:w="48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5,328</w:t>
            </w: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5,281</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4,931</w:t>
            </w:r>
          </w:p>
        </w:tc>
        <w:tc>
          <w:tcPr>
            <w:tcW w:w="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4,878</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360" w:type="dxa"/>
            <w:vAlign w:val="bottom"/>
          </w:tcPr>
          <w:p>
            <w:pPr>
              <w:spacing w:after="0"/>
              <w:rPr>
                <w:sz w:val="20"/>
                <w:szCs w:val="20"/>
                <w:color w:val="auto"/>
              </w:rPr>
            </w:pPr>
          </w:p>
        </w:tc>
        <w:tc>
          <w:tcPr>
            <w:tcW w:w="48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5,264</w:t>
            </w:r>
          </w:p>
        </w:tc>
        <w:tc>
          <w:tcPr>
            <w:tcW w:w="4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5,217</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4,769</w:t>
            </w:r>
          </w:p>
        </w:tc>
        <w:tc>
          <w:tcPr>
            <w:tcW w:w="4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4,717</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€270 and €58 at December 31, 2017 and 2016.</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7" w:right="2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long-term borrowings, using a market approach incorporating level 2 inputs such as quoted market prices for the same or similar issues, was $5,562 at December 31, 2017 and $5,043 at December 31, 2016.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facilities include provisions for letters of credit up to $210 that reduce the amount of borrowing capacity otherwise available. At December 31, 2017, the Company’s available borrowing capacity under the credit facilities was $1,236, equal to the facilities’ aggregate capacity of $1,400 less $122 of borrowings outstanding and $42 of outstanding letters of credit. The interest rate on the facilities can vary from LIBOR or EURIBOR plus a margin of 1.25% up to 1.75% based on the Company's total net leverage ratio. The revolving credit facilities and term loans contain a total net leverage ratio financial covenant.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interest rates were as follows: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668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4"/>
                <w:szCs w:val="24"/>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6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maturities of long-term debt including capital lease obligations and excluding unamortized discounts and debt issuance costs, for the five years subsequent to 2017 are $64, $71, $77, $63 and $1,789. Cash payments for interest during 2017, 2016 and 2015 were $225, $217 and $249.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2017 Activity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2017, the Company amended its credit agreement to provide for a $1,400 revolving credit facility, a $750 Term A Facility and a €275 Term Euro Facility, which matures in 2022. In connection with the amendment, the Company recorded a loss from early extinguishment of debt of $7 for the write-off of deferred financing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Company amended its credit agreement to provide for an additional $300 of term loan borrowings, the proceeds of which, along with borrowings under the revolving credit facilities and cash on hand were used to redeem the Company's $700 principal amount of 6.25% senior notes due 2021. In connection with the redemption, the Company recorded a loss from early extinguishment of debt of $27 for premiums paid and the write-off of deferred financing fees.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2016, the Company issued €600 ($720 at December 31, 2017) principal amount of 2.625% senior unsecured notes due 2024. The notes were issued at par by Crown European Holdings S.A., a subsidiary of the Company, and are unconditionally guaranteed by the Company and certain of its subsidiaries. The Company used the proceeds to repay a portion of the Euro term loan facility. In connection with the repayment, the Company recorded a loss from early extinguishment of debt of $7 for the write-off of deferred financing fees.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2016, the Company also issued $400 principal amount of 4.25% senior unsecured notes due 2026. The notes were issued at par by Crown Americas LLC, a subsidiary of the Company, and are unconditionally guaranteed by the Company and certain of its subsidiaries. The Company used the proceeds to repay a portion of the U.S dollar term loan facility. In connection with the repayment, the Company recorded a loss from early extinguishment of debt of $3 for the write-off of deferred financing fees.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Derivative and Other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quoted prices in active markets included in Level 1, which are either directly or indirectly observable as of the reporting date. Level 3 includes unobservable pricing inputs that are not corroborated by market data or other objective sources. The Company has no items valued using Level 3 inputs other than certain pension plan assets.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7"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present value of future cash flows under the terms of the contracts using market information as of the reporting date, such as foreign exchange spot and forward rates, and are reported under Level 2 of the fair value hierarchy.</w:t>
      </w:r>
    </w:p>
    <w:p>
      <w:pPr>
        <w:spacing w:after="0" w:line="180"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hyperlink w:anchor="page55">
        <w:r>
          <w:rPr>
            <w:rFonts w:ascii="Times New Roman" w:cs="Times New Roman" w:eastAsia="Times New Roman" w:hAnsi="Times New Roman"/>
            <w:sz w:val="18"/>
            <w:szCs w:val="18"/>
            <w:u w:val="single" w:color="auto"/>
            <w:color w:val="0000EE"/>
          </w:rPr>
          <w:t>Note 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fair value disclosures related to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jc w:val="both"/>
        <w:spacing w:after="0" w:line="261" w:lineRule="auto"/>
        <w:rPr>
          <w:sz w:val="20"/>
          <w:szCs w:val="20"/>
          <w:color w:val="auto"/>
        </w:rPr>
      </w:pPr>
      <w:r>
        <w:rPr>
          <w:rFonts w:ascii="Times New Roman" w:cs="Times New Roman" w:eastAsia="Times New Roman" w:hAnsi="Times New Roman"/>
          <w:sz w:val="18"/>
          <w:szCs w:val="18"/>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except any ineffective portion, are recorded in other comprehensive income until earnings are impacted by the hedged transaction. Classification of the gain or loss in the Consolidated Statements of Operations upon release from comprehensive income is the same as that of the underlying exposure. Contracts outstanding at December 31, 2017 mature between one and thirty-four months.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discontinues hedge accounting because it is no longer probable that an anticipated transaction will occur in the originally specified period, changes to fair value accumulated in other comprehensive income are recognized immediately in earnings.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forwards to hedge anticipated purchases of various commodities, including aluminum, fuel oil and natural gas and these exposures are hedged by a central treasury unit.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financial information about the impact on Accumulated Other Comprehensive Income (“AOCI”) and earnings from changes in fair value related to derivative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6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9"/>
              </w:rPr>
              <w:t>Amount of gain/(loss)</w:t>
            </w:r>
          </w:p>
        </w:tc>
        <w:tc>
          <w:tcPr>
            <w:tcW w:w="320" w:type="dxa"/>
            <w:vAlign w:val="bottom"/>
          </w:tcPr>
          <w:p>
            <w:pPr>
              <w:spacing w:after="0"/>
              <w:rPr>
                <w:sz w:val="20"/>
                <w:szCs w:val="20"/>
                <w:color w:val="auto"/>
              </w:rPr>
            </w:pPr>
          </w:p>
        </w:tc>
        <w:tc>
          <w:tcPr>
            <w:tcW w:w="27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Amount of gain/(loss)</w:t>
            </w:r>
          </w:p>
        </w:tc>
        <w:tc>
          <w:tcPr>
            <w:tcW w:w="280" w:type="dxa"/>
            <w:vAlign w:val="bottom"/>
          </w:tcPr>
          <w:p>
            <w:pPr>
              <w:spacing w:after="0"/>
              <w:rPr>
                <w:sz w:val="20"/>
                <w:szCs w:val="20"/>
                <w:color w:val="auto"/>
              </w:rPr>
            </w:pPr>
          </w:p>
        </w:tc>
      </w:tr>
      <w:tr>
        <w:trPr>
          <w:trHeight w:val="270"/>
        </w:trPr>
        <w:tc>
          <w:tcPr>
            <w:tcW w:w="3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gridSpan w:val="5"/>
          </w:tcPr>
          <w:p>
            <w:pPr>
              <w:jc w:val="center"/>
              <w:ind w:right="960"/>
              <w:spacing w:after="0"/>
              <w:rPr>
                <w:sz w:val="20"/>
                <w:szCs w:val="20"/>
                <w:color w:val="auto"/>
              </w:rPr>
            </w:pPr>
            <w:r>
              <w:rPr>
                <w:rFonts w:ascii="Times New Roman" w:cs="Times New Roman" w:eastAsia="Times New Roman" w:hAnsi="Times New Roman"/>
                <w:sz w:val="18"/>
                <w:szCs w:val="18"/>
                <w:color w:val="auto"/>
                <w:w w:val="99"/>
              </w:rPr>
              <w:t>recognized in AOCI</w:t>
            </w:r>
          </w:p>
        </w:tc>
        <w:tc>
          <w:tcPr>
            <w:tcW w:w="320" w:type="dxa"/>
            <w:vAlign w:val="bottom"/>
          </w:tcPr>
          <w:p>
            <w:pPr>
              <w:spacing w:after="0"/>
              <w:rPr>
                <w:sz w:val="23"/>
                <w:szCs w:val="23"/>
                <w:color w:val="auto"/>
              </w:rPr>
            </w:pPr>
          </w:p>
        </w:tc>
        <w:tc>
          <w:tcPr>
            <w:tcW w:w="27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reclassified from AOCI</w:t>
            </w:r>
          </w:p>
        </w:tc>
        <w:tc>
          <w:tcPr>
            <w:tcW w:w="280" w:type="dxa"/>
            <w:vAlign w:val="bottom"/>
          </w:tcPr>
          <w:p>
            <w:pPr>
              <w:spacing w:after="0"/>
              <w:rPr>
                <w:sz w:val="23"/>
                <w:szCs w:val="23"/>
                <w:color w:val="auto"/>
              </w:rPr>
            </w:pPr>
          </w:p>
        </w:tc>
      </w:tr>
      <w:tr>
        <w:trPr>
          <w:trHeight w:val="270"/>
        </w:trPr>
        <w:tc>
          <w:tcPr>
            <w:tcW w:w="3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gridSpan w:val="5"/>
          </w:tcPr>
          <w:p>
            <w:pPr>
              <w:jc w:val="center"/>
              <w:ind w:right="960"/>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320" w:type="dxa"/>
            <w:vAlign w:val="bottom"/>
          </w:tcPr>
          <w:p>
            <w:pPr>
              <w:spacing w:after="0"/>
              <w:rPr>
                <w:sz w:val="23"/>
                <w:szCs w:val="23"/>
                <w:color w:val="auto"/>
              </w:rPr>
            </w:pPr>
          </w:p>
        </w:tc>
        <w:tc>
          <w:tcPr>
            <w:tcW w:w="18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into earnings</w:t>
            </w: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
        </w:trPr>
        <w:tc>
          <w:tcPr>
            <w:tcW w:w="38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0"/>
                <w:szCs w:val="20"/>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77"/>
        </w:trPr>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43"/>
        </w:trPr>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Commodities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7"/>
        </w:trPr>
        <w:tc>
          <w:tcPr>
            <w:tcW w:w="33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7"/>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2"/>
                <w:szCs w:val="22"/>
                <w:color w:val="auto"/>
              </w:rPr>
            </w:pPr>
          </w:p>
        </w:tc>
      </w:tr>
      <w:tr>
        <w:trPr>
          <w:trHeight w:val="20"/>
        </w:trPr>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60" w:lineRule="exact"/>
        <w:rPr>
          <w:sz w:val="20"/>
          <w:szCs w:val="20"/>
          <w:color w:val="auto"/>
        </w:rPr>
      </w:pPr>
    </w:p>
    <w:p>
      <w:pPr>
        <w:ind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a loss of $8 ($6, net of tax) was recognized in net sales and a gain of $6 ($4, net of tax) was recognized in cost of products sold. In 2016, a loss of $10 ($8, net of tax) was recognized in net sale and a gain of $14 ($11, net of tax) was recognized in cost of products sold.</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a gain of $31, including a loss of $2 ($1 net of tax) related to hedge ineffectiveness caused primarily by volatility in the metal premium component of aluminum prices, was recognized in cost of products sold and a tax charge of $8 was recognized in income tax expense. In 2016, a loss of $8, including a gain of $1 ($1 net of tax) related to hedge ineffectiveness caused primarily by volatility in the metal premium component of aluminum prices, was recognized in cost of products sold and a tax benefit of $2 was recognized in income tax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December 31, 2018, a net gain of $24 ($20, net of tax) is expected to be reclassified to earnings. No amounts were reclassified during the twelve months ended December 31, 2017 and 2016 in connection with anticipated transactions that were no longer considered probable.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on earnings from foreign exchange contracts designated as fair value hedges was a loss of less than $1 for the twelve months ended December 31, 2017 and a loss of $8 for the twelve months ended December 31, 2016. The impact on earnings from foreign exchange contracts not designated as hedges was a gain of $41 for the twelve months ended December 31, 2017 and a gain of $11 for the same period in 2016. These adjustments were reported within translation and foreign exchange in the Consolidated Statements of Operations and were offset by changes in the fair values of the related hedged item.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2017 and 2016, certain commodity hedges did not meet the criteria for hedge accounting and therefore the change in their fair value during the quarter was recognized in earnings. For the twelve months ended December 31, 2017 and 2016, the Company recognized a gain of $2 ($1, net of tax) and a loss of $7 ($5, net of tax) related to these ineffective hedges.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2017 and 2016, the Company recorded a loss of $153 ($134, net of tax) and a gain of $35 ($23, net of tax) in accumulated other comprehensive income for certain debt instruments that are designated as hedges of the Company's net investment in a euro-based subsidiary.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hierarchy for the Company's financial assets and liabilities that were accounted for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hierarchy</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3"/>
        </w:trPr>
        <w:tc>
          <w:tcPr>
            <w:tcW w:w="29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Derivative liabilities</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auto"/>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r>
      <w:tr>
        <w:trPr>
          <w:trHeight w:val="243"/>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4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0" w:type="dxa"/>
            <w:vAlign w:val="bottom"/>
          </w:tcPr>
          <w:p>
            <w:pPr>
              <w:spacing w:after="0"/>
              <w:rPr>
                <w:sz w:val="21"/>
                <w:szCs w:val="21"/>
                <w:color w:val="auto"/>
              </w:rPr>
            </w:pP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00" w:type="dxa"/>
            <w:vAlign w:val="bottom"/>
          </w:tcPr>
          <w:p>
            <w:pPr>
              <w:spacing w:after="0"/>
              <w:rPr>
                <w:sz w:val="18"/>
                <w:szCs w:val="18"/>
                <w:color w:val="auto"/>
              </w:rPr>
            </w:pP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 amounts not offset in the</w:t>
            </w: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Balance Sheet</w:t>
            </w:r>
          </w:p>
        </w:tc>
        <w:tc>
          <w:tcPr>
            <w:tcW w:w="200" w:type="dxa"/>
            <w:vAlign w:val="bottom"/>
          </w:tcPr>
          <w:p>
            <w:pPr>
              <w:spacing w:after="0"/>
              <w:rPr>
                <w:sz w:val="20"/>
                <w:szCs w:val="20"/>
                <w:color w:val="auto"/>
              </w:rPr>
            </w:pPr>
          </w:p>
        </w:tc>
        <w:tc>
          <w:tcPr>
            <w:tcW w:w="2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Balance Sheet</w:t>
            </w:r>
          </w:p>
        </w:tc>
        <w:tc>
          <w:tcPr>
            <w:tcW w:w="440" w:type="dxa"/>
            <w:vAlign w:val="bottom"/>
          </w:tcPr>
          <w:p>
            <w:pPr>
              <w:spacing w:after="0"/>
              <w:rPr>
                <w:sz w:val="20"/>
                <w:szCs w:val="20"/>
                <w:color w:val="auto"/>
              </w:rPr>
            </w:pPr>
          </w:p>
        </w:tc>
        <w:tc>
          <w:tcPr>
            <w:tcW w:w="1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Net amount</w:t>
            </w:r>
          </w:p>
        </w:tc>
      </w:tr>
      <w:tr>
        <w:trPr>
          <w:trHeight w:val="27"/>
        </w:trPr>
        <w:tc>
          <w:tcPr>
            <w:tcW w:w="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2017</w:t>
            </w:r>
          </w:p>
        </w:tc>
        <w:tc>
          <w:tcPr>
            <w:tcW w:w="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4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28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Balance at December 31, 2016</w:t>
            </w:r>
          </w:p>
        </w:tc>
        <w:tc>
          <w:tcPr>
            <w:tcW w:w="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0" w:type="dxa"/>
            <w:vAlign w:val="bottom"/>
          </w:tcPr>
          <w:p>
            <w:pPr>
              <w:spacing w:after="0"/>
              <w:rPr>
                <w:sz w:val="21"/>
                <w:szCs w:val="21"/>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were:</w:t>
      </w:r>
    </w:p>
    <w:p>
      <w:pPr>
        <w:spacing w:after="0" w:line="171" w:lineRule="exact"/>
        <w:rPr>
          <w:sz w:val="20"/>
          <w:szCs w:val="20"/>
          <w:color w:val="auto"/>
        </w:rPr>
      </w:pPr>
    </w:p>
    <w:p>
      <w:pPr>
        <w:ind w:left="7500"/>
        <w:spacing w:after="0"/>
        <w:tabs>
          <w:tab w:leader="none" w:pos="9840" w:val="left"/>
        </w:tabs>
        <w:rPr>
          <w:sz w:val="20"/>
          <w:szCs w:val="20"/>
          <w:color w:val="auto"/>
        </w:rPr>
      </w:pPr>
      <w:r>
        <w:rPr>
          <w:rFonts w:ascii="Times New Roman" w:cs="Times New Roman" w:eastAsia="Times New Roman" w:hAnsi="Times New Roman"/>
          <w:sz w:val="18"/>
          <w:szCs w:val="18"/>
          <w:color w:val="auto"/>
        </w:rPr>
        <w:t>December 31, 2017</w:t>
      </w:r>
      <w:r>
        <w:rPr>
          <w:sz w:val="20"/>
          <w:szCs w:val="20"/>
          <w:color w:val="auto"/>
        </w:rPr>
        <w:tab/>
      </w:r>
      <w:r>
        <w:rPr>
          <w:rFonts w:ascii="Times New Roman" w:cs="Times New Roman" w:eastAsia="Times New Roman" w:hAnsi="Times New Roman"/>
          <w:sz w:val="18"/>
          <w:szCs w:val="18"/>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Derivatives in cash flow hedges: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30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864</w:t>
            </w: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r>
      <w:tr>
        <w:trPr>
          <w:trHeight w:val="27"/>
        </w:trPr>
        <w:tc>
          <w:tcPr>
            <w:tcW w:w="5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Commodities</w:t>
            </w:r>
          </w:p>
        </w:tc>
        <w:tc>
          <w:tcPr>
            <w:tcW w:w="3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276</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in fair value hedges:</w:t>
            </w:r>
          </w:p>
        </w:tc>
        <w:tc>
          <w:tcPr>
            <w:tcW w:w="3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3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3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575</w:t>
            </w: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Commodities</w:t>
            </w:r>
          </w:p>
        </w:tc>
        <w:tc>
          <w:tcPr>
            <w:tcW w:w="3040" w:type="dxa"/>
            <w:vAlign w:val="bottom"/>
          </w:tcPr>
          <w:p>
            <w:pPr>
              <w:spacing w:after="0"/>
              <w:rPr>
                <w:sz w:val="21"/>
                <w:szCs w:val="21"/>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S.</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stock options and restricted stock as calculated under the treasury stock method.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Crown Holdings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137.94</w:t>
            </w:r>
          </w:p>
        </w:tc>
        <w:tc>
          <w:tcPr>
            <w:tcW w:w="0" w:type="dxa"/>
            <w:vAlign w:val="bottom"/>
          </w:tcPr>
          <w:p>
            <w:pPr>
              <w:spacing w:after="0"/>
              <w:rPr>
                <w:sz w:val="1"/>
                <w:szCs w:val="1"/>
                <w:color w:val="auto"/>
              </w:rPr>
            </w:pPr>
          </w:p>
        </w:tc>
      </w:tr>
      <w:tr>
        <w:trPr>
          <w:trHeight w:val="243"/>
        </w:trPr>
        <w:tc>
          <w:tcPr>
            <w:tcW w:w="6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dilutive stock options and restricted stock</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135.61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67"/>
        </w:trPr>
        <w:tc>
          <w:tcPr>
            <w:tcW w:w="6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Contingently issuable shares excluded from the computation of diluted earnings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because the effect would have been anti-dilutive</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calculating assumed proceeds under the treasury stock method when determining the diluted weighted average shares outstanding, in 2016 and 2015 the Company excluded the impact of windfall tax benefits unless the deduction reduced cash taxes payable.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Pension and Other Postretirement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2016, the Company changed the method used to estimate the service and interest cost components of net periodic pension and postretirement benefits cost. The new method uses the spot yield curve approach to estimate the service and interest cost by applying the specific spot rates along the yield curve used to determine the benefit plan obligations to relevant projected cash outflows. Previously, the service and interest cost components were determined using a single weighted-average discount rate. The change does not affect the measurement of the total benefit plan obligation. The spot yield curve approach provides a more precise measure of service and interest cost by improving the correlation between the projected benefit cash flows and the discrete spot yield curve rates. The company accounted for this change as a change in estimate prospectively beginning in 2016.</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Pensions. </w:t>
      </w:r>
      <w:r>
        <w:rPr>
          <w:rFonts w:ascii="Times New Roman" w:cs="Times New Roman" w:eastAsia="Times New Roman" w:hAnsi="Times New Roman"/>
          <w:sz w:val="18"/>
          <w:szCs w:val="18"/>
          <w:color w:val="auto"/>
        </w:rPr>
        <w:t>The Company sponsors various pension plans covering certain U.S. and non-U.S. employees, and participates in certain multi-employer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The benefits under the Company plans are based primarily on years of service and either the employees’ remuneration near retirement or a fixed dollar multiple.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measurement date of December 31 was used for all plans presented below.</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7"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75"/>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pension expense were as follows:</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cost</w:t>
            </w:r>
          </w:p>
        </w:tc>
        <w:tc>
          <w:tcPr>
            <w:tcW w:w="2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34"/>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Curtailments</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4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 (cost)</w:t>
            </w:r>
          </w:p>
        </w:tc>
        <w:tc>
          <w:tcPr>
            <w:tcW w:w="2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pension expense of $5 was recognized in each of 2017, 2016 and 2015 for multi-employer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projected benefit obligations, accumulated benefit obligations, plan assets and funded status of the Company's U.S. and non-U.S. plans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U.S. Plans</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Non-U.S. Plans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7"/>
        </w:trPr>
        <w:tc>
          <w:tcPr>
            <w:tcW w:w="5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2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7"/>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w:t>
            </w:r>
          </w:p>
        </w:tc>
        <w:tc>
          <w:tcPr>
            <w:tcW w:w="4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3,507</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2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Plan Assets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28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3,152</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obligations at December 31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7" w:right="299" w:bottom="1440" w:gutter="0" w:footer="0" w:header="0"/>
        </w:sect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60"/>
          </w:cols>
          <w:pgMar w:left="240" w:top="117" w:right="29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pension plans with accumulated benefit obligations in excess of plan assets was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340" w:type="dxa"/>
            <w:vAlign w:val="bottom"/>
          </w:tcPr>
          <w:p>
            <w:pPr>
              <w:spacing w:after="0"/>
              <w:rPr>
                <w:sz w:val="17"/>
                <w:szCs w:val="17"/>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r>
      <w:tr>
        <w:trPr>
          <w:trHeight w:val="243"/>
        </w:trPr>
        <w:tc>
          <w:tcPr>
            <w:tcW w:w="7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r>
      <w:tr>
        <w:trPr>
          <w:trHeight w:val="554"/>
        </w:trPr>
        <w:tc>
          <w:tcPr>
            <w:tcW w:w="7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2017</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7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5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 The assets of the plan are broadly diversified in terms of securities and security types in order to limit the potential of large losses from any one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ranges for asset allocation in the U.S. plan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equities</w:t>
            </w:r>
          </w:p>
        </w:tc>
        <w:tc>
          <w:tcPr>
            <w:tcW w:w="3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equities</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3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Balanced funds</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3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64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in its U.K. plan, the largest non-U.S. plan, is designed to achieve a funding level of 100% within the next 9 years by targeting an expected return of 2.0% annually in excess of the expected growth in the liabilities. The Company seeks to achieve this return with a risk level commensurate with a 5% chance of the funding level falling between 4% and 7% in any one year. The strategic ranges for asset allocation in the U.K. plan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grade credit</w:t>
            </w:r>
          </w:p>
        </w:tc>
        <w:tc>
          <w:tcPr>
            <w:tcW w:w="3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Equities</w:t>
            </w:r>
          </w:p>
        </w:tc>
        <w:tc>
          <w:tcPr>
            <w:tcW w:w="3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3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equity</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Alternative credit</w:t>
            </w:r>
          </w:p>
        </w:tc>
        <w:tc>
          <w:tcPr>
            <w:tcW w:w="3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7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 Investments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 Investments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Measured Using NAV per Share Practical Expedient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funds’ portfolio invested in the following: Global Equity, that invests in equity securities of various market sectors including industrial materials, consumer discretionary goods and services, financial infrastructure, technology, and health care; Emerging Markets that invest in equity markets within financial services, consumer goods and services, energy, and technology; and Fixed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their placement within the fair value hierarchy.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2017 and 2016 are summarized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U.S. plan</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Non-U.S. plan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large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large cap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mid/small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mid/small cap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Mutual funds – U.S.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2</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Structured debt</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3</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Private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 direct</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3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U.S. plan</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Non-U.S. plan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large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large cap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mid/small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mid/small cap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Mutual funds – U.S.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2</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Structured debt</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Level 3</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Private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 direct</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3,579</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03"/>
        </w:trPr>
        <w:tc>
          <w:tcPr>
            <w:tcW w:w="440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60" w:firstLine="8"/>
        <w:spacing w:after="0" w:line="282"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ASU No. 2015-07, certain investments that are measured at fair value using the NAV per share practical expedient have not been classified in the fair value hierarchy.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income excluded from the tables above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2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4"/>
              </w:rPr>
              <w:t>2016</w:t>
            </w:r>
          </w:p>
        </w:tc>
      </w:tr>
      <w:tr>
        <w:trPr>
          <w:trHeight w:val="48"/>
        </w:trPr>
        <w:tc>
          <w:tcPr>
            <w:tcW w:w="2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plan assets</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 plan assets</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include $189 and $177 of the Company’s common stock at December 31, 2017 and 2016.</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7" w:right="23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the beginning and ending balances of plan assets measured using significant unobservable inputs (Level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Hedge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Private</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Real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funds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estate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pension plan assets valued using net asset value as a practical expedient: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Redemption Notice</w:t>
            </w:r>
          </w:p>
        </w:tc>
      </w:tr>
      <w:tr>
        <w:trPr>
          <w:trHeight w:val="234"/>
        </w:trPr>
        <w:tc>
          <w:tcPr>
            <w:tcW w:w="3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420" w:type="dxa"/>
            <w:vAlign w:val="bottom"/>
          </w:tcPr>
          <w:p>
            <w:pPr>
              <w:spacing w:after="0"/>
              <w:rPr>
                <w:sz w:val="20"/>
                <w:szCs w:val="20"/>
                <w:color w:val="auto"/>
              </w:rPr>
            </w:pPr>
          </w:p>
        </w:tc>
        <w:tc>
          <w:tcPr>
            <w:tcW w:w="2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Redemption Frequency</w:t>
            </w: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Period</w:t>
            </w:r>
          </w:p>
        </w:tc>
      </w:tr>
      <w:tr>
        <w:trPr>
          <w:trHeight w:val="27"/>
        </w:trPr>
        <w:tc>
          <w:tcPr>
            <w:tcW w:w="3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70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day</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Monthly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1 - 30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Monthly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3 - 45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Weekly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days</w:t>
            </w:r>
          </w:p>
        </w:tc>
      </w:tr>
      <w:tr>
        <w:trPr>
          <w:trHeight w:val="243"/>
        </w:trPr>
        <w:tc>
          <w:tcPr>
            <w:tcW w:w="3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7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Daily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1 - 15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Monthly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1 - 30 days</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Daily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Monthly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5 - 45 days</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Weekly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days</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plan assets valued using net asset value as a practical expedient do not have any unfunded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assets and liabilities included in the Consolidated Balance Sheets were:</w:t>
            </w: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7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7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liability at December 31, 2017, represents the expected required payments to be made for unfunded plans over the next twelve months. Total estimated 2017 employer contributions are $18 for the Company’s pension plans.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7" w:right="2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net loss and prior service credit for the Company’s pension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Prior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Prior</w:t>
            </w:r>
          </w:p>
        </w:tc>
      </w:tr>
      <w:tr>
        <w:trPr>
          <w:trHeight w:val="234"/>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service</w:t>
            </w:r>
          </w:p>
        </w:tc>
        <w:tc>
          <w:tcPr>
            <w:tcW w:w="2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year loss/(gain)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portions of the net losses and net prior service that are expected to be recognized as components of net periodic benefit cost / (credit) in 2018 are $93 and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benefit payments as of December 31, 2017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U.S.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Non-U.S.</w:t>
            </w:r>
          </w:p>
        </w:tc>
      </w:tr>
      <w:tr>
        <w:trPr>
          <w:trHeight w:val="234"/>
        </w:trPr>
        <w:tc>
          <w:tcPr>
            <w:tcW w:w="4480" w:type="dxa"/>
            <w:vAlign w:val="bottom"/>
          </w:tcPr>
          <w:p>
            <w:pPr>
              <w:spacing w:after="0"/>
              <w:rPr>
                <w:sz w:val="20"/>
                <w:szCs w:val="20"/>
                <w:color w:val="auto"/>
              </w:rPr>
            </w:pPr>
          </w:p>
        </w:tc>
        <w:tc>
          <w:tcPr>
            <w:tcW w:w="10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plans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plans</w:t>
            </w:r>
          </w:p>
        </w:tc>
      </w:tr>
      <w:tr>
        <w:trPr>
          <w:trHeight w:val="27"/>
        </w:trPr>
        <w:tc>
          <w:tcPr>
            <w:tcW w:w="4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2023 - 2027</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the benefit obligations at December 31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581"/>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59"/>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pension expense for each year were: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8"/>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U.S. Plans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rate of return</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581"/>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4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rate of return</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expected long-term rates of return are determined at each measurement date based on a review of the actual plan assets, the target allocation, and the historical returns of the capital markets.</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plan’s 2017 assumed asset rate of return was based on a calculation using underlying assumed rates of return of 9.2% for equity securities and alternative investments, 4.2% for debt securities and 5.0% for real estate. The rate of return used for equity securities and alternative investments was based on the total return of the S&amp;P 500 for the 25 year period ended December 31, 2016. The Company believes that the equity securities included in the S&amp;P 500 are representative of the equity securities and alternative investments held by its U.S. plan, and that this period provides a sufficient time horizon as a basis for estimating future returns. The rate of return used for debt securities is consistent with the U.S. plan discount rate and the return on AA corporate bonds with duration equal to the plan’s liabilities. The underlying debt securities in the plan are primarily invested in various corporate and government agency securities and are benchmarked against returns on AA corporate bonds.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U.K. plan’s 2017 assumed asset rate of return was based on a calculation using underlying assumed rates of return of 8.5% for equity securities and alternative investments, 2.5% for debt securities and 5.0% for real estate. The assumed rate of return for equity securities and alternative investments represents the weighted average 25 year return of equity securities in the related markets. The Company believes that the equity securities included in the related market indexes are representative of the equity securities and alternative investments held by its U.K. plan, and that this period provides a sufficient time horizon as a basis for estimating future returns.</w:t>
      </w:r>
    </w:p>
    <w:p>
      <w:pPr>
        <w:spacing w:after="0" w:line="180" w:lineRule="exact"/>
        <w:rPr>
          <w:sz w:val="20"/>
          <w:szCs w:val="20"/>
          <w:color w:val="auto"/>
        </w:rPr>
      </w:pPr>
    </w:p>
    <w:p>
      <w:pPr>
        <w:jc w:val="both"/>
        <w:ind w:firstLine="5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 Plans. </w:t>
      </w:r>
      <w:r>
        <w:rPr>
          <w:rFonts w:ascii="Times New Roman" w:cs="Times New Roman" w:eastAsia="Times New Roman" w:hAnsi="Times New Roman"/>
          <w:sz w:val="18"/>
          <w:szCs w:val="18"/>
          <w:color w:val="auto"/>
        </w:rPr>
        <w:t>The Company sponsors unfunded plans to provide health care and life insurance benefits to certain pensioners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2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Changes in the benefit obligations were: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net loss and prior service credit for the Company’s postretirement benefit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28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Prior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Prior</w:t>
            </w:r>
          </w:p>
        </w:tc>
      </w:tr>
      <w:tr>
        <w:trPr>
          <w:trHeight w:val="234"/>
        </w:trPr>
        <w:tc>
          <w:tcPr>
            <w:tcW w:w="40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loss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service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loss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year loss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w:t>
            </w:r>
          </w:p>
        </w:tc>
        <w:tc>
          <w:tcPr>
            <w:tcW w:w="8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portions of the net losses and prior service credits that are expected to be recognized as components of net periodic benefit cost/(credit) in 2017 are $4 and $(37).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future benefit payments are as follows: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Benefit Payments</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2023 - 2027</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assumed health care cost trend rates at December 31, 2017 were as follows:</w:t>
            </w:r>
          </w:p>
        </w:tc>
        <w:tc>
          <w:tcPr>
            <w:tcW w:w="3100" w:type="dxa"/>
            <w:vAlign w:val="bottom"/>
          </w:tcPr>
          <w:p>
            <w:pPr>
              <w:spacing w:after="0"/>
              <w:rPr>
                <w:sz w:val="20"/>
                <w:szCs w:val="20"/>
                <w:color w:val="auto"/>
              </w:rPr>
            </w:pPr>
          </w:p>
        </w:tc>
      </w:tr>
      <w:tr>
        <w:trPr>
          <w:trHeight w:val="135"/>
        </w:trPr>
        <w:tc>
          <w:tcPr>
            <w:tcW w:w="832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 care cost trend rate assumed for 2018</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that the cost trend rate gradually declines to</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3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that the rate reaches the rate it is assumed to remain</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2035</w:t>
            </w:r>
          </w:p>
        </w:tc>
      </w:tr>
      <w:tr>
        <w:trPr>
          <w:trHeight w:val="27"/>
        </w:trPr>
        <w:tc>
          <w:tcPr>
            <w:tcW w:w="83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one-percentage-point change in assumed health care cost trend rates would have the following effects: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3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One percentage point</w:t>
            </w:r>
          </w:p>
        </w:tc>
        <w:tc>
          <w:tcPr>
            <w:tcW w:w="3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Increase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380" w:type="dxa"/>
            <w:vAlign w:val="bottom"/>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on total service and interest cost</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on postretirement benefit obligation</w:t>
            </w:r>
          </w:p>
        </w:tc>
        <w:tc>
          <w:tcPr>
            <w:tcW w:w="142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discount rates used to calculate the benefit obligations at the end of each year and the cost for each year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w:t>
            </w: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6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Savings Plan. </w:t>
      </w:r>
      <w:r>
        <w:rPr>
          <w:rFonts w:ascii="Times New Roman" w:cs="Times New Roman" w:eastAsia="Times New Roman" w:hAnsi="Times New Roman"/>
          <w:sz w:val="18"/>
          <w:szCs w:val="18"/>
          <w:color w:val="auto"/>
        </w:rPr>
        <w:t>The Company sponsors a Savings Investment Plan which covers substantially all U.S. salaried employees who are at least 21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age. The Company matches up to 50% of 3% of a participant’s compensation and the total Company contributions were $2 in each of the last three years.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The Company sponsors an Employee Stock Purchase Plan which covers all U.S. employees with one or more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who are non-officers and non-highly compensated as defined by the Internal Revenue Code. Eligible participants contribute 85% of the quarter-ending market price towards the purchase of each common share. The Company’s contribution is equivalent to 15% of the quarter-ending market price. Total shares purchased under the plan in 2017 and 2016 were 25,511 and 26,299 and the Company’s contributions were less than $1 in both years.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  Income Taxes</w:t>
            </w: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90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7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45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w:t>
            </w: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federal</w:t>
            </w:r>
          </w:p>
        </w:tc>
        <w:tc>
          <w:tcPr>
            <w:tcW w:w="2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foreign</w:t>
            </w:r>
          </w:p>
        </w:tc>
        <w:tc>
          <w:tcPr>
            <w:tcW w:w="1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37"/>
        </w:trPr>
        <w:tc>
          <w:tcPr>
            <w:tcW w:w="4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45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w:t>
            </w: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federal</w:t>
            </w:r>
          </w:p>
        </w:tc>
        <w:tc>
          <w:tcPr>
            <w:tcW w:w="2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foreign</w:t>
            </w:r>
          </w:p>
        </w:tc>
        <w:tc>
          <w:tcPr>
            <w:tcW w:w="1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45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U.S. statutory federal income tax rate to pre-tax income as a result of the following items: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statutory rate at 35%</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on foreign income</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contingencies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law changes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items, net</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benefits from certain incentives in Brazil which allow it to pay reduced income taxes. The incentives expire at various dates beginning in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incentives increased net income attributable to the Company by $14, $13 and $8 in 2017, 2016 and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taxes of $154, $158 and $137 in 2017, 2016 and 2015.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Act resulted in significant changes from previous tax law, including reduction of the U.S. corporate tax rate from 35% to 21% and a one-time tax imposed on the unremitted earnings of other non-U.S. subsidiaries (the "transition tax"). The adjustments to deferred tax assets and liabilities, and the charge for the transition tax are provisional amounts based on reasonable estimates from the information available as of December 31, 2017. The amounts are subject to change as the Company obtains information necessary to complete the calculations. The Company will continue to review the technical interpretations of the Tax Act and other applicable laws, monitor legislative changes, and review U.S. state guidance as it is issued. The Company expects to complete the analysis of the provisional items during the fourth quarter of 2018.</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tax rate reduction, the Company has provisionally reflected a reduction in net deferred tax assets of $103 and a corresponding deferred income tax charge of $106 recorded in the consolidated statement of operations and an income tax benefit of $3 recorded in other comprehensive income. Federal income tax expense for periods beginning in 2018 will be based on the new rate. Additionally, the Company has recorded a provisional obligation of $82 for the transition tax and expects to be able to use foreign tax credit carryforwards to satisfy this obligation. Accordingly, the Company provisionally reversed $11 of deferred tax liabilities related to cumulative undistributed foreign earnings and recorded a charge of $25 for the usage of related foreign tax credits.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2017 the Company has not provided deferred taxes on approximately $1,300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 The Company continues to believe that these earnings are indefinitely reinvested; however, as the Company continues to evaluate the impacts of the Tax Act, the Company may change this assertion in a future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Crown Holdings, Inc.</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7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deferred taxes at December 31 are: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2016</w:t>
            </w:r>
          </w:p>
        </w:tc>
        <w:tc>
          <w:tcPr>
            <w:tcW w:w="124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Liabilities</w:t>
            </w: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loss and credit carryforwards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and postemployment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Deemed repatriation tax</w:t>
            </w:r>
          </w:p>
        </w:tc>
        <w:tc>
          <w:tcPr>
            <w:tcW w:w="32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Asbestos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Accruals and other</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loss and credit carryforwards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206375</wp:posOffset>
            </wp:positionV>
            <wp:extent cx="17151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313" w:lineRule="exact"/>
        <w:rPr>
          <w:sz w:val="20"/>
          <w:szCs w:val="20"/>
          <w:color w:val="auto"/>
        </w:rPr>
      </w:pPr>
    </w:p>
    <w:p>
      <w:pPr>
        <w:ind w:left="5460"/>
        <w:spacing w:after="0"/>
        <w:tabs>
          <w:tab w:leader="none" w:pos="6380" w:val="left"/>
        </w:tabs>
        <w:rPr>
          <w:sz w:val="20"/>
          <w:szCs w:val="20"/>
          <w:color w:val="auto"/>
        </w:rPr>
      </w:pPr>
      <w:r>
        <w:rPr>
          <w:rFonts w:ascii="Times New Roman" w:cs="Times New Roman" w:eastAsia="Times New Roman" w:hAnsi="Times New Roman"/>
          <w:sz w:val="18"/>
          <w:szCs w:val="18"/>
          <w:u w:val="single" w:color="auto"/>
          <w:color w:val="auto"/>
        </w:rPr>
        <w:t>Year</w:t>
      </w:r>
      <w:r>
        <w:rPr>
          <w:sz w:val="20"/>
          <w:szCs w:val="20"/>
          <w:color w:val="auto"/>
        </w:rPr>
        <w:tab/>
      </w:r>
      <w:r>
        <w:rPr>
          <w:rFonts w:ascii="Times New Roman" w:cs="Times New Roman" w:eastAsia="Times New Roman" w:hAnsi="Times New Roman"/>
          <w:sz w:val="18"/>
          <w:szCs w:val="18"/>
          <w:u w:val="single" w:color="auto"/>
          <w:color w:val="auto"/>
        </w:rPr>
        <w:t>Amount</w:t>
      </w:r>
    </w:p>
    <w:p>
      <w:pPr>
        <w:spacing w:after="0" w:line="63" w:lineRule="exact"/>
        <w:rPr>
          <w:sz w:val="20"/>
          <w:szCs w:val="20"/>
          <w:color w:val="auto"/>
        </w:rPr>
      </w:pPr>
    </w:p>
    <w:p>
      <w:pPr>
        <w:ind w:left="5420"/>
        <w:spacing w:after="0"/>
        <w:tabs>
          <w:tab w:leader="none" w:pos="6160" w:val="left"/>
          <w:tab w:leader="none" w:pos="6800" w:val="left"/>
        </w:tabs>
        <w:rPr>
          <w:sz w:val="20"/>
          <w:szCs w:val="20"/>
          <w:color w:val="auto"/>
        </w:rPr>
      </w:pPr>
      <w:r>
        <w:rPr>
          <w:rFonts w:ascii="Times New Roman" w:cs="Times New Roman" w:eastAsia="Times New Roman" w:hAnsi="Times New Roman"/>
          <w:sz w:val="18"/>
          <w:szCs w:val="18"/>
          <w:color w:val="auto"/>
        </w:rPr>
        <w:t>2018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34290</wp:posOffset>
            </wp:positionV>
            <wp:extent cx="17151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80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17</w:t>
      </w:r>
    </w:p>
    <w:p>
      <w:pPr>
        <w:spacing w:after="0" w:line="63" w:lineRule="exact"/>
        <w:rPr>
          <w:sz w:val="20"/>
          <w:szCs w:val="20"/>
          <w:color w:val="auto"/>
        </w:rPr>
      </w:pPr>
    </w:p>
    <w:p>
      <w:pPr>
        <w:ind w:left="5420"/>
        <w:spacing w:after="0"/>
        <w:tabs>
          <w:tab w:leader="none" w:pos="680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34290</wp:posOffset>
            </wp:positionV>
            <wp:extent cx="17151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800" w:val="left"/>
        </w:tabs>
        <w:rPr>
          <w:sz w:val="20"/>
          <w:szCs w:val="20"/>
          <w:color w:val="auto"/>
        </w:rPr>
      </w:pP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8"/>
          <w:szCs w:val="18"/>
          <w:color w:val="auto"/>
        </w:rPr>
        <w:t>37</w:t>
      </w:r>
    </w:p>
    <w:p>
      <w:pPr>
        <w:spacing w:after="0" w:line="63" w:lineRule="exact"/>
        <w:rPr>
          <w:sz w:val="20"/>
          <w:szCs w:val="20"/>
          <w:color w:val="auto"/>
        </w:rPr>
      </w:pPr>
    </w:p>
    <w:p>
      <w:pPr>
        <w:ind w:left="5420"/>
        <w:spacing w:after="0"/>
        <w:tabs>
          <w:tab w:leader="none" w:pos="670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34290</wp:posOffset>
            </wp:positionV>
            <wp:extent cx="17151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040"/>
        <w:spacing w:after="0"/>
        <w:tabs>
          <w:tab w:leader="none" w:pos="6700" w:val="left"/>
        </w:tabs>
        <w:rPr>
          <w:sz w:val="20"/>
          <w:szCs w:val="20"/>
          <w:color w:val="auto"/>
        </w:rPr>
      </w:pPr>
      <w:r>
        <w:rPr>
          <w:rFonts w:ascii="Times New Roman" w:cs="Times New Roman" w:eastAsia="Times New Roman" w:hAnsi="Times New Roman"/>
          <w:sz w:val="18"/>
          <w:szCs w:val="18"/>
          <w:color w:val="auto"/>
        </w:rPr>
        <w:t>Thereafter</w:t>
      </w:r>
      <w:r>
        <w:rPr>
          <w:sz w:val="20"/>
          <w:szCs w:val="20"/>
          <w:color w:val="auto"/>
        </w:rPr>
        <w:tab/>
      </w:r>
      <w:r>
        <w:rPr>
          <w:rFonts w:ascii="Times New Roman" w:cs="Times New Roman" w:eastAsia="Times New Roman" w:hAnsi="Times New Roman"/>
          <w:sz w:val="18"/>
          <w:szCs w:val="18"/>
          <w:color w:val="auto"/>
        </w:rPr>
        <w:t>151</w:t>
      </w:r>
    </w:p>
    <w:p>
      <w:pPr>
        <w:spacing w:after="0" w:line="63" w:lineRule="exact"/>
        <w:rPr>
          <w:sz w:val="20"/>
          <w:szCs w:val="20"/>
          <w:color w:val="auto"/>
        </w:rPr>
      </w:pPr>
    </w:p>
    <w:p>
      <w:pPr>
        <w:ind w:left="5060"/>
        <w:spacing w:after="0"/>
        <w:tabs>
          <w:tab w:leader="none" w:pos="6800" w:val="left"/>
        </w:tabs>
        <w:rPr>
          <w:sz w:val="20"/>
          <w:szCs w:val="20"/>
          <w:color w:val="auto"/>
        </w:rPr>
      </w:pPr>
      <w:r>
        <w:rPr>
          <w:rFonts w:ascii="Times New Roman" w:cs="Times New Roman" w:eastAsia="Times New Roman" w:hAnsi="Times New Roman"/>
          <w:sz w:val="18"/>
          <w:szCs w:val="18"/>
          <w:color w:val="auto"/>
        </w:rPr>
        <w:t>Unlimited</w:t>
      </w:r>
      <w:r>
        <w:rPr>
          <w:sz w:val="20"/>
          <w:szCs w:val="20"/>
          <w:color w:val="auto"/>
        </w:rPr>
        <w:tab/>
      </w:r>
      <w:r>
        <w:rPr>
          <w:rFonts w:ascii="Times New Roman" w:cs="Times New Roman" w:eastAsia="Times New Roman" w:hAnsi="Times New Roman"/>
          <w:sz w:val="18"/>
          <w:szCs w:val="18"/>
          <w:color w:val="auto"/>
        </w:rPr>
        <w:t>87</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 loss and credit carryforwards expiring in 2022 includes $152 of U.S. federal foreign tax credits and tax loss and credit carryforwards expiring after 2022 includes $128 of U.S. state tax loss carryforwards. The unlimited category includes $56 of French tax loss carryforwards.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 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valuation allowances at December 31, 2017 include $207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 The Company has not yet been able to make a reasonable estimate of the impact of the Tax Act's transition tax on state taxable income and any related impact on this valuation allowance.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2016, the Company recorded a net benefit of $31 to release the valuation allowance against its net deferred tax assets in Canada. The Company's operations in Canada recently returned to profitability in part due to benefits from recent restructuring actions and improved cost performance. Based on current projections, the Company believes it is more likely than not that it will realize the deferred tax assets. The Company's loss carryforwards in Canada expire at various dates beginning in 2026. If future changes impact the Company's profitability in Canada, it is possible that the Company may record an additional valuation allowance in the future.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estimates of the appropriate valuation allowance in any jurisdictions involve a number of assumptions and judgments, including the amount and timing of future taxable income. Should future results differ from management’s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there could be future adjustments to the valuation allowances that would result in an increase or decrease in tax expense in the period such changes in estimates are made.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unrecognized tax benefits follows: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04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to prior period tax positions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6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include potential liabilities related to transfer pricing, foreign withholding taxes, and non-deductibility of expenses and exclude $1 of interest and penalties as of December 31, 2017.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Spanish tax authorities concluded audits of Mivisa's Spanish tax operations for the years 2009 to 2014. In connection with the audits, the Company recognized a charge of $8 to settle certain tax contingencies. In 2015, the increase for prior year positions related to an unfavorable tax court ruling in Spain.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interest and penalties recorded in income tax expense was less than $1 in 2017 and 2016 and $3 in 2015. As of December 31, 2017, unrecognized tax benefits of $29, if recognized, would affect the Company's effective tax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years that remained subject to examination by major tax jurisdictions as of December 31, 2017 were, 2006 and subsequent years for the U.K.; 2009 and subsequent years for Spain; 2010 and subsequent years for Germany; 2012 and subsequent years for Mexico; 2013 and subsequent years for Italy and Brazil; 2014 and subsequent years for Canada; and 2015 and subsequent years for France and the U.S.. In addition, tax authorities in certain jurisdictions, including France and the U.S., may examine earlier years when tax carryforwards that were generated in those years are subsequently utilized.</w:t>
      </w:r>
    </w:p>
    <w:p>
      <w:pPr>
        <w:spacing w:after="0" w:line="3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Company’s business is organized geographically within three divisions, Americas, Europe and Asia Pacific. Within the Americas and European divisions, the Company has determined that it has the following reportable segments organized along a combination of product lines and geographic areas: Americas Beverage within the Americas, and European Beverage and European Food within Europe. The Company's Asia Pacific division is a reportable segment.</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Non-reportable segments include the Company’s aerosol can businesses in North America and Europe, the Company's food can business in North America, the Company’s promotional packaging business in Europe and the Company’s tooling and equipment operations in the U.S. and United Kingdom.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Segment income, which is not a defined term under GAAP, is defined by the Company as income from operations adjusted to add back provisions for asbestos and restructuring and other, the impact of fair value adjustments related to the sale of inventory acquired in an acquisition and the timing impact of hedge ineffectiveness. Segment income should not be considered in isolation or as a substitute for net income data prepared in accordance with GAAP and may not be comparable to calculations of similarly titled measures by other companies.</w:t>
      </w:r>
    </w:p>
    <w:p>
      <w:pPr>
        <w:spacing w:after="0" w:line="184"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January 1, 2018, the Company made changes to our segment reporting to reflect refinements to its internal reporting. The North America Food Segment was classified as a non-reportable segments. Additionally, the Company revised its definition of segment income to also exclude intangibles amortization charges. Prior period segment income amounts have been recast to conform to current year presentation of intangible amortization charges and the new guidance related to the presentation of pension and other postretirement benefit costs discussed in </w:t>
      </w:r>
      <w:hyperlink w:anchor="page40">
        <w:r>
          <w:rPr>
            <w:rFonts w:ascii="Times New Roman" w:cs="Times New Roman" w:eastAsia="Times New Roman" w:hAnsi="Times New Roman"/>
            <w:sz w:val="18"/>
            <w:szCs w:val="18"/>
            <w:u w:val="single" w:color="auto"/>
            <w:color w:val="0000EE"/>
          </w:rPr>
          <w:t>Note A</w:t>
        </w:r>
      </w:hyperlink>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operating segments for the three years ended December 31, 2017, 2016 and 2015: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w w:val="94"/>
              </w:rPr>
              <w:t>2017</w:t>
            </w: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Depreciation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External</w:t>
            </w:r>
          </w:p>
        </w:tc>
        <w:tc>
          <w:tcPr>
            <w:tcW w:w="18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Segment</w:t>
            </w: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Segment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sales</w:t>
            </w:r>
          </w:p>
        </w:tc>
        <w:tc>
          <w:tcPr>
            <w:tcW w:w="180" w:type="dxa"/>
            <w:vAlign w:val="bottom"/>
          </w:tcPr>
          <w:p>
            <w:pPr>
              <w:spacing w:after="0"/>
              <w:rPr>
                <w:sz w:val="23"/>
                <w:szCs w:val="2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3"/>
                <w:szCs w:val="2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assets</w:t>
            </w:r>
          </w:p>
        </w:tc>
        <w:tc>
          <w:tcPr>
            <w:tcW w:w="180" w:type="dxa"/>
            <w:vAlign w:val="bottom"/>
          </w:tcPr>
          <w:p>
            <w:pPr>
              <w:spacing w:after="0"/>
              <w:rPr>
                <w:sz w:val="23"/>
                <w:szCs w:val="2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income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 Beverage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Borders>
              <w:left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European Food</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Non-reportable segments</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6"/>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8,698</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10,663</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1940" w:type="dxa"/>
            <w:vAlign w:val="bottom"/>
            <w:gridSpan w:val="5"/>
          </w:tcPr>
          <w:p>
            <w:pPr>
              <w:ind w:left="1580"/>
              <w:spacing w:after="0"/>
              <w:rPr>
                <w:sz w:val="20"/>
                <w:szCs w:val="20"/>
                <w:color w:val="auto"/>
              </w:rPr>
            </w:pPr>
            <w:r>
              <w:rPr>
                <w:rFonts w:ascii="Times New Roman" w:cs="Times New Roman" w:eastAsia="Times New Roman" w:hAnsi="Times New Roman"/>
                <w:sz w:val="18"/>
                <w:szCs w:val="18"/>
                <w:color w:val="auto"/>
                <w:w w:val="94"/>
              </w:rPr>
              <w:t>2016</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Depreciation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External</w:t>
            </w:r>
          </w:p>
        </w:tc>
        <w:tc>
          <w:tcPr>
            <w:tcW w:w="18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Segment</w:t>
            </w: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Segment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sales</w:t>
            </w:r>
          </w:p>
        </w:tc>
        <w:tc>
          <w:tcPr>
            <w:tcW w:w="180" w:type="dxa"/>
            <w:vAlign w:val="bottom"/>
          </w:tcPr>
          <w:p>
            <w:pPr>
              <w:spacing w:after="0"/>
              <w:rPr>
                <w:sz w:val="23"/>
                <w:szCs w:val="2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sales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assets</w:t>
            </w:r>
          </w:p>
        </w:tc>
        <w:tc>
          <w:tcPr>
            <w:tcW w:w="180" w:type="dxa"/>
            <w:vAlign w:val="bottom"/>
          </w:tcPr>
          <w:p>
            <w:pPr>
              <w:spacing w:after="0"/>
              <w:rPr>
                <w:sz w:val="23"/>
                <w:szCs w:val="2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income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3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0" w:type="dxa"/>
            <w:vAlign w:val="bottom"/>
            <w:tcBorders>
              <w:left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8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Non-reportable segments</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3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3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left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3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3" w:name="page74"/>
    <w:bookmarkEnd w:id="7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1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4"/>
              </w:rPr>
              <w:t>2015</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Inter-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Depreciation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External</w:t>
            </w: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segment</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Segment</w:t>
            </w:r>
          </w:p>
        </w:tc>
        <w:tc>
          <w:tcPr>
            <w:tcW w:w="16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Segment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assets</w:t>
            </w:r>
          </w:p>
        </w:tc>
        <w:tc>
          <w:tcPr>
            <w:tcW w:w="16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Non-reportable segments</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1,301</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8,762</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10,050</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Intersegment sales primarily include sales of ends and components used to manufacture cans, such as printed and coated metal, as well as parts and equipment used in the manufacturing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items include corporate and division administrative costs, technology costs, and the timing impact of hedge ineffectiveness.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for the three years ended December 31, 2017, 2016 and 2015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income of non-reportable segments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asbestos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w:t>
            </w: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years ended December 31, 2017, 2016 and 2015, intercompany profit of $8, $13 and $2 was eliminated within segment income of non-reportable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years ended December 31, 2017, 2016 and 2015, no one customer accounted for more than 10% of the Company's consolidated net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Sales by major product were: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5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Metal beverage cans and ends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5,085</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4,834</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4,957</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Metal food cans and ends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2,331</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2,410</w:t>
            </w:r>
          </w:p>
        </w:tc>
      </w:tr>
      <w:tr>
        <w:trPr>
          <w:trHeight w:val="27"/>
        </w:trPr>
        <w:tc>
          <w:tcPr>
            <w:tcW w:w="5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metal packaging</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products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5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sales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8,698</w:t>
            </w:r>
          </w:p>
        </w:tc>
        <w:tc>
          <w:tcPr>
            <w:tcW w:w="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w:t>
            </w:r>
          </w:p>
        </w:tc>
        <w:tc>
          <w:tcPr>
            <w:tcW w:w="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8,762</w:t>
            </w:r>
          </w:p>
        </w:tc>
      </w:tr>
      <w:tr>
        <w:trPr>
          <w:trHeight w:val="20"/>
        </w:trPr>
        <w:tc>
          <w:tcPr>
            <w:tcW w:w="5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sales and long-lived asset information for the major countries in which the Company operates. Long-lived assets includes property, plant and equipment attributed to the specific countries listed below.</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7"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4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837"/>
        </w:trPr>
        <w:tc>
          <w:tcPr>
            <w:tcW w:w="3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Long-Lived Assets</w:t>
            </w:r>
          </w:p>
        </w:tc>
      </w:tr>
      <w:tr>
        <w:trPr>
          <w:trHeight w:val="27"/>
        </w:trPr>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3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3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3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w:t>
            </w: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8,698</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540"/>
          </w:cols>
          <w:pgMar w:left="240" w:top="117" w:right="11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Condensed Combining Financial Information</w:t>
      </w:r>
    </w:p>
    <w:p>
      <w:pPr>
        <w:spacing w:after="0" w:line="310"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Crown Cork &amp; Seal Company, Inc. (Issuer), a wholly owned subsidiary, has $350 principal amount of 7.375% senior notes due 2026 and $40 principal amount of 7.5% senior notes due 2096 outstanding that are fully and unconditionally guaranteed by Crown Holdings, Inc. (Parent). No other subsidiary guarantees the debt. The following condensed combining financial statements:</w:t>
      </w:r>
    </w:p>
    <w:p>
      <w:pPr>
        <w:spacing w:after="0" w:line="203" w:lineRule="exact"/>
        <w:rPr>
          <w:sz w:val="20"/>
          <w:szCs w:val="20"/>
          <w:color w:val="auto"/>
        </w:rPr>
      </w:pPr>
    </w:p>
    <w:p>
      <w:pPr>
        <w:ind w:left="720" w:hanging="631"/>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and cash flows for the years ended December 31, 2017, 2016, 2015, and</w:t>
      </w:r>
    </w:p>
    <w:p>
      <w:pPr>
        <w:spacing w:after="0" w:line="49" w:lineRule="exact"/>
        <w:rPr>
          <w:rFonts w:ascii="Times New Roman" w:cs="Times New Roman" w:eastAsia="Times New Roman" w:hAnsi="Times New Roman"/>
          <w:sz w:val="18"/>
          <w:szCs w:val="18"/>
          <w:color w:val="auto"/>
        </w:rPr>
      </w:pPr>
    </w:p>
    <w:p>
      <w:pPr>
        <w:ind w:left="720" w:hanging="631"/>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December 31, 2017 and December 31, 2016</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8,762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2,858</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paid to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94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4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Premiums paid to retire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paid to noncontrolling interests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94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4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business, net of cash sold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investment hedge settlements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paid to noncontrolling interests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94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4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1380" w:type="dxa"/>
            <w:vAlign w:val="bottom"/>
            <w:gridSpan w:val="3"/>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Crown Americas, LLC, Crown Americas Capital Corp. II, Crown Americas Capital Corp. III and Crown Americas Capital Corp. V (collectively, the Issuers), wholly owned subsidiaries of the Company, have outstanding $1,000 principal amount of 4.5% senior notes due 2023 and $400 principal amount of 4.25% senior notes due 2026 which are fully and unconditionally guaranteed by Crown Holdings, Inc. (Parent) and substantially all subsidiaries in the United States. The guarantors are wholly owned by the Company and the guarantees are made on a joint and several basis. The following condensed combining financial statements:</w:t>
      </w:r>
    </w:p>
    <w:p>
      <w:pPr>
        <w:spacing w:after="0" w:line="18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and cash flows for the years ended December 31, 2017, 2016, 2015,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December 31, 2017 and December 31, 2016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25"/>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7"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w w:val="88"/>
              </w:rPr>
              <w:t>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8,762</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80"/>
          </w:cols>
          <w:pgMar w:left="260" w:top="117" w:right="25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provided by/(used for) operating activities</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5"/>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cash equivalents and restricted</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1"/>
        </w:trPr>
        <w:tc>
          <w:tcPr>
            <w:tcW w:w="40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provided by/(used for) operating activities</w:t>
            </w: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5"/>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Premiums paid to retire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cash equivalents and restricted</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1"/>
        </w:trPr>
        <w:tc>
          <w:tcPr>
            <w:tcW w:w="40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provided by/(used for) 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businesses, net of cash sold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investment hedge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cash equivalents and restricted</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vMerge w:val="continue"/>
          </w:tcPr>
          <w:p>
            <w:pPr>
              <w:spacing w:after="0"/>
              <w:rPr>
                <w:sz w:val="17"/>
                <w:szCs w:val="17"/>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4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Data (unaudited)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r>
      <w:tr>
        <w:trPr>
          <w:trHeight w:val="269"/>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First </w:t>
            </w:r>
            <w:r>
              <w:rPr>
                <w:rFonts w:ascii="Times New Roman" w:cs="Times New Roman" w:eastAsia="Times New Roman" w:hAnsi="Times New Roman"/>
                <w:sz w:val="12"/>
                <w:szCs w:val="12"/>
                <w:color w:val="auto"/>
              </w:rPr>
              <w:t>(1)</w:t>
            </w:r>
          </w:p>
        </w:tc>
        <w:tc>
          <w:tcPr>
            <w:tcW w:w="14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Second </w:t>
            </w:r>
            <w:r>
              <w:rPr>
                <w:rFonts w:ascii="Times New Roman" w:cs="Times New Roman" w:eastAsia="Times New Roman" w:hAnsi="Times New Roman"/>
                <w:sz w:val="12"/>
                <w:szCs w:val="12"/>
                <w:color w:val="auto"/>
              </w:rPr>
              <w:t>(2)</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Third </w:t>
            </w:r>
            <w:r>
              <w:rPr>
                <w:rFonts w:ascii="Times New Roman" w:cs="Times New Roman" w:eastAsia="Times New Roman" w:hAnsi="Times New Roman"/>
                <w:sz w:val="12"/>
                <w:szCs w:val="12"/>
                <w:color w:val="auto"/>
              </w:rPr>
              <w:t>(3)</w:t>
            </w:r>
          </w:p>
        </w:tc>
        <w:tc>
          <w:tcPr>
            <w:tcW w:w="140" w:type="dxa"/>
            <w:vAlign w:val="bottom"/>
          </w:tcPr>
          <w:p>
            <w:pPr>
              <w:spacing w:after="0"/>
              <w:rPr>
                <w:sz w:val="23"/>
                <w:szCs w:val="2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Fourth </w:t>
            </w:r>
            <w:r>
              <w:rPr>
                <w:rFonts w:ascii="Times New Roman" w:cs="Times New Roman" w:eastAsia="Times New Roman" w:hAnsi="Times New Roman"/>
                <w:sz w:val="12"/>
                <w:szCs w:val="12"/>
                <w:color w:val="auto"/>
              </w:rPr>
              <w:t>(4)</w:t>
            </w:r>
          </w:p>
        </w:tc>
        <w:tc>
          <w:tcPr>
            <w:tcW w:w="180" w:type="dxa"/>
            <w:vAlign w:val="bottom"/>
          </w:tcPr>
          <w:p>
            <w:pPr>
              <w:spacing w:after="0"/>
              <w:rPr>
                <w:sz w:val="23"/>
                <w:szCs w:val="23"/>
                <w:color w:val="auto"/>
              </w:rPr>
            </w:pPr>
          </w:p>
        </w:tc>
        <w:tc>
          <w:tcPr>
            <w:tcW w:w="84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4"/>
                <w:szCs w:val="14"/>
                <w:color w:val="auto"/>
              </w:rPr>
              <w:t xml:space="preserve">First </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Second </w:t>
            </w:r>
            <w:r>
              <w:rPr>
                <w:rFonts w:ascii="Times New Roman" w:cs="Times New Roman" w:eastAsia="Times New Roman" w:hAnsi="Times New Roman"/>
                <w:sz w:val="12"/>
                <w:szCs w:val="12"/>
                <w:color w:val="auto"/>
              </w:rPr>
              <w:t>(6)</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Third </w:t>
            </w:r>
            <w:r>
              <w:rPr>
                <w:rFonts w:ascii="Times New Roman" w:cs="Times New Roman" w:eastAsia="Times New Roman" w:hAnsi="Times New Roman"/>
                <w:sz w:val="12"/>
                <w:szCs w:val="12"/>
                <w:color w:val="auto"/>
              </w:rPr>
              <w:t>(7)</w:t>
            </w:r>
          </w:p>
        </w:tc>
        <w:tc>
          <w:tcPr>
            <w:tcW w:w="16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 xml:space="preserve">Fourth </w:t>
            </w:r>
            <w:r>
              <w:rPr>
                <w:rFonts w:ascii="Times New Roman" w:cs="Times New Roman" w:eastAsia="Times New Roman" w:hAnsi="Times New Roman"/>
                <w:sz w:val="12"/>
                <w:szCs w:val="12"/>
                <w:color w:val="auto"/>
              </w:rPr>
              <w:t>(8)</w:t>
            </w: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Crown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66"/>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3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Earnings per average common share: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37"/>
        </w:trPr>
        <w:tc>
          <w:tcPr>
            <w:tcW w:w="3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price range: **</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High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57.49</w:t>
            </w:r>
          </w:p>
        </w:tc>
      </w:tr>
      <w:tr>
        <w:trPr>
          <w:trHeight w:val="243"/>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Low</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51.57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Close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52.57</w:t>
            </w:r>
          </w:p>
        </w:tc>
      </w:tr>
      <w:tr>
        <w:trPr>
          <w:trHeight w:val="20"/>
        </w:trPr>
        <w:tc>
          <w:tcPr>
            <w:tcW w:w="3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right="3560" w:firstLine="8"/>
        <w:spacing w:after="0" w:line="261"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defines gross profit as net sales less cost of products sold and depreciation and amortization. ** Source: New York Stock Exchange - Composite Transactions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benefits of $4 for restructuring and other and $5 for hedge ineffectiveness.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charges of $18 for restructuring and other, $7 for loss from early extinguishment of debt and $8 for hedge ineffectiveness.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pre-tax charge of $16 for restructuring and other and a pre-tax benefit of $1 for hedge ineffectiveness.</w:t>
      </w:r>
    </w:p>
    <w:p>
      <w:pPr>
        <w:spacing w:after="0" w:line="9" w:lineRule="exact"/>
        <w:rPr>
          <w:rFonts w:ascii="Times New Roman" w:cs="Times New Roman" w:eastAsia="Times New Roman" w:hAnsi="Times New Roman"/>
          <w:sz w:val="18"/>
          <w:szCs w:val="18"/>
          <w:color w:val="auto"/>
        </w:rPr>
      </w:pPr>
    </w:p>
    <w:p>
      <w:pPr>
        <w:ind w:left="540" w:right="100" w:hanging="316"/>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charges of $3 for asbestos claims and $21 for restructuring and other, a pre-tax benefit of $2 for hedge ineffectiveness and an income tax charge of $177 to recognize the provisional impact of US tax reform.</w:t>
      </w: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pre-tax benefit of $1 for restructuring and other and a pre-tax charge of $27 for loss from early extinguishment of debt.</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benefits of $3 for restructuring and other and $4 for hedge ineffectiveness.</w:t>
      </w:r>
    </w:p>
    <w:p>
      <w:pPr>
        <w:spacing w:after="0" w:line="9"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charges of $11 restructuring and other and $10 for loss from early extinguishment of debt, a pre-tax benefit of $2 for hedge ineffectiveness and an income tax benefit of $31 for a valuation allowance release partially offset by an income tax charge of $13 for tax contingencies and the impact of a corporate restructuring.</w:t>
      </w:r>
    </w:p>
    <w:p>
      <w:pPr>
        <w:spacing w:after="0" w:line="1"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pre-tax charges of $21 for asbestos claims and $23 for restructuring and other, a pre-tax benefit of $2 for hedge ineffectiveness and an income tax charge of $2 for a tax law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sectPr>
      </w:pPr>
    </w:p>
    <w:bookmarkStart w:id="92" w:name="page93"/>
    <w:bookmarkEnd w:id="9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SCHEDULE II – VALUATION AND QUALIFYING ACCOUNTS AND RESERVES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(In millions)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4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COLUMN A</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COLUMN B</w:t>
            </w:r>
          </w:p>
        </w:tc>
        <w:tc>
          <w:tcPr>
            <w:tcW w:w="540" w:type="dxa"/>
            <w:vAlign w:val="bottom"/>
            <w:tcBorders>
              <w:top w:val="single" w:sz="8" w:color="auto"/>
            </w:tcBorders>
          </w:tcPr>
          <w:p>
            <w:pPr>
              <w:spacing w:after="0"/>
              <w:rPr>
                <w:sz w:val="18"/>
                <w:szCs w:val="18"/>
                <w:color w:val="auto"/>
              </w:rPr>
            </w:pPr>
          </w:p>
        </w:tc>
        <w:tc>
          <w:tcPr>
            <w:tcW w:w="2120" w:type="dxa"/>
            <w:vAlign w:val="bottom"/>
            <w:tcBorders>
              <w:top w:val="single" w:sz="8" w:color="auto"/>
              <w:right w:val="single" w:sz="8" w:color="auto"/>
            </w:tcBorders>
            <w:gridSpan w:val="6"/>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COLUMN C</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COLUMN D</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COLUMN E</w:t>
            </w:r>
          </w:p>
        </w:tc>
        <w:tc>
          <w:tcPr>
            <w:tcW w:w="20" w:type="dxa"/>
            <w:vAlign w:val="bottom"/>
            <w:tcBorders>
              <w:top w:val="single" w:sz="8" w:color="auto"/>
            </w:tcBorders>
            <w:shd w:val="clear" w:color="auto" w:fill="000000"/>
          </w:tcPr>
          <w:p>
            <w:pPr>
              <w:spacing w:after="0"/>
              <w:rPr>
                <w:sz w:val="18"/>
                <w:szCs w:val="18"/>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Additions</w:t>
            </w:r>
          </w:p>
        </w:tc>
        <w:tc>
          <w:tcPr>
            <w:tcW w:w="8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Balance at</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beginning of</w:t>
            </w:r>
          </w:p>
        </w:tc>
        <w:tc>
          <w:tcPr>
            <w:tcW w:w="1340" w:type="dxa"/>
            <w:vAlign w:val="bottom"/>
            <w:tcBorders>
              <w:right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Charged to costs</w:t>
            </w:r>
          </w:p>
        </w:tc>
        <w:tc>
          <w:tcPr>
            <w:tcW w:w="1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Charged to</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Deductions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Balance at</w:t>
            </w:r>
          </w:p>
        </w:tc>
        <w:tc>
          <w:tcPr>
            <w:tcW w:w="20" w:type="dxa"/>
            <w:vAlign w:val="bottom"/>
            <w:shd w:val="clear" w:color="auto" w:fill="000000"/>
          </w:tcPr>
          <w:p>
            <w:pPr>
              <w:spacing w:after="0"/>
              <w:rPr>
                <w:sz w:val="18"/>
                <w:szCs w:val="18"/>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period</w:t>
            </w:r>
          </w:p>
        </w:tc>
        <w:tc>
          <w:tcPr>
            <w:tcW w:w="1340" w:type="dxa"/>
            <w:vAlign w:val="bottom"/>
            <w:tcBorders>
              <w:right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and expense</w:t>
            </w:r>
          </w:p>
        </w:tc>
        <w:tc>
          <w:tcPr>
            <w:tcW w:w="1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other accounts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write-offs</w:t>
            </w:r>
          </w:p>
        </w:tc>
        <w:tc>
          <w:tcPr>
            <w:tcW w:w="140" w:type="dxa"/>
            <w:vAlign w:val="bottom"/>
          </w:tcPr>
          <w:p>
            <w:pPr>
              <w:spacing w:after="0"/>
              <w:rPr>
                <w:sz w:val="20"/>
                <w:szCs w:val="20"/>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end of period</w:t>
            </w:r>
          </w:p>
        </w:tc>
        <w:tc>
          <w:tcPr>
            <w:tcW w:w="20" w:type="dxa"/>
            <w:vAlign w:val="bottom"/>
            <w:shd w:val="clear" w:color="auto" w:fill="000000"/>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520"/>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For the year ended December 31, 2017</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tcBorders>
              <w:left w:val="single" w:sz="8" w:color="CCEEFF"/>
            </w:tcBorders>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1"/>
                <w:szCs w:val="21"/>
                <w:color w:val="auto"/>
              </w:rPr>
            </w:pPr>
          </w:p>
        </w:tc>
        <w:tc>
          <w:tcPr>
            <w:tcW w:w="5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54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80" w:type="dxa"/>
            <w:vAlign w:val="bottom"/>
            <w:gridSpan w:val="2"/>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00" w:type="dxa"/>
            <w:vAlign w:val="bottom"/>
            <w:gridSpan w:val="11"/>
          </w:tcPr>
          <w:p>
            <w:pPr>
              <w:ind w:left="100"/>
              <w:spacing w:after="0" w:line="202" w:lineRule="exact"/>
              <w:rPr>
                <w:sz w:val="20"/>
                <w:szCs w:val="20"/>
                <w:color w:val="auto"/>
              </w:rPr>
            </w:pPr>
            <w:r>
              <w:rPr>
                <w:rFonts w:ascii="Times New Roman" w:cs="Times New Roman" w:eastAsia="Times New Roman" w:hAnsi="Times New Roman"/>
                <w:sz w:val="18"/>
                <w:szCs w:val="18"/>
                <w:color w:val="auto"/>
              </w:rPr>
              <w:t>For the year ended December 31, 2016</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tcBorders>
              <w:left w:val="single" w:sz="8" w:color="CCEEFF"/>
            </w:tcBorders>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80" w:type="dxa"/>
            <w:vAlign w:val="bottom"/>
            <w:gridSpan w:val="2"/>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60" w:type="dxa"/>
            <w:vAlign w:val="bottom"/>
            <w:gridSpan w:val="2"/>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200" w:type="dxa"/>
            <w:vAlign w:val="bottom"/>
            <w:gridSpan w:val="11"/>
          </w:tcPr>
          <w:p>
            <w:pPr>
              <w:ind w:left="100"/>
              <w:spacing w:after="0" w:line="202" w:lineRule="exact"/>
              <w:rPr>
                <w:sz w:val="20"/>
                <w:szCs w:val="20"/>
                <w:color w:val="auto"/>
              </w:rPr>
            </w:pPr>
            <w:r>
              <w:rPr>
                <w:rFonts w:ascii="Times New Roman" w:cs="Times New Roman" w:eastAsia="Times New Roman" w:hAnsi="Times New Roman"/>
                <w:sz w:val="18"/>
                <w:szCs w:val="18"/>
                <w:color w:val="auto"/>
              </w:rPr>
              <w:t>For the year ended December 31, 2015</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tcBorders>
              <w:left w:val="single" w:sz="8" w:color="CCEEFF"/>
            </w:tcBorders>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tcBorders>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54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tcBorders>
              <w:left w:val="single" w:sz="8" w:color="CCEEFF"/>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3180" w:type="dxa"/>
            <w:vAlign w:val="bottom"/>
            <w:tcBorders>
              <w:bottom w:val="single" w:sz="8" w:color="auto"/>
            </w:tcBorders>
            <w:gridSpan w:val="2"/>
            <w:shd w:val="clear" w:color="auto" w:fill="CCEEFF"/>
          </w:tcPr>
          <w:p>
            <w:pPr>
              <w:spacing w:after="0"/>
              <w:rPr>
                <w:sz w:val="24"/>
                <w:szCs w:val="24"/>
                <w:color w:val="auto"/>
              </w:rPr>
            </w:pPr>
          </w:p>
        </w:tc>
        <w:tc>
          <w:tcPr>
            <w:tcW w:w="320" w:type="dxa"/>
            <w:vAlign w:val="bottom"/>
            <w:tcBorders>
              <w:bottom w:val="single" w:sz="8" w:color="auto"/>
              <w:right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right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right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Amounts charged to other accounts primarily relates to foreign currency translation.</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5"/>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80"/>
      </w:cols>
      <w:pgMar w:left="240" w:top="1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2019-12-28T17:40:48Z</dcterms:created>
  <dcterms:modified xsi:type="dcterms:W3CDTF">2019-12-28T17:40:48Z</dcterms:modified>
</cp:coreProperties>
</file>