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39"/>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Tampa, Florida 33637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09"/>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7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OPERATION</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July 30, 2024,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Crown European Holdings S.A.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subsidiary of the Company, agreed to issue and sell to several initial purchasers, for whom BNP Paribas is acting as representative, €600,000,000 in aggregate principal amount of senior unsecured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Notes will mature on January 15, 2030 and will accrue interest at a rate of 4.500% per year. Interest on the Notes will be payable semi-annually on January 15 and July 15 of each year, beginning on January 15, 2025. The Issuer may redeem some or all of the Notes, at its option, at any time prior to October 15, 2029 by paying 100% of the principal amount, plus accrued and unpaid interest, if any, to, but excluding, the redemption date, and a make-whole premium.</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Issuer may redeem some or all of the Notes, at its option, at any time on or after October 15, 2029 by paying 100% of the principal amount, plus accrued and unpaid interest, if any, to, but excluding, the redemption date.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Notes will be sold in a private placement and resold by the initial purchasers to persons reasonably believed to be qualified institutional buyers pursuant to Rule 144A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the full text of the Purchase Agreement attached hereto as Exhibit 10.1, which is hereby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2023 and in subsequent filings made prior to or after the date hereof. The Company does not intend to review or revise any particular forward-looking statement in light of future events.</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SECTION 9 - FINANCIAL STATEMENTS AND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08"/>
        </w:trPr>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9500" w:type="dxa"/>
            <w:vAlign w:val="bottom"/>
            <w:gridSpan w:val="2"/>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40" w:type="dxa"/>
            <w:vAlign w:val="bottom"/>
          </w:tcPr>
          <w:p>
            <w:pPr>
              <w:spacing w:after="0"/>
              <w:rPr>
                <w:sz w:val="23"/>
                <w:szCs w:val="23"/>
                <w:color w:val="auto"/>
              </w:rPr>
            </w:pPr>
          </w:p>
        </w:tc>
        <w:tc>
          <w:tcPr>
            <w:tcW w:w="9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Purchase Agreement, dated as of July 30, 2024, by and among the Company, the Issuer, BNP Paribas, as representative of the Initial</w:t>
            </w: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Purchasers named in Schedule I thereto, and the Guarantors (as defined therein).</w:t>
            </w: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240" w:type="dxa"/>
            <w:vAlign w:val="bottom"/>
          </w:tcPr>
          <w:p>
            <w:pPr>
              <w:spacing w:after="0"/>
              <w:rPr>
                <w:sz w:val="24"/>
                <w:szCs w:val="24"/>
                <w:color w:val="auto"/>
              </w:rPr>
            </w:pPr>
          </w:p>
        </w:tc>
        <w:tc>
          <w:tcPr>
            <w:tcW w:w="5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3720" w:type="dxa"/>
            <w:vAlign w:val="bottom"/>
          </w:tcPr>
          <w:p>
            <w:pPr>
              <w:spacing w:after="0"/>
              <w:rPr>
                <w:sz w:val="24"/>
                <w:szCs w:val="24"/>
                <w:color w:val="auto"/>
              </w:rPr>
            </w:pPr>
          </w:p>
        </w:tc>
      </w:tr>
    </w:tbl>
    <w:p>
      <w:pPr>
        <w:sectPr>
          <w:pgSz w:w="11900" w:h="16838" w:orient="portrait"/>
          <w:cols w:equalWidth="0" w:num="1">
            <w:col w:w="10820"/>
          </w:cols>
          <w:pgMar w:left="440" w:top="293" w:right="6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p>
      <w:pPr>
        <w:sectPr>
          <w:pgSz w:w="11900" w:h="16838" w:orient="portrait"/>
          <w:cols w:equalWidth="0" w:num="1">
            <w:col w:w="10560"/>
          </w:cols>
          <w:pgMar w:left="440" w:top="293"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4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420" w:type="dxa"/>
            <w:vAlign w:val="bottom"/>
          </w:tcPr>
          <w:p>
            <w:pPr>
              <w:spacing w:after="0"/>
              <w:rPr>
                <w:sz w:val="20"/>
                <w:szCs w:val="20"/>
                <w:color w:val="auto"/>
              </w:rPr>
            </w:pPr>
          </w:p>
        </w:tc>
      </w:tr>
      <w:tr>
        <w:trPr>
          <w:trHeight w:val="432"/>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ISSUANCE BY</w:t>
            </w:r>
          </w:p>
        </w:tc>
        <w:tc>
          <w:tcPr>
            <w:tcW w:w="3420" w:type="dxa"/>
            <w:vAlign w:val="bottom"/>
          </w:tcPr>
          <w:p>
            <w:pPr>
              <w:spacing w:after="0"/>
              <w:rPr>
                <w:sz w:val="24"/>
                <w:szCs w:val="24"/>
                <w:color w:val="auto"/>
              </w:rPr>
            </w:pPr>
          </w:p>
        </w:tc>
      </w:tr>
      <w:tr>
        <w:trPr>
          <w:trHeight w:val="432"/>
        </w:trPr>
        <w:tc>
          <w:tcPr>
            <w:tcW w:w="2780" w:type="dxa"/>
            <w:vAlign w:val="bottom"/>
          </w:tcPr>
          <w:p>
            <w:pPr>
              <w:spacing w:after="0"/>
              <w:rPr>
                <w:sz w:val="24"/>
                <w:szCs w:val="24"/>
                <w:color w:val="auto"/>
              </w:rPr>
            </w:pPr>
          </w:p>
        </w:tc>
        <w:tc>
          <w:tcPr>
            <w:tcW w:w="4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CROWN EUROPEAN HOLDINGS S.A.</w:t>
            </w:r>
          </w:p>
        </w:tc>
        <w:tc>
          <w:tcPr>
            <w:tcW w:w="3420" w:type="dxa"/>
            <w:vAlign w:val="bottom"/>
          </w:tcPr>
          <w:p>
            <w:pPr>
              <w:spacing w:after="0"/>
              <w:rPr>
                <w:sz w:val="24"/>
                <w:szCs w:val="24"/>
                <w:color w:val="auto"/>
              </w:rPr>
            </w:pPr>
          </w:p>
        </w:tc>
      </w:tr>
      <w:tr>
        <w:trPr>
          <w:trHeight w:val="432"/>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3420" w:type="dxa"/>
            <w:vAlign w:val="bottom"/>
          </w:tcPr>
          <w:p>
            <w:pPr>
              <w:spacing w:after="0"/>
              <w:rPr>
                <w:sz w:val="24"/>
                <w:szCs w:val="24"/>
                <w:color w:val="auto"/>
              </w:rPr>
            </w:pPr>
          </w:p>
        </w:tc>
      </w:tr>
      <w:tr>
        <w:trPr>
          <w:trHeight w:val="432"/>
        </w:trPr>
        <w:tc>
          <w:tcPr>
            <w:tcW w:w="2780" w:type="dxa"/>
            <w:vAlign w:val="bottom"/>
          </w:tcPr>
          <w:p>
            <w:pPr>
              <w:spacing w:after="0"/>
              <w:rPr>
                <w:sz w:val="24"/>
                <w:szCs w:val="24"/>
                <w:color w:val="auto"/>
              </w:rPr>
            </w:pPr>
          </w:p>
        </w:tc>
        <w:tc>
          <w:tcPr>
            <w:tcW w:w="4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€600,000,000 4.500% Senior Notes due 2030</w:t>
            </w:r>
          </w:p>
        </w:tc>
        <w:tc>
          <w:tcPr>
            <w:tcW w:w="3420" w:type="dxa"/>
            <w:vAlign w:val="bottom"/>
          </w:tcPr>
          <w:p>
            <w:pPr>
              <w:spacing w:after="0"/>
              <w:rPr>
                <w:sz w:val="24"/>
                <w:szCs w:val="24"/>
                <w:color w:val="auto"/>
              </w:rPr>
            </w:pPr>
          </w:p>
        </w:tc>
      </w:tr>
      <w:tr>
        <w:trPr>
          <w:trHeight w:val="392"/>
        </w:trPr>
        <w:tc>
          <w:tcPr>
            <w:tcW w:w="2780" w:type="dxa"/>
            <w:vAlign w:val="bottom"/>
          </w:tcPr>
          <w:p>
            <w:pPr>
              <w:spacing w:after="0"/>
              <w:rPr>
                <w:sz w:val="24"/>
                <w:szCs w:val="24"/>
                <w:color w:val="auto"/>
              </w:rPr>
            </w:pPr>
          </w:p>
        </w:tc>
        <w:tc>
          <w:tcPr>
            <w:tcW w:w="4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Purchase Agreement</w:t>
            </w:r>
          </w:p>
        </w:tc>
        <w:tc>
          <w:tcPr>
            <w:tcW w:w="3420" w:type="dxa"/>
            <w:vAlign w:val="bottom"/>
          </w:tcPr>
          <w:p>
            <w:pPr>
              <w:spacing w:after="0"/>
              <w:rPr>
                <w:sz w:val="24"/>
                <w:szCs w:val="24"/>
                <w:color w:val="auto"/>
              </w:rPr>
            </w:pPr>
          </w:p>
        </w:tc>
      </w:tr>
      <w:tr>
        <w:trPr>
          <w:trHeight w:val="453"/>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8"/>
              </w:rPr>
              <w:t>July 30, 2024</w:t>
            </w:r>
          </w:p>
        </w:tc>
      </w:tr>
      <w:tr>
        <w:trPr>
          <w:trHeight w:val="441"/>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BNP Paribas</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Crédit Agricole Corporate and Investment Bank</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Deutsche Bank Aktiengesellschaft</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16, boulevard des Italiens</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12, Place des Etats-Unis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Mainzer Landstr. 11-17</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75009 Paris</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CS 70052</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60329 Frankfurt am Main</w:t>
            </w:r>
          </w:p>
        </w:tc>
      </w:tr>
      <w:tr>
        <w:trPr>
          <w:trHeight w:val="216"/>
        </w:trPr>
        <w:tc>
          <w:tcPr>
            <w:tcW w:w="2780" w:type="dxa"/>
            <w:vAlign w:val="bottom"/>
          </w:tcPr>
          <w:p>
            <w:pPr>
              <w:spacing w:after="0"/>
              <w:rPr>
                <w:sz w:val="18"/>
                <w:szCs w:val="18"/>
                <w:color w:val="auto"/>
              </w:rPr>
            </w:pP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92547 MONTROUGE CEDEX</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4"/>
        </w:trPr>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France</w:t>
            </w:r>
          </w:p>
        </w:tc>
        <w:tc>
          <w:tcPr>
            <w:tcW w:w="3420" w:type="dxa"/>
            <w:vAlign w:val="bottom"/>
          </w:tcPr>
          <w:p>
            <w:pPr>
              <w:spacing w:after="0"/>
              <w:rPr>
                <w:sz w:val="20"/>
                <w:szCs w:val="20"/>
                <w:color w:val="auto"/>
              </w:rPr>
            </w:pPr>
          </w:p>
        </w:tc>
      </w:tr>
      <w:tr>
        <w:trPr>
          <w:trHeight w:val="319"/>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BofA Securities Europe SA</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Citigroup Global Markets Europe AG</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ING Bank N.V.</w:t>
            </w:r>
          </w:p>
        </w:tc>
      </w:tr>
      <w:tr>
        <w:trPr>
          <w:trHeight w:val="216"/>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51 rue La Boétie</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Reuterweg 16</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Foppingadreef 7</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75008 Paris</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60323 Frankfurt am Main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 BD Amsterdam</w:t>
            </w:r>
          </w:p>
        </w:tc>
      </w:tr>
      <w:tr>
        <w:trPr>
          <w:trHeight w:val="234"/>
        </w:trPr>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Germany</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319"/>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Mizuho Securities Europe GmbH</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MUFG Securities (Europe) N.V.</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Banco Santander, S.A.</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Taunustor 1</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World Trade Center,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Ciudad Grupo Santander</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60310 Frankfurt am Main</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Tower H, 11th Floor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Avenida de Cantabria s/n</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Zuidplein 98</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Edificio Encinar</w:t>
            </w:r>
          </w:p>
        </w:tc>
      </w:tr>
      <w:tr>
        <w:trPr>
          <w:trHeight w:val="234"/>
        </w:trPr>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1077 XV Amsterdam</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28660, Boadilla del Monte, Madrid, Spain</w:t>
            </w:r>
          </w:p>
        </w:tc>
      </w:tr>
      <w:tr>
        <w:trPr>
          <w:trHeight w:val="319"/>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Scotiabank (Ireland)</w:t>
            </w:r>
          </w:p>
        </w:tc>
        <w:tc>
          <w:tcPr>
            <w:tcW w:w="1260" w:type="dxa"/>
            <w:vAlign w:val="bottom"/>
          </w:tcPr>
          <w:p>
            <w:pPr>
              <w:spacing w:after="0"/>
              <w:rPr>
                <w:sz w:val="24"/>
                <w:szCs w:val="24"/>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SMBC Bank EU AG</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TD Securities (USA) LLC</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Designated Activity Company</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Neue Mainzer Straße 52-58,</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Vanderbilt Avenue, New York, NY 10017</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Three Park Place</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60311 Frankfurt, Germany</w:t>
            </w:r>
          </w:p>
        </w:tc>
        <w:tc>
          <w:tcPr>
            <w:tcW w:w="3420" w:type="dxa"/>
            <w:vAlign w:val="bottom"/>
          </w:tcPr>
          <w:p>
            <w:pPr>
              <w:spacing w:after="0"/>
              <w:rPr>
                <w:sz w:val="18"/>
                <w:szCs w:val="18"/>
                <w:color w:val="auto"/>
              </w:rPr>
            </w:pP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Hatch Street Upper,</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4"/>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Dublin, Ireland</w:t>
            </w: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19"/>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UniCredit Bank GmbH</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Wells Fargo Securities Europe S.A.</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Huntington Securities, Inc.</w:t>
            </w:r>
          </w:p>
        </w:tc>
      </w:tr>
      <w:tr>
        <w:trPr>
          <w:trHeight w:val="216"/>
        </w:trPr>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Arabellastrasse 12</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1-5 Rue Paul Cézanne, 75008 Paris, France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 S. High St.</w:t>
            </w: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81925 Munich, Germany</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5th Floor</w:t>
            </w:r>
          </w:p>
        </w:tc>
      </w:tr>
      <w:tr>
        <w:trPr>
          <w:trHeight w:val="234"/>
        </w:trPr>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Columbus, OH 43287</w:t>
            </w:r>
          </w:p>
        </w:tc>
      </w:tr>
      <w:tr>
        <w:trPr>
          <w:trHeight w:val="319"/>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PNC Capital Markets LLC 300</w:t>
            </w:r>
          </w:p>
        </w:tc>
        <w:tc>
          <w:tcPr>
            <w:tcW w:w="4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Coöperatieve Rabobank U.A.</w:t>
            </w:r>
          </w:p>
        </w:tc>
        <w:tc>
          <w:tcPr>
            <w:tcW w:w="3420" w:type="dxa"/>
            <w:vAlign w:val="bottom"/>
          </w:tcPr>
          <w:p>
            <w:pPr>
              <w:spacing w:after="0"/>
              <w:rPr>
                <w:sz w:val="24"/>
                <w:szCs w:val="24"/>
                <w:color w:val="auto"/>
              </w:rPr>
            </w:pP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Fifth Avenue., 10th Fl</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Croeselaan 18</w:t>
            </w:r>
          </w:p>
        </w:tc>
        <w:tc>
          <w:tcPr>
            <w:tcW w:w="3420" w:type="dxa"/>
            <w:vAlign w:val="bottom"/>
          </w:tcPr>
          <w:p>
            <w:pPr>
              <w:spacing w:after="0"/>
              <w:rPr>
                <w:sz w:val="18"/>
                <w:szCs w:val="18"/>
                <w:color w:val="auto"/>
              </w:rPr>
            </w:pPr>
          </w:p>
        </w:tc>
      </w:tr>
      <w:tr>
        <w:trPr>
          <w:trHeight w:val="216"/>
        </w:trPr>
        <w:tc>
          <w:tcPr>
            <w:tcW w:w="27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Pittsburgh, PA 15222</w:t>
            </w:r>
          </w:p>
        </w:tc>
        <w:tc>
          <w:tcPr>
            <w:tcW w:w="1260" w:type="dxa"/>
            <w:vAlign w:val="bottom"/>
          </w:tcPr>
          <w:p>
            <w:pPr>
              <w:spacing w:after="0"/>
              <w:rPr>
                <w:sz w:val="18"/>
                <w:szCs w:val="18"/>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3521CB Utrecht</w:t>
            </w:r>
          </w:p>
        </w:tc>
        <w:tc>
          <w:tcPr>
            <w:tcW w:w="34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The Netherlands</w:t>
            </w:r>
          </w:p>
        </w:tc>
        <w:tc>
          <w:tcPr>
            <w:tcW w:w="3420" w:type="dxa"/>
            <w:vAlign w:val="bottom"/>
          </w:tcPr>
          <w:p>
            <w:pPr>
              <w:spacing w:after="0"/>
              <w:rPr>
                <w:sz w:val="20"/>
                <w:szCs w:val="20"/>
                <w:color w:val="auto"/>
              </w:rPr>
            </w:pPr>
          </w:p>
        </w:tc>
      </w:tr>
    </w:tbl>
    <w:p>
      <w:pPr>
        <w:sectPr>
          <w:pgSz w:w="11900" w:h="16838" w:orient="portrait"/>
          <w:cols w:equalWidth="0" w:num="1">
            <w:col w:w="10300"/>
          </w:cols>
          <w:pgMar w:left="116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Crown Holdings, Inc., a Pennsylvania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and the indirect parent company of Crown European Holdings S.A., a </w:t>
      </w:r>
      <w:r>
        <w:rPr>
          <w:rFonts w:ascii="Times New Roman" w:cs="Times New Roman" w:eastAsia="Times New Roman" w:hAnsi="Times New Roman"/>
          <w:sz w:val="18"/>
          <w:szCs w:val="18"/>
          <w:i w:val="1"/>
          <w:iCs w:val="1"/>
          <w:color w:val="auto"/>
        </w:rPr>
        <w:t xml:space="preserve">société anonyme </w:t>
      </w:r>
      <w:r>
        <w:rPr>
          <w:rFonts w:ascii="Times New Roman" w:cs="Times New Roman" w:eastAsia="Times New Roman" w:hAnsi="Times New Roman"/>
          <w:sz w:val="18"/>
          <w:szCs w:val="18"/>
          <w:color w:val="auto"/>
        </w:rPr>
        <w:t>organized under the laws of France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proposes that the Issuer issue and sell to the several purchasers named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for whom BNP Paribas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is acting as representative, €600,000,000 aggregate principal amount of its 4.500% Senior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Notes will be fully and unconditionally guaranteed on a senior basis by Holdings and the other guarantors named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(together with Holdings,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Guarantors collectively with the Issuer,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The Notes will be issued pursuant to an indenture to be dated as of August 8,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Elavon Financial Services DAC, as paying agent, and Elavon Financial Services DAC, as registrar and transfer agent. The Notes will have the benefit of the guarantees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provided for in the Indenture. The use of the neuter in 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include the feminine and masculine wherever appropriate. Certain terms used herein are defined in Section 19 hereof.</w:t>
      </w:r>
    </w:p>
    <w:p>
      <w:pPr>
        <w:spacing w:after="0" w:line="194"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As described in the Pricing Disclosure Package and the Final Memorandum (each as defined below), the Issuer intends to use the net proceeds from this offering, together with cash on hand, to pay at maturity the Issuer’s outstanding 2.625% senior notes due in September 2024 and to pay related fees and expenses.</w:t>
      </w:r>
    </w:p>
    <w:p>
      <w:pPr>
        <w:spacing w:after="0" w:line="176" w:lineRule="exact"/>
        <w:rPr>
          <w:sz w:val="20"/>
          <w:szCs w:val="20"/>
          <w:color w:val="auto"/>
        </w:rPr>
      </w:pPr>
    </w:p>
    <w:p>
      <w:pPr>
        <w:jc w:val="both"/>
        <w:ind w:right="620" w:firstLine="991"/>
        <w:spacing w:after="0" w:line="266" w:lineRule="auto"/>
        <w:rPr>
          <w:sz w:val="20"/>
          <w:szCs w:val="20"/>
          <w:color w:val="auto"/>
        </w:rPr>
      </w:pPr>
      <w:r>
        <w:rPr>
          <w:rFonts w:ascii="Times New Roman" w:cs="Times New Roman" w:eastAsia="Times New Roman" w:hAnsi="Times New Roman"/>
          <w:sz w:val="18"/>
          <w:szCs w:val="18"/>
          <w:color w:val="auto"/>
        </w:rPr>
        <w:t>This Agreement, the Securities, the Indenture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sale of the Securities to the Initial Purchasers will be made without registration of the Securities under the Act in reliance upon exemptions from the registration requirements of the Act.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the Companies have prepared a preliminary offering memorandum dated July 30, 2024 (including the information incorporated by reference therein, the “</w:t>
      </w:r>
      <w:r>
        <w:rPr>
          <w:rFonts w:ascii="Times New Roman" w:cs="Times New Roman" w:eastAsia="Times New Roman" w:hAnsi="Times New Roman"/>
          <w:sz w:val="18"/>
          <w:szCs w:val="18"/>
          <w:u w:val="single" w:color="auto"/>
          <w:color w:val="auto"/>
        </w:rPr>
        <w:t>Preliminary Memorandum</w:t>
      </w:r>
      <w:r>
        <w:rPr>
          <w:rFonts w:ascii="Times New Roman" w:cs="Times New Roman" w:eastAsia="Times New Roman" w:hAnsi="Times New Roman"/>
          <w:sz w:val="18"/>
          <w:szCs w:val="18"/>
          <w:color w:val="auto"/>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Times New Roman" w:cs="Times New Roman" w:eastAsia="Times New Roman" w:hAnsi="Times New Roman"/>
          <w:sz w:val="18"/>
          <w:szCs w:val="18"/>
          <w:u w:val="single" w:color="auto"/>
          <w:color w:val="auto"/>
        </w:rPr>
        <w:t>Pricing Disclosure Package</w:t>
      </w:r>
      <w:r>
        <w:rPr>
          <w:rFonts w:ascii="Times New Roman" w:cs="Times New Roman" w:eastAsia="Times New Roman" w:hAnsi="Times New Roman"/>
          <w:sz w:val="18"/>
          <w:szCs w:val="18"/>
          <w:color w:val="auto"/>
        </w:rPr>
        <w:t xml:space="preserve">” shall mean the Preliminary Memorandum, as supplemented or amended by the written communications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Times New Roman" w:cs="Times New Roman" w:eastAsia="Times New Roman" w:hAnsi="Times New Roman"/>
          <w:sz w:val="18"/>
          <w:szCs w:val="18"/>
          <w:u w:val="single" w:color="auto"/>
          <w:color w:val="auto"/>
        </w:rPr>
        <w:t>Time of Execution</w:t>
      </w:r>
      <w:r>
        <w:rPr>
          <w:rFonts w:ascii="Times New Roman" w:cs="Times New Roman" w:eastAsia="Times New Roman" w:hAnsi="Times New Roman"/>
          <w:sz w:val="18"/>
          <w:szCs w:val="18"/>
          <w:color w:val="auto"/>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Times New Roman" w:cs="Times New Roman" w:eastAsia="Times New Roman" w:hAnsi="Times New Roman"/>
          <w:sz w:val="18"/>
          <w:szCs w:val="18"/>
          <w:u w:val="single" w:color="auto"/>
          <w:color w:val="auto"/>
        </w:rPr>
        <w:t>Final Memorandum</w:t>
      </w:r>
      <w:r>
        <w:rPr>
          <w:rFonts w:ascii="Times New Roman" w:cs="Times New Roman" w:eastAsia="Times New Roman" w:hAnsi="Times New Roman"/>
          <w:sz w:val="18"/>
          <w:szCs w:val="18"/>
          <w:color w:val="auto"/>
        </w:rPr>
        <w:t>”), which will consist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Preliminary Memorandum with such changes therein as are required to reflect the information contained in the amendments or supplements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Companies hereby confirm that they have authorized the use of the Pricing Disclosure Package, the Final Memorandum and the Recorded Road Show (as defined below) in connection with the offer and sale of the Securities by the Initial Purchasers.</w:t>
      </w:r>
    </w:p>
    <w:p>
      <w:pPr>
        <w:spacing w:after="0" w:line="176" w:lineRule="exact"/>
        <w:rPr>
          <w:sz w:val="20"/>
          <w:szCs w:val="20"/>
          <w:color w:val="auto"/>
        </w:rPr>
      </w:pPr>
    </w:p>
    <w:p>
      <w:pPr>
        <w:ind w:right="40" w:firstLine="987"/>
        <w:spacing w:after="0" w:line="261"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Time of Execution and at the Closing Date (as defined in Section 3 below), the Companies, jointly and severally, represent and warrant to and agree with each of the Initial Purchasers as follows (references in this Section 1 to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are to (i) the Pricing Disclosure Package in the case of representations and warranties made as of the Time of Execution and (ii) both the Pricing Disclosure Package and the Final Memorandum in the case of representations and warranties made at the Closing Date):</w:t>
      </w:r>
    </w:p>
    <w:p>
      <w:pPr>
        <w:spacing w:after="0" w:line="180" w:lineRule="exact"/>
        <w:rPr>
          <w:sz w:val="20"/>
          <w:szCs w:val="20"/>
          <w:color w:val="auto"/>
        </w:rPr>
      </w:pPr>
    </w:p>
    <w:p>
      <w:pPr>
        <w:ind w:left="540" w:right="40" w:firstLine="425"/>
        <w:spacing w:after="0" w:line="252" w:lineRule="auto"/>
        <w:tabs>
          <w:tab w:leader="none" w:pos="12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specifically for inclusion therein.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Times New Roman" w:cs="Times New Roman" w:eastAsia="Times New Roman" w:hAnsi="Times New Roman"/>
          <w:sz w:val="18"/>
          <w:szCs w:val="18"/>
          <w:u w:val="single" w:color="auto"/>
          <w:color w:val="auto"/>
        </w:rPr>
        <w:t>Issuer Written Communication</w:t>
      </w:r>
      <w:r>
        <w:rPr>
          <w:rFonts w:ascii="Times New Roman" w:cs="Times New Roman" w:eastAsia="Times New Roman" w:hAnsi="Times New Roman"/>
          <w:sz w:val="18"/>
          <w:szCs w:val="18"/>
          <w:color w:val="auto"/>
        </w:rPr>
        <w:t>”) other than the Pricing Disclosure Package, the Final Memorandum and the recorded electronic road show made available to investors (the “</w:t>
      </w:r>
      <w:r>
        <w:rPr>
          <w:rFonts w:ascii="Times New Roman" w:cs="Times New Roman" w:eastAsia="Times New Roman" w:hAnsi="Times New Roman"/>
          <w:sz w:val="18"/>
          <w:szCs w:val="18"/>
          <w:u w:val="single" w:color="auto"/>
          <w:color w:val="auto"/>
        </w:rPr>
        <w:t>Recorded Road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Show</w:t>
      </w:r>
      <w:r>
        <w:rPr>
          <w:rFonts w:ascii="Times New Roman" w:cs="Times New Roman" w:eastAsia="Times New Roman" w:hAnsi="Times New Roman"/>
          <w:sz w:val="18"/>
          <w:szCs w:val="18"/>
          <w:color w:val="auto"/>
        </w:rPr>
        <w:t>”).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ind w:left="540" w:firstLine="425"/>
        <w:spacing w:after="0" w:line="256" w:lineRule="auto"/>
        <w:tabs>
          <w:tab w:leader="none" w:pos="12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firstLine="425"/>
        <w:spacing w:after="0" w:line="266"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in connection with any offer or sale of the Securities in the United States.</w:t>
      </w:r>
    </w:p>
    <w:p>
      <w:pPr>
        <w:spacing w:after="0" w:line="175"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satisfy the eligibility requirements of Rule 144A(d)(3) under the Act.</w:t>
      </w:r>
    </w:p>
    <w:p>
      <w:pPr>
        <w:spacing w:after="0" w:line="225" w:lineRule="exact"/>
        <w:rPr>
          <w:rFonts w:ascii="Times New Roman" w:cs="Times New Roman" w:eastAsia="Times New Roman" w:hAnsi="Times New Roman"/>
          <w:sz w:val="18"/>
          <w:szCs w:val="18"/>
          <w:color w:val="auto"/>
        </w:rPr>
      </w:pPr>
    </w:p>
    <w:p>
      <w:pPr>
        <w:ind w:firstLine="425"/>
        <w:spacing w:after="0" w:line="261"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w:t>
      </w:r>
    </w:p>
    <w:p>
      <w:pPr>
        <w:spacing w:after="0" w:line="179" w:lineRule="exact"/>
        <w:rPr>
          <w:rFonts w:ascii="Times New Roman" w:cs="Times New Roman" w:eastAsia="Times New Roman" w:hAnsi="Times New Roman"/>
          <w:sz w:val="18"/>
          <w:szCs w:val="18"/>
          <w:color w:val="auto"/>
        </w:rPr>
      </w:pPr>
    </w:p>
    <w:p>
      <w:pPr>
        <w:ind w:right="80" w:firstLine="425"/>
        <w:spacing w:after="0" w:line="266"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of any of the Companies are of the same class (within the meaning of Rule 144A under the Act) as any of the Securities and listed on a national securities exchange registered under Section 6 of the Exchange Act or quoted in a U.S. automated inter-dealer quotation system.</w:t>
      </w:r>
    </w:p>
    <w:p>
      <w:pPr>
        <w:spacing w:after="0" w:line="175" w:lineRule="exact"/>
        <w:rPr>
          <w:rFonts w:ascii="Times New Roman" w:cs="Times New Roman" w:eastAsia="Times New Roman" w:hAnsi="Times New Roman"/>
          <w:sz w:val="18"/>
          <w:szCs w:val="18"/>
          <w:color w:val="auto"/>
        </w:rPr>
      </w:pPr>
    </w:p>
    <w:p>
      <w:pPr>
        <w:jc w:val="both"/>
        <w:ind w:right="240" w:firstLine="425"/>
        <w:spacing w:after="0" w:line="266" w:lineRule="auto"/>
        <w:tabs>
          <w:tab w:leader="none" w:pos="6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w:t>
      </w:r>
    </w:p>
    <w:p>
      <w:pPr>
        <w:spacing w:after="0" w:line="175" w:lineRule="exact"/>
        <w:rPr>
          <w:rFonts w:ascii="Times New Roman" w:cs="Times New Roman" w:eastAsia="Times New Roman" w:hAnsi="Times New Roman"/>
          <w:sz w:val="18"/>
          <w:szCs w:val="18"/>
          <w:color w:val="auto"/>
        </w:rPr>
      </w:pPr>
    </w:p>
    <w:p>
      <w:pPr>
        <w:ind w:right="20" w:firstLine="425"/>
        <w:spacing w:after="0" w:line="282" w:lineRule="auto"/>
        <w:tabs>
          <w:tab w:leader="none" w:pos="6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will be made by the Companies for the Notes to be listed on the Official List of the Luxembourg Stock Exchange and to be admitted to trading on the Euro MTF Market of the Luxembourg Stock Exchange.</w:t>
      </w:r>
    </w:p>
    <w:p>
      <w:pPr>
        <w:spacing w:after="0" w:line="161" w:lineRule="exact"/>
        <w:rPr>
          <w:rFonts w:ascii="Times New Roman" w:cs="Times New Roman" w:eastAsia="Times New Roman" w:hAnsi="Times New Roman"/>
          <w:sz w:val="18"/>
          <w:szCs w:val="18"/>
          <w:color w:val="auto"/>
        </w:rPr>
      </w:pPr>
    </w:p>
    <w:p>
      <w:pPr>
        <w:jc w:val="both"/>
        <w:ind w:right="520" w:firstLine="425"/>
        <w:spacing w:after="0" w:line="266" w:lineRule="auto"/>
        <w:tabs>
          <w:tab w:leader="none" w:pos="6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w:t>
      </w:r>
    </w:p>
    <w:p>
      <w:pPr>
        <w:spacing w:after="0" w:line="175" w:lineRule="exact"/>
        <w:rPr>
          <w:rFonts w:ascii="Times New Roman" w:cs="Times New Roman" w:eastAsia="Times New Roman" w:hAnsi="Times New Roman"/>
          <w:sz w:val="18"/>
          <w:szCs w:val="18"/>
          <w:color w:val="auto"/>
        </w:rPr>
      </w:pPr>
    </w:p>
    <w:p>
      <w:pPr>
        <w:ind w:right="20" w:firstLine="425"/>
        <w:spacing w:after="0" w:line="282" w:lineRule="auto"/>
        <w:tabs>
          <w:tab w:leader="none" w:pos="6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subject to the reporting requirements of, and has timely filed all material required to be filed by it pursuant to, Section 13 or Section 15(d) of the Exchange Act.</w:t>
      </w:r>
    </w:p>
    <w:p>
      <w:pPr>
        <w:spacing w:after="0" w:line="161" w:lineRule="exact"/>
        <w:rPr>
          <w:rFonts w:ascii="Times New Roman" w:cs="Times New Roman" w:eastAsia="Times New Roman" w:hAnsi="Times New Roman"/>
          <w:sz w:val="18"/>
          <w:szCs w:val="18"/>
          <w:color w:val="auto"/>
        </w:rPr>
      </w:pPr>
    </w:p>
    <w:p>
      <w:pPr>
        <w:ind w:right="40" w:firstLine="425"/>
        <w:spacing w:after="0" w:line="282" w:lineRule="auto"/>
        <w:tabs>
          <w:tab w:leader="none" w:pos="6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has paid or agreed to pay to any person any compensation for soliciting another to purchase any securities of any of them (except as contemplated by this Agreement).</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40"/>
          </w:cols>
          <w:pgMar w:left="980" w:top="270" w:right="479" w:bottom="1440" w:gutter="0" w:footer="0" w:header="0"/>
        </w:sectPr>
      </w:pPr>
    </w:p>
    <w:bookmarkStart w:id="8" w:name="page9"/>
    <w:bookmarkEnd w:id="8"/>
    <w:p>
      <w:pPr>
        <w:ind w:left="-425" w:right="160" w:firstLine="425"/>
        <w:spacing w:after="0" w:line="266" w:lineRule="auto"/>
        <w:tabs>
          <w:tab w:leader="none" w:pos="2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425" w:right="280" w:firstLine="425"/>
        <w:spacing w:after="0" w:line="266" w:lineRule="auto"/>
        <w:tabs>
          <w:tab w:leader="none" w:pos="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left="-425" w:right="140" w:firstLine="425"/>
        <w:spacing w:after="0" w:line="266"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Offering Memorandum set forth or referenced under the headings “Description of Certain Indebtedness”, “Description of the Notes”, “Certain U.S. Federal Income Tax Considerations” and “Material French Tax Considerations” fairly summarize the matters therein described.</w:t>
      </w:r>
    </w:p>
    <w:p>
      <w:pPr>
        <w:spacing w:after="0" w:line="175" w:lineRule="exact"/>
        <w:rPr>
          <w:rFonts w:ascii="Times New Roman" w:cs="Times New Roman" w:eastAsia="Times New Roman" w:hAnsi="Times New Roman"/>
          <w:sz w:val="18"/>
          <w:szCs w:val="18"/>
          <w:color w:val="auto"/>
        </w:rPr>
      </w:pPr>
    </w:p>
    <w:p>
      <w:pPr>
        <w:ind w:left="-425" w:right="740" w:firstLine="425"/>
        <w:spacing w:after="0" w:line="282"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Offering Memorandum are based on or derived from sources which the Companies believe to be reliable and accurate in all material respects.</w:t>
      </w:r>
    </w:p>
    <w:p>
      <w:pPr>
        <w:spacing w:after="0" w:line="161" w:lineRule="exact"/>
        <w:rPr>
          <w:rFonts w:ascii="Times New Roman" w:cs="Times New Roman" w:eastAsia="Times New Roman" w:hAnsi="Times New Roman"/>
          <w:sz w:val="18"/>
          <w:szCs w:val="18"/>
          <w:color w:val="auto"/>
        </w:rPr>
      </w:pPr>
    </w:p>
    <w:p>
      <w:pPr>
        <w:ind w:left="-425" w:firstLine="425"/>
        <w:spacing w:after="0" w:line="253"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425" w:firstLine="425"/>
        <w:spacing w:after="0" w:line="256"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w:t>
      </w:r>
    </w:p>
    <w:p>
      <w:pPr>
        <w:spacing w:after="0" w:line="120" w:lineRule="exact"/>
        <w:rPr>
          <w:sz w:val="20"/>
          <w:szCs w:val="20"/>
          <w:color w:val="auto"/>
        </w:rPr>
      </w:pPr>
    </w:p>
    <w:p>
      <w:pPr>
        <w:ind w:left="443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35"/>
          </w:cols>
          <w:pgMar w:left="1405" w:top="270" w:right="459" w:bottom="1440" w:gutter="0" w:footer="0" w:header="0"/>
        </w:sectPr>
      </w:pPr>
    </w:p>
    <w:bookmarkStart w:id="9" w:name="page10"/>
    <w:bookmarkEnd w:id="9"/>
    <w:p>
      <w:pPr>
        <w:ind w:left="-425" w:firstLine="425"/>
        <w:spacing w:after="0" w:line="256"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w:t>
      </w:r>
    </w:p>
    <w:p>
      <w:pPr>
        <w:spacing w:after="0" w:line="187" w:lineRule="exact"/>
        <w:rPr>
          <w:rFonts w:ascii="Times New Roman" w:cs="Times New Roman" w:eastAsia="Times New Roman" w:hAnsi="Times New Roman"/>
          <w:sz w:val="18"/>
          <w:szCs w:val="18"/>
          <w:color w:val="auto"/>
        </w:rPr>
      </w:pPr>
    </w:p>
    <w:p>
      <w:pPr>
        <w:ind w:left="-425" w:firstLine="425"/>
        <w:spacing w:after="0" w:line="261"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w:t>
      </w:r>
    </w:p>
    <w:p>
      <w:pPr>
        <w:spacing w:after="0" w:line="179" w:lineRule="exact"/>
        <w:rPr>
          <w:rFonts w:ascii="Times New Roman" w:cs="Times New Roman" w:eastAsia="Times New Roman" w:hAnsi="Times New Roman"/>
          <w:sz w:val="18"/>
          <w:szCs w:val="18"/>
          <w:color w:val="auto"/>
        </w:rPr>
      </w:pPr>
    </w:p>
    <w:p>
      <w:pPr>
        <w:ind w:left="-425" w:firstLine="425"/>
        <w:spacing w:after="0" w:line="255" w:lineRule="auto"/>
        <w:tabs>
          <w:tab w:leader="none" w:pos="2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each Company and, assuming the due authorization, execution and delivery thereof by the Initial Purchasers, will constitute the legal, valid and binding obligation of each Company, enforceable against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applicable laws and public policy considerations).</w:t>
      </w:r>
    </w:p>
    <w:p>
      <w:pPr>
        <w:spacing w:after="0" w:line="188"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25" w:right="100" w:firstLine="425"/>
        <w:spacing w:after="0" w:line="255"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w:t>
      </w:r>
    </w:p>
    <w:p>
      <w:pPr>
        <w:spacing w:after="0" w:line="188"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ind w:left="443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35"/>
          </w:cols>
          <w:pgMar w:left="1405" w:top="270" w:right="459" w:bottom="1440" w:gutter="0" w:footer="0" w:header="0"/>
        </w:sectPr>
      </w:pPr>
    </w:p>
    <w:bookmarkStart w:id="10" w:name="page11"/>
    <w:bookmarkEnd w:id="10"/>
    <w:p>
      <w:pPr>
        <w:ind w:right="40" w:firstLine="425"/>
        <w:spacing w:after="0" w:line="255" w:lineRule="auto"/>
        <w:tabs>
          <w:tab w:leader="none" w:pos="6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w:t>
      </w:r>
    </w:p>
    <w:p>
      <w:pPr>
        <w:spacing w:after="0" w:line="188" w:lineRule="exact"/>
        <w:rPr>
          <w:rFonts w:ascii="Times New Roman" w:cs="Times New Roman" w:eastAsia="Times New Roman" w:hAnsi="Times New Roman"/>
          <w:sz w:val="18"/>
          <w:szCs w:val="18"/>
          <w:color w:val="auto"/>
        </w:rPr>
      </w:pPr>
    </w:p>
    <w:p>
      <w:pPr>
        <w:ind w:firstLine="425"/>
        <w:spacing w:after="0" w:line="254" w:lineRule="auto"/>
        <w:tabs>
          <w:tab w:leader="none" w:pos="6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provisions of corporate law regarding the preservation of share capital and statutory reserves as well as bankruptcy, reorganization, insolvency, fraudulent conveyance, moratorium or other laws of general applicability affecting creditors’ rights generally from time to time in effect and to general principles of equity (and corresponding provisions under the laws applicable to the respective Guarantor) and the discretion of the court before which any proceeding therefor may be brought regardless of whether such enforcement is considered in a proceeding at law or in equity or as described in the Offering Memorandum).</w:t>
      </w:r>
    </w:p>
    <w:p>
      <w:pPr>
        <w:spacing w:after="0" w:line="191" w:lineRule="exact"/>
        <w:rPr>
          <w:rFonts w:ascii="Times New Roman" w:cs="Times New Roman" w:eastAsia="Times New Roman" w:hAnsi="Times New Roman"/>
          <w:sz w:val="18"/>
          <w:szCs w:val="18"/>
          <w:color w:val="auto"/>
        </w:rPr>
      </w:pPr>
    </w:p>
    <w:p>
      <w:pPr>
        <w:ind w:right="80" w:firstLine="425"/>
        <w:spacing w:after="0" w:line="254" w:lineRule="auto"/>
        <w:tabs>
          <w:tab w:leader="none" w:pos="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w:t>
      </w:r>
    </w:p>
    <w:p>
      <w:pPr>
        <w:spacing w:after="0" w:line="192" w:lineRule="exact"/>
        <w:rPr>
          <w:sz w:val="20"/>
          <w:szCs w:val="20"/>
          <w:color w:val="auto"/>
        </w:rPr>
      </w:pPr>
    </w:p>
    <w:p>
      <w:pPr>
        <w:ind w:right="20" w:firstLine="425"/>
        <w:spacing w:after="0" w:line="261" w:lineRule="auto"/>
        <w:tabs>
          <w:tab w:leader="none" w:pos="7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0"/>
          </w:cols>
          <w:pgMar w:left="980" w:top="270" w:right="459" w:bottom="1440" w:gutter="0" w:footer="0" w:header="0"/>
        </w:sectPr>
      </w:pPr>
    </w:p>
    <w:bookmarkStart w:id="11" w:name="page12"/>
    <w:bookmarkEnd w:id="11"/>
    <w:p>
      <w:pPr>
        <w:ind w:left="-425" w:right="100" w:firstLine="425"/>
        <w:spacing w:after="0" w:line="258" w:lineRule="auto"/>
        <w:tabs>
          <w:tab w:leader="none" w:pos="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approval, authorization, filing with or order of any court or governmental agency or body is required in connection with the issue and sale of the Securities or the consummation of the transactions contemplated by any of the Transaction Documents, except such as may be required by the Luxembourg Stock Exchange or under the blue sky laws of any state in connection with the purchase and distribution of the Securities by the Initial Purchasers in the manner contemplated herein and in the Offering Memorandum, and except where the failure to obtain the same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25" w:firstLine="425"/>
        <w:spacing w:after="0" w:line="253"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w:t>
      </w:r>
    </w:p>
    <w:p>
      <w:pPr>
        <w:spacing w:after="0" w:line="189" w:lineRule="exact"/>
        <w:rPr>
          <w:rFonts w:ascii="Times New Roman" w:cs="Times New Roman" w:eastAsia="Times New Roman" w:hAnsi="Times New Roman"/>
          <w:sz w:val="18"/>
          <w:szCs w:val="18"/>
          <w:color w:val="auto"/>
        </w:rPr>
      </w:pPr>
    </w:p>
    <w:p>
      <w:pPr>
        <w:ind w:left="-425" w:right="20" w:firstLine="425"/>
        <w:spacing w:after="0" w:line="253" w:lineRule="auto"/>
        <w:tabs>
          <w:tab w:leader="none" w:pos="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w:t>
      </w:r>
    </w:p>
    <w:p>
      <w:pPr>
        <w:spacing w:after="0" w:line="127" w:lineRule="exact"/>
        <w:rPr>
          <w:sz w:val="20"/>
          <w:szCs w:val="20"/>
          <w:color w:val="auto"/>
        </w:rPr>
      </w:pPr>
    </w:p>
    <w:p>
      <w:pPr>
        <w:ind w:left="443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35"/>
          </w:cols>
          <w:pgMar w:left="1405" w:top="270" w:right="459" w:bottom="1440" w:gutter="0" w:footer="0" w:header="0"/>
        </w:sectPr>
      </w:pPr>
    </w:p>
    <w:bookmarkStart w:id="12" w:name="page13"/>
    <w:bookmarkEnd w:id="12"/>
    <w:p>
      <w:pPr>
        <w:ind w:right="60" w:firstLine="425"/>
        <w:spacing w:after="0" w:line="266" w:lineRule="auto"/>
        <w:tabs>
          <w:tab w:leader="none" w:pos="7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40" w:firstLine="425"/>
        <w:spacing w:after="0" w:line="254"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w:t>
      </w:r>
    </w:p>
    <w:p>
      <w:pPr>
        <w:spacing w:after="0" w:line="188" w:lineRule="exact"/>
        <w:rPr>
          <w:rFonts w:ascii="Times New Roman" w:cs="Times New Roman" w:eastAsia="Times New Roman" w:hAnsi="Times New Roman"/>
          <w:sz w:val="18"/>
          <w:szCs w:val="18"/>
          <w:color w:val="auto"/>
        </w:rPr>
      </w:pPr>
    </w:p>
    <w:p>
      <w:pPr>
        <w:ind w:firstLine="425"/>
        <w:spacing w:after="0" w:line="255" w:lineRule="auto"/>
        <w:tabs>
          <w:tab w:leader="none" w:pos="7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425"/>
        <w:spacing w:after="0" w:line="261" w:lineRule="auto"/>
        <w:tabs>
          <w:tab w:leader="none" w:pos="7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w:t>
      </w:r>
    </w:p>
    <w:p>
      <w:pPr>
        <w:spacing w:after="0" w:line="179" w:lineRule="exact"/>
        <w:rPr>
          <w:rFonts w:ascii="Times New Roman" w:cs="Times New Roman" w:eastAsia="Times New Roman" w:hAnsi="Times New Roman"/>
          <w:sz w:val="18"/>
          <w:szCs w:val="18"/>
          <w:color w:val="auto"/>
        </w:rPr>
      </w:pPr>
    </w:p>
    <w:p>
      <w:pPr>
        <w:ind w:left="700" w:hanging="275"/>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25"/>
        <w:spacing w:after="0" w:line="256" w:lineRule="auto"/>
        <w:tabs>
          <w:tab w:leader="none" w:pos="6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80" w:top="270" w:right="459" w:bottom="1440" w:gutter="0" w:footer="0" w:header="0"/>
        </w:sectPr>
      </w:pPr>
    </w:p>
    <w:bookmarkStart w:id="13" w:name="page14"/>
    <w:bookmarkEnd w:id="13"/>
    <w:p>
      <w:pPr>
        <w:ind w:firstLine="425"/>
        <w:spacing w:after="0" w:line="261" w:lineRule="auto"/>
        <w:tabs>
          <w:tab w:leader="none" w:pos="7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w:t>
      </w:r>
    </w:p>
    <w:p>
      <w:pPr>
        <w:spacing w:after="0" w:line="179" w:lineRule="exact"/>
        <w:rPr>
          <w:rFonts w:ascii="Times New Roman" w:cs="Times New Roman" w:eastAsia="Times New Roman" w:hAnsi="Times New Roman"/>
          <w:sz w:val="18"/>
          <w:szCs w:val="18"/>
          <w:color w:val="auto"/>
        </w:rPr>
      </w:pPr>
    </w:p>
    <w:p>
      <w:pPr>
        <w:ind w:firstLine="425"/>
        <w:spacing w:after="0" w:line="253"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right="120" w:firstLine="425"/>
        <w:spacing w:after="0" w:line="258"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w:t>
      </w:r>
    </w:p>
    <w:p>
      <w:pPr>
        <w:spacing w:after="0" w:line="183" w:lineRule="exact"/>
        <w:rPr>
          <w:rFonts w:ascii="Times New Roman" w:cs="Times New Roman" w:eastAsia="Times New Roman" w:hAnsi="Times New Roman"/>
          <w:sz w:val="18"/>
          <w:szCs w:val="18"/>
          <w:color w:val="auto"/>
        </w:rPr>
      </w:pPr>
    </w:p>
    <w:p>
      <w:pPr>
        <w:ind w:right="60" w:firstLine="425"/>
        <w:spacing w:after="0" w:line="255" w:lineRule="auto"/>
        <w:tabs>
          <w:tab w:leader="none" w:pos="7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w:t>
      </w:r>
    </w:p>
    <w:p>
      <w:pPr>
        <w:spacing w:after="0" w:line="1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80" w:top="270" w:right="459" w:bottom="1440" w:gutter="0" w:footer="0" w:header="0"/>
        </w:sectPr>
      </w:pPr>
    </w:p>
    <w:bookmarkStart w:id="14" w:name="page15"/>
    <w:bookmarkEnd w:id="14"/>
    <w:p>
      <w:pPr>
        <w:ind w:left="-7" w:firstLine="425"/>
        <w:spacing w:after="0" w:line="256" w:lineRule="auto"/>
        <w:tabs>
          <w:tab w:leader="none" w:pos="7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773" w:hanging="355"/>
        <w:spacing w:after="0"/>
        <w:tabs>
          <w:tab w:leader="none" w:pos="7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7" w:right="220" w:firstLine="7"/>
        <w:spacing w:after="0" w:line="265" w:lineRule="auto"/>
        <w:tabs>
          <w:tab w:leader="none" w:pos="2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left="-7" w:firstLine="7"/>
        <w:spacing w:after="0" w:line="252" w:lineRule="auto"/>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ind w:left="-7" w:right="120" w:firstLine="425"/>
        <w:spacing w:after="0" w:line="253" w:lineRule="auto"/>
        <w:tabs>
          <w:tab w:leader="none" w:pos="7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any of its subsidiaries; (vi) neither Holdings nor any of its subsidiaries is subject to any</w:t>
      </w:r>
    </w:p>
    <w:p>
      <w:pPr>
        <w:spacing w:after="0" w:line="124" w:lineRule="exact"/>
        <w:rPr>
          <w:sz w:val="20"/>
          <w:szCs w:val="20"/>
          <w:color w:val="auto"/>
        </w:rPr>
      </w:pPr>
    </w:p>
    <w:p>
      <w:pPr>
        <w:ind w:left="481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53"/>
          </w:cols>
          <w:pgMar w:left="987"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decree, consent, settlement or agreement requiring, or is otherwise obligated or required to perform, any response or corrective 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any Hazardous Materials; (vii) neither Holdings nor any of its subsidiaries has received written notice that it has been identified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responsible party under the Comprehensive Environmental Response, Compensation and Liability Act of 1980,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or any comparable state or foreign law; (viii) no property or facility of Holdings or any of its subsidiaries is (x) listed 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Companies, proposed for listing on the National Priorities List under CERCLA or (y) listed in the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Response, Compensation and Liability Information System List promulgated pursuant to CERCLA, or on any comparable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by any governmental authority; and (ix) there are no past or present actions, events, operations or activities which would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prevent or interfere with compliance by Holdings or any of its subsidiaries with any applicable Environmental Law or result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(including, without limitation, fines or penalties) under any applicable Environmental Law, except, in the case of each of clauses</w:t>
      </w:r>
    </w:p>
    <w:p>
      <w:pPr>
        <w:spacing w:after="0" w:line="9" w:lineRule="exact"/>
        <w:rPr>
          <w:sz w:val="20"/>
          <w:szCs w:val="20"/>
          <w:color w:val="auto"/>
        </w:rPr>
      </w:pPr>
    </w:p>
    <w:p>
      <w:pPr>
        <w:jc w:val="both"/>
        <w:ind w:right="360" w:firstLine="7"/>
        <w:spacing w:after="0" w:line="253"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(ix) above, as (A) described in the Offering Memorandum (exclusive of any amendment or supplement thereto) or (B) would not reasonably be expected, individually or in the aggregate, to have a Material Adverse Effect.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hazardous or toxic substance, chemical, material, pollutant, waste, contaminant or constituent, which is subject to regulation under or could give rise to liability under any Environmental Law.</w:t>
      </w:r>
    </w:p>
    <w:p>
      <w:pPr>
        <w:spacing w:after="0" w:line="188" w:lineRule="exact"/>
        <w:rPr>
          <w:rFonts w:ascii="Times New Roman" w:cs="Times New Roman" w:eastAsia="Times New Roman" w:hAnsi="Times New Roman"/>
          <w:sz w:val="18"/>
          <w:szCs w:val="18"/>
          <w:color w:val="auto"/>
        </w:rPr>
      </w:pPr>
    </w:p>
    <w:p>
      <w:pPr>
        <w:jc w:val="both"/>
        <w:ind w:firstLine="425"/>
        <w:spacing w:after="0" w:line="261" w:lineRule="auto"/>
        <w:tabs>
          <w:tab w:leader="none" w:pos="7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w:t>
      </w:r>
    </w:p>
    <w:p>
      <w:pPr>
        <w:spacing w:after="0" w:line="179" w:lineRule="exact"/>
        <w:rPr>
          <w:rFonts w:ascii="Times New Roman" w:cs="Times New Roman" w:eastAsia="Times New Roman" w:hAnsi="Times New Roman"/>
          <w:sz w:val="18"/>
          <w:szCs w:val="18"/>
          <w:color w:val="auto"/>
        </w:rPr>
      </w:pPr>
    </w:p>
    <w:p>
      <w:pPr>
        <w:ind w:right="20" w:firstLine="425"/>
        <w:spacing w:after="0" w:line="255" w:lineRule="auto"/>
        <w:tabs>
          <w:tab w:leader="none" w:pos="72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have fulfilled their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w:t>
      </w:r>
    </w:p>
    <w:p>
      <w:pPr>
        <w:spacing w:after="0" w:line="188" w:lineRule="exact"/>
        <w:rPr>
          <w:rFonts w:ascii="Times New Roman" w:cs="Times New Roman" w:eastAsia="Times New Roman" w:hAnsi="Times New Roman"/>
          <w:sz w:val="18"/>
          <w:szCs w:val="18"/>
          <w:color w:val="auto"/>
        </w:rPr>
      </w:pPr>
    </w:p>
    <w:p>
      <w:pPr>
        <w:ind w:right="160" w:firstLine="425"/>
        <w:spacing w:after="0" w:line="261" w:lineRule="auto"/>
        <w:tabs>
          <w:tab w:leader="none" w:pos="6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any provision of the Foreign Corrupt Practices Act of 1977;</w:t>
      </w:r>
    </w:p>
    <w:p>
      <w:pPr>
        <w:spacing w:after="0" w:line="1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80" w:top="270" w:right="459" w:bottom="1440" w:gutter="0" w:footer="0" w:header="0"/>
        </w:sectPr>
      </w:pPr>
    </w:p>
    <w:bookmarkStart w:id="16" w:name="page17"/>
    <w:bookmarkEnd w:id="16"/>
    <w:p>
      <w:pPr>
        <w:jc w:val="both"/>
        <w:ind w:right="40" w:firstLine="7"/>
        <w:spacing w:after="0" w:line="261"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w:t>
      </w:r>
    </w:p>
    <w:p>
      <w:pPr>
        <w:spacing w:after="0" w:line="179" w:lineRule="exact"/>
        <w:rPr>
          <w:rFonts w:ascii="Times New Roman" w:cs="Times New Roman" w:eastAsia="Times New Roman" w:hAnsi="Times New Roman"/>
          <w:sz w:val="18"/>
          <w:szCs w:val="18"/>
          <w:color w:val="auto"/>
        </w:rPr>
      </w:pPr>
    </w:p>
    <w:p>
      <w:pPr>
        <w:ind w:right="60" w:firstLine="425"/>
        <w:spacing w:after="0" w:line="255" w:lineRule="auto"/>
        <w:tabs>
          <w:tab w:leader="none" w:pos="7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material action, suit or proceeding by or before any court or governmental agency, authority or body or any arbitrator involving Holdings or any of its subsidiaries with respect to the Money Laundering Laws is pending or, to the knowledge of Holdings, threatened.</w:t>
      </w:r>
    </w:p>
    <w:p>
      <w:pPr>
        <w:spacing w:after="0" w:line="188" w:lineRule="exact"/>
        <w:rPr>
          <w:rFonts w:ascii="Times New Roman" w:cs="Times New Roman" w:eastAsia="Times New Roman" w:hAnsi="Times New Roman"/>
          <w:sz w:val="18"/>
          <w:szCs w:val="18"/>
          <w:color w:val="auto"/>
        </w:rPr>
      </w:pPr>
    </w:p>
    <w:p>
      <w:pPr>
        <w:ind w:firstLine="425"/>
        <w:spacing w:after="0" w:line="252" w:lineRule="auto"/>
        <w:tabs>
          <w:tab w:leader="none" w:pos="7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His Majesty’s Treasury, France (</w:t>
      </w:r>
      <w:r>
        <w:rPr>
          <w:rFonts w:ascii="Times New Roman" w:cs="Times New Roman" w:eastAsia="Times New Roman" w:hAnsi="Times New Roman"/>
          <w:sz w:val="18"/>
          <w:szCs w:val="18"/>
          <w:i w:val="1"/>
          <w:iCs w:val="1"/>
          <w:color w:val="auto"/>
        </w:rPr>
        <w:t>the Direction Générale du Trésor</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North Korea, the Crimea Region of Ukraine, the non-government controlled areas of the Kherson and Zaporizhzhia regions of Ukraine, or any other covered region of Ukraine identified pursuant to Executive Order 14065, the self-proclaimed Donetsk People’s Republic (DNR) and the self-proclaimed Luhansk People’s Republic,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 With regard to BNP Paribas, Citigroup Global Markets Europe AG, Deutsche Bank Aktiengesellschaft, Banco Santander, S.A., Wells Fargo Securities Europe S.A., Coöperatieve Rabobank U.A., ING Bank N.V., SMBC Bank EU AG, UniCredit Bank GmbH, Scotiabank (Ireland) Designated Activity Company, MUFG Securities (Europe) N.V. and Mizuho</w:t>
      </w:r>
    </w:p>
    <w:p>
      <w:pPr>
        <w:spacing w:after="0" w:line="12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00"/>
          </w:cols>
          <w:pgMar w:left="980" w:top="270" w:right="51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Europe GmbH, the representations in this paragraph (vv) shall not apply if and to the extent that the expression of, or compliance with, or receipt or acceptance of, such representation would breach any provision of (i) Council Regulation (EC) No. 2271/96, as amended from time to time (the “EU Blocking Regulation”), or any law or regulation implementing the EU Blocking Regulation in any member state of the European Union; or (ii) the EU Blocking Regulation as it forms part of United Kingdom domestic law by virtue of the European Union (Withdrawal) Act 2018 (the “</w:t>
      </w:r>
      <w:r>
        <w:rPr>
          <w:rFonts w:ascii="Times New Roman" w:cs="Times New Roman" w:eastAsia="Times New Roman" w:hAnsi="Times New Roman"/>
          <w:sz w:val="18"/>
          <w:szCs w:val="18"/>
          <w:u w:val="single" w:color="auto"/>
          <w:color w:val="auto"/>
        </w:rPr>
        <w:t>EUWA</w:t>
      </w:r>
      <w:r>
        <w:rPr>
          <w:rFonts w:ascii="Times New Roman" w:cs="Times New Roman" w:eastAsia="Times New Roman" w:hAnsi="Times New Roman"/>
          <w:sz w:val="18"/>
          <w:szCs w:val="18"/>
          <w:color w:val="auto"/>
        </w:rPr>
        <w:t>”); or (iii) solely to the extent such regulation applies to the applicable Initial Purchasers, 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any similar applicable anti-boycott law or regulation.</w:t>
      </w:r>
    </w:p>
    <w:p>
      <w:pPr>
        <w:spacing w:after="0" w:line="187" w:lineRule="exact"/>
        <w:rPr>
          <w:sz w:val="20"/>
          <w:szCs w:val="20"/>
          <w:color w:val="auto"/>
        </w:rPr>
      </w:pPr>
    </w:p>
    <w:p>
      <w:pPr>
        <w:ind w:right="100" w:firstLine="425"/>
        <w:spacing w:after="0" w:line="266"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Notes by the Issuer and the Guarantees by the Guarantors (subject to the exclusions and limitations set forth therein and in the Indenture) will not result in a breach of any provisions relating to financial assistance, principles of corporate benefit or any similar law or regulation of the jurisdictions applicable to them, which could affect the enforceability of the Notes or the Guarantees;</w:t>
      </w:r>
    </w:p>
    <w:p>
      <w:pPr>
        <w:spacing w:after="0" w:line="175" w:lineRule="exact"/>
        <w:rPr>
          <w:rFonts w:ascii="Times New Roman" w:cs="Times New Roman" w:eastAsia="Times New Roman" w:hAnsi="Times New Roman"/>
          <w:sz w:val="18"/>
          <w:szCs w:val="18"/>
          <w:color w:val="auto"/>
        </w:rPr>
      </w:pPr>
    </w:p>
    <w:p>
      <w:pPr>
        <w:ind w:right="60" w:firstLine="425"/>
        <w:spacing w:after="0" w:line="256" w:lineRule="auto"/>
        <w:tabs>
          <w:tab w:leader="none" w:pos="7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its subsidiaries or, to the knowledge of Holdings, any director, officer, agent, employee or Affiliate of Holdings or any of its subsidiaries has distributed or, prior to the later to occur of (i) the Closing Date and (ii) the completion of the distribution of the Notes, will distribute any material referring to the offering and sale of the Notes other than the Preliminary Memorandum, the Pricing Disclosure Package or the Final Memorandum or other materials, if any, permitted by the Act and the U.K. Financial Services and Markets Act 2000 (the “</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(or regulations or legislation promulgated pursuant to the Act or the FSMA) or required to be distributed by the Luxembourg Stock Exchange.</w:t>
      </w:r>
    </w:p>
    <w:p>
      <w:pPr>
        <w:spacing w:after="0" w:line="187" w:lineRule="exact"/>
        <w:rPr>
          <w:rFonts w:ascii="Times New Roman" w:cs="Times New Roman" w:eastAsia="Times New Roman" w:hAnsi="Times New Roman"/>
          <w:sz w:val="18"/>
          <w:szCs w:val="18"/>
          <w:color w:val="auto"/>
        </w:rPr>
      </w:pPr>
    </w:p>
    <w:p>
      <w:pPr>
        <w:ind w:right="40" w:firstLine="425"/>
        <w:spacing w:after="0" w:line="253" w:lineRule="auto"/>
        <w:tabs>
          <w:tab w:leader="none" w:pos="7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Offering Memorandum, and subject to the limitations described therein, no income, stamp or other taxes or levies, imposts, deductions, charges, compulsory loans or withholdings whatsoever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are or will be, under applicable law in France,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any payments hereunder or thereunder, except for Taxes of a holder of the Notes levied, imposed, deducted, charged, compulsorily lent or withheld by any jurisdiction where such holder is incorporated, organized, formed or tax resident.</w:t>
      </w:r>
    </w:p>
    <w:p>
      <w:pPr>
        <w:spacing w:after="0" w:line="194" w:lineRule="exact"/>
        <w:rPr>
          <w:rFonts w:ascii="Times New Roman" w:cs="Times New Roman" w:eastAsia="Times New Roman" w:hAnsi="Times New Roman"/>
          <w:sz w:val="18"/>
          <w:szCs w:val="18"/>
          <w:color w:val="auto"/>
        </w:rPr>
      </w:pPr>
    </w:p>
    <w:p>
      <w:pPr>
        <w:ind w:right="280" w:firstLine="425"/>
        <w:spacing w:after="0" w:line="282" w:lineRule="auto"/>
        <w:tabs>
          <w:tab w:leader="none" w:pos="7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any property or assets of any of the Companies has any immunity from jurisdiction of any court or from any legal process.</w:t>
      </w:r>
    </w:p>
    <w:p>
      <w:pPr>
        <w:spacing w:after="0" w:line="9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0"/>
          </w:cols>
          <w:pgMar w:left="980" w:top="270" w:right="459" w:bottom="1440" w:gutter="0" w:footer="0" w:header="0"/>
        </w:sectPr>
      </w:pPr>
    </w:p>
    <w:bookmarkStart w:id="18" w:name="page19"/>
    <w:bookmarkEnd w:id="18"/>
    <w:p>
      <w:pPr>
        <w:ind w:right="60" w:firstLine="425"/>
        <w:spacing w:after="0" w:line="254" w:lineRule="auto"/>
        <w:tabs>
          <w:tab w:leader="none" w:pos="8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savings clauses in the Indenture and the Guarantees that limit the liability of the Guarantors in certain cases to the extent provided therein,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After giving effect to savings clauses in the Indenture and the Guarantees that limit the liability of the Guarantors in certain cases to the extent provided therein,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w:t>
      </w:r>
    </w:p>
    <w:p>
      <w:pPr>
        <w:spacing w:after="0" w:line="188" w:lineRule="exact"/>
        <w:rPr>
          <w:rFonts w:ascii="Times New Roman" w:cs="Times New Roman" w:eastAsia="Times New Roman" w:hAnsi="Times New Roman"/>
          <w:sz w:val="18"/>
          <w:szCs w:val="18"/>
          <w:color w:val="auto"/>
        </w:rPr>
      </w:pPr>
    </w:p>
    <w:p>
      <w:pPr>
        <w:ind w:right="140" w:firstLine="425"/>
        <w:spacing w:after="0" w:line="282" w:lineRule="auto"/>
        <w:tabs>
          <w:tab w:leader="none" w:pos="8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French subsidiaries of Holdings nor any of the Companies has applied, or will apply, for until the Closing Date or is or will be at the Closing Date subject to:</w:t>
      </w:r>
    </w:p>
    <w:p>
      <w:pPr>
        <w:spacing w:after="0" w:line="159" w:lineRule="exact"/>
        <w:rPr>
          <w:rFonts w:ascii="Times New Roman" w:cs="Times New Roman" w:eastAsia="Times New Roman" w:hAnsi="Times New Roman"/>
          <w:sz w:val="18"/>
          <w:szCs w:val="18"/>
          <w:color w:val="auto"/>
        </w:rPr>
      </w:pPr>
    </w:p>
    <w:p>
      <w:pPr>
        <w:ind w:left="1060" w:hanging="212"/>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mandat ad hoc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procédure de mandat ad hoc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272"/>
        <w:spacing w:after="0"/>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conciliation proceedings (</w:t>
      </w:r>
      <w:r>
        <w:rPr>
          <w:rFonts w:ascii="Times New Roman" w:cs="Times New Roman" w:eastAsia="Times New Roman" w:hAnsi="Times New Roman"/>
          <w:sz w:val="18"/>
          <w:szCs w:val="18"/>
          <w:i w:val="1"/>
          <w:iCs w:val="1"/>
          <w:color w:val="auto"/>
        </w:rPr>
        <w:t>procédure de conciliation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right="720" w:firstLine="408"/>
        <w:spacing w:after="0" w:line="284" w:lineRule="auto"/>
        <w:tabs>
          <w:tab w:leader="none" w:pos="11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safeguard proceedings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or an accelerated safeguard proceedings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accélérée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160" w:hanging="312"/>
        <w:spacing w:after="0"/>
        <w:tabs>
          <w:tab w:leader="none" w:pos="1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issued for (x) the judicial reorganization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or (y) the judicial liquidation proceedings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1100" w:hanging="252"/>
        <w:spacing w:after="0"/>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whole of the business (</w:t>
      </w:r>
      <w:r>
        <w:rPr>
          <w:rFonts w:ascii="Times New Roman" w:cs="Times New Roman" w:eastAsia="Times New Roman" w:hAnsi="Times New Roman"/>
          <w:sz w:val="18"/>
          <w:szCs w:val="18"/>
          <w:i w:val="1"/>
          <w:iCs w:val="1"/>
          <w:color w:val="auto"/>
        </w:rPr>
        <w:t>cession totale de l’entreprise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160" w:hanging="312"/>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voluntary liquidation;</w:t>
      </w:r>
    </w:p>
    <w:p>
      <w:pPr>
        <w:spacing w:after="0" w:line="225" w:lineRule="exact"/>
        <w:rPr>
          <w:rFonts w:ascii="Times New Roman" w:cs="Times New Roman" w:eastAsia="Times New Roman" w:hAnsi="Times New Roman"/>
          <w:sz w:val="18"/>
          <w:szCs w:val="18"/>
          <w:color w:val="auto"/>
        </w:rPr>
      </w:pPr>
    </w:p>
    <w:p>
      <w:pPr>
        <w:ind w:left="1200" w:hanging="352"/>
        <w:spacing w:after="0"/>
        <w:tabs>
          <w:tab w:leader="none" w:pos="12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proceedings under any applicable laws which has an analogous effect to any of the proceedings referred to from (i) to</w:t>
      </w:r>
    </w:p>
    <w:p>
      <w:pPr>
        <w:spacing w:after="0" w:line="27" w:lineRule="exact"/>
        <w:rPr>
          <w:rFonts w:ascii="Times New Roman" w:cs="Times New Roman" w:eastAsia="Times New Roman" w:hAnsi="Times New Roman"/>
          <w:sz w:val="18"/>
          <w:szCs w:val="18"/>
          <w:color w:val="auto"/>
        </w:rPr>
      </w:pPr>
    </w:p>
    <w:p>
      <w:pPr>
        <w:ind w:left="760" w:hanging="313"/>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paragraph;</w:t>
      </w:r>
    </w:p>
    <w:p>
      <w:pPr>
        <w:spacing w:after="0" w:line="206" w:lineRule="exact"/>
        <w:rPr>
          <w:rFonts w:ascii="Times New Roman" w:cs="Times New Roman" w:eastAsia="Times New Roman" w:hAnsi="Times New Roman"/>
          <w:sz w:val="18"/>
          <w:szCs w:val="18"/>
          <w:color w:val="auto"/>
        </w:rPr>
      </w:pPr>
    </w:p>
    <w:p>
      <w:pPr>
        <w:ind w:left="1260" w:hanging="412"/>
        <w:spacing w:after="0"/>
        <w:tabs>
          <w:tab w:leader="none" w:pos="12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conveyance, assignment or other arrangement for the benefit of its creditors; or</w:t>
      </w:r>
    </w:p>
    <w:p>
      <w:pPr>
        <w:spacing w:after="0" w:line="225" w:lineRule="exact"/>
        <w:rPr>
          <w:rFonts w:ascii="Times New Roman" w:cs="Times New Roman" w:eastAsia="Times New Roman" w:hAnsi="Times New Roman"/>
          <w:sz w:val="18"/>
          <w:szCs w:val="18"/>
          <w:color w:val="auto"/>
        </w:rPr>
      </w:pPr>
    </w:p>
    <w:p>
      <w:pPr>
        <w:ind w:left="1160" w:hanging="312"/>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composition with its creditors.</w:t>
      </w:r>
    </w:p>
    <w:p>
      <w:pPr>
        <w:spacing w:after="0" w:line="225" w:lineRule="exact"/>
        <w:rPr>
          <w:sz w:val="20"/>
          <w:szCs w:val="20"/>
          <w:color w:val="auto"/>
        </w:rPr>
      </w:pPr>
    </w:p>
    <w:p>
      <w:pPr>
        <w:jc w:val="both"/>
        <w:ind w:firstLine="425"/>
        <w:spacing w:after="0" w:line="289" w:lineRule="auto"/>
        <w:tabs>
          <w:tab w:leader="none" w:pos="82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Companies or their respective Affiliates, or any person acting on behalf of any of them (other than the Initial Purchasers, as to which the Companies make no representation or warranty), has offered or sold and will offer or sell, directly or indirectly, any Notes to the public in France other than pursuant to an exemption under Article 1(4) of the Regulation (EU) 2017/1129 of the European Parliament and of the</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40"/>
          </w:cols>
          <w:pgMar w:left="980" w:top="270" w:right="479" w:bottom="1440" w:gutter="0" w:footer="0" w:header="0"/>
        </w:sectPr>
      </w:pPr>
    </w:p>
    <w:bookmarkStart w:id="19" w:name="page20"/>
    <w:bookmarkEnd w:id="1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Council of 14 June 2017 as amended from time to time (the “</w:t>
      </w:r>
      <w:r>
        <w:rPr>
          <w:rFonts w:ascii="Times New Roman" w:cs="Times New Roman" w:eastAsia="Times New Roman" w:hAnsi="Times New Roman"/>
          <w:sz w:val="18"/>
          <w:szCs w:val="18"/>
          <w:u w:val="single" w:color="auto"/>
          <w:color w:val="auto"/>
        </w:rPr>
        <w:t>Prospectus Regulation</w:t>
      </w:r>
      <w:r>
        <w:rPr>
          <w:rFonts w:ascii="Times New Roman" w:cs="Times New Roman" w:eastAsia="Times New Roman" w:hAnsi="Times New Roman"/>
          <w:sz w:val="18"/>
          <w:szCs w:val="18"/>
          <w:color w:val="auto"/>
        </w:rPr>
        <w:t>”) or has distributed or caused to be distributed or will distribute or cause to be distributed to the public in France the Preliminary Memorandum, the Final Memorandum or any other offering or marketing material relating to the Notes, and that such offers, sales and distributions have been and shall only be made in France to qualified investors (</w:t>
      </w:r>
      <w:r>
        <w:rPr>
          <w:rFonts w:ascii="Times New Roman" w:cs="Times New Roman" w:eastAsia="Times New Roman" w:hAnsi="Times New Roman"/>
          <w:sz w:val="18"/>
          <w:szCs w:val="18"/>
          <w:i w:val="1"/>
          <w:iCs w:val="1"/>
          <w:color w:val="auto"/>
        </w:rPr>
        <w:t>investisseurs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qualifiés</w:t>
      </w:r>
      <w:r>
        <w:rPr>
          <w:rFonts w:ascii="Times New Roman" w:cs="Times New Roman" w:eastAsia="Times New Roman" w:hAnsi="Times New Roman"/>
          <w:sz w:val="18"/>
          <w:szCs w:val="18"/>
          <w:color w:val="auto"/>
        </w:rPr>
        <w:t>), as defined in point (e) of Article 2 of the Prospectus Regulation and any related applicable French laws and regulations implementing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Regulation.</w:t>
      </w:r>
    </w:p>
    <w:p>
      <w:pPr>
        <w:spacing w:after="0" w:line="183" w:lineRule="exact"/>
        <w:rPr>
          <w:sz w:val="20"/>
          <w:szCs w:val="20"/>
          <w:color w:val="auto"/>
        </w:rPr>
      </w:pPr>
    </w:p>
    <w:p>
      <w:pPr>
        <w:ind w:left="540" w:firstLine="425"/>
        <w:spacing w:after="0" w:line="252" w:lineRule="auto"/>
        <w:tabs>
          <w:tab w:leader="none" w:pos="13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(Regulation (EU) 2016/679, as amended))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w:t>
      </w:r>
    </w:p>
    <w:p>
      <w:pPr>
        <w:spacing w:after="0" w:line="197" w:lineRule="exact"/>
        <w:rPr>
          <w:rFonts w:ascii="Times New Roman" w:cs="Times New Roman" w:eastAsia="Times New Roman" w:hAnsi="Times New Roman"/>
          <w:sz w:val="18"/>
          <w:szCs w:val="18"/>
          <w:color w:val="auto"/>
        </w:rPr>
      </w:pPr>
    </w:p>
    <w:p>
      <w:pPr>
        <w:ind w:left="1360" w:hanging="395"/>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maintain an effective system of “disclosure controls and procedures” (as defined in</w:t>
      </w:r>
    </w:p>
    <w:p>
      <w:pPr>
        <w:spacing w:after="0" w:line="27" w:lineRule="exact"/>
        <w:rPr>
          <w:sz w:val="20"/>
          <w:szCs w:val="20"/>
          <w:color w:val="auto"/>
        </w:rPr>
      </w:pPr>
    </w:p>
    <w:p>
      <w:pPr>
        <w:ind w:left="540" w:right="200"/>
        <w:spacing w:after="0" w:line="252" w:lineRule="auto"/>
        <w:rPr>
          <w:sz w:val="20"/>
          <w:szCs w:val="20"/>
          <w:color w:val="auto"/>
        </w:rPr>
      </w:pPr>
      <w:r>
        <w:rPr>
          <w:rFonts w:ascii="Times New Roman" w:cs="Times New Roman" w:eastAsia="Times New Roman" w:hAnsi="Times New Roman"/>
          <w:sz w:val="18"/>
          <w:szCs w:val="18"/>
          <w:color w:val="auto"/>
        </w:rPr>
        <w:t>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w:t>
      </w:r>
    </w:p>
    <w:p>
      <w:pPr>
        <w:spacing w:after="0" w:line="190"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acknowledge and agree that the Initial Purchasers may offer and sell the Securities to or through any affiliate of an Initial Purchaser and that any such affiliate may offer and sell the Notes purchased by it to or through any Initial Purchaser.</w:t>
      </w:r>
    </w:p>
    <w:p>
      <w:pPr>
        <w:spacing w:after="0" w:line="162" w:lineRule="exact"/>
        <w:rPr>
          <w:sz w:val="20"/>
          <w:szCs w:val="20"/>
          <w:color w:val="auto"/>
        </w:rPr>
      </w:pPr>
    </w:p>
    <w:p>
      <w:pPr>
        <w:ind w:right="60" w:firstLine="987"/>
        <w:spacing w:after="0" w:line="261" w:lineRule="auto"/>
        <w:tabs>
          <w:tab w:leader="none" w:pos="11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98.750% of the principal amount of the Notes, plus accrued interest, if any, from August 8, 2024 to the Closing Date (the “</w:t>
      </w:r>
      <w:r>
        <w:rPr>
          <w:rFonts w:ascii="Times New Roman" w:cs="Times New Roman" w:eastAsia="Times New Roman" w:hAnsi="Times New Roman"/>
          <w:sz w:val="18"/>
          <w:szCs w:val="18"/>
          <w:u w:val="single" w:color="auto"/>
          <w:color w:val="auto"/>
        </w:rPr>
        <w:t>Purchase Amount</w:t>
      </w:r>
      <w:r>
        <w:rPr>
          <w:rFonts w:ascii="Times New Roman" w:cs="Times New Roman" w:eastAsia="Times New Roman" w:hAnsi="Times New Roman"/>
          <w:sz w:val="18"/>
          <w:szCs w:val="18"/>
          <w:color w:val="auto"/>
        </w:rPr>
        <w:t xml:space="preserve">”), the principal amount of Securities set forth opposite such Initial Purchaser’s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89"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and payment for the Securities shall be made at 10:00 A.M., London time, on August 8, 2024, or at such time on such later date (not later than August 15, 2024) as the Initial Purchasers shall designate, which date and time may be postponed among the Initial Purchasers and the Issuer or as provided in Section 9 hereof (such date and time of delivery and payment for the Securities being herein called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jc w:val="both"/>
        <w:ind w:right="20" w:firstLine="987"/>
        <w:spacing w:after="0" w:line="261"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sold within the United States to QIBs in reliance on Rule 144A will be represented by one or more global notes in registered form without interest coupons attached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The Notes sold outside the United States to persons who are not U.S. persons in reliance on Regulation S will be represented by one or more global notes in registered form without interest coupons attached (the “</w:t>
      </w:r>
      <w:r>
        <w:rPr>
          <w:rFonts w:ascii="Times New Roman" w:cs="Times New Roman" w:eastAsia="Times New Roman" w:hAnsi="Times New Roman"/>
          <w:sz w:val="18"/>
          <w:szCs w:val="18"/>
          <w:u w:val="single" w:color="auto"/>
          <w:color w:val="auto"/>
        </w:rPr>
        <w:t>Regulation S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together with the Rule 144A Global Note, the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by the Global Notes will initially be credited free of payment to an account (the “</w:t>
      </w:r>
      <w:r>
        <w:rPr>
          <w:rFonts w:ascii="Times New Roman" w:cs="Times New Roman" w:eastAsia="Times New Roman" w:hAnsi="Times New Roman"/>
          <w:sz w:val="18"/>
          <w:szCs w:val="18"/>
          <w:u w:val="single" w:color="auto"/>
          <w:color w:val="auto"/>
        </w:rPr>
        <w:t>Commissionaire Account</w:t>
      </w:r>
      <w:r>
        <w:rPr>
          <w:rFonts w:ascii="Times New Roman" w:cs="Times New Roman" w:eastAsia="Times New Roman" w:hAnsi="Times New Roman"/>
          <w:sz w:val="18"/>
          <w:szCs w:val="18"/>
          <w:color w:val="auto"/>
        </w:rPr>
        <w:t>”) for the benefit of the Representative, the terms of which will include a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with the Issuer as the third-party beneficiary, and provide that such Notes are to be delivered to others only against payment of the net Purchase Amount (i.e. less the commissions and expenses to be deducted from the Purchase Amount) into the Commissionaire Account on a delivery against payments basis.</w:t>
      </w:r>
    </w:p>
    <w:p>
      <w:pPr>
        <w:spacing w:after="0" w:line="179"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acknowledges that (i) the Global Notes shall be held to the order of the Issuer and (ii) the net Purchase Amount received in the Commissionaire Accounts (i.e. less the commissions and expenses deducted from the Purchase Amount) will be held on behalf of the Issuer until such time as they are transferred to the Issuer’s order. The Representative undertakes that the net Purchase Amount for the Securities (i.e. less the commissions and expenses deducted from the Purchase Amount) will be transferred to the Issuer’s order promptly following receipt of the Purchase Amount in the Commissionaire Account.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right="160" w:firstLine="987"/>
        <w:spacing w:after="0" w:line="267"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acknowledges and accepts the benefit of the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pursuant to the Belgian Civil Code, in the case of Euroclear Bank SA/NV, as operator of the Euroclear System (“</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xml:space="preserve">”), and the Luxembourg Civil Code, in the case of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in each case in respect of the Commissionaire Account.</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the several Initial Purchasers by wire transfer payable in same-day funds to the account specified by the Issuer, and Euroclear and Clearstream shall credit the Securities to the Commissionaire Account of the Representative.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Offering by Initial Purchasers</w:t>
      </w:r>
      <w:r>
        <w:rPr>
          <w:rFonts w:ascii="Times New Roman" w:cs="Times New Roman" w:eastAsia="Times New Roman" w:hAnsi="Times New Roman"/>
          <w:sz w:val="18"/>
          <w:szCs w:val="18"/>
          <w:color w:val="auto"/>
        </w:rPr>
        <w:t>. Each Initial Purchaser, severally and not jointly, represents and warrants to and agrees with the Issuer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540" w:right="40" w:firstLine="425"/>
        <w:spacing w:after="0" w:line="282" w:lineRule="auto"/>
        <w:tabs>
          <w:tab w:leader="none" w:pos="12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within the meaning of Rule 501 of the Act and acknowledges that it is purchasing the Securities pursuant to a private sale exemption from registration under the Act.</w:t>
      </w:r>
    </w:p>
    <w:p>
      <w:pPr>
        <w:spacing w:after="0" w:line="161" w:lineRule="exact"/>
        <w:rPr>
          <w:rFonts w:ascii="Times New Roman" w:cs="Times New Roman" w:eastAsia="Times New Roman" w:hAnsi="Times New Roman"/>
          <w:sz w:val="18"/>
          <w:szCs w:val="18"/>
          <w:color w:val="auto"/>
        </w:rPr>
      </w:pPr>
    </w:p>
    <w:p>
      <w:pPr>
        <w:ind w:left="540" w:firstLine="425"/>
        <w:spacing w:after="0" w:line="256" w:lineRule="auto"/>
        <w:tabs>
          <w:tab w:leader="none" w:pos="12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w:t>
      </w:r>
    </w:p>
    <w:p>
      <w:pPr>
        <w:spacing w:after="0" w:line="187" w:lineRule="exact"/>
        <w:rPr>
          <w:rFonts w:ascii="Times New Roman" w:cs="Times New Roman" w:eastAsia="Times New Roman" w:hAnsi="Times New Roman"/>
          <w:sz w:val="18"/>
          <w:szCs w:val="18"/>
          <w:color w:val="auto"/>
        </w:rPr>
      </w:pPr>
    </w:p>
    <w:p>
      <w:pPr>
        <w:jc w:val="both"/>
        <w:ind w:left="540" w:right="120" w:firstLine="425"/>
        <w:spacing w:after="0" w:line="266" w:lineRule="auto"/>
        <w:tabs>
          <w:tab w:leader="none" w:pos="12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 of the Act.</w:t>
      </w:r>
    </w:p>
    <w:p>
      <w:pPr>
        <w:spacing w:after="0" w:line="175" w:lineRule="exact"/>
        <w:rPr>
          <w:rFonts w:ascii="Times New Roman" w:cs="Times New Roman" w:eastAsia="Times New Roman" w:hAnsi="Times New Roman"/>
          <w:sz w:val="18"/>
          <w:szCs w:val="18"/>
          <w:color w:val="auto"/>
        </w:rPr>
      </w:pPr>
    </w:p>
    <w:p>
      <w:pPr>
        <w:ind w:left="540" w:firstLine="425"/>
        <w:spacing w:after="0" w:line="261" w:lineRule="auto"/>
        <w:tabs>
          <w:tab w:leader="none" w:pos="12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acknowledges and agrees that the Issuer and, for the purposes of the opinions to be delivered to the Initial Purchasers pursuant to Section 6(a) through 6(d),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Companies, jointly and severally, agree, with each Initial Purchaser that:</w:t>
      </w:r>
    </w:p>
    <w:p>
      <w:pPr>
        <w:spacing w:after="0" w:line="225" w:lineRule="exact"/>
        <w:rPr>
          <w:sz w:val="20"/>
          <w:szCs w:val="20"/>
          <w:color w:val="auto"/>
        </w:rPr>
      </w:pPr>
    </w:p>
    <w:p>
      <w:pPr>
        <w:ind w:left="540" w:right="420" w:firstLine="425"/>
        <w:spacing w:after="0" w:line="261" w:lineRule="auto"/>
        <w:tabs>
          <w:tab w:leader="none" w:pos="12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8" w:right="539" w:bottom="1440" w:gutter="0" w:footer="0" w:header="0"/>
        </w:sectPr>
      </w:pPr>
    </w:p>
    <w:bookmarkStart w:id="22" w:name="page23"/>
    <w:bookmarkEnd w:id="22"/>
    <w:p>
      <w:pPr>
        <w:ind w:left="-425" w:firstLine="425"/>
        <w:spacing w:after="0" w:line="253" w:lineRule="auto"/>
        <w:tabs>
          <w:tab w:leader="none" w:pos="2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w:t>
      </w:r>
    </w:p>
    <w:p>
      <w:pPr>
        <w:spacing w:after="0" w:line="191" w:lineRule="exact"/>
        <w:rPr>
          <w:rFonts w:ascii="Times New Roman" w:cs="Times New Roman" w:eastAsia="Times New Roman" w:hAnsi="Times New Roman"/>
          <w:sz w:val="18"/>
          <w:szCs w:val="18"/>
          <w:color w:val="auto"/>
        </w:rPr>
      </w:pPr>
    </w:p>
    <w:p>
      <w:pPr>
        <w:ind w:left="-425" w:firstLine="425"/>
        <w:spacing w:after="0" w:line="253" w:lineRule="auto"/>
        <w:tabs>
          <w:tab w:leader="none" w:pos="2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w:t>
      </w:r>
    </w:p>
    <w:p>
      <w:pPr>
        <w:spacing w:after="0" w:line="194" w:lineRule="exact"/>
        <w:rPr>
          <w:rFonts w:ascii="Times New Roman" w:cs="Times New Roman" w:eastAsia="Times New Roman" w:hAnsi="Times New Roman"/>
          <w:sz w:val="18"/>
          <w:szCs w:val="18"/>
          <w:color w:val="auto"/>
        </w:rPr>
      </w:pPr>
    </w:p>
    <w:p>
      <w:pPr>
        <w:ind w:left="-425" w:right="40" w:firstLine="425"/>
        <w:spacing w:after="0" w:line="258" w:lineRule="auto"/>
        <w:tabs>
          <w:tab w:leader="none" w:pos="2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Company be obligated to qualify to do business in any jurisdiction where it is not now so qualified, to execute a general consent to service of process in any jurisdiction with respect to which such a consent has not been</w:t>
      </w:r>
    </w:p>
    <w:p>
      <w:pPr>
        <w:spacing w:after="0" w:line="116"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35"/>
          </w:cols>
          <w:pgMar w:left="1405" w:top="270" w:right="45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 The Companies will not, and will not permit any of their respective Affiliates to, resell any Securities that have been acquired by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w:t>
      </w:r>
    </w:p>
    <w:p>
      <w:pPr>
        <w:spacing w:after="0" w:line="207" w:lineRule="exact"/>
        <w:rPr>
          <w:sz w:val="20"/>
          <w:szCs w:val="20"/>
          <w:color w:val="auto"/>
        </w:rPr>
      </w:pPr>
    </w:p>
    <w:p>
      <w:pPr>
        <w:ind w:firstLine="425"/>
        <w:spacing w:after="0" w:line="266"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w:t>
      </w:r>
    </w:p>
    <w:p>
      <w:pPr>
        <w:spacing w:after="0" w:line="175" w:lineRule="exact"/>
        <w:rPr>
          <w:rFonts w:ascii="Times New Roman" w:cs="Times New Roman" w:eastAsia="Times New Roman" w:hAnsi="Times New Roman"/>
          <w:sz w:val="18"/>
          <w:szCs w:val="18"/>
          <w:color w:val="auto"/>
        </w:rPr>
      </w:pPr>
    </w:p>
    <w:p>
      <w:pPr>
        <w:ind w:right="40" w:firstLine="425"/>
        <w:spacing w:after="0" w:line="266" w:lineRule="auto"/>
        <w:tabs>
          <w:tab w:leader="none" w:pos="6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or any person acting on behalf of any of them, will engage in any form of general solicitation or general advertising (within the meaning of Regulation D) in connection with any offer or sale of the Securities in the United States.</w:t>
      </w:r>
    </w:p>
    <w:p>
      <w:pPr>
        <w:spacing w:after="0" w:line="175"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Securities are “restricted securities” within the meaning of Rule 144(a)(3) under the Act, each Company will, during any period in which it is not subject to and in compliance with Section 13 or 15(d) of the Exchange Act or it is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w:t>
      </w:r>
    </w:p>
    <w:p>
      <w:pPr>
        <w:spacing w:after="0" w:line="187" w:lineRule="exact"/>
        <w:rPr>
          <w:rFonts w:ascii="Times New Roman" w:cs="Times New Roman" w:eastAsia="Times New Roman" w:hAnsi="Times New Roman"/>
          <w:sz w:val="18"/>
          <w:szCs w:val="18"/>
          <w:color w:val="auto"/>
        </w:rPr>
      </w:pPr>
    </w:p>
    <w:p>
      <w:pPr>
        <w:ind w:right="20" w:firstLine="425"/>
        <w:spacing w:after="0" w:line="266" w:lineRule="auto"/>
        <w:tabs>
          <w:tab w:leader="none" w:pos="6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w:t>
      </w:r>
    </w:p>
    <w:p>
      <w:pPr>
        <w:spacing w:after="0" w:line="175" w:lineRule="exact"/>
        <w:rPr>
          <w:rFonts w:ascii="Times New Roman" w:cs="Times New Roman" w:eastAsia="Times New Roman" w:hAnsi="Times New Roman"/>
          <w:sz w:val="18"/>
          <w:szCs w:val="18"/>
          <w:color w:val="auto"/>
        </w:rPr>
      </w:pPr>
    </w:p>
    <w:p>
      <w:pPr>
        <w:ind w:right="40" w:firstLine="425"/>
        <w:spacing w:after="0" w:line="256" w:lineRule="auto"/>
        <w:tabs>
          <w:tab w:leader="none" w:pos="6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will cooperate with the Representative and use their respective reasonable best efforts to permit the Notes to be eligible for clearance and settlement through Euroclear and Clearstream. The Companies will use their reasonable best efforts to cause the Notes to be listed on the Official List of the Luxembourg Stock Exchange and to be admitted to trading on the Euro MTF Market of the Luxembourg Stock Exchange as soon as practicable after the date hereof. If the Notes cease to be listed on the Official List of the Luxembourg Stock Exchange, the Companies will use their reasonable best efforts as soon as practicable to list such Notes on another recognized stock exchange or exchange regulated market in western Europe.</w:t>
      </w:r>
    </w:p>
    <w:p>
      <w:pPr>
        <w:spacing w:after="0" w:line="1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40"/>
          </w:cols>
          <w:pgMar w:left="980" w:top="270" w:right="479" w:bottom="1440" w:gutter="0" w:footer="0" w:header="0"/>
        </w:sectPr>
      </w:pPr>
    </w:p>
    <w:bookmarkStart w:id="24" w:name="page25"/>
    <w:bookmarkEnd w:id="24"/>
    <w:p>
      <w:pPr>
        <w:ind w:left="-425" w:right="200" w:firstLine="425"/>
        <w:spacing w:after="0" w:line="255" w:lineRule="auto"/>
        <w:tabs>
          <w:tab w:leader="none" w:pos="2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Companies will not and will not permit any of their subsidiaries to, for a period of ninety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Americas LLC of U.S. dollar-denominated senior notes and intercompany notes).</w:t>
      </w:r>
    </w:p>
    <w:p>
      <w:pPr>
        <w:spacing w:after="0" w:line="188" w:lineRule="exact"/>
        <w:rPr>
          <w:rFonts w:ascii="Times New Roman" w:cs="Times New Roman" w:eastAsia="Times New Roman" w:hAnsi="Times New Roman"/>
          <w:sz w:val="18"/>
          <w:szCs w:val="18"/>
          <w:color w:val="auto"/>
        </w:rPr>
      </w:pPr>
    </w:p>
    <w:p>
      <w:pPr>
        <w:ind w:left="-425" w:right="200" w:firstLine="425"/>
        <w:spacing w:after="0" w:line="266" w:lineRule="auto"/>
        <w:tabs>
          <w:tab w:leader="none" w:pos="2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425" w:firstLine="425"/>
        <w:spacing w:after="0" w:line="252" w:lineRule="auto"/>
        <w:tabs>
          <w:tab w:leader="none" w:pos="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jointly and severally, agree to pay the costs and expenses relating to the following matters: (i) the preparation of the Indenture,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(including any non-recoverable value added tax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incurred thereon which, for the avoidance of doubt, shall include any non-recoverable VAT on services provided from legal counsel where the Initial Purchasers are required to self-assess and account for VAT in their role as the recipient of such services);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admitting the Notes for listing on the Official List of the Luxembourg Stock Exchange and for trading on the Euro MTF Market; (viii) the transportation and other expenses incurred by or on behalf of the Companies’ representatives in connection with presentations to prospective purchasers of the Securities; (ix) the fees and expenses of the Companies’ accountants and the fees and expenses of counsel (including local and special counsel) for the Companies; (x) any appraisal or valuation performed in connection with the offering and sale of the Securities; and (xi) all other costs and expenses incident to the performance by the Companies of their respective obligations hereunder.</w:t>
      </w:r>
    </w:p>
    <w:p>
      <w:pPr>
        <w:spacing w:after="0" w:line="124"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35"/>
          </w:cols>
          <w:pgMar w:left="1405" w:top="270" w:right="459" w:bottom="1440" w:gutter="0" w:footer="0" w:header="0"/>
        </w:sectPr>
      </w:pPr>
    </w:p>
    <w:bookmarkStart w:id="25" w:name="page26"/>
    <w:bookmarkEnd w:id="25"/>
    <w:p>
      <w:pPr>
        <w:ind w:left="540" w:right="60" w:firstLine="425"/>
        <w:spacing w:after="0" w:line="282" w:lineRule="auto"/>
        <w:tabs>
          <w:tab w:leader="none" w:pos="12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Companies will apply the proceeds from the offering and sale of the Securities as provided under the caption “Use of Proceeds” in the Pricing Disclosure Package and the Final Memorandum.</w:t>
      </w:r>
    </w:p>
    <w:p>
      <w:pPr>
        <w:spacing w:after="0" w:line="162" w:lineRule="exact"/>
        <w:rPr>
          <w:sz w:val="20"/>
          <w:szCs w:val="20"/>
          <w:color w:val="auto"/>
        </w:rPr>
      </w:pPr>
    </w:p>
    <w:p>
      <w:pPr>
        <w:ind w:right="60" w:firstLine="987"/>
        <w:spacing w:after="0" w:line="258" w:lineRule="auto"/>
        <w:tabs>
          <w:tab w:leader="none" w:pos="11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Initial Purchasers</w:t>
      </w:r>
      <w:r>
        <w:rPr>
          <w:rFonts w:ascii="Times New Roman" w:cs="Times New Roman" w:eastAsia="Times New Roman" w:hAnsi="Times New Roman"/>
          <w:sz w:val="18"/>
          <w:szCs w:val="18"/>
          <w:color w:val="auto"/>
        </w:rPr>
        <w:t>.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w:t>
      </w:r>
    </w:p>
    <w:p>
      <w:pPr>
        <w:spacing w:after="0" w:line="183" w:lineRule="exact"/>
        <w:rPr>
          <w:sz w:val="20"/>
          <w:szCs w:val="20"/>
          <w:color w:val="auto"/>
        </w:rPr>
      </w:pPr>
    </w:p>
    <w:p>
      <w:pPr>
        <w:ind w:left="540" w:firstLine="425"/>
        <w:spacing w:after="0" w:line="253" w:lineRule="auto"/>
        <w:tabs>
          <w:tab w:leader="none" w:pos="12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requested and caused (i) Dechert LLP, special United States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(ii) Singerman Mills Desberg &amp; Kauntz Co. L.P.A., special Ohio counsel for the Companies, to furnish to the Initial Purchasers their opinion on the Closing Date and dated the Closing Date and addressed to the Initial Purchasers, substantially in the form reasonably satisfactory to the Initial Purchasers and their counsel and (iii)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w:t>
      </w:r>
    </w:p>
    <w:p>
      <w:pPr>
        <w:spacing w:after="0" w:line="189" w:lineRule="exact"/>
        <w:rPr>
          <w:rFonts w:ascii="Times New Roman" w:cs="Times New Roman" w:eastAsia="Times New Roman" w:hAnsi="Times New Roman"/>
          <w:sz w:val="18"/>
          <w:szCs w:val="18"/>
          <w:color w:val="auto"/>
        </w:rPr>
      </w:pPr>
    </w:p>
    <w:p>
      <w:pPr>
        <w:ind w:left="540" w:firstLine="425"/>
        <w:spacing w:after="0" w:line="258" w:lineRule="auto"/>
        <w:tabs>
          <w:tab w:leader="none" w:pos="12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requested and caused Dechert (Paris) LLP, special French counsel to the Companies, to furnish to the Initial Purchasers their opinion, delivered on the Closing Date and dated the Closing Date and addressed to the Initial Purchasers, substantially in the form reasonably satisfactory to the Initial Purchasers and their counsel. In rendering such opinion, such counsel may rely as to matters of fact, to the extent they deem proper, on certificates of responsible officers of the Companies and public officials. In rendering such opinion, such counsel will exclude any matters involving the application of laws of any jurisdiction other than the Republic of France.</w:t>
      </w:r>
    </w:p>
    <w:p>
      <w:pPr>
        <w:spacing w:after="0" w:line="183" w:lineRule="exact"/>
        <w:rPr>
          <w:rFonts w:ascii="Times New Roman" w:cs="Times New Roman" w:eastAsia="Times New Roman" w:hAnsi="Times New Roman"/>
          <w:sz w:val="18"/>
          <w:szCs w:val="18"/>
          <w:color w:val="auto"/>
        </w:rPr>
      </w:pPr>
    </w:p>
    <w:p>
      <w:pPr>
        <w:ind w:left="540" w:firstLine="425"/>
        <w:spacing w:after="0" w:line="258" w:lineRule="auto"/>
        <w:tabs>
          <w:tab w:leader="none" w:pos="12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requested and caused one or more local counsel for the Companies, reasonably satisfactory to the Initial Purchasers and counsel to the Initial Purchasers, in each of Canada, Germany, Luxembourg, Mexico, the Netherlands, Spain, Switzerland and the United Kingdom to furnish to the Initial Purchasers their opinion, delivered on the Closing Date and dated the Closing Date and addressed to the Initial Purchasers. In rendering such opinion, such counsel may rely as to matters of fact, to the extent they deem proper, on certificates of responsible officers of relevant Companies.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right="20" w:firstLine="425"/>
        <w:spacing w:after="0" w:line="258" w:lineRule="auto"/>
        <w:tabs>
          <w:tab w:leader="none" w:pos="6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Initial Purchasers shall have received from each of (i)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special United States counsel for the Initial Purchasers, and (ii) Gide Loyrette Nouel A.A.R.P.I., special French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ind w:right="80" w:firstLine="425"/>
        <w:spacing w:after="0" w:line="261"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w:t>
      </w:r>
    </w:p>
    <w:p>
      <w:pPr>
        <w:spacing w:after="0" w:line="179" w:lineRule="exact"/>
        <w:rPr>
          <w:rFonts w:ascii="Times New Roman" w:cs="Times New Roman" w:eastAsia="Times New Roman" w:hAnsi="Times New Roman"/>
          <w:sz w:val="18"/>
          <w:szCs w:val="18"/>
          <w:color w:val="auto"/>
        </w:rPr>
      </w:pPr>
    </w:p>
    <w:p>
      <w:pPr>
        <w:ind w:left="440" w:right="40" w:firstLine="408"/>
        <w:spacing w:after="0" w:line="261" w:lineRule="auto"/>
        <w:tabs>
          <w:tab w:leader="none" w:pos="10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Companies in this Agreement are true and correct in all material respects (other than the representations and warranties set forth in Section 1(tt), (uu) and (vv)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w:t>
      </w:r>
    </w:p>
    <w:p>
      <w:pPr>
        <w:spacing w:after="0" w:line="179" w:lineRule="exact"/>
        <w:rPr>
          <w:rFonts w:ascii="Times New Roman" w:cs="Times New Roman" w:eastAsia="Times New Roman" w:hAnsi="Times New Roman"/>
          <w:sz w:val="18"/>
          <w:szCs w:val="18"/>
          <w:color w:val="auto"/>
        </w:rPr>
      </w:pPr>
    </w:p>
    <w:p>
      <w:pPr>
        <w:ind w:left="440" w:right="80" w:firstLine="408"/>
        <w:spacing w:after="0" w:line="258" w:lineRule="auto"/>
        <w:tabs>
          <w:tab w:leader="none" w:pos="11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w:t>
      </w:r>
    </w:p>
    <w:p>
      <w:pPr>
        <w:spacing w:after="0" w:line="183" w:lineRule="exact"/>
        <w:rPr>
          <w:rFonts w:ascii="Times New Roman" w:cs="Times New Roman" w:eastAsia="Times New Roman" w:hAnsi="Times New Roman"/>
          <w:sz w:val="18"/>
          <w:szCs w:val="18"/>
          <w:color w:val="auto"/>
        </w:rPr>
      </w:pPr>
    </w:p>
    <w:p>
      <w:pPr>
        <w:ind w:firstLine="425"/>
        <w:spacing w:after="0" w:line="256"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w:t>
      </w:r>
    </w:p>
    <w:p>
      <w:pPr>
        <w:spacing w:after="0" w:line="18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20"/>
          </w:cols>
          <w:pgMar w:left="980" w:top="270" w:right="499" w:bottom="1440" w:gutter="0" w:footer="0" w:header="0"/>
        </w:sectPr>
      </w:pPr>
    </w:p>
    <w:bookmarkStart w:id="27" w:name="page28"/>
    <w:bookmarkEnd w:id="27"/>
    <w:p>
      <w:pPr>
        <w:ind w:firstLine="425"/>
        <w:spacing w:after="0" w:line="253" w:lineRule="auto"/>
        <w:tabs>
          <w:tab w:leader="none" w:pos="6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w:t>
      </w:r>
    </w:p>
    <w:p>
      <w:pPr>
        <w:spacing w:after="0" w:line="5" w:lineRule="exact"/>
        <w:rPr>
          <w:rFonts w:ascii="Times New Roman" w:cs="Times New Roman" w:eastAsia="Times New Roman" w:hAnsi="Times New Roman"/>
          <w:sz w:val="18"/>
          <w:szCs w:val="18"/>
          <w:color w:val="auto"/>
        </w:rPr>
      </w:pPr>
    </w:p>
    <w:p>
      <w:pPr>
        <w:ind w:right="120" w:firstLine="7"/>
        <w:spacing w:after="0" w:line="255"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185" w:lineRule="exact"/>
        <w:rPr>
          <w:rFonts w:ascii="Times New Roman" w:cs="Times New Roman" w:eastAsia="Times New Roman" w:hAnsi="Times New Roman"/>
          <w:sz w:val="18"/>
          <w:szCs w:val="18"/>
          <w:color w:val="auto"/>
        </w:rPr>
      </w:pPr>
    </w:p>
    <w:p>
      <w:pPr>
        <w:ind w:right="1020" w:firstLine="425"/>
        <w:spacing w:after="0" w:line="282" w:lineRule="auto"/>
        <w:tabs>
          <w:tab w:leader="none" w:pos="6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and the Trustee shall have entered into the Indenture in form and substance reasonably satisfactory to the Representative, and the Representative shall have received counterparts, conformed as executed, thereof.</w:t>
      </w:r>
    </w:p>
    <w:p>
      <w:pPr>
        <w:spacing w:after="0" w:line="161" w:lineRule="exact"/>
        <w:rPr>
          <w:rFonts w:ascii="Times New Roman" w:cs="Times New Roman" w:eastAsia="Times New Roman" w:hAnsi="Times New Roman"/>
          <w:sz w:val="18"/>
          <w:szCs w:val="18"/>
          <w:color w:val="auto"/>
        </w:rPr>
      </w:pPr>
    </w:p>
    <w:p>
      <w:pPr>
        <w:ind w:right="200" w:firstLine="425"/>
        <w:spacing w:after="0" w:line="282" w:lineRule="auto"/>
        <w:tabs>
          <w:tab w:leader="none" w:pos="6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shall have executed a Guarantee in form and substance reasonably satisfactory to the Representative, and the Initial Purchasers shall have received counterparts, conformed as executed, thereof.</w:t>
      </w:r>
    </w:p>
    <w:p>
      <w:pPr>
        <w:spacing w:after="0" w:line="161" w:lineRule="exact"/>
        <w:rPr>
          <w:rFonts w:ascii="Times New Roman" w:cs="Times New Roman" w:eastAsia="Times New Roman" w:hAnsi="Times New Roman"/>
          <w:sz w:val="18"/>
          <w:szCs w:val="18"/>
          <w:color w:val="auto"/>
        </w:rPr>
      </w:pPr>
    </w:p>
    <w:p>
      <w:pPr>
        <w:ind w:right="40" w:firstLine="425"/>
        <w:spacing w:after="0" w:line="282" w:lineRule="auto"/>
        <w:tabs>
          <w:tab w:leader="none" w:pos="6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filed an application to list the Notes on the Official List of the Luxembourg Stock Exchange, and the Notes shall be eligible for clearance and settlement through Euroclear and Clearstream.</w:t>
      </w:r>
    </w:p>
    <w:p>
      <w:pPr>
        <w:spacing w:after="0" w:line="161" w:lineRule="exact"/>
        <w:rPr>
          <w:rFonts w:ascii="Times New Roman" w:cs="Times New Roman" w:eastAsia="Times New Roman" w:hAnsi="Times New Roman"/>
          <w:sz w:val="18"/>
          <w:szCs w:val="18"/>
          <w:color w:val="auto"/>
        </w:rPr>
      </w:pPr>
    </w:p>
    <w:p>
      <w:pPr>
        <w:jc w:val="both"/>
        <w:ind w:right="80" w:firstLine="425"/>
        <w:spacing w:after="0" w:line="266" w:lineRule="auto"/>
        <w:tabs>
          <w:tab w:leader="none" w:pos="6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appointed CT Corporation System, located at 111 Eighth Avenue, New York, New York 10011, as its agent for service of process in the United States under this Agreement, the Indenture and the Securities in accordance with Section 21 hereof and the equivalent provision in the Indenture.</w:t>
      </w:r>
    </w:p>
    <w:p>
      <w:pPr>
        <w:spacing w:after="0" w:line="175" w:lineRule="exact"/>
        <w:rPr>
          <w:rFonts w:ascii="Times New Roman" w:cs="Times New Roman" w:eastAsia="Times New Roman" w:hAnsi="Times New Roman"/>
          <w:sz w:val="18"/>
          <w:szCs w:val="18"/>
          <w:color w:val="auto"/>
        </w:rPr>
      </w:pPr>
    </w:p>
    <w:p>
      <w:pPr>
        <w:ind w:right="40" w:firstLine="425"/>
        <w:spacing w:after="0" w:line="266" w:lineRule="auto"/>
        <w:tabs>
          <w:tab w:leader="none" w:pos="7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Guarantors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w:t>
      </w:r>
    </w:p>
    <w:p>
      <w:pPr>
        <w:spacing w:after="0" w:line="175"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Execution, there shall not have been any decrease in the rating of any debt securities of any of the</w:t>
      </w:r>
    </w:p>
    <w:p>
      <w:pPr>
        <w:spacing w:after="0" w:line="27"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w:t>
      </w:r>
    </w:p>
    <w:p>
      <w:pPr>
        <w:spacing w:after="0" w:line="185" w:lineRule="exact"/>
        <w:rPr>
          <w:rFonts w:ascii="Times New Roman" w:cs="Times New Roman" w:eastAsia="Times New Roman" w:hAnsi="Times New Roman"/>
          <w:sz w:val="18"/>
          <w:szCs w:val="18"/>
          <w:color w:val="auto"/>
        </w:rPr>
      </w:pPr>
    </w:p>
    <w:p>
      <w:pPr>
        <w:ind w:right="120" w:firstLine="425"/>
        <w:spacing w:after="0" w:line="282" w:lineRule="auto"/>
        <w:tabs>
          <w:tab w:leader="none" w:pos="6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each of the Companies shall have furnished to the Representative such further information, certificates and documents as the Representative may reasonably request.</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380"/>
          </w:cols>
          <w:pgMar w:left="980" w:top="270" w:right="539" w:bottom="1440" w:gutter="0" w:footer="0" w:header="0"/>
        </w:sectPr>
      </w:pPr>
    </w:p>
    <w:bookmarkStart w:id="28" w:name="page29"/>
    <w:bookmarkEnd w:id="2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w:t>
      </w:r>
    </w:p>
    <w:p>
      <w:pPr>
        <w:spacing w:after="0" w:line="183"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documents required to be delivered by this Section 6 will be delivered at the office of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counsel for the Initial Purchasers, at 32 Old Slip, New York, New York 10005.</w:t>
      </w:r>
    </w:p>
    <w:p>
      <w:pPr>
        <w:spacing w:after="0" w:line="162" w:lineRule="exact"/>
        <w:rPr>
          <w:sz w:val="20"/>
          <w:szCs w:val="20"/>
          <w:color w:val="auto"/>
        </w:rPr>
      </w:pPr>
    </w:p>
    <w:p>
      <w:pPr>
        <w:ind w:right="120" w:firstLine="987"/>
        <w:spacing w:after="0" w:line="256" w:lineRule="auto"/>
        <w:tabs>
          <w:tab w:leader="none" w:pos="11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specifically for inclusion therein. This indemnity agreement will be in addition to any liability which the Companies may otherwise have.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right="60" w:firstLine="987"/>
        <w:spacing w:after="0" w:line="253"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Initial Purchaser, severally and not jointly, agrees to indemnify and hold harmless, each Company, each of their directors, each of their officers, each of their employees, each of their agents and each person who controls a Company within the meaning of either the Act or the Exchange Act and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fifth sentence in the fifteenth paragraph, each under the heading “Plan of Distribution” in the Preliminary Memorandum and Final Memorandum, constitute the only information furnished in writing by or on behalf of the Initial Purchasers for inclusion in the Pricing Disclosure Package and Final Memorandum (or in any amendment or supplement thereto).</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87" w:lineRule="exact"/>
        <w:rPr>
          <w:sz w:val="20"/>
          <w:szCs w:val="20"/>
          <w:color w:val="auto"/>
        </w:rPr>
      </w:pPr>
    </w:p>
    <w:p>
      <w:pPr>
        <w:ind w:firstLine="987"/>
        <w:spacing w:after="0" w:line="251"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1" w:name="page32"/>
    <w:bookmarkEnd w:id="31"/>
    <w:p>
      <w:pPr>
        <w:ind w:firstLine="987"/>
        <w:spacing w:after="0" w:line="252" w:lineRule="auto"/>
        <w:tabs>
          <w:tab w:leader="none" w:pos="11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by an Initial Purchaser</w:t>
      </w:r>
      <w:r>
        <w:rPr>
          <w:rFonts w:ascii="Times New Roman" w:cs="Times New Roman" w:eastAsia="Times New Roman" w:hAnsi="Times New Roman"/>
          <w:sz w:val="18"/>
          <w:szCs w:val="18"/>
          <w:color w:val="auto"/>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amount of Securities set forth opposite the names of all the remaining Initial Purchasers) the Securities which the defaulting Initial Purchaser or Initial Purchasers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aggregate amount of Securities which the defaulting Initial Purchaser or Initial Purchasers agreed but failed to purchase shall exceed 10% of the aggregate amount of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w:t>
      </w:r>
    </w:p>
    <w:p>
      <w:pPr>
        <w:spacing w:after="0" w:line="197"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Luxembourg Stock Exchange or the Nasdaq Global Market shall have been suspended or limited or minimum prices shall have been established on any such exchange or Nasdaq Global Market; (ii) a banking moratorium shall have been declared either by Federal or New York State authorities or by authorities in the European Union or any member state thereof; or (iii) there shall have occurred any outbreak or escalation of hostilities, declaration by the United States or the European Union or any member state thereof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left="-20" w:firstLine="987"/>
        <w:spacing w:after="0" w:line="256" w:lineRule="auto"/>
        <w:tabs>
          <w:tab w:leader="none" w:pos="12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Indemnities to Survive</w:t>
      </w:r>
      <w:r>
        <w:rPr>
          <w:rFonts w:ascii="Times New Roman" w:cs="Times New Roman" w:eastAsia="Times New Roman" w:hAnsi="Times New Roman"/>
          <w:sz w:val="18"/>
          <w:szCs w:val="18"/>
          <w:color w:val="auto"/>
        </w:rPr>
        <w:t>. The respective indemnities, rights of contribution, qualified financial contracts resolution stay and bail-in provisions, agreements, representations, warranties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w:t>
      </w:r>
    </w:p>
    <w:p>
      <w:pPr>
        <w:spacing w:after="0" w:line="187"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Initial Purchasers, will be mailed, delivered or telefaxed to BNP Paribas, 10 Harewood Avenue, London NW1 6AA, United Kingdom, Attention: Fixed Income Syndicate; if sent to the Companies, will be mailed, delivered or telefaxed to Crown Holdings, Inc., 770 Township Line Road, Yardley, PA 19067, Attention: General Counsel (email: **********@**********), with a copy to Dechert LLP, Cira Center, 2929 Arch Street, Philadelphia, PA 19104, Attention: Ian A. Hartman (fax no.: **********@**********).</w:t>
      </w:r>
    </w:p>
    <w:p>
      <w:pPr>
        <w:spacing w:after="0" w:line="183"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and Acknowledgment with Respect to the Exercise of Bail-in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20" w:firstLine="987"/>
        <w:spacing w:after="0" w:line="261"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EU Bail-in Powers</w:t>
      </w:r>
      <w:r>
        <w:rPr>
          <w:rFonts w:ascii="Times New Roman" w:cs="Times New Roman" w:eastAsia="Times New Roman" w:hAnsi="Times New Roman"/>
          <w:sz w:val="18"/>
          <w:szCs w:val="18"/>
          <w:color w:val="auto"/>
        </w:rPr>
        <w:t>. Notwithstanding and to the exclusion of any other term of this Agreement or any other agreements, arrangements or understandings between any applicable Initial Purchaser and any other party to this Agreement, each of the parties to this Agreement acknowledges and accepts that a BRRD Liability arising under this Agreement may be subject to the exercise of the relevant Bail-in Powers by the Relevant Resolution Authority, and acknowledges, accepts and agrees to be bound by:</w:t>
      </w:r>
    </w:p>
    <w:p>
      <w:pPr>
        <w:spacing w:after="0" w:line="179" w:lineRule="exact"/>
        <w:rPr>
          <w:rFonts w:ascii="Times New Roman" w:cs="Times New Roman" w:eastAsia="Times New Roman" w:hAnsi="Times New Roman"/>
          <w:sz w:val="18"/>
          <w:szCs w:val="18"/>
          <w:color w:val="auto"/>
        </w:rPr>
      </w:pPr>
    </w:p>
    <w:p>
      <w:pPr>
        <w:ind w:left="960" w:right="100" w:firstLine="408"/>
        <w:spacing w:after="0" w:line="266" w:lineRule="auto"/>
        <w:tabs>
          <w:tab w:leader="none" w:pos="157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an applicable Initial Purchaser (the “</w:t>
      </w:r>
      <w:r>
        <w:rPr>
          <w:rFonts w:ascii="Times New Roman" w:cs="Times New Roman" w:eastAsia="Times New Roman" w:hAnsi="Times New Roman"/>
          <w:sz w:val="18"/>
          <w:szCs w:val="18"/>
          <w:u w:val="single" w:color="auto"/>
          <w:color w:val="auto"/>
        </w:rPr>
        <w:t>Relevant BRRD Party</w:t>
      </w:r>
      <w:r>
        <w:rPr>
          <w:rFonts w:ascii="Times New Roman" w:cs="Times New Roman" w:eastAsia="Times New Roman" w:hAnsi="Times New Roman"/>
          <w:sz w:val="18"/>
          <w:szCs w:val="18"/>
          <w:color w:val="auto"/>
        </w:rPr>
        <w:t>”) to such other party under this Agreement, that (without limitation) may include and result in any of the following, or some combination thereof:</w:t>
      </w:r>
    </w:p>
    <w:p>
      <w:pPr>
        <w:spacing w:after="0" w:line="175" w:lineRule="exact"/>
        <w:rPr>
          <w:rFonts w:ascii="Times New Roman" w:cs="Times New Roman" w:eastAsia="Times New Roman" w:hAnsi="Times New Roman"/>
          <w:sz w:val="18"/>
          <w:szCs w:val="18"/>
          <w:color w:val="auto"/>
        </w:rPr>
      </w:pPr>
    </w:p>
    <w:p>
      <w:pPr>
        <w:ind w:left="2040" w:hanging="249"/>
        <w:spacing w:after="0"/>
        <w:tabs>
          <w:tab w:leader="none" w:pos="20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225" w:lineRule="exact"/>
        <w:rPr>
          <w:rFonts w:ascii="Times New Roman" w:cs="Times New Roman" w:eastAsia="Times New Roman" w:hAnsi="Times New Roman"/>
          <w:sz w:val="18"/>
          <w:szCs w:val="18"/>
          <w:color w:val="auto"/>
        </w:rPr>
      </w:pPr>
    </w:p>
    <w:p>
      <w:pPr>
        <w:ind w:left="1400" w:right="200" w:firstLine="391"/>
        <w:spacing w:after="0" w:line="266" w:lineRule="auto"/>
        <w:tabs>
          <w:tab w:leader="none" w:pos="203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the Relevant BRRD Party or another person, and the issue to or conferral on such other party to this Agreement of such shares, securities or obligations;</w:t>
      </w:r>
    </w:p>
    <w:p>
      <w:pPr>
        <w:spacing w:after="0" w:line="175" w:lineRule="exact"/>
        <w:rPr>
          <w:rFonts w:ascii="Times New Roman" w:cs="Times New Roman" w:eastAsia="Times New Roman" w:hAnsi="Times New Roman"/>
          <w:sz w:val="18"/>
          <w:szCs w:val="18"/>
          <w:color w:val="auto"/>
        </w:rPr>
      </w:pPr>
    </w:p>
    <w:p>
      <w:pPr>
        <w:ind w:left="2040" w:hanging="249"/>
        <w:spacing w:after="0"/>
        <w:tabs>
          <w:tab w:leader="none" w:pos="20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or</w:t>
      </w:r>
    </w:p>
    <w:p>
      <w:pPr>
        <w:spacing w:after="0" w:line="225" w:lineRule="exact"/>
        <w:rPr>
          <w:rFonts w:ascii="Times New Roman" w:cs="Times New Roman" w:eastAsia="Times New Roman" w:hAnsi="Times New Roman"/>
          <w:sz w:val="18"/>
          <w:szCs w:val="18"/>
          <w:color w:val="auto"/>
        </w:rPr>
      </w:pPr>
    </w:p>
    <w:p>
      <w:pPr>
        <w:ind w:left="1400" w:firstLine="391"/>
        <w:spacing w:after="0" w:line="282" w:lineRule="auto"/>
        <w:tabs>
          <w:tab w:leader="none" w:pos="203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162" w:lineRule="exact"/>
        <w:rPr>
          <w:sz w:val="20"/>
          <w:szCs w:val="20"/>
          <w:color w:val="auto"/>
        </w:rPr>
      </w:pPr>
    </w:p>
    <w:p>
      <w:pPr>
        <w:ind w:left="960" w:right="360" w:firstLine="408"/>
        <w:spacing w:after="0" w:line="282" w:lineRule="auto"/>
        <w:tabs>
          <w:tab w:leader="none" w:pos="16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13(a):</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w:t>
      </w:r>
      <w:r>
        <w:rPr>
          <w:rFonts w:ascii="Times New Roman" w:cs="Times New Roman" w:eastAsia="Times New Roman" w:hAnsi="Times New Roman"/>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 as amended from time to time;</w:t>
      </w:r>
    </w:p>
    <w:p>
      <w:pPr>
        <w:spacing w:after="0" w:line="162"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in the applicable Bail-in Legislation may be exercised;</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http://www.lma.eu.com/documents-guidelines/eu-bail-legislation-schedule;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the Relevant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BRRD Party.</w:t>
      </w:r>
    </w:p>
    <w:p>
      <w:pPr>
        <w:spacing w:after="0" w:line="205" w:lineRule="exact"/>
        <w:rPr>
          <w:sz w:val="20"/>
          <w:szCs w:val="20"/>
          <w:color w:val="auto"/>
        </w:rPr>
      </w:pPr>
    </w:p>
    <w:p>
      <w:pPr>
        <w:jc w:val="both"/>
        <w:ind w:right="100" w:firstLine="987"/>
        <w:spacing w:after="0" w:line="261"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UK Bail-in Powers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UK Bail-in Liability arising under this Agreement may be subject to the exercise of UK Bail-in Powers by the relevant UK Resolution Authority, and acknowledges, accepts and agrees to be bound by:</w:t>
      </w:r>
    </w:p>
    <w:p>
      <w:pPr>
        <w:spacing w:after="0" w:line="18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5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UK Bail-in Powers by the relevant UK Resolution Authority in relation to any UK Bail-in Liability of an applicable Initial Purchaser (the “</w:t>
      </w:r>
      <w:r>
        <w:rPr>
          <w:rFonts w:ascii="Times New Roman" w:cs="Times New Roman" w:eastAsia="Times New Roman" w:hAnsi="Times New Roman"/>
          <w:sz w:val="18"/>
          <w:szCs w:val="18"/>
          <w:u w:val="single" w:color="auto"/>
          <w:color w:val="auto"/>
        </w:rPr>
        <w:t>Relevant UK Bail-in Party</w:t>
      </w:r>
      <w:r>
        <w:rPr>
          <w:rFonts w:ascii="Times New Roman" w:cs="Times New Roman" w:eastAsia="Times New Roman" w:hAnsi="Times New Roman"/>
          <w:sz w:val="18"/>
          <w:szCs w:val="18"/>
          <w:color w:val="auto"/>
        </w:rPr>
        <w:t>”) to any other party under this Agreement, that (without limitation) may include and result in any of the following, or some combination thereof:</w:t>
      </w:r>
    </w:p>
    <w:p>
      <w:pPr>
        <w:spacing w:after="0" w:line="175"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UK Bail-in Liability or outstanding amounts due thereon;</w:t>
      </w:r>
    </w:p>
    <w:p>
      <w:pPr>
        <w:spacing w:after="0" w:line="225" w:lineRule="exact"/>
        <w:rPr>
          <w:rFonts w:ascii="Times New Roman" w:cs="Times New Roman" w:eastAsia="Times New Roman" w:hAnsi="Times New Roman"/>
          <w:sz w:val="18"/>
          <w:szCs w:val="18"/>
          <w:color w:val="auto"/>
        </w:rPr>
      </w:pPr>
    </w:p>
    <w:p>
      <w:pPr>
        <w:jc w:val="both"/>
        <w:ind w:left="1420" w:right="400" w:firstLine="391"/>
        <w:spacing w:after="0" w:line="266" w:lineRule="auto"/>
        <w:tabs>
          <w:tab w:leader="none" w:pos="205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UK Bail-in Liability into shares or other securities or other obligations of the Relevant UK Bail-in Party or another person, and the issue to or conferral on such other party to this Agreement of such shares, securities or obligations;</w:t>
      </w:r>
    </w:p>
    <w:p>
      <w:pPr>
        <w:spacing w:after="0" w:line="175"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UK Bail-in Liability;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4" w:name="page35"/>
    <w:bookmarkEnd w:id="34"/>
    <w:p>
      <w:pPr>
        <w:ind w:left="1420" w:right="20" w:firstLine="391"/>
        <w:spacing w:after="0" w:line="282" w:lineRule="auto"/>
        <w:tabs>
          <w:tab w:leader="none" w:pos="20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amendment or alteration of any interest, if applicable, thereon, the maturity or the dates on which any payments are due, including by suspending payment for a temporary period; and</w:t>
      </w:r>
    </w:p>
    <w:p>
      <w:pPr>
        <w:spacing w:after="0" w:line="161"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to give effect to the exercise of UK Bail-in Powers by the relevant UK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this Section 13(b):</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Bail-in Legislation</w:t>
      </w:r>
      <w:r>
        <w:rPr>
          <w:rFonts w:ascii="Times New Roman" w:cs="Times New Roman" w:eastAsia="Times New Roman" w:hAnsi="Times New Roman"/>
          <w:sz w:val="18"/>
          <w:szCs w:val="18"/>
          <w:color w:val="auto"/>
        </w:rPr>
        <w:t>” means Part I of the UK Banking Act 2009, as amended, and any other law or regulation applicable in the UK relating to the resolution of unsound or failing banks, investment firms or other financial institutions or their affiliates (otherwise than through liquidation, administration or other insolvency proceedings);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Bail-in Liability</w:t>
      </w:r>
      <w:r>
        <w:rPr>
          <w:rFonts w:ascii="Times New Roman" w:cs="Times New Roman" w:eastAsia="Times New Roman" w:hAnsi="Times New Roman"/>
          <w:sz w:val="18"/>
          <w:szCs w:val="18"/>
          <w:color w:val="auto"/>
        </w:rPr>
        <w:t>” means a liability in respect of which the UK Bail-in Powers may be exercised; and</w:t>
      </w:r>
    </w:p>
    <w:p>
      <w:pPr>
        <w:spacing w:after="0" w:line="225"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Bail-in Powers</w:t>
      </w:r>
      <w:r>
        <w:rPr>
          <w:rFonts w:ascii="Times New Roman" w:cs="Times New Roman" w:eastAsia="Times New Roman" w:hAnsi="Times New Roman"/>
          <w:sz w:val="18"/>
          <w:szCs w:val="18"/>
          <w:color w:val="auto"/>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resolution authority with the ability to exercise any UK Bail-in Powers in relation to a Relevant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Bail-in Party.</w:t>
      </w:r>
    </w:p>
    <w:p>
      <w:pPr>
        <w:spacing w:after="0" w:line="207" w:lineRule="exact"/>
        <w:rPr>
          <w:sz w:val="20"/>
          <w:szCs w:val="20"/>
          <w:color w:val="auto"/>
        </w:rPr>
      </w:pPr>
    </w:p>
    <w:p>
      <w:pPr>
        <w:ind w:right="140" w:firstLine="987"/>
        <w:spacing w:after="0" w:line="266" w:lineRule="auto"/>
        <w:tabs>
          <w:tab w:leader="none" w:pos="1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Delivery of an executed counterpart of a signature page of this Agreement by facsimile or other electronic transmission (including in “.pdf” format) will be effective as delivery of a manually executed counterpart hereof.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ind w:firstLine="987"/>
        <w:spacing w:after="0" w:line="253" w:lineRule="auto"/>
        <w:tabs>
          <w:tab w:leader="none" w:pos="12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Advisory or Fiduciary Responsibility.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 The Issuer confirms to act as principal for its own account and not as agent or trustee in any capacity on behalf of any party in relation to the Transaction Documents.</w:t>
      </w:r>
    </w:p>
    <w:p>
      <w:pPr>
        <w:spacing w:after="0" w:line="194"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which follow, when used in this Agreement, shall have the meanings indicated.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specified in Rule 501(b) of Regulation D.</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The City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shall mean the Investment Company Act of 1940, as amended, and the rules and regulations of the Commission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Regulation D under the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shall mean Regulation S under the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ind w:left="1260" w:hanging="27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p>
    <w:p>
      <w:pPr>
        <w:spacing w:after="0" w:line="225" w:lineRule="exact"/>
        <w:rPr>
          <w:sz w:val="20"/>
          <w:szCs w:val="20"/>
          <w:color w:val="auto"/>
        </w:rPr>
      </w:pPr>
    </w:p>
    <w:p>
      <w:pPr>
        <w:ind w:firstLine="987"/>
        <w:spacing w:after="0" w:line="25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Applicable to the Issuer and Guarantors organized under the laws of France (each a “</w:t>
      </w:r>
      <w:r>
        <w:rPr>
          <w:rFonts w:ascii="Times New Roman" w:cs="Times New Roman" w:eastAsia="Times New Roman" w:hAnsi="Times New Roman"/>
          <w:sz w:val="18"/>
          <w:szCs w:val="18"/>
          <w:u w:val="single" w:color="auto"/>
          <w:color w:val="auto"/>
        </w:rPr>
        <w:t>French Company</w:t>
      </w:r>
      <w:r>
        <w:rPr>
          <w:rFonts w:ascii="Times New Roman" w:cs="Times New Roman" w:eastAsia="Times New Roman" w:hAnsi="Times New Roman"/>
          <w:sz w:val="18"/>
          <w:szCs w:val="18"/>
          <w:color w:val="auto"/>
        </w:rPr>
        <w:t>”) and under the laws of England and Wales (each an “</w:t>
      </w:r>
      <w:r>
        <w:rPr>
          <w:rFonts w:ascii="Times New Roman" w:cs="Times New Roman" w:eastAsia="Times New Roman" w:hAnsi="Times New Roman"/>
          <w:sz w:val="18"/>
          <w:szCs w:val="18"/>
          <w:u w:val="single" w:color="auto"/>
          <w:color w:val="auto"/>
        </w:rPr>
        <w:t>English Company</w:t>
      </w:r>
      <w:r>
        <w:rPr>
          <w:rFonts w:ascii="Times New Roman" w:cs="Times New Roman" w:eastAsia="Times New Roman" w:hAnsi="Times New Roman"/>
          <w:sz w:val="18"/>
          <w:szCs w:val="18"/>
          <w:color w:val="auto"/>
        </w:rPr>
        <w:t>”). Notwithstanding anything to the contrary in this Agreement, (i) the representations, warranties and covenants made by any French Company or English Company in this Agreement shall be made for its own account and be strictly limited to matters related to such French Company or such English Company and its subsidiaries in connection, to the extent applicable, with the Guarantees granted by such French Company or such English Company, (ii) no French Company is acting jointly and severally with the other Guarantors or the Issuer and no French Company shall be considered as “</w:t>
      </w:r>
      <w:r>
        <w:rPr>
          <w:rFonts w:ascii="Times New Roman" w:cs="Times New Roman" w:eastAsia="Times New Roman" w:hAnsi="Times New Roman"/>
          <w:sz w:val="18"/>
          <w:szCs w:val="18"/>
          <w:i w:val="1"/>
          <w:iCs w:val="1"/>
          <w:color w:val="auto"/>
        </w:rPr>
        <w:t>co-débiteurs solidaires</w:t>
      </w:r>
      <w:r>
        <w:rPr>
          <w:rFonts w:ascii="Times New Roman" w:cs="Times New Roman" w:eastAsia="Times New Roman" w:hAnsi="Times New Roman"/>
          <w:sz w:val="18"/>
          <w:szCs w:val="18"/>
          <w:color w:val="auto"/>
        </w:rPr>
        <w:t>” as to any obligation under this Agreement, (iii) any expenses or indemnities to be paid by any French Company under this Agreement shall be limited to the expenses or indemnities incidental to the performance of its obligations under this Agreement, (iv) any certificate to be given by a French Company under Section 6(o) shall be strictly limited to matters related to it and its subsidiaries and (v) any obligations, representations or liabilities incurred or assumed under this Agreement by any French Company shall not include any obligations, representations or liabilities which if incurred would constitute a violation to its corporate benefit or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xml:space="preserve">”) in particular within the meaning of Articles L.241-3, L. 242-6, L. 243-1 or L.244-1 of the French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xml:space="preserve">, and/or would constitute prohibited financial assistance within the meaning of Article L.225-216 of the French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xml:space="preserve"> and/or would constitute a misuse of corporate assets (</w:t>
      </w:r>
      <w:r>
        <w:rPr>
          <w:rFonts w:ascii="Times New Roman" w:cs="Times New Roman" w:eastAsia="Times New Roman" w:hAnsi="Times New Roman"/>
          <w:sz w:val="18"/>
          <w:szCs w:val="18"/>
          <w:i w:val="1"/>
          <w:iCs w:val="1"/>
          <w:color w:val="auto"/>
        </w:rPr>
        <w:t>abus de biens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sociaux</w:t>
      </w:r>
      <w:r>
        <w:rPr>
          <w:rFonts w:ascii="Times New Roman" w:cs="Times New Roman" w:eastAsia="Times New Roman" w:hAnsi="Times New Roman"/>
          <w:sz w:val="18"/>
          <w:szCs w:val="18"/>
          <w:color w:val="auto"/>
        </w:rPr>
        <w:t>) within the meaning of Articles L. 241-3, L.242-6, L.243-1 or L. 244-1 of the French</w:t>
      </w:r>
      <w:r>
        <w:rPr>
          <w:rFonts w:ascii="Times New Roman" w:cs="Times New Roman" w:eastAsia="Times New Roman" w:hAnsi="Times New Roman"/>
          <w:sz w:val="18"/>
          <w:szCs w:val="18"/>
          <w:i w:val="1"/>
          <w:iCs w:val="1"/>
          <w:color w:val="auto"/>
        </w:rPr>
        <w:t xml:space="preserve"> Code de commerce </w:t>
      </w:r>
      <w:r>
        <w:rPr>
          <w:rFonts w:ascii="Times New Roman" w:cs="Times New Roman" w:eastAsia="Times New Roman" w:hAnsi="Times New Roman"/>
          <w:sz w:val="18"/>
          <w:szCs w:val="18"/>
          <w:color w:val="auto"/>
        </w:rPr>
        <w:t>or any other law or regulations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effect, as interpreted by French courts.</w:t>
      </w:r>
    </w:p>
    <w:p>
      <w:pPr>
        <w:spacing w:after="0" w:line="19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Applicable to the Guarantors organized under the laws of Spain (each a “</w:t>
      </w:r>
      <w:r>
        <w:rPr>
          <w:rFonts w:ascii="Times New Roman" w:cs="Times New Roman" w:eastAsia="Times New Roman" w:hAnsi="Times New Roman"/>
          <w:sz w:val="18"/>
          <w:szCs w:val="18"/>
          <w:u w:val="single" w:color="auto"/>
          <w:color w:val="auto"/>
        </w:rPr>
        <w:t>Spanish Company</w:t>
      </w:r>
      <w:r>
        <w:rPr>
          <w:rFonts w:ascii="Times New Roman" w:cs="Times New Roman" w:eastAsia="Times New Roman" w:hAnsi="Times New Roman"/>
          <w:sz w:val="18"/>
          <w:szCs w:val="18"/>
          <w:color w:val="auto"/>
        </w:rPr>
        <w:t xml:space="preserve">”). Notwithstanding anything to the contrary in this Agreement, any obligations, representations or liabilities incurred or assumed under this Agreement by any Spanish Company shall be deemed to have been incurred or assumed only to the extent that such obligations, representations or liabilities would not, if incurred or assumed, contravene the Spanish law rules on financial assistance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articles 143.2 or 150, as applicable, of the Spanish Capital Companies Act (</w:t>
      </w:r>
      <w:r>
        <w:rPr>
          <w:rFonts w:ascii="Times New Roman" w:cs="Times New Roman" w:eastAsia="Times New Roman" w:hAnsi="Times New Roman"/>
          <w:sz w:val="18"/>
          <w:szCs w:val="18"/>
          <w:i w:val="1"/>
          <w:iCs w:val="1"/>
          <w:color w:val="auto"/>
        </w:rPr>
        <w:t>Real Decreto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Legislativo 1/2010, de 2 de julio, por el que se aprueba el texto refundido de la Ley de Sociedades de Capital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LSC</w:t>
      </w:r>
      <w:r>
        <w:rPr>
          <w:rFonts w:ascii="Times New Roman" w:cs="Times New Roman" w:eastAsia="Times New Roman" w:hAnsi="Times New Roman"/>
          <w:sz w:val="18"/>
          <w:szCs w:val="18"/>
          <w:color w:val="auto"/>
        </w:rPr>
        <w:t>”), and the Spanish law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issuance or guaranteeing of notes by limited liability companies (</w:t>
      </w:r>
      <w:r>
        <w:rPr>
          <w:rFonts w:ascii="Times New Roman" w:cs="Times New Roman" w:eastAsia="Times New Roman" w:hAnsi="Times New Roman"/>
          <w:sz w:val="18"/>
          <w:szCs w:val="18"/>
          <w:i w:val="1"/>
          <w:iCs w:val="1"/>
          <w:color w:val="auto"/>
        </w:rPr>
        <w:t>sociedades de responsabilidad limitada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article 401 LSC.</w:t>
      </w:r>
    </w:p>
    <w:p>
      <w:pPr>
        <w:spacing w:after="0" w:line="187" w:lineRule="exact"/>
        <w:rPr>
          <w:rFonts w:ascii="Times New Roman" w:cs="Times New Roman" w:eastAsia="Times New Roman" w:hAnsi="Times New Roman"/>
          <w:sz w:val="18"/>
          <w:szCs w:val="18"/>
          <w:color w:val="auto"/>
        </w:rPr>
      </w:pPr>
    </w:p>
    <w:p>
      <w:pPr>
        <w:ind w:right="68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Applicable to the Guarantors incorporated and organized under the laws of Switzerland. Section 10.06(a)(4) of the Indenture shall apply to this Agreement mutatis mutandis.</w:t>
      </w:r>
    </w:p>
    <w:p>
      <w:pPr>
        <w:spacing w:after="0" w:line="162" w:lineRule="exact"/>
        <w:rPr>
          <w:sz w:val="20"/>
          <w:szCs w:val="20"/>
          <w:color w:val="auto"/>
        </w:rPr>
      </w:pPr>
    </w:p>
    <w:p>
      <w:pPr>
        <w:ind w:right="240" w:firstLine="987"/>
        <w:spacing w:after="0" w:line="266" w:lineRule="auto"/>
        <w:tabs>
          <w:tab w:leader="none" w:pos="12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Any legal suit, action or proceeding arising out of or based upon this Agreement or the transactions contemplated hereby (“</w:t>
      </w:r>
      <w:r>
        <w:rPr>
          <w:rFonts w:ascii="Times New Roman" w:cs="Times New Roman" w:eastAsia="Times New Roman" w:hAnsi="Times New Roman"/>
          <w:sz w:val="18"/>
          <w:szCs w:val="18"/>
          <w:u w:val="single" w:color="auto"/>
          <w:color w:val="auto"/>
        </w:rPr>
        <w:t>Related Proceedings</w:t>
      </w:r>
      <w:r>
        <w:rPr>
          <w:rFonts w:ascii="Times New Roman" w:cs="Times New Roman" w:eastAsia="Times New Roman" w:hAnsi="Times New Roman"/>
          <w:sz w:val="18"/>
          <w:szCs w:val="18"/>
          <w:color w:val="auto"/>
        </w:rPr>
        <w:t>”) may be instituted in the federal courts of the United States of America or the courts of the State of New York in each case sitting in the borough of Manhattan, the city of New York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suits, actions or proceedings instituted in regard to the enforcement of a judgment of any Specified Court in a Related Proceeding (a “</w:t>
      </w:r>
      <w:r>
        <w:rPr>
          <w:rFonts w:ascii="Times New Roman" w:cs="Times New Roman" w:eastAsia="Times New Roman" w:hAnsi="Times New Roman"/>
          <w:sz w:val="18"/>
          <w:szCs w:val="18"/>
          <w:u w:val="single" w:color="auto"/>
          <w:color w:val="auto"/>
        </w:rPr>
        <w:t>Related Judgment</w:t>
      </w:r>
      <w:r>
        <w:rPr>
          <w:rFonts w:ascii="Times New Roman" w:cs="Times New Roman" w:eastAsia="Times New Roman" w:hAnsi="Times New Roman"/>
          <w:sz w:val="18"/>
          <w:szCs w:val="18"/>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Each party not located in the United States shall, prior to the Closing Date, irrevocably appoint CT Corporation System as its agent to receive service of process or other legal summons for purposes of any Related Proceeding that may be instituted in any Specified Court.</w:t>
      </w:r>
    </w:p>
    <w:p>
      <w:pPr>
        <w:spacing w:after="0" w:line="192" w:lineRule="exact"/>
        <w:rPr>
          <w:sz w:val="20"/>
          <w:szCs w:val="20"/>
          <w:color w:val="auto"/>
        </w:rPr>
      </w:pPr>
    </w:p>
    <w:p>
      <w:pPr>
        <w:ind w:right="180" w:firstLine="987"/>
        <w:spacing w:after="0" w:line="256" w:lineRule="auto"/>
        <w:tabs>
          <w:tab w:leader="none" w:pos="1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7" w:lineRule="exact"/>
        <w:rPr>
          <w:rFonts w:ascii="Times New Roman" w:cs="Times New Roman" w:eastAsia="Times New Roman" w:hAnsi="Times New Roman"/>
          <w:sz w:val="18"/>
          <w:szCs w:val="18"/>
          <w:color w:val="auto"/>
        </w:rPr>
      </w:pPr>
    </w:p>
    <w:p>
      <w:pPr>
        <w:ind w:right="40" w:firstLine="987"/>
        <w:spacing w:after="0" w:line="255" w:lineRule="auto"/>
        <w:tabs>
          <w:tab w:leader="none" w:pos="1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 other than Euros, the parties hereto agree, to the fullest extent that they may effectively do so, that the rate of exchange used shall be the rate at which in accordance with normal banking procedures the Initial Purchasers could purchase Euros with such other currency in the City of New York on the business day preceding that on which final judgment is given. The obligations of each Company in respect of any sum due from it to any Initial Purchaser shall, notwithstanding any judgment in any currency other than Euros, not be discharged until the first business day, following receipt by such Initial Purchaser of any sum adjudged to be so due in such other currency, on which (and only to the extent that) such Initial Purchaser may in accordance with normal banking procedures purchase Euros with such other currency.</w:t>
      </w:r>
    </w:p>
    <w:p>
      <w:pPr>
        <w:spacing w:after="0" w:line="188"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Related to Co-Manufacturer Responsibilities.</w:t>
      </w:r>
    </w:p>
    <w:p>
      <w:pPr>
        <w:spacing w:after="0" w:line="225" w:lineRule="exact"/>
        <w:rPr>
          <w:sz w:val="20"/>
          <w:szCs w:val="20"/>
          <w:color w:val="auto"/>
        </w:rPr>
      </w:pPr>
    </w:p>
    <w:p>
      <w:pPr>
        <w:ind w:right="60" w:firstLine="987"/>
        <w:spacing w:after="0" w:line="254"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purposes of the requirements of Article 9(8) of the MIFID Product Governance rules under EU Delegated Directive 2017/593 (the “EU MiFID Product Governance Rules”) regarding the mutual responsibilities of manufacturers under the EU MiFID Product Governance Rules, each of Deutsche Bank Aktiengesellschaft and Crédit Agricole Corporate and Investment Bank (each an “</w:t>
      </w:r>
      <w:r>
        <w:rPr>
          <w:rFonts w:ascii="Times New Roman" w:cs="Times New Roman" w:eastAsia="Times New Roman" w:hAnsi="Times New Roman"/>
          <w:sz w:val="18"/>
          <w:szCs w:val="18"/>
          <w:u w:val="single" w:color="auto"/>
          <w:color w:val="auto"/>
        </w:rPr>
        <w:t>EU Manufacturer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EU Manufacturers</w:t>
      </w:r>
      <w:r>
        <w:rPr>
          <w:rFonts w:ascii="Times New Roman" w:cs="Times New Roman" w:eastAsia="Times New Roman" w:hAnsi="Times New Roman"/>
          <w:sz w:val="18"/>
          <w:szCs w:val="18"/>
          <w:color w:val="auto"/>
        </w:rPr>
        <w:t>”), acknowledges to each other EU Manufacturer that it understands the responsibilities conferred upon it under the EU MiFID Product Governance Rules relating to each of the product approval process and the target market as applying to the Notes and the related information set out in the Preliminary Memorandum, Pricing Disclosure Package and the Final Memorandum. The other Initial Purchasers, the Issuer and the Guarantors note the application of the Product Governance Rules and acknowledge the target market identified as applying to the Notes by the EU Manufacturers and the related information set out in the Preliminary Memorandum, Pricing Disclosure Package and the Final Memorandum.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ind w:left="4" w:firstLine="987"/>
        <w:spacing w:after="0" w:line="254" w:lineRule="auto"/>
        <w:tabs>
          <w:tab w:leader="none" w:pos="12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the purposes of the requirements of 3.2.7R of the FCA Handbook Product Intervention and Product Governance Sourcebook (the “</w:t>
      </w:r>
      <w:r>
        <w:rPr>
          <w:rFonts w:ascii="Times New Roman" w:cs="Times New Roman" w:eastAsia="Times New Roman" w:hAnsi="Times New Roman"/>
          <w:sz w:val="18"/>
          <w:szCs w:val="18"/>
          <w:u w:val="single" w:color="auto"/>
          <w:color w:val="auto"/>
        </w:rPr>
        <w:t>UK MiFIR Product Governance Rules</w:t>
      </w:r>
      <w:r>
        <w:rPr>
          <w:rFonts w:ascii="Times New Roman" w:cs="Times New Roman" w:eastAsia="Times New Roman" w:hAnsi="Times New Roman"/>
          <w:sz w:val="18"/>
          <w:szCs w:val="18"/>
          <w:color w:val="auto"/>
        </w:rPr>
        <w:t>”) regarding the mutual responsibilities of manufacturers under the UK MiFIR Product Governance Rules, BNP Paribas (the “</w:t>
      </w:r>
      <w:r>
        <w:rPr>
          <w:rFonts w:ascii="Times New Roman" w:cs="Times New Roman" w:eastAsia="Times New Roman" w:hAnsi="Times New Roman"/>
          <w:sz w:val="18"/>
          <w:szCs w:val="18"/>
          <w:u w:val="single" w:color="auto"/>
          <w:color w:val="auto"/>
        </w:rPr>
        <w:t>UK Manufacturer</w:t>
      </w:r>
      <w:r>
        <w:rPr>
          <w:rFonts w:ascii="Times New Roman" w:cs="Times New Roman" w:eastAsia="Times New Roman" w:hAnsi="Times New Roman"/>
          <w:sz w:val="18"/>
          <w:szCs w:val="18"/>
          <w:color w:val="auto"/>
        </w:rPr>
        <w:t>”) acknowledges that it understands the responsibilities conferred upon it under the UK MiFIR Product Governance Rules relating to each of the product approval process, the target market and the proposed distribution channels as applying to the Notes and the related information set out in the Preliminary Memorandum, Pricing Disclosure Package and the Final Memorandum. The other Initial Purchasers, the Issuer and the Guarantors note the application of the UK MiFIR Product Governance Rules and acknowledge the target market and distribution channels identified as applying to the Notes by the UK Manufacturer and the related information set out in the Preliminary Memorandum, Pricing Disclosure Package and the Final Memorandum.</w:t>
      </w:r>
    </w:p>
    <w:p>
      <w:pPr>
        <w:spacing w:after="0" w:line="192" w:lineRule="exact"/>
        <w:rPr>
          <w:sz w:val="20"/>
          <w:szCs w:val="20"/>
          <w:color w:val="auto"/>
        </w:rPr>
      </w:pPr>
    </w:p>
    <w:p>
      <w:pPr>
        <w:ind w:left="1264" w:hanging="273"/>
        <w:spacing w:after="0"/>
        <w:tabs>
          <w:tab w:leader="none" w:pos="1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61"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206"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rFonts w:ascii="Times New Roman" w:cs="Times New Roman" w:eastAsia="Times New Roman" w:hAnsi="Times New Roman"/>
          <w:sz w:val="18"/>
          <w:szCs w:val="18"/>
          <w:color w:val="auto"/>
        </w:rPr>
      </w:pPr>
    </w:p>
    <w:p>
      <w:pPr>
        <w:ind w:left="2104" w:hanging="289"/>
        <w:spacing w:after="0"/>
        <w:tabs>
          <w:tab w:leader="none" w:pos="2104"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104" w:hanging="289"/>
        <w:spacing w:after="0"/>
        <w:tabs>
          <w:tab w:leader="none" w:pos="2104"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39" w:name="page40"/>
    <w:bookmarkEnd w:id="39"/>
    <w:p>
      <w:pPr>
        <w:ind w:left="1100" w:hanging="289"/>
        <w:spacing w:after="0"/>
        <w:tabs>
          <w:tab w:leader="none" w:pos="11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“covered FSI” as that term is defined in, and interpreted in accordance with, 12 C.F.R. § 382.2(b).</w:t>
      </w:r>
    </w:p>
    <w:p>
      <w:pPr>
        <w:spacing w:after="0" w:line="225" w:lineRule="exact"/>
        <w:rPr>
          <w:rFonts w:ascii="Times New Roman" w:cs="Times New Roman" w:eastAsia="Times New Roman" w:hAnsi="Times New Roman"/>
          <w:sz w:val="18"/>
          <w:szCs w:val="18"/>
          <w:color w:val="auto"/>
        </w:rPr>
      </w:pPr>
    </w:p>
    <w:p>
      <w:pPr>
        <w:ind w:left="-20" w:firstLine="408"/>
        <w:spacing w:after="0" w:line="282" w:lineRule="auto"/>
        <w:tabs>
          <w:tab w:leader="none" w:pos="6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1" w:lineRule="exact"/>
        <w:rPr>
          <w:rFonts w:ascii="Times New Roman" w:cs="Times New Roman" w:eastAsia="Times New Roman" w:hAnsi="Times New Roman"/>
          <w:sz w:val="18"/>
          <w:szCs w:val="18"/>
          <w:color w:val="auto"/>
        </w:rPr>
      </w:pPr>
    </w:p>
    <w:p>
      <w:pPr>
        <w:ind w:left="-20" w:right="560" w:firstLine="408"/>
        <w:spacing w:after="0" w:line="266" w:lineRule="auto"/>
        <w:tabs>
          <w:tab w:leader="none" w:pos="6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900"/>
          </w:cols>
          <w:pgMar w:left="1440" w:top="270" w:right="559" w:bottom="1440" w:gutter="0" w:footer="0" w:header="0"/>
        </w:sectPr>
      </w:pPr>
    </w:p>
    <w:bookmarkStart w:id="40" w:name="page41"/>
    <w:bookmarkEnd w:id="40"/>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among the Companies and the several Initial Purchasers.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Administrateur/DG Délégué</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4040" w:firstLine="2571"/>
        <w:spacing w:after="0" w:line="433" w:lineRule="auto"/>
        <w:rPr>
          <w:sz w:val="20"/>
          <w:szCs w:val="20"/>
          <w:color w:val="auto"/>
        </w:rPr>
      </w:pPr>
      <w:r>
        <w:rPr>
          <w:rFonts w:ascii="Times New Roman" w:cs="Times New Roman" w:eastAsia="Times New Roman" w:hAnsi="Times New Roman"/>
          <w:sz w:val="18"/>
          <w:szCs w:val="18"/>
          <w:color w:val="auto"/>
        </w:rPr>
        <w:t>Title: Senior Vice President and Chief Financial Officer [Signature Page to Purchase Agreement]</w:t>
      </w:r>
    </w:p>
    <w:p>
      <w:pPr>
        <w:sectPr>
          <w:pgSz w:w="11900" w:h="16838" w:orient="portrait"/>
          <w:cols w:equalWidth="0" w:num="1">
            <w:col w:w="10780"/>
          </w:cols>
          <w:pgMar w:left="440" w:top="270" w:right="67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DEUTSCHLAND HOLDINGS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840"/>
          </w:cols>
          <w:pgMar w:left="1440" w:top="270" w:right="61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PUERTO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RICO,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Controller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CORK &amp; SEAL COMPANY (DE),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260"/>
          </w:cols>
          <w:pgMar w:left="1440" w:top="270" w:right="1199"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INTERNATIONAL HOLDINGS,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180"/>
          </w:cols>
          <w:pgMar w:left="1440" w:top="270" w:right="127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HOLDINGS 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SIMPLIMTIC AUTOMATION LLC SEH REAL ESTATE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3040" w:right="760" w:firstLine="2841"/>
        <w:spacing w:after="0" w:line="433" w:lineRule="auto"/>
        <w:rPr>
          <w:sz w:val="20"/>
          <w:szCs w:val="20"/>
          <w:color w:val="auto"/>
        </w:rPr>
      </w:pPr>
      <w:r>
        <w:rPr>
          <w:rFonts w:ascii="Times New Roman" w:cs="Times New Roman" w:eastAsia="Times New Roman" w:hAnsi="Times New Roman"/>
          <w:sz w:val="18"/>
          <w:szCs w:val="18"/>
          <w:color w:val="auto"/>
        </w:rPr>
        <w:t>Title: Vice President &amp; Assistant Treasurer [Signature Page to Purchase Agreement]</w:t>
      </w:r>
    </w:p>
    <w:p>
      <w:pPr>
        <w:sectPr>
          <w:pgSz w:w="11900" w:h="16838" w:orient="portrait"/>
          <w:cols w:equalWidth="0" w:num="1">
            <w:col w:w="9860"/>
          </w:cols>
          <w:pgMar w:left="1440" w:top="270" w:right="599" w:bottom="1440" w:gutter="0" w:footer="0" w:header="0"/>
        </w:sectPr>
      </w:pPr>
    </w:p>
    <w:bookmarkStart w:id="45" w:name="page46"/>
    <w:bookmarkEnd w:id="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3079939 NOVA SCOTIA COMPANY/3079939</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COMPAGNIE DE LA NOUVELLE ECOSSE 889273</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 CANADA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CANADA ULC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Abraham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540"/>
          </w:cols>
          <w:pgMar w:left="1440" w:top="270" w:right="91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METAL PACKAGING CANADA LP</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Crown Metal Packaging Canada Inc., its General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500"/>
          </w:cols>
          <w:pgMar w:left="1440" w:top="270" w:right="959" w:bottom="1440" w:gutter="0" w:footer="0" w:header="0"/>
        </w:sectPr>
      </w:pPr>
    </w:p>
    <w:bookmarkStart w:id="47" w:name="page48"/>
    <w:bookmarkEnd w:id="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BEVCAN FRANCE SAS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EUROPE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Jean-Francois Lelouch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Jean-Francois Lelouch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Président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Purchase Agreement]</w:t>
      </w:r>
    </w:p>
    <w:p>
      <w:pPr>
        <w:sectPr>
          <w:pgSz w:w="11900" w:h="16838" w:orient="portrait"/>
          <w:cols w:equalWidth="0" w:num="1">
            <w:col w:w="9019"/>
          </w:cols>
          <w:pgMar w:left="1440" w:top="270" w:right="1440" w:bottom="1440" w:gutter="0" w:footer="0" w:header="0"/>
        </w:sectPr>
      </w:pPr>
    </w:p>
    <w:bookmarkStart w:id="48" w:name="page49"/>
    <w:bookmarkEnd w:id="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SOCIÉTÉ CIVILE IMMOBILIÉRE DES BACQUETS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SOCIÉTÉ CIVILE IMMOBILIÉRE ROUSSEAU IVRY</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FRANCE HOLDINGS SAS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FRANCE SAS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700"/>
          </w:cols>
          <w:pgMar w:left="1440" w:top="270" w:right="759" w:bottom="1440" w:gutter="0" w:footer="0" w:header="0"/>
        </w:sectPr>
      </w:pPr>
    </w:p>
    <w:bookmarkStart w:id="49" w:name="page50"/>
    <w:bookmarkEnd w:id="4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PACKAGING SYSTEMS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 WEISCHLITZ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Ellen Fleischmann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SYSTEM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Aloys Buderath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Aloys Buderath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GERMANY SERVICE MANAGEMENT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600"/>
          </w:cols>
          <w:pgMar w:left="1440" w:top="270" w:right="859" w:bottom="1440" w:gutter="0" w:footer="0" w:header="0"/>
        </w:sectPr>
      </w:pPr>
    </w:p>
    <w:bookmarkStart w:id="50" w:name="page51"/>
    <w:bookmarkEnd w:id="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LUX III,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Christelle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INDUSTRIAL PACKAGING S.À.R.L.</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Christelle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 B</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Purchase Agreement]</w:t>
      </w:r>
    </w:p>
    <w:p>
      <w:pPr>
        <w:sectPr>
          <w:pgSz w:w="11900" w:h="16838" w:orient="portrait"/>
          <w:cols w:equalWidth="0" w:num="1">
            <w:col w:w="9019"/>
          </w:cols>
          <w:pgMar w:left="1440" w:top="270" w:right="1440" w:bottom="1440" w:gutter="0" w:footer="0" w:header="0"/>
        </w:sectPr>
      </w:pPr>
    </w:p>
    <w:bookmarkStart w:id="51" w:name="page52"/>
    <w:bookmarkEnd w:id="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LUX S.A.</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Christelle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019"/>
          </w:cols>
          <w:pgMar w:left="1440" w:top="270" w:right="1440" w:bottom="1440" w:gutter="0" w:footer="0" w:header="0"/>
        </w:sectPr>
      </w:pPr>
    </w:p>
    <w:bookmarkStart w:id="52" w:name="page53"/>
    <w:bookmarkEnd w:id="5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SIMPLIMATIC AUTOMATION DE MEXICO, S. DE R.L.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 C.V.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Maria Evelia Hernandez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Maria Evelia Hernandez Rodriguez</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920"/>
          </w:cols>
          <w:pgMar w:left="1440" w:top="270" w:right="539" w:bottom="1440" w:gutter="0" w:footer="0" w:header="0"/>
        </w:sectPr>
      </w:pPr>
    </w:p>
    <w:bookmarkStart w:id="53" w:name="page54"/>
    <w:bookmarkEnd w:id="5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NETHERLANDS B.V.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019"/>
          </w:cols>
          <w:pgMar w:left="1440" w:top="270" w:right="1440" w:bottom="1440" w:gutter="0" w:footer="0" w:header="0"/>
        </w:sectPr>
      </w:pPr>
    </w:p>
    <w:bookmarkStart w:id="54" w:name="page55"/>
    <w:bookmarkEnd w:id="5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EUROPEAN HOLDINGS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 of the Management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EUROPEAN DIVISION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920"/>
          </w:cols>
          <w:pgMar w:left="1440" w:top="270" w:right="539" w:bottom="1440" w:gutter="0" w:footer="0" w:header="0"/>
        </w:sectPr>
      </w:pPr>
    </w:p>
    <w:bookmarkStart w:id="55" w:name="page56"/>
    <w:bookmarkEnd w:id="5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MANUFACTURING UK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PACKING SERVICES EMEA 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PACKAGING DISTRIBUTION UK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 Conybeare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Tim Conybeare</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760"/>
          </w:cols>
          <w:pgMar w:left="1440" w:top="270" w:right="699" w:bottom="1440" w:gutter="0" w:footer="0" w:header="0"/>
        </w:sectPr>
      </w:pPr>
    </w:p>
    <w:bookmarkStart w:id="56" w:name="page57"/>
    <w:bookmarkEnd w:id="5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UK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Olaf Roth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CARNAUDMETALBOX MEC-A-TEC SERVICES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400"/>
          </w:cols>
          <w:pgMar w:left="1440" w:top="270" w:right="1059" w:bottom="1440" w:gutter="0" w:footer="0" w:header="0"/>
        </w:sectPr>
      </w:pPr>
    </w:p>
    <w:bookmarkStart w:id="57" w:name="page58"/>
    <w:bookmarkEnd w:id="5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UK HOLDINGS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019"/>
          </w:cols>
          <w:pgMar w:left="1440" w:top="270" w:right="1440" w:bottom="1440" w:gutter="0" w:footer="0" w:header="0"/>
        </w:sectPr>
      </w:pPr>
    </w:p>
    <w:bookmarkStart w:id="58" w:name="page59"/>
    <w:bookmarkEnd w:id="5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AMERICAS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Christy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Christy Kalaus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Vice President &amp; Controller</w:t>
      </w:r>
    </w:p>
    <w:p>
      <w:pPr>
        <w:spacing w:after="0" w:line="15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019"/>
          </w:cols>
          <w:pgMar w:left="1440" w:top="27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Agreement is hereby confirmed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Vikas Katyal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Vikas Katyal</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Luke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Luke Thorne</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CRÉDIT AGRICOLE CORPORATE AND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Youssef Khlat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Youssef Khlat</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Ricardo Coats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Ricardo Coats</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M.D.</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AKTIENGESELLSCHAFT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Nicholas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Nicholas Burns</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Jeremy Selway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Jeremy Selway</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BOFA SECURITIES EUROPE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Astghik Khachatryan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Astghik Khachatryan</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CITIGROUP GLOBAL MARKETS EUROPE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Paul-Emmanuel Micolet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Paul-Emmanuel Micolet</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Konstantinos Chryssanthopoulos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Konstantinos Chryssanthopoulos</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Delegated Signatory</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Warren Lipschitz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Warren Lipschitz</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Romke van der Weerdt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Romke van der Weerdt</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SECURITIES EUROPE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Christoph Seibel</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Christoph Seibel</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Manabu Shibuya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Manabu Shibuya</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Authorised Signatory</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SECURITIES (EUROPE)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Jesney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Adam Jesney</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Alberto Ramon Arbues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Alberto Ramon Arbues</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Federico Etchelecu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Federico Etchelecu</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SCOTIABANK (IRELAND) DESIGNATED ACTIVITY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Aine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Aine Dolan</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COO, SIDAC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Deault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Brian Deault</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CRO, SIDAC</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SMBC BANK EU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Kammerlander</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Michael Kammerlander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DCM Frankfurt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Juntae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Juntae Kim</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Luiz Lanfredi</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UNICREDIT BANK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Rosamaria Benedetta Ponticorvo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Rosamaria Benedetta Ponticorvo</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Hyatt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Matthew Hyatt</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SECURITIES EUROPE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Sarah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Sarah Gibson</w:t>
      </w:r>
    </w:p>
    <w:p>
      <w:pPr>
        <w:spacing w:after="0" w:line="27"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HUNTINGTON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A. Dwyer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25800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David A. Dwyer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Alaina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25546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Alaina McGuire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Senior Associate</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COÖPERATIEVE RABOBANK U.A.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 Franken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2554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M. Franken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O.G. ter Waarbeek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2554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O.G. ter Waarbeek</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ED</w:t>
      </w:r>
    </w:p>
    <w:p>
      <w:pPr>
        <w:spacing w:after="0" w:line="1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10019"/>
          </w:cols>
          <w:pgMar w:left="440" w:top="270"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ectPr>
          <w:pgSz w:w="11900" w:h="16838" w:orient="portrait"/>
          <w:cols w:equalWidth="0" w:num="1">
            <w:col w:w="9019"/>
          </w:cols>
          <w:pgMar w:left="1440" w:top="266"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[Attached]</w:t>
      </w:r>
    </w:p>
    <w:p>
      <w:pPr>
        <w:sectPr>
          <w:pgSz w:w="11900" w:h="16838" w:orient="portrait"/>
          <w:cols w:equalWidth="0" w:num="1">
            <w:col w:w="9019"/>
          </w:cols>
          <w:pgMar w:left="1440" w:top="266" w:right="1440"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Restrictions for Offers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Sales Outside the United States</w:t>
      </w:r>
    </w:p>
    <w:p>
      <w:pPr>
        <w:spacing w:after="0" w:line="229" w:lineRule="exact"/>
        <w:rPr>
          <w:sz w:val="20"/>
          <w:szCs w:val="20"/>
          <w:color w:val="auto"/>
        </w:rPr>
      </w:pPr>
    </w:p>
    <w:p>
      <w:pPr>
        <w:ind w:right="40" w:firstLine="987"/>
        <w:spacing w:after="0" w:line="253" w:lineRule="auto"/>
        <w:tabs>
          <w:tab w:leader="none" w:pos="11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w:t>
      </w:r>
    </w:p>
    <w:p>
      <w:pPr>
        <w:spacing w:after="0" w:line="192"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“The Securities covered hereby have not been registered under the U.S.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w:t>
      </w:r>
    </w:p>
    <w:p>
      <w:pPr>
        <w:spacing w:after="0" w:line="180" w:lineRule="exact"/>
        <w:rPr>
          <w:sz w:val="20"/>
          <w:szCs w:val="20"/>
          <w:color w:val="auto"/>
        </w:rPr>
      </w:pPr>
    </w:p>
    <w:p>
      <w:pPr>
        <w:ind w:right="280" w:firstLine="987"/>
        <w:spacing w:after="0" w:line="282"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also represents and agrees that it has not entered and will not enter into any contractual arrangement with any distributor with respect to the distribution of the Securities, except with its Affiliates or with the prior written consent of the Companies.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section have the meanings given to them by Regulation S.</w:t>
      </w:r>
    </w:p>
    <w:p>
      <w:pPr>
        <w:sectPr>
          <w:pgSz w:w="11900" w:h="16838" w:orient="portrait"/>
          <w:cols w:equalWidth="0" w:num="1">
            <w:col w:w="11020"/>
          </w:cols>
          <w:pgMar w:left="440" w:top="266" w:right="439" w:bottom="1440" w:gutter="0" w:footer="0" w:header="0"/>
        </w:sectPr>
      </w:pPr>
    </w:p>
    <w:bookmarkStart w:id="78" w:name="page79"/>
    <w:bookmarkEnd w:id="78"/>
    <w:p>
      <w:pPr>
        <w:ind w:left="43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Each Initial Purchaser, severally and not jointly represents and warrants and agrees with the Companies that:</w:t>
      </w:r>
    </w:p>
    <w:p>
      <w:pPr>
        <w:spacing w:after="0" w:line="225" w:lineRule="exact"/>
        <w:rPr>
          <w:sz w:val="20"/>
          <w:szCs w:val="20"/>
          <w:color w:val="auto"/>
        </w:rPr>
      </w:pPr>
    </w:p>
    <w:p>
      <w:pPr>
        <w:jc w:val="both"/>
        <w:ind w:left="-7" w:right="100" w:firstLine="425"/>
        <w:spacing w:after="0" w:line="261" w:lineRule="auto"/>
        <w:tabs>
          <w:tab w:leader="none" w:pos="6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Notes to any retail investor in the European Economic Area. For the purposes of this provision: (a) the expression “retail investor” means a person who is one (or more) of:</w:t>
      </w:r>
    </w:p>
    <w:p>
      <w:pPr>
        <w:ind w:left="-7" w:firstLine="7"/>
        <w:spacing w:after="0" w:line="253" w:lineRule="auto"/>
        <w:tabs>
          <w:tab w:leader="none" w:pos="2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w:t>
      </w:r>
      <w:r>
        <w:rPr>
          <w:rFonts w:ascii="Times New Roman" w:cs="Times New Roman" w:eastAsia="Times New Roman" w:hAnsi="Times New Roman"/>
          <w:sz w:val="18"/>
          <w:szCs w:val="18"/>
          <w:u w:val="single" w:color="auto"/>
          <w:color w:val="auto"/>
        </w:rPr>
        <w:t>MiFID II</w:t>
      </w:r>
      <w:r>
        <w:rPr>
          <w:rFonts w:ascii="Times New Roman" w:cs="Times New Roman" w:eastAsia="Times New Roman" w:hAnsi="Times New Roman"/>
          <w:sz w:val="18"/>
          <w:szCs w:val="18"/>
          <w:color w:val="auto"/>
        </w:rPr>
        <w:t>”); (ii) 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so as to enable an investor to decide to purchase or subscribe for the Notes;</w:t>
      </w:r>
    </w:p>
    <w:p>
      <w:pPr>
        <w:spacing w:after="0" w:line="186" w:lineRule="exact"/>
        <w:rPr>
          <w:rFonts w:ascii="Times New Roman" w:cs="Times New Roman" w:eastAsia="Times New Roman" w:hAnsi="Times New Roman"/>
          <w:sz w:val="18"/>
          <w:szCs w:val="18"/>
          <w:color w:val="auto"/>
        </w:rPr>
      </w:pPr>
    </w:p>
    <w:p>
      <w:pPr>
        <w:ind w:left="-7" w:right="120" w:firstLine="425"/>
        <w:spacing w:after="0" w:line="266" w:lineRule="auto"/>
        <w:tabs>
          <w:tab w:leader="none" w:pos="66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Companies;</w:t>
      </w:r>
    </w:p>
    <w:p>
      <w:pPr>
        <w:spacing w:after="0" w:line="175" w:lineRule="exact"/>
        <w:rPr>
          <w:rFonts w:ascii="Times New Roman" w:cs="Times New Roman" w:eastAsia="Times New Roman" w:hAnsi="Times New Roman"/>
          <w:sz w:val="18"/>
          <w:szCs w:val="18"/>
          <w:color w:val="auto"/>
        </w:rPr>
      </w:pPr>
    </w:p>
    <w:p>
      <w:pPr>
        <w:ind w:left="-7" w:firstLine="425"/>
        <w:spacing w:after="0" w:line="268" w:lineRule="auto"/>
        <w:tabs>
          <w:tab w:leader="none" w:pos="65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not offered, sold or otherwise made available and will not offer, sell or otherwise make available any Notes to any retail investor in the United Kingdom. For the purposes of this provision: (a) the expression “retail investor” means a person who is one (or more) of: (i) a retail client as defined in point (8) of Article 2 of Regulation (EU) 2017/565 as it forms part of United Kingdom domestic law by virtue of the EUWA; or (ii) a customer within the meaning of the provisions of the FSMA and any rules or regulations made under the FSMA to implement Directive (EU) 2016/97, where that customer would not qualify as a professional client, as defined in point (8) of Article 2(1) of Regulation (EU) 600/2014 as it forms part of United Kingdom domestic law by virtue of the EUWA; or (iii) not a qualified investor as defined in Article 2(e) of Regulation (EU) 2017/1129 as it forms part of United Kingdom domestic law by virtue of the EUWA (the “UK Prospectus Regulation”); and</w:t>
      </w:r>
    </w:p>
    <w:p>
      <w:pPr>
        <w:spacing w:after="0" w:line="2" w:lineRule="exact"/>
        <w:rPr>
          <w:rFonts w:ascii="Times New Roman" w:cs="Times New Roman" w:eastAsia="Times New Roman" w:hAnsi="Times New Roman"/>
          <w:sz w:val="17"/>
          <w:szCs w:val="17"/>
          <w:color w:val="auto"/>
        </w:rPr>
      </w:pPr>
    </w:p>
    <w:p>
      <w:pPr>
        <w:ind w:left="-7" w:right="160" w:firstLine="7"/>
        <w:spacing w:after="0" w:line="260" w:lineRule="auto"/>
        <w:tabs>
          <w:tab w:leader="none" w:pos="2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81" w:lineRule="exact"/>
        <w:rPr>
          <w:rFonts w:ascii="Times New Roman" w:cs="Times New Roman" w:eastAsia="Times New Roman" w:hAnsi="Times New Roman"/>
          <w:sz w:val="18"/>
          <w:szCs w:val="18"/>
          <w:color w:val="auto"/>
        </w:rPr>
      </w:pPr>
    </w:p>
    <w:p>
      <w:pPr>
        <w:ind w:left="-7" w:right="60" w:firstLine="425"/>
        <w:spacing w:after="0" w:line="282" w:lineRule="auto"/>
        <w:tabs>
          <w:tab w:leader="none" w:pos="66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Notes in, from or otherwise involving the United Kingdom;</w:t>
      </w:r>
    </w:p>
    <w:p>
      <w:pPr>
        <w:spacing w:after="0" w:line="161" w:lineRule="exact"/>
        <w:rPr>
          <w:rFonts w:ascii="Times New Roman" w:cs="Times New Roman" w:eastAsia="Times New Roman" w:hAnsi="Times New Roman"/>
          <w:sz w:val="18"/>
          <w:szCs w:val="18"/>
          <w:color w:val="auto"/>
        </w:rPr>
      </w:pPr>
    </w:p>
    <w:p>
      <w:pPr>
        <w:ind w:left="-7" w:right="60" w:firstLine="425"/>
        <w:spacing w:after="0" w:line="258" w:lineRule="auto"/>
        <w:tabs>
          <w:tab w:leader="none" w:pos="6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offers and sales made in France, that it has not offered or sold, and will not offer or sell, directly or indirectly, Securities to the public in France (other than to qualified investors). It has only made and will only make offers, sales and distribution of the Notes in France 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as defined in point (e) of Article 2 of Regulation (EU) 2017/1129 of the European Parliament and of the Council of 14 June 2017 as amended from time to time and any applicable French law and regulation implementing the Prospectus Regulation and related regulations in France; and</w:t>
      </w:r>
    </w:p>
    <w:p>
      <w:pPr>
        <w:sectPr>
          <w:pgSz w:w="11900" w:h="16838" w:orient="portrait"/>
          <w:cols w:equalWidth="0" w:num="1">
            <w:col w:w="10453"/>
          </w:cols>
          <w:pgMar w:left="987" w:top="270" w:right="459" w:bottom="1440" w:gutter="0" w:footer="0" w:header="0"/>
        </w:sectPr>
      </w:pPr>
    </w:p>
    <w:bookmarkStart w:id="79" w:name="page80"/>
    <w:bookmarkEnd w:id="79"/>
    <w:p>
      <w:pPr>
        <w:ind w:left="-419" w:firstLine="419"/>
        <w:spacing w:after="0" w:line="261" w:lineRule="auto"/>
        <w:tabs>
          <w:tab w:leader="none" w:pos="2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offers and sales made in Canada, it has only made and will only make offers, sales and distribution of the Notes in Canada to purchasers (i) purchasing, or deemed to be purchasing, as principal that are “accredited investors”, as defined in National Instrument 45-106 -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or subsection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as applicable, and (ii) that are “permitted clients”,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Instrument 31-103 -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sectPr>
      <w:pgSz w:w="11900" w:h="16838" w:orient="portrait"/>
      <w:cols w:equalWidth="0" w:num="1">
        <w:col w:w="10121"/>
      </w:cols>
      <w:pgMar w:left="1299"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3"/>
    </w:lvl>
  </w:abstractNum>
  <w:abstractNum w:abstractNumId="4">
    <w:nsid w:val="440BADFC"/>
    <w:multiLevelType w:val="hybridMultilevel"/>
    <w:lvl w:ilvl="0">
      <w:lvlJc w:val="left"/>
      <w:lvlText w:val="(%1)"/>
      <w:numFmt w:val="lowerLetter"/>
      <w:start w:val="12"/>
    </w:lvl>
  </w:abstractNum>
  <w:abstractNum w:abstractNumId="5">
    <w:nsid w:val="5072367"/>
    <w:multiLevelType w:val="hybridMultilevel"/>
    <w:lvl w:ilvl="0">
      <w:lvlJc w:val="left"/>
      <w:lvlText w:val="(%1)"/>
      <w:numFmt w:val="lowerLetter"/>
      <w:start w:val="18"/>
    </w:lvl>
  </w:abstractNum>
  <w:abstractNum w:abstractNumId="6">
    <w:nsid w:val="3804823E"/>
    <w:multiLevelType w:val="hybridMultilevel"/>
    <w:lvl w:ilvl="0">
      <w:lvlJc w:val="left"/>
      <w:lvlText w:val="(%1)"/>
      <w:numFmt w:val="lowerLetter"/>
      <w:start w:val="24"/>
    </w:lvl>
  </w:abstractNum>
  <w:abstractNum w:abstractNumId="7">
    <w:nsid w:val="77465F01"/>
    <w:multiLevelType w:val="hybridMultilevel"/>
    <w:lvl w:ilvl="0">
      <w:lvlJc w:val="left"/>
      <w:lvlText w:val="(%1)"/>
      <w:numFmt w:val="lowerLetter"/>
      <w:start w:val="27"/>
    </w:lvl>
  </w:abstractNum>
  <w:abstractNum w:abstractNumId="8">
    <w:nsid w:val="7724C67E"/>
    <w:multiLevelType w:val="hybridMultilevel"/>
    <w:lvl w:ilvl="0">
      <w:lvlJc w:val="left"/>
      <w:lvlText w:val="(%1)"/>
      <w:numFmt w:val="lowerLetter"/>
      <w:start w:val="28"/>
    </w:lvl>
  </w:abstractNum>
  <w:abstractNum w:abstractNumId="9">
    <w:nsid w:val="5C482A97"/>
    <w:multiLevelType w:val="hybridMultilevel"/>
    <w:lvl w:ilvl="0">
      <w:lvlJc w:val="left"/>
      <w:lvlText w:val="(%1)"/>
      <w:numFmt w:val="lowerLetter"/>
      <w:start w:val="31"/>
    </w:lvl>
  </w:abstractNum>
  <w:abstractNum w:abstractNumId="10">
    <w:nsid w:val="2463B9EA"/>
    <w:multiLevelType w:val="hybridMultilevel"/>
    <w:lvl w:ilvl="0">
      <w:lvlJc w:val="left"/>
      <w:lvlText w:val="(%1)"/>
      <w:numFmt w:val="lowerLetter"/>
      <w:start w:val="37"/>
    </w:lvl>
  </w:abstractNum>
  <w:abstractNum w:abstractNumId="11">
    <w:nsid w:val="5E884ADC"/>
    <w:multiLevelType w:val="hybridMultilevel"/>
    <w:lvl w:ilvl="0">
      <w:lvlJc w:val="left"/>
      <w:lvlText w:val="%1"/>
      <w:numFmt w:val="lowerLetter"/>
      <w:start w:val="1"/>
    </w:lvl>
    <w:lvl w:ilvl="1">
      <w:lvlJc w:val="left"/>
      <w:lvlText w:val="(%2)"/>
      <w:numFmt w:val="lowerLetter"/>
      <w:start w:val="41"/>
    </w:lvl>
  </w:abstractNum>
  <w:abstractNum w:abstractNumId="12">
    <w:nsid w:val="51EAD36B"/>
    <w:multiLevelType w:val="hybridMultilevel"/>
    <w:lvl w:ilvl="0">
      <w:lvlJc w:val="left"/>
      <w:lvlText w:val="(%1)"/>
      <w:numFmt w:val="lowerLetter"/>
      <w:start w:val="9"/>
    </w:lvl>
    <w:lvl w:ilvl="1">
      <w:lvlJc w:val="left"/>
      <w:lvlText w:val="%2"/>
      <w:numFmt w:val="lowerLetter"/>
      <w:start w:val="1"/>
    </w:lvl>
  </w:abstractNum>
  <w:abstractNum w:abstractNumId="13">
    <w:nsid w:val="2D517796"/>
    <w:multiLevelType w:val="hybridMultilevel"/>
    <w:lvl w:ilvl="0">
      <w:lvlJc w:val="left"/>
      <w:lvlText w:val="(%1)"/>
      <w:numFmt w:val="lowerLetter"/>
      <w:start w:val="61"/>
    </w:lvl>
    <w:lvl w:ilvl="1">
      <w:lvlJc w:val="left"/>
      <w:lvlText w:val="(%2)"/>
      <w:numFmt w:val="lowerLetter"/>
      <w:start w:val="43"/>
    </w:lvl>
  </w:abstractNum>
  <w:abstractNum w:abstractNumId="14">
    <w:nsid w:val="580BD78F"/>
    <w:multiLevelType w:val="hybridMultilevel"/>
    <w:lvl w:ilvl="0">
      <w:lvlJc w:val="left"/>
      <w:lvlText w:val="(%1)"/>
      <w:numFmt w:val="lowerLetter"/>
      <w:start w:val="9"/>
    </w:lvl>
    <w:lvl w:ilvl="1">
      <w:lvlJc w:val="left"/>
      <w:lvlText w:val="(%2)"/>
      <w:numFmt w:val="lowerLetter"/>
      <w:start w:val="44"/>
    </w:lvl>
  </w:abstractNum>
  <w:abstractNum w:abstractNumId="15">
    <w:nsid w:val="153EA438"/>
    <w:multiLevelType w:val="hybridMultilevel"/>
    <w:lvl w:ilvl="0">
      <w:lvlJc w:val="left"/>
      <w:lvlText w:val="(%1)"/>
      <w:numFmt w:val="lowerRoman"/>
      <w:start w:val="4"/>
    </w:lvl>
    <w:lvl w:ilvl="1">
      <w:lvlJc w:val="left"/>
      <w:lvlText w:val="(%2)"/>
      <w:numFmt w:val="lowerLetter"/>
      <w:start w:val="47"/>
    </w:lvl>
  </w:abstractNum>
  <w:abstractNum w:abstractNumId="16">
    <w:nsid w:val="3855585C"/>
    <w:multiLevelType w:val="hybridMultilevel"/>
    <w:lvl w:ilvl="0">
      <w:lvlJc w:val="left"/>
      <w:lvlText w:val="(%1)"/>
      <w:numFmt w:val="lowerLetter"/>
      <w:start w:val="49"/>
    </w:lvl>
  </w:abstractNum>
  <w:abstractNum w:abstractNumId="17">
    <w:nsid w:val="70A64E2A"/>
    <w:multiLevelType w:val="hybridMultilevel"/>
    <w:lvl w:ilvl="0">
      <w:lvlJc w:val="left"/>
      <w:lvlText w:val="(%1)"/>
      <w:numFmt w:val="lowerLetter"/>
      <w:start w:val="53"/>
    </w:lvl>
    <w:lvl w:ilvl="1">
      <w:lvlJc w:val="left"/>
      <w:lvlText w:val="(%2)"/>
      <w:numFmt w:val="lowerRoman"/>
      <w:start w:val="1"/>
    </w:lvl>
  </w:abstractNum>
  <w:abstractNum w:abstractNumId="18">
    <w:nsid w:val="6A2342EC"/>
    <w:multiLevelType w:val="hybridMultilevel"/>
    <w:lvl w:ilvl="0">
      <w:lvlJc w:val="left"/>
      <w:lvlText w:val="%1"/>
      <w:numFmt w:val="lowerRoman"/>
      <w:start w:val="1"/>
    </w:lvl>
    <w:lvl w:ilvl="1">
      <w:lvlJc w:val="left"/>
      <w:lvlText w:val="(%2)"/>
      <w:numFmt w:val="lowerRoman"/>
      <w:start w:val="5"/>
    </w:lvl>
  </w:abstractNum>
  <w:abstractNum w:abstractNumId="19">
    <w:nsid w:val="2A487CB0"/>
    <w:multiLevelType w:val="hybridMultilevel"/>
    <w:lvl w:ilvl="0">
      <w:lvlJc w:val="left"/>
      <w:lvlText w:val="(%1)"/>
      <w:numFmt w:val="lowerRoman"/>
      <w:start w:val="6"/>
    </w:lvl>
    <w:lvl w:ilvl="1">
      <w:lvlJc w:val="left"/>
      <w:lvlText w:val="(%2)"/>
      <w:numFmt w:val="lowerRoman"/>
      <w:start w:val="8"/>
    </w:lvl>
  </w:abstractNum>
  <w:abstractNum w:abstractNumId="20">
    <w:nsid w:val="1D4ED43B"/>
    <w:multiLevelType w:val="hybridMultilevel"/>
    <w:lvl w:ilvl="0">
      <w:lvlJc w:val="left"/>
      <w:lvlText w:val="(%1)"/>
      <w:numFmt w:val="lowerLetter"/>
      <w:start w:val="55"/>
    </w:lvl>
  </w:abstractNum>
  <w:abstractNum w:abstractNumId="21">
    <w:nsid w:val="725A06FB"/>
    <w:multiLevelType w:val="hybridMultilevel"/>
    <w:lvl w:ilvl="0">
      <w:lvlJc w:val="left"/>
      <w:lvlText w:val="(%1)"/>
      <w:numFmt w:val="lowerLetter"/>
      <w:start w:val="56"/>
    </w:lvl>
  </w:abstractNum>
  <w:abstractNum w:abstractNumId="22">
    <w:nsid w:val="2CD89A32"/>
    <w:multiLevelType w:val="hybridMultilevel"/>
    <w:lvl w:ilvl="0">
      <w:lvlJc w:val="left"/>
      <w:lvlText w:val="%1."/>
      <w:numFmt w:val="decimal"/>
      <w:start w:val="2"/>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5"/>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lowerLetter"/>
      <w:start w:val="6"/>
    </w:lvl>
  </w:abstractNum>
  <w:abstractNum w:abstractNumId="29">
    <w:nsid w:val="7644A45C"/>
    <w:multiLevelType w:val="hybridMultilevel"/>
    <w:lvl w:ilvl="0">
      <w:lvlJc w:val="left"/>
      <w:lvlText w:val="(%1)"/>
      <w:numFmt w:val="lowerLetter"/>
      <w:start w:val="11"/>
    </w:lvl>
  </w:abstractNum>
  <w:abstractNum w:abstractNumId="30">
    <w:nsid w:val="32FFF902"/>
    <w:multiLevelType w:val="hybridMultilevel"/>
    <w:lvl w:ilvl="0">
      <w:lvlJc w:val="left"/>
      <w:lvlText w:val="(%1)"/>
      <w:numFmt w:val="lowerLetter"/>
      <w:start w:val="14"/>
    </w:lvl>
  </w:abstractNum>
  <w:abstractNum w:abstractNumId="31">
    <w:nsid w:val="684A481A"/>
    <w:multiLevelType w:val="hybridMultilevel"/>
    <w:lvl w:ilvl="0">
      <w:lvlJc w:val="left"/>
      <w:lvlText w:val="%1."/>
      <w:numFmt w:val="decimal"/>
      <w:start w:val="6"/>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4"/>
    </w:lvl>
    <w:lvl w:ilvl="1">
      <w:lvlJc w:val="left"/>
      <w:lvlText w:val="(%2)"/>
      <w:numFmt w:val="lowerRoman"/>
      <w:start w:val="1"/>
    </w:lvl>
  </w:abstractNum>
  <w:abstractNum w:abstractNumId="34">
    <w:nsid w:val="3DC240FB"/>
    <w:multiLevelType w:val="hybridMultilevel"/>
    <w:lvl w:ilvl="0">
      <w:lvlJc w:val="left"/>
      <w:lvlText w:val="%1"/>
      <w:numFmt w:val="lowerLetter"/>
      <w:start w:val="1"/>
    </w:lvl>
    <w:lvl w:ilvl="1">
      <w:lvlJc w:val="left"/>
      <w:lvlText w:val="(%2)"/>
      <w:numFmt w:val="lowerLetter"/>
      <w:start w:val="8"/>
    </w:lvl>
  </w:abstractNum>
  <w:abstractNum w:abstractNumId="35">
    <w:nsid w:val="1BA026FA"/>
    <w:multiLevelType w:val="hybridMultilevel"/>
    <w:lvl w:ilvl="0">
      <w:lvlJc w:val="left"/>
      <w:lvlText w:val="(%1)"/>
      <w:numFmt w:val="lowerLetter"/>
      <w:start w:val="9"/>
    </w:lvl>
    <w:lvl w:ilvl="1">
      <w:lvlJc w:val="left"/>
      <w:lvlText w:val="(%2)"/>
      <w:numFmt w:val="lowerLetter"/>
      <w:start w:val="9"/>
    </w:lvl>
  </w:abstractNum>
  <w:abstractNum w:abstractNumId="36">
    <w:nsid w:val="79A1DEAA"/>
    <w:multiLevelType w:val="hybridMultilevel"/>
    <w:lvl w:ilvl="0">
      <w:lvlJc w:val="left"/>
      <w:lvlText w:val="%1."/>
      <w:numFmt w:val="decimal"/>
      <w:start w:val="7"/>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2"/>
    </w:lvl>
  </w:abstractNum>
  <w:abstractNum w:abstractNumId="39">
    <w:nsid w:val="70C6A529"/>
    <w:multiLevelType w:val="hybridMultilevel"/>
    <w:lvl w:ilvl="0">
      <w:lvlJc w:val="left"/>
      <w:lvlText w:val="(%1)"/>
      <w:numFmt w:val="lowerLetter"/>
      <w:start w:val="4"/>
    </w:lvl>
  </w:abstractNum>
  <w:abstractNum w:abstractNumId="40">
    <w:nsid w:val="520EEDD1"/>
    <w:multiLevelType w:val="hybridMultilevel"/>
    <w:lvl w:ilvl="0">
      <w:lvlJc w:val="left"/>
      <w:lvlText w:val="%1."/>
      <w:numFmt w:val="decimal"/>
      <w:start w:val="9"/>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3">
    <w:nsid w:val="23F9C13C"/>
    <w:multiLevelType w:val="hybridMultilevel"/>
    <w:lvl w:ilvl="0">
      <w:lvlJc w:val="left"/>
      <w:lvlText w:val="(%1)"/>
      <w:numFmt w:val="lowerRoman"/>
      <w:start w:val="2"/>
    </w:lvl>
  </w:abstractNum>
  <w:abstractNum w:abstractNumId="44">
    <w:nsid w:val="649BB77C"/>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45">
    <w:nsid w:val="275AC794"/>
    <w:multiLevelType w:val="hybridMultilevel"/>
    <w:lvl w:ilvl="0">
      <w:lvlJc w:val="left"/>
      <w:lvlText w:val="%1"/>
      <w:numFmt w:val="lowerLetter"/>
      <w:start w:val="1"/>
    </w:lvl>
    <w:lvl w:ilvl="1">
      <w:lvlJc w:val="left"/>
      <w:lvlText w:val="(%2)"/>
      <w:numFmt w:val="lowerLetter"/>
      <w:start w:val="4"/>
    </w:lvl>
  </w:abstractNum>
  <w:abstractNum w:abstractNumId="46">
    <w:nsid w:val="39386575"/>
    <w:multiLevelType w:val="hybridMultilevel"/>
    <w:lvl w:ilvl="0">
      <w:lvlJc w:val="left"/>
      <w:lvlText w:val="(%1)"/>
      <w:numFmt w:val="lowerLetter"/>
      <w:start w:val="35"/>
    </w:lvl>
    <w:lvl w:ilvl="1">
      <w:lvlJc w:val="left"/>
      <w:lvlText w:val="%2"/>
      <w:numFmt w:val="lowerLetter"/>
      <w:start w:val="1"/>
    </w:lvl>
  </w:abstractNum>
  <w:abstractNum w:abstractNumId="47">
    <w:nsid w:val="1CF10FD8"/>
    <w:multiLevelType w:val="hybridMultilevel"/>
    <w:lvl w:ilvl="0">
      <w:lvlJc w:val="left"/>
      <w:lvlText w:val="%1."/>
      <w:numFmt w:val="decimal"/>
      <w:start w:val="14"/>
    </w:lvl>
  </w:abstractNum>
  <w:abstractNum w:abstractNumId="48">
    <w:nsid w:val="180115BE"/>
    <w:multiLevelType w:val="hybridMultilevel"/>
    <w:lvl w:ilvl="0">
      <w:lvlJc w:val="left"/>
      <w:lvlText w:val="%1."/>
      <w:numFmt w:val="decimal"/>
      <w:start w:val="17"/>
    </w:lvl>
  </w:abstractNum>
  <w:abstractNum w:abstractNumId="49">
    <w:nsid w:val="235BA861"/>
    <w:multiLevelType w:val="hybridMultilevel"/>
    <w:lvl w:ilvl="0">
      <w:lvlJc w:val="left"/>
      <w:lvlText w:val="%1."/>
      <w:numFmt w:val="decimal"/>
      <w:start w:val="20"/>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decimal"/>
      <w:start w:val="21"/>
    </w:lvl>
  </w:abstractNum>
  <w:abstractNum w:abstractNumId="52">
    <w:nsid w:val="15B5AF5C"/>
    <w:multiLevelType w:val="hybridMultilevel"/>
    <w:lvl w:ilvl="0">
      <w:lvlJc w:val="left"/>
      <w:lvlText w:val="%1."/>
      <w:numFmt w:val="decimal"/>
      <w:start w:val="22"/>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2"/>
    </w:lvl>
  </w:abstractNum>
  <w:abstractNum w:abstractNumId="55">
    <w:nsid w:val="10233C99"/>
    <w:multiLevelType w:val="hybridMultilevel"/>
    <w:lvl w:ilvl="0">
      <w:lvlJc w:val="left"/>
      <w:lvlText w:val="%1."/>
      <w:numFmt w:val="decimal"/>
      <w:start w:val="25"/>
    </w:lvl>
  </w:abstractNum>
  <w:abstractNum w:abstractNumId="56">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6157409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8">
    <w:nsid w:val="7E0C57B1"/>
    <w:multiLevelType w:val="hybridMultilevel"/>
    <w:lvl w:ilvl="0">
      <w:lvlJc w:val="left"/>
      <w:lvlText w:val="%1"/>
      <w:numFmt w:val="lowerRoman"/>
      <w:start w:val="1"/>
    </w:lvl>
    <w:lvl w:ilvl="1">
      <w:lvlJc w:val="left"/>
      <w:lvlText w:val="(%2)"/>
      <w:numFmt w:val="upperLetter"/>
      <w:start w:val="3"/>
    </w:lvl>
  </w:abstractNum>
  <w:abstractNum w:abstractNumId="59">
    <w:nsid w:val="77AE35EB"/>
    <w:multiLevelType w:val="hybridMultilevel"/>
    <w:lvl w:ilvl="0">
      <w:lvlJc w:val="left"/>
      <w:lvlText w:val="(%1)"/>
      <w:numFmt w:val="lowerRoman"/>
      <w:start w:val="3"/>
    </w:lvl>
    <w:lvl w:ilvl="1">
      <w:lvlJc w:val="left"/>
      <w:lvlText w:val="%2"/>
      <w:numFmt w:val="upp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1"/>
      <w:numFmt w:val="lowerLetter"/>
      <w:start w:val="1"/>
    </w:lvl>
    <w:lvl w:ilvl="1">
      <w:lvlJc w:val="left"/>
      <w:lvlText w:val="(%2)"/>
      <w:numFmt w:val="lowerLetter"/>
      <w:start w:val="1"/>
    </w:lvl>
  </w:abstractNum>
  <w:abstractNum w:abstractNumId="63">
    <w:nsid w:val="2F305DEF"/>
    <w:multiLevelType w:val="hybridMultilevel"/>
    <w:lvl w:ilvl="0">
      <w:lvlJc w:val="left"/>
      <w:lvlText w:val="(%1)"/>
      <w:numFmt w:val="lowerLetter"/>
      <w:start w:val="9"/>
    </w:lvl>
    <w:lvl w:ilvl="1">
      <w:lvlJc w:val="left"/>
      <w:lvlText w:val="(%2)"/>
      <w:numFmt w:val="lowerLetter"/>
      <w:start w:val="2"/>
    </w:lvl>
  </w:abstractNum>
  <w:abstractNum w:abstractNumId="64">
    <w:nsid w:val="25A70BF7"/>
    <w:multiLevelType w:val="hybridMultilevel"/>
    <w:lvl w:ilvl="0">
      <w:lvlJc w:val="left"/>
      <w:lvlText w:val="(%1)"/>
      <w:numFmt w:val="lowerLetter"/>
      <w:start w:val="2"/>
    </w:lvl>
    <w:lvl w:ilvl="1">
      <w:lvlJc w:val="left"/>
      <w:lvlText w:val="(%2)"/>
      <w:numFmt w:val="lowerLetter"/>
      <w:start w:val="4"/>
    </w:lvl>
  </w:abstractNum>
  <w:abstractNum w:abstractNumId="65">
    <w:nsid w:val="1DBABF0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2024-07-31T15:13:23Z</dcterms:created>
  <dcterms:modified xsi:type="dcterms:W3CDTF">2024-07-31T15:13:23Z</dcterms:modified>
</cp:coreProperties>
</file>