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9, 2021</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000-50189</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0"/>
        </w:trPr>
        <w:tc>
          <w:tcPr>
            <w:tcW w:w="3160" w:type="dxa"/>
            <w:vAlign w:val="bottom"/>
          </w:tcPr>
          <w:p>
            <w:pPr>
              <w:jc w:val="center"/>
              <w:ind w:right="87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7"/>
                <w:szCs w:val="17"/>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965"/>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811"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February 9, 2021 Crown Holdings, Inc. issued a press release announcing its earnings for the fourth quarter ended December 31, 2020. A copy of the press release is attached hereto as Exhibit 99 and incorporated herein by reference.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98"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u w:val="single" w:color="auto"/>
          <w:color w:val="0000FF"/>
        </w:rPr>
      </w:pPr>
      <w:hyperlink w:anchor="page5">
        <w:r>
          <w:rPr>
            <w:rFonts w:ascii="Times New Roman" w:cs="Times New Roman" w:eastAsia="Times New Roman" w:hAnsi="Times New Roman"/>
            <w:sz w:val="22"/>
            <w:szCs w:val="22"/>
            <w:u w:val="single" w:color="auto"/>
            <w:color w:val="0000FF"/>
          </w:rPr>
          <w:t>Press release, dated February 9, 2021, issued by Crown Holdings, Inc.</w:t>
        </w:r>
      </w:hyperlink>
    </w:p>
    <w:p>
      <w:pPr>
        <w:spacing w:after="0" w:line="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David A. Beaver</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332105</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CROWN HOLDINGS, INC. REPORTS STRONG FOURTH QUARTER AND FULL YEAR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102235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Yardley, PA - February 9, 2021. </w:t>
      </w:r>
      <w:r>
        <w:rPr>
          <w:rFonts w:ascii="Times New Roman" w:cs="Times New Roman" w:eastAsia="Times New Roman" w:hAnsi="Times New Roman"/>
          <w:sz w:val="18"/>
          <w:szCs w:val="18"/>
          <w:color w:val="auto"/>
        </w:rPr>
        <w:t>Crown Holdings, Inc. (NYSE: CCK) today announced its financial results for the fourth quarter and full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Highlights</w:t>
      </w:r>
    </w:p>
    <w:p>
      <w:pPr>
        <w:spacing w:after="0" w:line="2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Earnings per share $1.12 for the quarter versus $0.64 in prior year; $4.30 full year versus $3.78 in 2019</w:t>
      </w:r>
    </w:p>
    <w:p>
      <w:pPr>
        <w:spacing w:after="0" w:line="18" w:lineRule="exact"/>
        <w:rPr>
          <w:rFonts w:ascii="Arial" w:cs="Arial" w:eastAsia="Arial" w:hAnsi="Arial"/>
          <w:sz w:val="18"/>
          <w:szCs w:val="18"/>
          <w:color w:val="auto"/>
        </w:rPr>
      </w:pPr>
    </w:p>
    <w:p>
      <w:pPr>
        <w:ind w:left="660" w:hanging="328"/>
        <w:spacing w:after="0" w:line="233" w:lineRule="auto"/>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Adjusted earnings per share $1.50 for the quarter versus $1.04 in prior year; $5.92 full year versus $5.11 in 2019</w:t>
      </w:r>
    </w:p>
    <w:p>
      <w:pPr>
        <w:ind w:left="660" w:hanging="328"/>
        <w:spacing w:after="0" w:line="233" w:lineRule="auto"/>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Beverage can volumes up 4% for the year</w:t>
      </w:r>
    </w:p>
    <w:p>
      <w:pPr>
        <w:ind w:left="660" w:hanging="328"/>
        <w:spacing w:after="0" w:line="233" w:lineRule="auto"/>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Food can volumes up 7% for the year</w:t>
      </w:r>
    </w:p>
    <w:p>
      <w:pPr>
        <w:ind w:left="660" w:hanging="328"/>
        <w:spacing w:after="0" w:line="233" w:lineRule="auto"/>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Over $1.3 billion in cash from operations</w:t>
      </w:r>
    </w:p>
    <w:p>
      <w:pPr>
        <w:ind w:left="660" w:hanging="328"/>
        <w:spacing w:after="0" w:line="233" w:lineRule="auto"/>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Record adjusted free cash flow of $756 million; more than $1.5 billion over last two years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15 billion units of beverage can capacity commercialized/announced from 2020 to end of 2022</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fourth quarter were $2,962 million compared to $2,791 million in the fourth quarter of 2019, primarily reflecting increased beverage can and food can volumes and $46 million of favorable currency translation.</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Income from operations was $337 million in the quarter compared to $199 million in the fourth quarter of 2019. Segment income improved to $397 million in the fourth quarter compared to $285 million in the prior year fourth quarter primarily due to higher sales unit volumes.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Commenting on the quarter, Timothy J. Donahue, President and Chief Executive Officer, stated, “The Company’s performance for both the fourth quarter and the full year was exceptional. Segment income during the quarter advanced 39% over the prior year. Driving the strong results were robust global beverage can volumes, particularly in North America, and food can volumes combined with excellent manufacturing performance throughout the organization, including meaningful cost reduction initiatives within Transit Packaging. For the full year, we achieved record segment income in 2020, with a gain of 7% from the prior year. Operating cash flow exceeded $1.3 billion, reflecting a 13% increase over 2019. The Company generated a record $756 million in free cash flow allowing us to reduce our year-end 2020 net leverage ratio to 3.9x. With opportunities for profitable beverage can growth combined with significant growth in European Food and Transit earnings, Crown is well-positioned for an excellent 2021 and the years beyond.</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 would like to thank all of our employees and partners, whose dedication and commitment continue to be instrumental as we navigate through the unprecedented challenges presented by the pandemic. The health and safety of our employees, customers and partners is our highest priority.</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“According to the Can Manufacturers Institute’s shipment data, on the heels of more than 3% growth in 2019, North America-supplied industry volume surged by more than 6% in 2020. Actual growth was meaningfully higher, as imported cans augmented domestic supply. Even then, significant customer requirements remain unfulfilled. This expansion is driven by the outsized portion of new beverage products being introduced in cans versus other substrates, and i</w:t>
      </w:r>
      <w:r>
        <w:rPr>
          <w:rFonts w:ascii="Arial" w:cs="Arial" w:eastAsia="Arial" w:hAnsi="Arial"/>
          <w:sz w:val="18"/>
          <w:szCs w:val="18"/>
          <w:color w:val="auto"/>
        </w:rPr>
        <w:t>s</w:t>
      </w:r>
      <w:r>
        <w:rPr>
          <w:rFonts w:ascii="Times New Roman" w:cs="Times New Roman" w:eastAsia="Times New Roman" w:hAnsi="Times New Roman"/>
          <w:sz w:val="18"/>
          <w:szCs w:val="18"/>
          <w:color w:val="auto"/>
        </w:rPr>
        <w:t xml:space="preserve"> expected to continue. To meet accelerating North American demand, in early 2020, we commenced production on the third line at our Toronto, Ontario facility, and in June we began commercial production on the third line in the Nichols, New York plant. Construction is underway at a new greenfield two-line facility in Bowling Green, Kentucky, an attractive location to effectively serve a number of diverse customers in the region. The first production line of the plant is expected to start up during the second quarter of 2021, with the second line targeted for a late third quarter 2021 start up. To meet the expanding requirements for specialty cans in the Pacific Northwest, we will construct a third line in our Olympia, Washington plant which is scheduled to begin production during the third quarter of 2021. We will also construct a greenfield two-line facility in Henry County, Virginia which is expected to commence operations during the first quarter of 2022. In addition to significantly expanding our North American network, this new capacity, underpinned by multi-year customer contracts, is expected to double our specialty can percentage off a much larger base of beverage can production.</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“With half of the Company’s beverage can revenue generated from fast-growing developing markets, and leadership positions in a number of those key regions, Crown has established an excellent platform for expansion in the coming years. In late 2019, we commenced operations at a new beverage can facility in Rio Verde, Brazil and are currently in the process of adding a second line, which is expected to begin production during the third quarter of 2021. As the package mix for beer in Brazil continues to shift toward cans, we have also begun construction of a greenfield two-line facility in the southeastern state of Minas Gerais, with the first</w:t>
      </w:r>
    </w:p>
    <w:p>
      <w:pPr>
        <w:sectPr>
          <w:pgSz w:w="11900" w:h="16838" w:orient="portrait"/>
          <w:cols w:equalWidth="0" w:num="1">
            <w:col w:w="11240"/>
          </w:cols>
          <w:pgMar w:left="320" w:top="48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 of 11</w:t>
      </w:r>
    </w:p>
    <w:p>
      <w:pPr>
        <w:sectPr>
          <w:pgSz w:w="11900" w:h="16838" w:orient="portrait"/>
          <w:cols w:equalWidth="0" w:num="1">
            <w:col w:w="11240"/>
          </w:cols>
          <w:pgMar w:left="320" w:top="483"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line expected to begin production during the second quarter of 2022 and the second line scheduled to start up during the fourth quarter of 2022. During the second quarter of 2020, we completed the conversion of two lines in Seville, Spain from steel to aluminum. In July 2020, we commenced operations at a new one-line plant in Nong Khae, Thailand to support growth in that market. In Vung Tao, Vietnam, construction continues on a new greenfield beverage can plant which will begin commercial production in September 2021.”</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$72 million in the fourth quarter of 2020 compared to $88 million in 2019 primarily due to a combination of lower outstanding debt and lower interest rates.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income attributable to Crown Holdings in the fourth quarter was $151 million compared to $87 million in the fourth quarter of 2019. Reported diluted earnings per share were $1.12 in the fourth quarter of 2020 compared to $0.64 in 2019. Adjusted diluted earnings per share were $1.50 compared to $1.04 in 2019.</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from net income and diluted earnings per share to adjusted net income and adjusted diluted earnings per share is provided below.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Results</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sales for the full year of 2020 were $11,575 million compared to $11,665 million in 2019, primarily due to the pass through of lower material costs and $59 million of unfavorable currency translation, partially offset by increased sales unit volumes.</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Income from operations was $1,264 million in 2020 compared to $1,196 million in 2019. Segment income in 2020 was $1,478 million versus $1,381 million in the prior year. Income from operations includes $14 million of unfavorable currency translation and the impact of the coronavirus pandemic in 2020. Also, unfavorable impacts of $18 million and $16 million are included in the European Food and other segments, respectively, in the first quarter of 2020 versus 2019 arising from the carryover of tinplate costs from the prior year end inventory.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$300 million for 2020 compared to $378 million in 2019 primarily due to lower outstanding debt and lower interest rates.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Crown Holdings in 2020 was $579 million compared to $510 million in 2019. Reported diluted earnings per share were $4.30 compared to $3.78 in 2019. Adjusted diluted earnings per share were $5.92 compared to $5.11 in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 and Portfolio Review</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part of its ongoing capital allocation review and as previously announced, the Company intends to initiate a regular quarterly dividend of at least $0.20 per share beginning with a payment in the first quarter of 2021. The actual amount and timing of any dividend will be communicated after due authorization by the Company’s Board of Directors. The Company also anticipates opportunistically repurchasing shares of its common stock during 2021 upon authorization of a share repurchase program by its Board.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provide an update on the status of its ongoing portfolio review on tomorrow’s earnings call.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currently expects first quarter and full year 2021 adjusted diluted earnings to be in the ranges of $1.35 to $1.40 and $6.60 to $6.80 per share, respectively. EBITDA for 2021 is expected to be approximately $2.0 billion and net leverage is projected to be approximately 3.5x at the end of 2021.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adjusted effective income tax rate for the full year of 2021 is expected to be between 24% and 25%.</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free cash flow, as defined below, is currently expected to be approximately $500 million for 2021 with approximately $850 million of capital spending.</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projections above represent management’s best estimates at this time. The uncertainty of the impact and duration of the coronavirus pandemic makes it inherently difficult for the Company to estimate the projected performance of its business, particularly over the near term. Please see “Cautionary Note Regarding Forward-Looking Statements” below for further information.</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direct response to the pandemic, the Company has taken specific actions to ensure the safety of its employees. Following the implementation of travel and visitor restrictions in February 2020, Crown continues to update its policies as new information becomes</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 of 11</w:t>
      </w:r>
    </w:p>
    <w:p>
      <w:pPr>
        <w:sectPr>
          <w:pgSz w:w="11900" w:h="16838" w:orient="portrait"/>
          <w:cols w:equalWidth="0" w:num="1">
            <w:col w:w="11240"/>
          </w:cols>
          <w:pgMar w:left="320" w:top="591" w:right="339"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available. The Company has taken increased safety measures in its manufacturing facilities to ensure the safety of its employees and the products they produce. In addition, as many Crown employees as possible are working remotely.</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products are a vital part of the support system to its customers and consumers. In addition to manufacturing containers that provide protection for food and beverages, Crown also produces closures for baby food, aerosol containers for cleaning and sanitizing products and numerous products that provide for the safe and secure transportation of goods in transit.</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working to ensure that its manufacturing facilities around the world remain operational and are equipped with the resources required to meet continually evolving customer demand by delivering high quality products in a safe and timely manner. Crown is actively monitoring and managing supply chain challenges, including coordinating with the Company’s suppliers to identify and mitigate potential areas of risk and manage inventories.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Segment income, adjusted free cash flow, adjusted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views segment income as the principal measure of the performance of its operations and adjusted free cash flow and adjusted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Reconciliations of estimated adjusted diluted earnings per share for the first quarter and full year of 2021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net income, the adjusted effective tax rate and adjusted diluted earnings per share are useful in evaluating the Company’s operations as these measures are adjusted for items that affect comparability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adjusted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Company will hold a conference call tomorrow, February 10, 2021 at 9:00 a.m. (EST)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18"/>
          <w:szCs w:val="18"/>
          <w:color w:val="0000FF"/>
        </w:rPr>
        <w:t>www.crowncork.com</w:t>
      </w:r>
      <w:r>
        <w:rPr>
          <w:rFonts w:ascii="Times New Roman" w:cs="Times New Roman" w:eastAsia="Times New Roman" w:hAnsi="Times New Roman"/>
          <w:sz w:val="18"/>
          <w:szCs w:val="18"/>
          <w:color w:val="000000"/>
        </w:rPr>
        <w:t>. A replay of the conference call will be available for a one-week period ending at midnight on February 17, 2021. The telephone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numbers for the replay are 203-369-3830 or toll free 800-835-8069.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2021, including consumer preference for beverage cans and increasing global beverage can demand; future demand for food cans; the Company’s ability to successfully complete its previously announced capacity expansion projects and begin production within expected timelines, including any delays related to the pandemic; the Company’s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11</w:t>
      </w:r>
    </w:p>
    <w:p>
      <w:pPr>
        <w:sectPr>
          <w:pgSz w:w="11900" w:h="16838" w:orient="portrait"/>
          <w:cols w:equalWidth="0" w:num="1">
            <w:col w:w="11240"/>
          </w:cols>
          <w:pgMar w:left="320" w:top="591"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ability to meet its sustainability targets; the Company’s plans for future dividends and share repurchases; and the Company’s ability to generate expected earnings and cash flow and reduce net leverage in 2021,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2019 and in subsequent filings made prior to or after the date hereof. The Company does not intend to review or revise any particular forward-looking statement in light of future events.</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w:t>
      </w:r>
    </w:p>
    <w:p>
      <w:pPr>
        <w:spacing w:after="0" w:line="16" w:lineRule="exact"/>
        <w:rPr>
          <w:sz w:val="20"/>
          <w:szCs w:val="20"/>
          <w:color w:val="auto"/>
        </w:rPr>
      </w:pPr>
    </w:p>
    <w:p>
      <w:pPr>
        <w:ind w:right="4520"/>
        <w:spacing w:after="0" w:line="271" w:lineRule="auto"/>
        <w:rPr>
          <w:sz w:val="20"/>
          <w:szCs w:val="20"/>
          <w:color w:val="auto"/>
        </w:rPr>
      </w:pPr>
      <w:r>
        <w:rPr>
          <w:rFonts w:ascii="Times New Roman" w:cs="Times New Roman" w:eastAsia="Times New Roman" w:hAnsi="Times New Roman"/>
          <w:sz w:val="17"/>
          <w:szCs w:val="17"/>
          <w:color w:val="auto"/>
        </w:rPr>
        <w:t>Thomas A. Kelly, Senior Vice President and Chief Financial Officer, (215) 698-5341 Thomas T. Fischer, Vice President, Investor Relations and Corporate Affairs, (215) 552-3720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 of 11</w:t>
      </w:r>
    </w:p>
    <w:p>
      <w:pPr>
        <w:sectPr>
          <w:pgSz w:w="11900" w:h="16838" w:orient="portrait"/>
          <w:cols w:equalWidth="0" w:num="1">
            <w:col w:w="11240"/>
          </w:cols>
          <w:pgMar w:left="320" w:top="591"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-142875</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0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4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20" w:type="dxa"/>
            <w:vAlign w:val="bottom"/>
          </w:tcPr>
          <w:p>
            <w:pPr>
              <w:spacing w:after="0"/>
              <w:rPr>
                <w:sz w:val="20"/>
                <w:szCs w:val="20"/>
                <w:color w:val="auto"/>
              </w:rPr>
            </w:pPr>
          </w:p>
        </w:tc>
        <w:tc>
          <w:tcPr>
            <w:tcW w:w="27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2,962</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w:t>
            </w: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11,575</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11,665</w:t>
            </w:r>
          </w:p>
        </w:tc>
      </w:tr>
      <w:tr>
        <w:trPr>
          <w:trHeight w:val="250"/>
        </w:trPr>
        <w:tc>
          <w:tcPr>
            <w:tcW w:w="4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1,196</w:t>
            </w:r>
          </w:p>
        </w:tc>
      </w:tr>
      <w:tr>
        <w:trPr>
          <w:trHeight w:val="162"/>
        </w:trPr>
        <w:tc>
          <w:tcPr>
            <w:tcW w:w="4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 and curtailments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early extinguishment of debt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75"/>
        </w:trPr>
        <w:tc>
          <w:tcPr>
            <w:tcW w:w="4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Earnings per share attributable to Crown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Holdings common shareholders: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5"/>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6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4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0.64</w:t>
            </w:r>
          </w:p>
        </w:tc>
        <w:tc>
          <w:tcPr>
            <w:tcW w:w="5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w:t>
            </w:r>
          </w:p>
        </w:tc>
        <w:tc>
          <w:tcPr>
            <w:tcW w:w="4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46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133,462,348</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133,987,700</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133,525,186</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133,888,302</w:t>
            </w: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134,713,968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135,187,487</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134,560,915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134,884,969</w:t>
            </w:r>
          </w:p>
        </w:tc>
      </w:tr>
      <w:tr>
        <w:trPr>
          <w:trHeight w:val="229"/>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common shares outstanding at end of period</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134,801,030</w:t>
            </w:r>
          </w:p>
        </w:tc>
        <w:tc>
          <w:tcPr>
            <w:tcW w:w="4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135,577,878</w:t>
            </w:r>
          </w:p>
        </w:tc>
        <w:tc>
          <w:tcPr>
            <w:tcW w:w="5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134,801,030</w:t>
            </w:r>
          </w:p>
        </w:tc>
        <w:tc>
          <w:tcPr>
            <w:tcW w:w="4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135,577,878</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 Reconciliation from income from operations to segment income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 of 11</w:t>
      </w:r>
    </w:p>
    <w:p>
      <w:pPr>
        <w:sectPr>
          <w:pgSz w:w="11900" w:h="16838" w:orient="portrait"/>
          <w:cols w:equalWidth="0" w:num="1">
            <w:col w:w="11060"/>
          </w:cols>
          <w:pgMar w:left="400" w:top="591" w:right="439" w:bottom="1440" w:gutter="0" w:footer="0" w:header="0"/>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128"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360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28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1,264</w:t>
            </w:r>
          </w:p>
        </w:tc>
        <w:tc>
          <w:tcPr>
            <w:tcW w:w="5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r>
      <w:tr>
        <w:trPr>
          <w:trHeight w:val="229"/>
        </w:trPr>
        <w:tc>
          <w:tcPr>
            <w:tcW w:w="2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1,478</w:t>
            </w: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1,381</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right="160" w:hanging="252"/>
        <w:spacing w:after="0" w:line="266" w:lineRule="auto"/>
        <w:tabs>
          <w:tab w:leader="none" w:pos="22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 addition to intangibles amortization charges, the amounts for 2019 also include $1 and $5 of accelerated depreciation related to the closure of a steel beverage can operation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31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30"/>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0"/>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30"/>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29"/>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Borders>
              <w:bottom w:val="single" w:sz="8" w:color="auto"/>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10,317</w:t>
            </w:r>
          </w:p>
        </w:tc>
        <w:tc>
          <w:tcPr>
            <w:tcW w:w="0" w:type="dxa"/>
            <w:vAlign w:val="bottom"/>
          </w:tcPr>
          <w:p>
            <w:pPr>
              <w:spacing w:after="0"/>
              <w:rPr>
                <w:sz w:val="1"/>
                <w:szCs w:val="1"/>
                <w:color w:val="auto"/>
              </w:rPr>
            </w:pPr>
          </w:p>
        </w:tc>
      </w:tr>
      <w:tr>
        <w:trPr>
          <w:trHeight w:val="230"/>
        </w:trPr>
        <w:tc>
          <w:tcPr>
            <w:tcW w:w="28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segments </w:t>
            </w:r>
            <w:r>
              <w:rPr>
                <w:rFonts w:ascii="Times New Roman" w:cs="Times New Roman" w:eastAsia="Times New Roman" w:hAnsi="Times New Roman"/>
                <w:sz w:val="23"/>
                <w:szCs w:val="23"/>
                <w:color w:val="auto"/>
                <w:vertAlign w:val="superscript"/>
              </w:rPr>
              <w:t>(2)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Borders>
              <w:bottom w:val="single" w:sz="8" w:color="auto"/>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2,962</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2,791</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11,665</w:t>
            </w:r>
          </w:p>
        </w:tc>
        <w:tc>
          <w:tcPr>
            <w:tcW w:w="0" w:type="dxa"/>
            <w:vAlign w:val="bottom"/>
          </w:tcPr>
          <w:p>
            <w:pPr>
              <w:spacing w:after="0"/>
              <w:rPr>
                <w:sz w:val="1"/>
                <w:szCs w:val="1"/>
                <w:color w:val="auto"/>
              </w:rPr>
            </w:pPr>
          </w:p>
        </w:tc>
      </w:tr>
      <w:tr>
        <w:trPr>
          <w:trHeight w:val="21"/>
        </w:trPr>
        <w:tc>
          <w:tcPr>
            <w:tcW w:w="2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8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9"/>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30"/>
        </w:trPr>
        <w:tc>
          <w:tcPr>
            <w:tcW w:w="280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 unallocated items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1,478</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60" w:hanging="252"/>
        <w:spacing w:after="0" w:line="282" w:lineRule="auto"/>
        <w:tabs>
          <w:tab w:leader="none" w:pos="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the Company's food can and closures businesses in North America, aerosol can businesses in North America and Europe, its promotional packaging business in Europe, and beverage tooling and equipment operations in the U.S. and United Kingdom.</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 of 11</w:t>
      </w:r>
    </w:p>
    <w:p>
      <w:pPr>
        <w:sectPr>
          <w:pgSz w:w="11900" w:h="16838" w:orient="portrait"/>
          <w:cols w:equalWidth="0" w:num="1">
            <w:col w:w="11240"/>
          </w:cols>
          <w:pgMar w:left="320" w:top="591" w:right="339" w:bottom="1440"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320"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8"/>
          </w:tcPr>
          <w:p>
            <w:pPr>
              <w:ind w:left="60"/>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3"/>
              </w:rPr>
              <w:t>2020</w:t>
            </w:r>
          </w:p>
        </w:tc>
        <w:tc>
          <w:tcPr>
            <w:tcW w:w="50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2019</w:t>
            </w:r>
          </w:p>
        </w:tc>
        <w:tc>
          <w:tcPr>
            <w:tcW w:w="5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income/diluted earnings per</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share</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attributable to Crown Holdings,</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151</w:t>
            </w:r>
          </w:p>
        </w:tc>
        <w:tc>
          <w:tcPr>
            <w:tcW w:w="1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1.12</w:t>
            </w:r>
          </w:p>
        </w:tc>
        <w:tc>
          <w:tcPr>
            <w:tcW w:w="1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87</w:t>
            </w:r>
          </w:p>
        </w:tc>
        <w:tc>
          <w:tcPr>
            <w:tcW w:w="1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0.64</w:t>
            </w:r>
          </w:p>
        </w:tc>
        <w:tc>
          <w:tcPr>
            <w:tcW w:w="1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w:t>
            </w:r>
          </w:p>
        </w:tc>
        <w:tc>
          <w:tcPr>
            <w:tcW w:w="4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4.30</w:t>
            </w:r>
          </w:p>
        </w:tc>
        <w:tc>
          <w:tcPr>
            <w:tcW w:w="1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510</w:t>
            </w:r>
          </w:p>
        </w:tc>
        <w:tc>
          <w:tcPr>
            <w:tcW w:w="16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3.78</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3"/>
                <w:szCs w:val="23"/>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186</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175"/>
        </w:trPr>
        <w:tc>
          <w:tcPr>
            <w:tcW w:w="27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Pension settlements and</w:t>
            </w:r>
          </w:p>
        </w:tc>
        <w:tc>
          <w:tcPr>
            <w:tcW w:w="200" w:type="dxa"/>
            <w:vAlign w:val="bottom"/>
          </w:tcPr>
          <w:p>
            <w:pPr>
              <w:spacing w:after="0"/>
              <w:rPr>
                <w:sz w:val="15"/>
                <w:szCs w:val="15"/>
                <w:color w:val="auto"/>
              </w:rPr>
            </w:pPr>
          </w:p>
        </w:tc>
        <w:tc>
          <w:tcPr>
            <w:tcW w:w="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0.49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30"/>
        </w:trPr>
        <w:tc>
          <w:tcPr>
            <w:tcW w:w="27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curtailments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Loss from early extinguishment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of debt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00" w:type="dxa"/>
            <w:vAlign w:val="bottom"/>
          </w:tcPr>
          <w:p>
            <w:pPr>
              <w:ind w:left="240"/>
              <w:spacing w:after="0" w:line="256"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(5)</w:t>
            </w:r>
          </w:p>
        </w:tc>
        <w:tc>
          <w:tcPr>
            <w:tcW w:w="200" w:type="dxa"/>
            <w:vAlign w:val="bottom"/>
          </w:tcPr>
          <w:p>
            <w:pPr>
              <w:spacing w:after="0"/>
              <w:rPr>
                <w:sz w:val="22"/>
                <w:szCs w:val="22"/>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(0.46)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240"/>
              <w:spacing w:after="0" w:line="256"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(6)</w:t>
            </w: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155"/>
        </w:trPr>
        <w:tc>
          <w:tcPr>
            <w:tcW w:w="27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net income/diluted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w:t>
            </w:r>
          </w:p>
        </w:tc>
        <w:tc>
          <w:tcPr>
            <w:tcW w:w="1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1.50</w:t>
            </w:r>
          </w:p>
        </w:tc>
        <w:tc>
          <w:tcPr>
            <w:tcW w:w="1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141</w:t>
            </w:r>
          </w:p>
        </w:tc>
        <w:tc>
          <w:tcPr>
            <w:tcW w:w="16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1.04</w:t>
            </w:r>
          </w:p>
        </w:tc>
        <w:tc>
          <w:tcPr>
            <w:tcW w:w="1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797</w:t>
            </w:r>
          </w:p>
        </w:tc>
        <w:tc>
          <w:tcPr>
            <w:tcW w:w="4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5.92</w:t>
            </w:r>
          </w:p>
        </w:tc>
        <w:tc>
          <w:tcPr>
            <w:tcW w:w="1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689</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5.11</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as reported</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26.3 %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gridSpan w:val="2"/>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5"/>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effective tax rate </w:t>
            </w:r>
            <w:r>
              <w:rPr>
                <w:rFonts w:ascii="Times New Roman" w:cs="Times New Roman" w:eastAsia="Times New Roman" w:hAnsi="Times New Roman"/>
                <w:sz w:val="23"/>
                <w:szCs w:val="23"/>
                <w:color w:val="auto"/>
                <w:vertAlign w:val="superscript"/>
              </w:rPr>
              <w:t>(7)</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25.4 %</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8" w:lineRule="exact"/>
        <w:rPr>
          <w:sz w:val="20"/>
          <w:szCs w:val="20"/>
          <w:color w:val="auto"/>
        </w:rPr>
      </w:pPr>
    </w:p>
    <w:p>
      <w:pPr>
        <w:ind w:left="340" w:hanging="332"/>
        <w:spacing w:after="0" w:line="254"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and full year of 2020, the Company recorded charges of $46 million ($38 million net of tax) and $180 million ($139 million net of tax) for intangibles amortization arising from prior acquisitions. In the fourth quarter and full year of 2019, the Company recorded charges of $45 million ($34 million net of tax) and $181 million ($135 million net of tax) for intangibles amortization. Also in the fourth quarter and full year of 2019, the Company recorded charges of $1 million ($1 million net of tax) and $5 million ($4 million net of tax) for accelerated depreciation related to the planned shutdown of a steel beverage can operation in Spain.</w:t>
      </w:r>
    </w:p>
    <w:p>
      <w:pPr>
        <w:spacing w:after="0" w:line="200" w:lineRule="exact"/>
        <w:rPr>
          <w:rFonts w:ascii="Times New Roman" w:cs="Times New Roman" w:eastAsia="Times New Roman" w:hAnsi="Times New Roman"/>
          <w:sz w:val="18"/>
          <w:szCs w:val="18"/>
          <w:color w:val="auto"/>
        </w:rPr>
      </w:pPr>
    </w:p>
    <w:p>
      <w:pPr>
        <w:ind w:left="340" w:right="120" w:hanging="332"/>
        <w:spacing w:after="0" w:line="263"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and full year of 2020, the Company recorded net restructuring and other charges of $14 million ($9 million net of tax) and $34 million ($25 million net of tax) primarily related to business reorganization activities. In the fourth quarter and full year of 2019, the Company recorded net restructuring and other charges of $40 million ($36 million net of tax) and gains of $1 million ($10 million charge net of tax). The fourth quarter included a charge of $25 million for goodwill impairment in the European Aerosols and Promotional Packaging reporting unit, and restructuring and other charges of $15 million. In addition to the goodwill charge, the full year also included gains of $50 million arising from favorable court rulings in lawsuits brought by the Company’s Brazilian subsidiaries claiming they were overcharged by local tax authorities for indirect taxes paid in prior years, offset by other net charges of $24 million primarily related to restructuring actions.</w:t>
      </w:r>
    </w:p>
    <w:p>
      <w:pPr>
        <w:spacing w:after="0" w:line="194" w:lineRule="exact"/>
        <w:rPr>
          <w:rFonts w:ascii="Times New Roman" w:cs="Times New Roman" w:eastAsia="Times New Roman" w:hAnsi="Times New Roman"/>
          <w:sz w:val="18"/>
          <w:szCs w:val="18"/>
          <w:color w:val="auto"/>
        </w:rPr>
      </w:pPr>
    </w:p>
    <w:p>
      <w:pPr>
        <w:ind w:left="340" w:right="40" w:hanging="332"/>
        <w:spacing w:after="0" w:line="276"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and full year of 2020, the Company recorded charges of $5 million ($4 million net of tax) and $66 million ($53 million net of tax) arising from pension plan settlements. In the fourth quarter and full year of 2019, the Company recorded charges of $7 million ($6 million net of tax) and $44 million ($37 million net of tax) arising from pension plan settlements. In the first quarter of 2019, the Company recorded a curtailment gain of $14 million ($12 million net of tax) in connection with the closure of a defined benefit pension plan to future accrual for active members.</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 of 11</w:t>
      </w:r>
    </w:p>
    <w:p>
      <w:pPr>
        <w:sectPr>
          <w:pgSz w:w="11900" w:h="16838" w:orient="portrait"/>
          <w:cols w:equalWidth="0" w:num="1">
            <w:col w:w="11240"/>
          </w:cols>
          <w:pgMar w:left="320" w:top="591" w:right="339" w:bottom="1440" w:gutter="0" w:footer="0" w:header="0"/>
          <w:type w:val="continuous"/>
        </w:sectPr>
      </w:pPr>
    </w:p>
    <w:bookmarkStart w:id="11" w:name="page12"/>
    <w:bookmarkEnd w:id="11"/>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58" w:lineRule="exact"/>
        <w:rPr>
          <w:sz w:val="20"/>
          <w:szCs w:val="20"/>
          <w:color w:val="auto"/>
        </w:rPr>
      </w:pPr>
    </w:p>
    <w:p>
      <w:pPr>
        <w:ind w:left="340" w:hanging="332"/>
        <w:spacing w:after="0" w:line="265" w:lineRule="auto"/>
        <w:tabs>
          <w:tab w:leader="none" w:pos="33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In the fourth quarter and full year of 2019, the Company recorded charges of $21 million ($15 million net of tax) and $27 million ($20 million net of tax) for the write off of deferred financing fees in connection with the repayment of a portion of its term loans.</w:t>
      </w:r>
    </w:p>
    <w:p>
      <w:pPr>
        <w:spacing w:after="0" w:line="190"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and full year 2020, the Company recorded income tax benefits of $14 million and $63 million related to the items described above. Also in the third quarter of 2020, the Company recorded tax charges of $5 million primarily related to tax law changes in the U.K. In the first quarter of 2020, the Company recorded a tax benefit of $4 million related to tax law changes in India. In the fourth quarter and full year of 2019, the Company recorded income tax benefits of $22 million and $48 million related to the items described above. Also in the fourth quarter of 2019, the Company recorded benefits of $37 million primarily related to a deferred tax valuation allowance release arising from an internal debt restructuring. In the third quarter of 2019, the Company recorded a tax benefit of $9 million arising from tax law changes in India. In the second quarter of 2019, the Company recorded a charge of $15 million to settle a tax contingency arising from a transaction that occurred prior to its acquisition of Signode.</w:t>
      </w:r>
    </w:p>
    <w:p>
      <w:pPr>
        <w:spacing w:after="0" w:line="194" w:lineRule="exact"/>
        <w:rPr>
          <w:rFonts w:ascii="Times New Roman" w:cs="Times New Roman" w:eastAsia="Times New Roman" w:hAnsi="Times New Roman"/>
          <w:sz w:val="18"/>
          <w:szCs w:val="18"/>
          <w:color w:val="auto"/>
        </w:rPr>
      </w:pPr>
    </w:p>
    <w:p>
      <w:pPr>
        <w:ind w:left="340" w:hanging="332"/>
        <w:spacing w:after="0" w:line="266"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and full year of 2019, the Company recorded noncontrolling interest benefits of $1 million and expense of $16 million related to the items described above.</w:t>
      </w:r>
    </w:p>
    <w:p>
      <w:pPr>
        <w:spacing w:after="0" w:line="18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effects on adjusted net income were calculated using the applicable tax rates of the underlying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11</w:t>
      </w:r>
    </w:p>
    <w:p>
      <w:pPr>
        <w:sectPr>
          <w:pgSz w:w="11900" w:h="16838" w:orient="portrait"/>
          <w:cols w:equalWidth="0" w:num="1">
            <w:col w:w="11240"/>
          </w:cols>
          <w:pgMar w:left="320" w:top="591" w:right="33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80" w:type="dxa"/>
            <w:vAlign w:val="bottom"/>
          </w:tcPr>
          <w:p>
            <w:pPr>
              <w:spacing w:after="0"/>
              <w:rPr>
                <w:sz w:val="20"/>
                <w:szCs w:val="20"/>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4,883</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4,002</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6,445</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3,887</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w:t>
            </w:r>
          </w:p>
        </w:tc>
        <w:tc>
          <w:tcPr>
            <w:tcW w:w="1480" w:type="dxa"/>
            <w:vAlign w:val="bottom"/>
          </w:tcPr>
          <w:p>
            <w:pPr>
              <w:spacing w:after="0"/>
              <w:rPr>
                <w:sz w:val="23"/>
                <w:szCs w:val="23"/>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16,670</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15,505</w:t>
            </w:r>
          </w:p>
        </w:tc>
        <w:tc>
          <w:tcPr>
            <w:tcW w:w="14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3,762</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4,261</w:t>
            </w:r>
          </w:p>
        </w:tc>
        <w:tc>
          <w:tcPr>
            <w:tcW w:w="7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3,899</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7,818</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1,713</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2,092</w:t>
            </w:r>
          </w:p>
        </w:tc>
        <w:tc>
          <w:tcPr>
            <w:tcW w:w="1480" w:type="dxa"/>
            <w:vAlign w:val="bottom"/>
          </w:tcPr>
          <w:p>
            <w:pPr>
              <w:spacing w:after="0"/>
              <w:rPr>
                <w:sz w:val="21"/>
                <w:szCs w:val="21"/>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16,670</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15,505</w:t>
            </w:r>
          </w:p>
        </w:tc>
        <w:tc>
          <w:tcPr>
            <w:tcW w:w="1480" w:type="dxa"/>
            <w:vAlign w:val="bottom"/>
          </w:tcPr>
          <w:p>
            <w:pPr>
              <w:spacing w:after="0"/>
              <w:rPr>
                <w:sz w:val="19"/>
                <w:szCs w:val="19"/>
                <w:color w:val="auto"/>
              </w:rPr>
            </w:pPr>
          </w:p>
        </w:tc>
      </w:tr>
      <w:tr>
        <w:trPr>
          <w:trHeight w:val="21"/>
        </w:trPr>
        <w:tc>
          <w:tcPr>
            <w:tcW w:w="1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27"/>
        </w:trPr>
        <w:tc>
          <w:tcPr>
            <w:tcW w:w="15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11</w:t>
      </w:r>
    </w:p>
    <w:p>
      <w:pPr>
        <w:sectPr>
          <w:pgSz w:w="11900" w:h="16838" w:orient="portrait"/>
          <w:cols w:equalWidth="0" w:num="1">
            <w:col w:w="11240"/>
          </w:cols>
          <w:pgMar w:left="320" w:top="591" w:right="339" w:bottom="1440" w:gutter="0" w:footer="0" w:header="0"/>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expense</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contributions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shd w:val="clear" w:color="auto" w:fill="CCEEFF"/>
          </w:tcPr>
          <w:p>
            <w:pPr>
              <w:ind w:left="46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23"/>
                <w:szCs w:val="23"/>
                <w:b w:val="1"/>
                <w:bCs w:val="1"/>
                <w:color w:val="auto"/>
                <w:vertAlign w:val="superscript"/>
              </w:rPr>
              <w:t>(1)</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192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920" w:type="dxa"/>
            <w:vAlign w:val="bottom"/>
          </w:tcPr>
          <w:p>
            <w:pPr>
              <w:spacing w:after="0"/>
              <w:rPr>
                <w:sz w:val="20"/>
                <w:szCs w:val="20"/>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issue costs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used for financing activities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56"/>
        </w:trPr>
        <w:tc>
          <w:tcPr>
            <w:tcW w:w="1940" w:type="dxa"/>
            <w:vAlign w:val="bottom"/>
          </w:tcPr>
          <w:p>
            <w:pPr>
              <w:spacing w:after="0"/>
              <w:rPr>
                <w:sz w:val="22"/>
                <w:szCs w:val="22"/>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5"/>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Cash and cash equivalents at December 31 </w:t>
            </w:r>
            <w:r>
              <w:rPr>
                <w:rFonts w:ascii="Times New Roman" w:cs="Times New Roman" w:eastAsia="Times New Roman" w:hAnsi="Times New Roman"/>
                <w:sz w:val="23"/>
                <w:szCs w:val="23"/>
                <w:b w:val="1"/>
                <w:bCs w:val="1"/>
                <w:color w:val="auto"/>
                <w:vertAlign w:val="superscript"/>
              </w:rPr>
              <w:t>(2)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1920" w:type="dxa"/>
            <w:vAlign w:val="bottom"/>
          </w:tcPr>
          <w:p>
            <w:pPr>
              <w:spacing w:after="0"/>
              <w:rPr>
                <w:sz w:val="21"/>
                <w:szCs w:val="21"/>
                <w:color w:val="auto"/>
              </w:rPr>
            </w:pPr>
          </w:p>
        </w:tc>
      </w:tr>
      <w:tr>
        <w:trPr>
          <w:trHeight w:val="20"/>
        </w:trPr>
        <w:tc>
          <w:tcPr>
            <w:tcW w:w="194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0"/>
        </w:trPr>
        <w:tc>
          <w:tcPr>
            <w:tcW w:w="194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r>
    </w:tbl>
    <w:p>
      <w:pPr>
        <w:spacing w:after="0" w:line="103" w:lineRule="exact"/>
        <w:rPr>
          <w:sz w:val="20"/>
          <w:szCs w:val="20"/>
          <w:color w:val="auto"/>
        </w:rPr>
      </w:pPr>
    </w:p>
    <w:p>
      <w:pPr>
        <w:ind w:left="420" w:right="140" w:hanging="331"/>
        <w:spacing w:after="0" w:line="258" w:lineRule="auto"/>
        <w:tabs>
          <w:tab w:leader="none" w:pos="4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is defined by the Company as net cash from operating activities less capital expenditures and certain other items. A reconciliation from net cash from operating activities to adjusted free cash flow for the three month periods and full years ended December 31, 2020 and 2019 follows.</w:t>
      </w:r>
    </w:p>
    <w:p>
      <w:pPr>
        <w:spacing w:after="0" w:line="196"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includes $65 and $56 of restricted cash at December 31, 2020 and 2019.</w:t>
      </w:r>
    </w:p>
    <w:p>
      <w:pPr>
        <w:spacing w:after="0" w:line="117"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w:t>
            </w: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w:t>
            </w:r>
          </w:p>
        </w:tc>
        <w:tc>
          <w:tcPr>
            <w:tcW w:w="0" w:type="dxa"/>
            <w:vAlign w:val="bottom"/>
          </w:tcPr>
          <w:p>
            <w:pPr>
              <w:spacing w:after="0"/>
              <w:rPr>
                <w:sz w:val="1"/>
                <w:szCs w:val="1"/>
                <w:color w:val="auto"/>
              </w:rPr>
            </w:pPr>
          </w:p>
        </w:tc>
      </w:tr>
      <w:tr>
        <w:trPr>
          <w:trHeight w:val="27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3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700" w:hanging="571"/>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benefit of cross currency swap included in investing activities.</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 of 11</w:t>
      </w:r>
    </w:p>
    <w:p>
      <w:pPr>
        <w:sectPr>
          <w:pgSz w:w="11900" w:h="16838" w:orient="portrait"/>
          <w:cols w:equalWidth="0" w:num="1">
            <w:col w:w="11240"/>
          </w:cols>
          <w:pgMar w:left="320" w:top="591" w:right="339" w:bottom="144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-142875</wp:posOffset>
            </wp:positionV>
            <wp:extent cx="155130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Impact of Foreign Currency Translation by Segment - Favorable/(Unfavorable) </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1744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7"/>
                <w:szCs w:val="17"/>
                <w:color w:val="auto"/>
              </w:rPr>
            </w:pPr>
          </w:p>
        </w:tc>
        <w:tc>
          <w:tcPr>
            <w:tcW w:w="18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20" w:type="dxa"/>
            <w:vAlign w:val="bottom"/>
          </w:tcPr>
          <w:p>
            <w:pPr>
              <w:spacing w:after="0"/>
              <w:rPr>
                <w:sz w:val="19"/>
                <w:szCs w:val="19"/>
                <w:color w:val="auto"/>
              </w:rPr>
            </w:pPr>
          </w:p>
        </w:tc>
        <w:tc>
          <w:tcPr>
            <w:tcW w:w="18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10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Segment</w:t>
            </w:r>
          </w:p>
        </w:tc>
        <w:tc>
          <w:tcPr>
            <w:tcW w:w="220" w:type="dxa"/>
            <w:vAlign w:val="bottom"/>
          </w:tcPr>
          <w:p>
            <w:pPr>
              <w:spacing w:after="0"/>
              <w:rPr>
                <w:sz w:val="14"/>
                <w:szCs w:val="14"/>
                <w:color w:val="auto"/>
              </w:rPr>
            </w:pPr>
          </w:p>
        </w:tc>
        <w:tc>
          <w:tcPr>
            <w:tcW w:w="10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Segment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5"/>
              </w:rPr>
              <w:t>(3)</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40" w:hanging="408"/>
        <w:spacing w:after="0" w:line="242" w:lineRule="auto"/>
        <w:tabs>
          <w:tab w:leader="none" w:pos="7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Adjusted EBITDA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500" w:type="dxa"/>
            <w:vAlign w:val="bottom"/>
            <w:tcBorders>
              <w:bottom w:val="single" w:sz="8" w:color="auto"/>
            </w:tcBorders>
          </w:tcPr>
          <w:p>
            <w:pPr>
              <w:spacing w:after="0"/>
              <w:rPr>
                <w:sz w:val="20"/>
                <w:szCs w:val="20"/>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restructuring and 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300" w:type="dxa"/>
            <w:vAlign w:val="bottom"/>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1,702</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3"/>
        </w:trPr>
        <w:tc>
          <w:tcPr>
            <w:tcW w:w="3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30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7,038</w:t>
            </w:r>
          </w:p>
        </w:tc>
        <w:tc>
          <w:tcPr>
            <w:tcW w:w="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3"/>
        </w:trPr>
        <w:tc>
          <w:tcPr>
            <w:tcW w:w="3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 ratio</w:t>
            </w:r>
          </w:p>
        </w:tc>
        <w:tc>
          <w:tcPr>
            <w:tcW w:w="3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3.9x</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4.3x</w:t>
            </w:r>
          </w:p>
        </w:tc>
      </w:tr>
      <w:tr>
        <w:trPr>
          <w:trHeight w:val="20"/>
        </w:trPr>
        <w:tc>
          <w:tcPr>
            <w:tcW w:w="3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884"/>
        </w:trPr>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 of 11</w:t>
            </w:r>
          </w:p>
        </w:tc>
        <w:tc>
          <w:tcPr>
            <w:tcW w:w="5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320" w:top="59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2021-02-09T16:09:30Z</dcterms:created>
  <dcterms:modified xsi:type="dcterms:W3CDTF">2021-02-09T16:09:30Z</dcterms:modified>
</cp:coreProperties>
</file>