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9.gif" ContentType="image/gif"/>
  <Override PartName="/word/media/image8.gif" ContentType="image/gif"/>
  <Override PartName="/word/media/image7.gif" ContentType="image/gif"/>
  <Override PartName="/word/media/image6.gif" ContentType="image/gif"/>
  <Override PartName="/word/media/image10.gif" ContentType="image/gif"/>
  <Override PartName="/word/media/image5.gif" ContentType="image/gif"/>
  <Override PartName="/word/media/image1.gif" ContentType="image/gif"/>
  <Override PartName="/word/media/image2.gif" ContentType="image/gif"/>
  <Override PartName="/word/media/image3.gif" ContentType="image/gif"/>
  <Override PartName="/word/media/image4.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____________</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____________</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 OF</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THE SECURITIES EXCHANGE ACT OF 1934</w:t>
      </w:r>
    </w:p>
    <w:p>
      <w:pPr>
        <w:pStyle w:val="TextBody"/>
        <w:spacing w:lineRule="auto" w:line="288" w:before="0" w:after="0"/>
        <w:jc w:val="center"/>
        <w:rPr>
          <w:color w:val="000000"/>
        </w:rPr>
      </w:pPr>
      <w:r>
        <w:rPr>
          <w:color w:val="000000"/>
        </w:rPr>
        <w:t> </w:t>
      </w:r>
    </w:p>
    <w:p>
      <w:pPr>
        <w:pStyle w:val="TextBody"/>
        <w:spacing w:lineRule="auto" w:line="288" w:before="0" w:after="0"/>
        <w:jc w:val="center"/>
        <w:rPr/>
      </w:pPr>
      <w:r>
        <w:rPr>
          <w:rFonts w:ascii="Times New Roman;sans-serif" w:hAnsi="Times New Roman;sans-serif"/>
          <w:b w:val="false"/>
          <w:color w:val="000000"/>
          <w:sz w:val="20"/>
        </w:rPr>
        <w:t>Date of Report (Date of earliest event reported):</w:t>
      </w:r>
      <w:r>
        <w:rPr>
          <w:color w:val="000000"/>
        </w:rPr>
        <w:t xml:space="preserve"> </w:t>
      </w:r>
      <w:r>
        <w:rPr>
          <w:rFonts w:ascii="Times New Roman;sans-serif" w:hAnsi="Times New Roman;sans-serif"/>
          <w:b/>
          <w:color w:val="000000"/>
          <w:sz w:val="20"/>
        </w:rPr>
        <w:t xml:space="preserve">April 24, 2023 </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CROWN HOLDINGS, INC. </w:t>
      </w:r>
    </w:p>
    <w:p>
      <w:pPr>
        <w:pStyle w:val="TextBody"/>
        <w:spacing w:lineRule="auto" w:line="288" w:before="0" w:after="0"/>
        <w:jc w:val="center"/>
        <w:rPr>
          <w:color w:val="000000"/>
        </w:rPr>
      </w:pPr>
      <w:r>
        <w:rPr>
          <w:color w:val="000000"/>
        </w:rPr>
        <w:t> </w:t>
      </w:r>
      <w:r>
        <w:rPr>
          <w:rFonts w:ascii="Times New Roman;sans-serif" w:hAnsi="Times New Roman;sans-serif"/>
          <w:b w:val="false"/>
          <w:color w:val="000000"/>
          <w:sz w:val="20"/>
        </w:rPr>
        <w:t>(Exact name of Registrant as specified in its charter)</w:t>
      </w:r>
    </w:p>
    <w:tbl>
      <w:tblPr>
        <w:tblW w:w="6099" w:type="dxa"/>
        <w:jc w:val="center"/>
        <w:tblInd w:w="0" w:type="dxa"/>
        <w:tblCellMar>
          <w:top w:w="28" w:type="dxa"/>
          <w:left w:w="28" w:type="dxa"/>
          <w:bottom w:w="28" w:type="dxa"/>
          <w:right w:w="28" w:type="dxa"/>
        </w:tblCellMar>
      </w:tblPr>
      <w:tblGrid>
        <w:gridCol w:w="946"/>
        <w:gridCol w:w="830"/>
        <w:gridCol w:w="834"/>
        <w:gridCol w:w="109"/>
        <w:gridCol w:w="109"/>
        <w:gridCol w:w="109"/>
        <w:gridCol w:w="394"/>
        <w:gridCol w:w="394"/>
        <w:gridCol w:w="398"/>
        <w:gridCol w:w="109"/>
        <w:gridCol w:w="109"/>
        <w:gridCol w:w="109"/>
        <w:gridCol w:w="481"/>
        <w:gridCol w:w="481"/>
        <w:gridCol w:w="687"/>
      </w:tblGrid>
      <w:tr>
        <w:trPr/>
        <w:tc>
          <w:tcPr>
            <w:tcW w:w="946"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r>
      <w:tr>
        <w:trPr/>
        <w:tc>
          <w:tcPr>
            <w:tcW w:w="26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Pennsylvania</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000-50189</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75-3099507</w:t>
            </w:r>
          </w:p>
        </w:tc>
      </w:tr>
      <w:tr>
        <w:trPr/>
        <w:tc>
          <w:tcPr>
            <w:tcW w:w="26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b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w:t>
              <w:br/>
              <w:t>File Number)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Identification No.)</w:t>
            </w:r>
          </w:p>
        </w:tc>
      </w:tr>
    </w:tbl>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14025 Riveredge Drive, Suite 300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Tampa, Florida 33637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(215) 698-5100 </w:t>
      </w:r>
    </w:p>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(Address, Including Zip Code, and Telephone Number, Including Area Code, of Registrant's Principal Executive Offices)</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(Former name or former address, if changed since last report)</w:t>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spacing w:lineRule="auto" w:line="288" w:before="0" w:after="0"/>
        <w:rPr>
          <w:color w:val="000000"/>
        </w:rPr>
      </w:pPr>
      <w:r>
        <w:rPr>
          <w:color w:val="000000"/>
        </w:rPr>
        <w:t> </w:t>
      </w:r>
    </w:p>
    <w:p>
      <w:pPr>
        <w:pStyle w:val="TextBody"/>
        <w:spacing w:lineRule="auto" w:line="288" w:before="0" w:after="0"/>
        <w:ind w:left="0" w:right="0" w:hanging="720"/>
        <w:rPr/>
      </w:pPr>
      <w:r>
        <w:rPr>
          <w:color w:val="000000"/>
        </w:rPr>
        <w:t xml:space="preserve">☐ </w:t>
      </w:r>
      <w:r>
        <w:rPr>
          <w:rFonts w:ascii="Times New Roman;sans-serif" w:hAnsi="Times New Roman;sans-serif"/>
          <w:b w:val="false"/>
          <w:color w:val="000000"/>
          <w:sz w:val="20"/>
        </w:rPr>
        <w:t>Written communications pursuant to Rule 425 under the Securities Act (17 CFR 230.425) </w:t>
      </w:r>
    </w:p>
    <w:p>
      <w:pPr>
        <w:pStyle w:val="TextBody"/>
        <w:spacing w:lineRule="auto" w:line="288" w:before="0" w:after="0"/>
        <w:ind w:left="0" w:right="0" w:hanging="720"/>
        <w:rPr/>
      </w:pPr>
      <w:r>
        <w:rPr>
          <w:color w:val="000000"/>
        </w:rPr>
        <w:t xml:space="preserve">☐ </w:t>
      </w:r>
      <w:r>
        <w:rPr>
          <w:rFonts w:ascii="Times New Roman;sans-serif" w:hAnsi="Times New Roman;sans-serif"/>
          <w:b w:val="false"/>
          <w:color w:val="000000"/>
          <w:sz w:val="20"/>
        </w:rPr>
        <w:t>Soliciting material pursuant to Rule 14a-12 under the Exchange Act (17CFR 240.14a-12) </w:t>
      </w:r>
    </w:p>
    <w:p>
      <w:pPr>
        <w:pStyle w:val="TextBody"/>
        <w:spacing w:lineRule="auto" w:line="288" w:before="0" w:after="0"/>
        <w:ind w:left="0" w:right="0" w:hanging="720"/>
        <w:rPr/>
      </w:pPr>
      <w:r>
        <w:rPr>
          <w:color w:val="000000"/>
        </w:rPr>
        <w:t xml:space="preserve">☐ </w:t>
      </w:r>
      <w:r>
        <w:rPr>
          <w:rFonts w:ascii="Times New Roman;sans-serif" w:hAnsi="Times New Roman;sans-serif"/>
          <w:b w:val="false"/>
          <w:color w:val="000000"/>
          <w:sz w:val="20"/>
        </w:rPr>
        <w:t>Pre-commencement communications pursuant to Rule 14d-2(b) under the Exchange Act (17 CFR 240.14d-2(b)) </w:t>
      </w:r>
    </w:p>
    <w:p>
      <w:pPr>
        <w:pStyle w:val="TextBody"/>
        <w:spacing w:lineRule="auto" w:line="288" w:before="0" w:after="0"/>
        <w:ind w:left="0" w:right="0" w:hanging="720"/>
        <w:rPr/>
      </w:pPr>
      <w:r>
        <w:rPr>
          <w:color w:val="000000"/>
        </w:rPr>
        <w:t xml:space="preserve">☐ </w:t>
      </w:r>
      <w:r>
        <w:rPr>
          <w:rFonts w:ascii="Times New Roman;sans-serif" w:hAnsi="Times New Roman;sans-serif"/>
          <w:b w:val="false"/>
          <w:color w:val="000000"/>
          <w:sz w:val="20"/>
        </w:rPr>
        <w:t>Pre-commencement communications pursuant to Rule 13e-4(c) under the Exchange Act (17 CFR 240.13e-4(c))</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lineRule="auto" w:line="288" w:before="0" w:after="0"/>
        <w:rPr/>
      </w:pPr>
      <w:r>
        <w:rPr>
          <w:rFonts w:ascii="Times New Roman;sans-serif" w:hAnsi="Times New Roman;sans-serif"/>
          <w:b w:val="false"/>
          <w:color w:val="000000"/>
          <w:sz w:val="20"/>
        </w:rPr>
        <w:t xml:space="preserve">Emerging growth company </w:t>
      </w:r>
      <w:r>
        <w:rPr>
          <w:color w:val="000000"/>
        </w:rPr>
        <w:t>☐  </w:t>
      </w:r>
    </w:p>
    <w:p>
      <w:pPr>
        <w:pStyle w:val="TextBody"/>
        <w:spacing w:lineRule="auto" w:line="288" w:before="220" w:after="283"/>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rPr>
          <w:color w:val="000000"/>
        </w:rPr>
      </w:pPr>
      <w:r>
        <w:rPr>
          <w:color w:val="000000"/>
        </w:rPr>
        <w:t> </w:t>
      </w:r>
    </w:p>
    <w:tbl>
      <w:tblPr>
        <w:tblW w:w="7033" w:type="dxa"/>
        <w:jc w:val="left"/>
        <w:tblInd w:w="0" w:type="dxa"/>
        <w:tblCellMar>
          <w:top w:w="28" w:type="dxa"/>
          <w:left w:w="28" w:type="dxa"/>
          <w:bottom w:w="28" w:type="dxa"/>
          <w:right w:w="28" w:type="dxa"/>
        </w:tblCellMar>
      </w:tblPr>
      <w:tblGrid>
        <w:gridCol w:w="876"/>
        <w:gridCol w:w="772"/>
        <w:gridCol w:w="782"/>
        <w:gridCol w:w="444"/>
        <w:gridCol w:w="444"/>
        <w:gridCol w:w="446"/>
        <w:gridCol w:w="956"/>
        <w:gridCol w:w="956"/>
        <w:gridCol w:w="1357"/>
      </w:tblGrid>
      <w:tr>
        <w:trPr/>
        <w:tc>
          <w:tcPr>
            <w:tcW w:w="876"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r>
      <w:tr>
        <w:trPr/>
        <w:tc>
          <w:tcPr>
            <w:tcW w:w="24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1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24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$5.00 Par Value</w:t>
            </w:r>
          </w:p>
        </w:tc>
        <w:tc>
          <w:tcPr>
            <w:tcW w:w="13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CCK</w:t>
            </w:r>
          </w:p>
        </w:tc>
        <w:tc>
          <w:tcPr>
            <w:tcW w:w="32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r>
        <w:trPr/>
        <w:tc>
          <w:tcPr>
            <w:tcW w:w="24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 3/8% Debentures Due 2026</w:t>
            </w:r>
          </w:p>
        </w:tc>
        <w:tc>
          <w:tcPr>
            <w:tcW w:w="1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CCK26</w:t>
            </w:r>
          </w:p>
        </w:tc>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r>
        <w:trPr/>
        <w:tc>
          <w:tcPr>
            <w:tcW w:w="24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 1/2% Debentures Due 2096</w:t>
            </w:r>
          </w:p>
        </w:tc>
        <w:tc>
          <w:tcPr>
            <w:tcW w:w="1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CCK96</w:t>
            </w:r>
          </w:p>
        </w:tc>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100" w:after="10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TABLE OF CONTENTS </w:t>
      </w:r>
    </w:p>
    <w:p>
      <w:pPr>
        <w:pStyle w:val="TextBody"/>
        <w:spacing w:before="100" w:after="100"/>
        <w:jc w:val="center"/>
        <w:rPr/>
      </w:pPr>
      <w:r>
        <w:rPr/>
      </w:r>
    </w:p>
    <w:p>
      <w:pPr>
        <w:pStyle w:val="TextBody"/>
        <w:spacing w:before="100" w:after="100"/>
        <w:jc w:val="center"/>
        <w:rPr/>
      </w:pPr>
      <w:r>
        <w:rPr/>
      </w:r>
    </w:p>
    <w:p>
      <w:pPr>
        <w:pStyle w:val="TextBody"/>
        <w:spacing w:lineRule="auto" w:line="288" w:before="100" w:after="100"/>
        <w:rPr>
          <w:rFonts w:ascii="Times New Roman;sans-serif" w:hAnsi="Times New Roman;sans-serif"/>
          <w:b w:val="false"/>
          <w:color w:val="000000"/>
          <w:sz w:val="24"/>
        </w:rPr>
      </w:pPr>
      <w:r>
        <w:rPr>
          <w:rFonts w:ascii="Times New Roman;sans-serif" w:hAnsi="Times New Roman;sans-serif"/>
          <w:b w:val="false"/>
          <w:color w:val="000000"/>
          <w:sz w:val="24"/>
        </w:rPr>
        <w:t xml:space="preserve">Item 2.02. RESULTS OF OPERATIONS AND FINANCIAL CONDITION </w:t>
      </w:r>
    </w:p>
    <w:p>
      <w:pPr>
        <w:pStyle w:val="TextBody"/>
        <w:spacing w:before="100" w:after="100"/>
        <w:rPr/>
      </w:pPr>
      <w:r>
        <w:rPr/>
      </w:r>
    </w:p>
    <w:p>
      <w:pPr>
        <w:pStyle w:val="TextBody"/>
        <w:spacing w:lineRule="auto" w:line="288" w:before="100" w:after="100"/>
        <w:rPr>
          <w:rFonts w:ascii="Times New Roman;sans-serif" w:hAnsi="Times New Roman;sans-serif"/>
          <w:b w:val="false"/>
          <w:color w:val="000000"/>
          <w:sz w:val="24"/>
        </w:rPr>
      </w:pPr>
      <w:r>
        <w:rPr>
          <w:rFonts w:ascii="Times New Roman;sans-serif" w:hAnsi="Times New Roman;sans-serif"/>
          <w:b w:val="false"/>
          <w:color w:val="000000"/>
          <w:sz w:val="24"/>
        </w:rPr>
        <w:t xml:space="preserve">Item 9.01. FINANCIAL STATEMENTS AND EXHIBITS </w:t>
      </w:r>
    </w:p>
    <w:p>
      <w:pPr>
        <w:pStyle w:val="TextBody"/>
        <w:spacing w:before="100" w:after="100"/>
        <w:rPr/>
      </w:pPr>
      <w:r>
        <w:rPr/>
      </w:r>
    </w:p>
    <w:p>
      <w:pPr>
        <w:pStyle w:val="TextBody"/>
        <w:spacing w:lineRule="auto" w:line="288" w:before="100" w:after="100"/>
        <w:rPr>
          <w:rFonts w:ascii="Times New Roman;sans-serif" w:hAnsi="Times New Roman;sans-serif"/>
          <w:b w:val="false"/>
          <w:color w:val="000000"/>
          <w:sz w:val="24"/>
        </w:rPr>
      </w:pPr>
      <w:r>
        <w:rPr>
          <w:rFonts w:ascii="Times New Roman;sans-serif" w:hAnsi="Times New Roman;sans-serif"/>
          <w:b w:val="false"/>
          <w:color w:val="000000"/>
          <w:sz w:val="24"/>
        </w:rPr>
        <w:t xml:space="preserve">SIGNATURE </w:t>
      </w:r>
    </w:p>
    <w:p>
      <w:pPr>
        <w:pStyle w:val="TextBody"/>
        <w:spacing w:before="100" w:after="100"/>
        <w:rPr/>
      </w:pPr>
      <w:r>
        <w:rPr/>
      </w:r>
    </w:p>
    <w:p>
      <w:pPr>
        <w:pStyle w:val="TextBody"/>
        <w:spacing w:lineRule="auto" w:line="288" w:before="100" w:after="100"/>
        <w:rPr>
          <w:rFonts w:ascii="Times New Roman;sans-serif" w:hAnsi="Times New Roman;sans-serif"/>
          <w:b w:val="false"/>
          <w:color w:val="000000"/>
          <w:sz w:val="24"/>
        </w:rPr>
      </w:pPr>
      <w:r>
        <w:rPr>
          <w:rFonts w:ascii="Times New Roman;sans-serif" w:hAnsi="Times New Roman;sans-serif"/>
          <w:b w:val="false"/>
          <w:color w:val="000000"/>
          <w:sz w:val="24"/>
        </w:rPr>
        <w:t xml:space="preserve">INDEX TO EXHIBITS </w:t>
      </w:r>
    </w:p>
    <w:p>
      <w:pPr>
        <w:pStyle w:val="TextBody"/>
        <w:spacing w:before="100" w:after="100"/>
        <w:rPr/>
      </w:pPr>
      <w:r>
        <w:rPr/>
      </w:r>
    </w:p>
    <w:p>
      <w:pPr>
        <w:pStyle w:val="TextBody"/>
        <w:spacing w:lineRule="auto" w:line="288" w:before="100" w:after="100"/>
        <w:rPr>
          <w:rFonts w:ascii="Times New Roman;sans-serif" w:hAnsi="Times New Roman;sans-serif"/>
          <w:b w:val="false"/>
          <w:color w:val="000000"/>
          <w:sz w:val="24"/>
        </w:rPr>
      </w:pPr>
      <w:r>
        <w:rPr>
          <w:rFonts w:ascii="Times New Roman;sans-serif" w:hAnsi="Times New Roman;sans-serif"/>
          <w:b w:val="false"/>
          <w:color w:val="000000"/>
          <w:sz w:val="24"/>
        </w:rPr>
        <w:t xml:space="preserve">EX-99 PRESS RELEASE </w:t>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jc w:val="center"/>
        <w:rPr/>
      </w:pPr>
      <w:r>
        <w:rPr/>
      </w:r>
    </w:p>
    <w:p>
      <w:pPr>
        <w:pStyle w:val="TextBody"/>
        <w:spacing w:before="100" w:after="100"/>
        <w:jc w:val="center"/>
        <w:rPr/>
      </w:pPr>
      <w:r>
        <w:rPr/>
      </w:r>
    </w:p>
    <w:p>
      <w:pPr>
        <w:pStyle w:val="TextBody"/>
        <w:spacing w:lineRule="auto" w:line="288" w:before="100" w:after="10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2 </w:t>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100" w:after="100"/>
        <w:rPr/>
      </w:pPr>
      <w:r>
        <w:rPr/>
      </w:r>
    </w:p>
    <w:p>
      <w:pPr>
        <w:pStyle w:val="TextBody"/>
        <w:spacing w:lineRule="auto" w:line="288" w:before="100" w:after="100"/>
        <w:rPr>
          <w:rFonts w:ascii="Times New Roman;sans-serif" w:hAnsi="Times New Roman;sans-serif"/>
          <w:b/>
          <w:color w:val="000000"/>
          <w:sz w:val="24"/>
        </w:rPr>
      </w:pPr>
      <w:r>
        <w:rPr>
          <w:rFonts w:ascii="Times New Roman;sans-serif" w:hAnsi="Times New Roman;sans-serif"/>
          <w:b/>
          <w:color w:val="000000"/>
          <w:sz w:val="24"/>
        </w:rPr>
        <w:t xml:space="preserve">Item 2.02. Results of Operations and Financial Condition </w:t>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On April 24, 2023 Crown Holdings, Inc. issued a press release announcing its earnings for the first quarter ended March 31, 2023. A copy of the press release is attached hereto as Exhibit 99 and incorporated herein by reference.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information in this Report shall not be deemed to be "filed" for purposes of Section 18 of the Securities Exchange Act of 1934, as amended, (the "Exchange Act") or otherwise subject to the liability of that section, and shall not be deemed incorporated by reference in any filing under the Securities Act of 1933, as amended, or the Exchange Act, except as shall be expressly set forth by specific reference in such filing. </w:t>
      </w:r>
    </w:p>
    <w:p>
      <w:pPr>
        <w:pStyle w:val="TextBody"/>
        <w:spacing w:before="100" w:after="100"/>
        <w:rPr/>
      </w:pPr>
      <w:r>
        <w:rPr/>
      </w:r>
    </w:p>
    <w:p>
      <w:pPr>
        <w:pStyle w:val="TextBody"/>
        <w:spacing w:lineRule="auto" w:line="288" w:before="100" w:after="100"/>
        <w:rPr>
          <w:rFonts w:ascii="Times New Roman;sans-serif" w:hAnsi="Times New Roman;sans-serif"/>
          <w:b/>
          <w:color w:val="000000"/>
          <w:sz w:val="24"/>
        </w:rPr>
      </w:pPr>
      <w:r>
        <w:rPr>
          <w:rFonts w:ascii="Times New Roman;sans-serif" w:hAnsi="Times New Roman;sans-serif"/>
          <w:b/>
          <w:color w:val="000000"/>
          <w:sz w:val="24"/>
        </w:rPr>
        <w:t xml:space="preserve">Item 9.01. Financial Statements and Exhibits </w:t>
      </w:r>
    </w:p>
    <w:p>
      <w:pPr>
        <w:pStyle w:val="TextBody"/>
        <w:spacing w:before="100" w:after="100"/>
        <w:rPr/>
      </w:pPr>
      <w:r>
        <w:rPr/>
      </w:r>
    </w:p>
    <w:p>
      <w:pPr>
        <w:pStyle w:val="TextBody"/>
        <w:spacing w:lineRule="auto" w:line="288" w:before="100" w:after="100"/>
        <w:rPr>
          <w:rFonts w:ascii="Times New Roman;sans-serif" w:hAnsi="Times New Roman;sans-serif"/>
          <w:b w:val="false"/>
          <w:color w:val="000000"/>
          <w:sz w:val="24"/>
        </w:rPr>
      </w:pPr>
      <w:r>
        <w:rPr>
          <w:rFonts w:ascii="Times New Roman;sans-serif" w:hAnsi="Times New Roman;sans-serif"/>
          <w:b w:val="false"/>
          <w:color w:val="000000"/>
          <w:sz w:val="24"/>
        </w:rPr>
        <w:t xml:space="preserve">(c) Exhibits. </w:t>
      </w:r>
    </w:p>
    <w:p>
      <w:pPr>
        <w:pStyle w:val="TextBody"/>
        <w:spacing w:before="100" w:after="100"/>
        <w:rPr/>
      </w:pPr>
      <w:r>
        <w:rPr/>
      </w:r>
    </w:p>
    <w:p>
      <w:pPr>
        <w:pStyle w:val="TextBody"/>
        <w:spacing w:lineRule="auto" w:line="288" w:before="100" w:after="100"/>
        <w:rPr>
          <w:rFonts w:ascii="Times New Roman;sans-serif" w:hAnsi="Times New Roman;sans-serif"/>
          <w:b w:val="false"/>
          <w:color w:val="000000"/>
          <w:sz w:val="24"/>
        </w:rPr>
      </w:pPr>
      <w:r>
        <w:rPr>
          <w:rFonts w:ascii="Times New Roman;sans-serif" w:hAnsi="Times New Roman;sans-serif"/>
          <w:b w:val="false"/>
          <w:color w:val="000000"/>
          <w:sz w:val="24"/>
        </w:rPr>
        <w:t xml:space="preserve">The following is furnished as an exhibit to this report. </w:t>
      </w:r>
    </w:p>
    <w:p>
      <w:pPr>
        <w:pStyle w:val="TextBody"/>
        <w:spacing w:lineRule="auto" w:line="288" w:before="0" w:after="0"/>
        <w:rPr/>
      </w:pPr>
      <w:r>
        <w:rPr>
          <w:rFonts w:ascii="Times New Roman;sans-serif" w:hAnsi="Times New Roman;sans-serif"/>
          <w:b w:val="false"/>
          <w:color w:val="000000"/>
          <w:sz w:val="24"/>
        </w:rPr>
        <w:t>99     </w:t>
      </w:r>
      <w:hyperlink w:anchor="ex99mar2023.htm">
        <w:r>
          <w:rPr>
            <w:rStyle w:val="InternetLink"/>
            <w:rFonts w:ascii="Times New Roman;sans-serif" w:hAnsi="Times New Roman;sans-serif"/>
            <w:b w:val="false"/>
            <w:color w:val="0000FF"/>
            <w:sz w:val="24"/>
            <w:u w:val="single"/>
          </w:rPr>
          <w:t>Press release, dated April 24, 2023, issued by Crown Holdings, Inc.</w:t>
        </w:r>
      </w:hyperlink>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104    Cover Page Interactive Data File (embedded within the Inline XBRL document).</w:t>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jc w:val="center"/>
        <w:rPr/>
      </w:pPr>
      <w:r>
        <w:rPr/>
      </w:r>
    </w:p>
    <w:p>
      <w:pPr>
        <w:pStyle w:val="TextBody"/>
        <w:spacing w:before="100" w:after="100"/>
        <w:jc w:val="center"/>
        <w:rPr/>
      </w:pPr>
      <w:r>
        <w:rPr/>
      </w:r>
    </w:p>
    <w:p>
      <w:pPr>
        <w:pStyle w:val="TextBody"/>
        <w:spacing w:lineRule="auto" w:line="288" w:before="100" w:after="10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3 </w:t>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100" w:after="100"/>
        <w:jc w:val="center"/>
        <w:rPr/>
      </w:pPr>
      <w:r>
        <w:rPr/>
      </w:r>
    </w:p>
    <w:p>
      <w:pPr>
        <w:pStyle w:val="TextBody"/>
        <w:spacing w:lineRule="auto" w:line="288" w:before="100" w:after="10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w:t>
      </w:r>
    </w:p>
    <w:p>
      <w:pPr>
        <w:pStyle w:val="TextBody"/>
        <w:spacing w:before="100" w:after="100"/>
        <w:jc w:val="center"/>
        <w:rPr/>
      </w:pPr>
      <w:r>
        <w:rPr/>
      </w:r>
    </w:p>
    <w:p>
      <w:pPr>
        <w:pStyle w:val="TextBody"/>
        <w:spacing w:before="100" w:after="100"/>
        <w:jc w:val="center"/>
        <w:rPr/>
      </w:pPr>
      <w:r>
        <w:rPr/>
      </w:r>
    </w:p>
    <w:p>
      <w:pPr>
        <w:pStyle w:val="TextBody"/>
        <w:spacing w:lineRule="auto" w:line="288" w:before="100" w:after="100"/>
        <w:rPr>
          <w:rFonts w:ascii="Times New Roman;sans-serif" w:hAnsi="Times New Roman;sans-serif"/>
          <w:b w:val="false"/>
          <w:color w:val="000000"/>
          <w:sz w:val="24"/>
        </w:rPr>
      </w:pPr>
      <w:r>
        <w:rPr>
          <w:rFonts w:ascii="Times New Roman;sans-serif" w:hAnsi="Times New Roman;sans-serif"/>
          <w:b w:val="false"/>
          <w:color w:val="000000"/>
          <w:sz w:val="24"/>
        </w:rPr>
        <w:t xml:space="preserve">Pursuant to the requirements of the Securities Exchange Act of 1934, the Registrant has duly caused this report to be signed on its behalf by the undersigned hereunto duly authorized. </w:t>
      </w:r>
    </w:p>
    <w:tbl>
      <w:tblPr>
        <w:tblW w:w="3326" w:type="dxa"/>
        <w:jc w:val="center"/>
        <w:tblInd w:w="0" w:type="dxa"/>
        <w:tblCellMar>
          <w:top w:w="28" w:type="dxa"/>
          <w:left w:w="28" w:type="dxa"/>
          <w:bottom w:w="28" w:type="dxa"/>
          <w:right w:w="28" w:type="dxa"/>
        </w:tblCellMar>
      </w:tblPr>
      <w:tblGrid>
        <w:gridCol w:w="124"/>
        <w:gridCol w:w="109"/>
        <w:gridCol w:w="109"/>
        <w:gridCol w:w="874"/>
        <w:gridCol w:w="874"/>
        <w:gridCol w:w="123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CROWN HOLDINGS, INC.</w:t>
            </w:r>
          </w:p>
        </w:tc>
      </w:tr>
    </w:tbl>
    <w:tbl>
      <w:tblPr>
        <w:tblW w:w="4750" w:type="dxa"/>
        <w:jc w:val="center"/>
        <w:tblInd w:w="0" w:type="dxa"/>
        <w:tblCellMar>
          <w:top w:w="28" w:type="dxa"/>
          <w:left w:w="28" w:type="dxa"/>
          <w:bottom w:w="28" w:type="dxa"/>
          <w:right w:w="28" w:type="dxa"/>
        </w:tblCellMar>
      </w:tblPr>
      <w:tblGrid>
        <w:gridCol w:w="124"/>
        <w:gridCol w:w="109"/>
        <w:gridCol w:w="109"/>
        <w:gridCol w:w="149"/>
        <w:gridCol w:w="149"/>
        <w:gridCol w:w="151"/>
        <w:gridCol w:w="1156"/>
        <w:gridCol w:w="1156"/>
        <w:gridCol w:w="164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64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Christy L. Kalaus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Christy L. Kalaus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Vice President and Corporate Controller</w:t>
            </w:r>
          </w:p>
        </w:tc>
      </w:tr>
    </w:tbl>
    <w:p>
      <w:pPr>
        <w:pStyle w:val="TextBody"/>
        <w:spacing w:before="0" w:after="100"/>
        <w:rPr/>
      </w:pPr>
      <w:r>
        <w:rPr/>
      </w:r>
    </w:p>
    <w:p>
      <w:pPr>
        <w:pStyle w:val="TextBody"/>
        <w:spacing w:before="100" w:after="100"/>
        <w:rPr/>
      </w:pPr>
      <w:r>
        <w:rPr/>
      </w:r>
    </w:p>
    <w:p>
      <w:pPr>
        <w:pStyle w:val="TextBody"/>
        <w:spacing w:before="100" w:after="100"/>
        <w:rPr/>
      </w:pPr>
      <w:r>
        <w:rPr/>
      </w:r>
    </w:p>
    <w:p>
      <w:pPr>
        <w:pStyle w:val="TextBody"/>
        <w:spacing w:lineRule="auto" w:line="288" w:before="100" w:after="100"/>
        <w:rPr>
          <w:rFonts w:ascii="Times New Roman;sans-serif" w:hAnsi="Times New Roman;sans-serif"/>
          <w:b w:val="false"/>
          <w:color w:val="000000"/>
          <w:sz w:val="24"/>
        </w:rPr>
      </w:pPr>
      <w:r>
        <w:rPr>
          <w:rFonts w:ascii="Times New Roman;sans-serif" w:hAnsi="Times New Roman;sans-serif"/>
          <w:b w:val="false"/>
          <w:color w:val="000000"/>
          <w:sz w:val="24"/>
        </w:rPr>
        <w:t>Dated: April 24, 2023</w:t>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rPr/>
      </w:pPr>
      <w:r>
        <w:rPr/>
      </w:r>
    </w:p>
    <w:p>
      <w:pPr>
        <w:pStyle w:val="TextBody"/>
        <w:spacing w:before="100" w:after="100"/>
        <w:jc w:val="center"/>
        <w:rPr/>
      </w:pPr>
      <w:r>
        <w:rPr/>
      </w:r>
    </w:p>
    <w:p>
      <w:pPr>
        <w:pStyle w:val="TextBody"/>
        <w:spacing w:before="100" w:after="100"/>
        <w:jc w:val="center"/>
        <w:rPr/>
      </w:pPr>
      <w:r>
        <w:rPr/>
      </w:r>
    </w:p>
    <w:p>
      <w:pPr>
        <w:pStyle w:val="TextBody"/>
        <w:spacing w:before="100" w:after="100"/>
        <w:jc w:val="center"/>
        <w:rPr/>
      </w:pPr>
      <w:r>
        <w:rPr/>
      </w:r>
    </w:p>
    <w:p>
      <w:pPr>
        <w:pStyle w:val="TextBody"/>
        <w:spacing w:lineRule="auto" w:line="288" w:before="100" w:after="10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4 </w:t>
      </w:r>
    </w:p>
    <w:p>
      <w:pPr>
        <w:pStyle w:val="TextBody"/>
        <w:spacing w:before="100" w:after="100"/>
        <w:jc w:val="center"/>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120" w:after="12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before="0" w:after="0"/>
                        <w:jc w:val="center"/>
                        <w:rPr/>
                      </w:pPr>
                      <w:r>
                        <w:rPr/>
                      </w:r>
                    </w:p>
                  </w:txbxContent>
                </v:textbox>
              </v:rect>
            </w:pict>
          </mc:Fallback>
        </mc:AlternateContent>
      </w:r>
    </w:p>
    <w:tbl>
      <w:tblPr>
        <w:tblW w:w="5738" w:type="dxa"/>
        <w:jc w:val="center"/>
        <w:tblInd w:w="0" w:type="dxa"/>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spacing w:before="0" w:after="0"/>
              <w:jc w:val="left"/>
              <w:rPr/>
            </w:pPr>
            <w:r>
              <w:rPr/>
            </w:r>
          </w:p>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6" w:type="dxa"/>
            <w:gridSpan w:val="3"/>
            <w:tcBorders/>
            <w:shd w:fill="auto" w:val="clear"/>
            <w:tcMar>
              <w:top w:w="0" w:type="dxa"/>
              <w:left w:w="0" w:type="dxa"/>
              <w:bottom w:w="0" w:type="dxa"/>
              <w:right w:w="0" w:type="dxa"/>
            </w:tcMar>
            <w:vAlign w:val="center"/>
          </w:tcPr>
          <w:p>
            <w:pPr>
              <w:pStyle w:val="TableContents"/>
              <w:spacing w:before="0" w:after="0"/>
              <w:jc w:val="right"/>
              <w:rPr/>
            </w:pPr>
            <w:r>
              <w:rPr/>
              <w:drawing>
                <wp:inline distT="0" distB="63500" distL="0" distR="0">
                  <wp:extent cx="1724025" cy="5524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724025" cy="552450"/>
                          </a:xfrm>
                          <a:prstGeom prst="rect">
                            <a:avLst/>
                          </a:prstGeom>
                        </pic:spPr>
                      </pic:pic>
                    </a:graphicData>
                  </a:graphic>
                </wp:inline>
              </w:drawing>
            </w:r>
          </w:p>
        </w:tc>
      </w:tr>
    </w:tbl>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2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CROWN HOLDINGS, INC. REPORTS FIRST QUARTER 2023 RESULTS</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2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68" w:before="0" w:after="0"/>
        <w:jc w:val="both"/>
        <w:rPr/>
      </w:pPr>
      <w:r>
        <w:rPr>
          <w:rFonts w:ascii="Times New Roman;sans-serif" w:hAnsi="Times New Roman;sans-serif"/>
          <w:b/>
          <w:color w:val="000000"/>
          <w:sz w:val="22"/>
        </w:rPr>
        <w:t>Tampa, FL - April 24, 2023.</w:t>
      </w:r>
      <w:r>
        <w:rPr>
          <w:color w:val="000000"/>
        </w:rPr>
        <w:t xml:space="preserve"> </w:t>
      </w:r>
      <w:r>
        <w:rPr>
          <w:rFonts w:ascii="Times New Roman;sans-serif" w:hAnsi="Times New Roman;sans-serif"/>
          <w:b w:val="false"/>
          <w:color w:val="000000"/>
          <w:sz w:val="22"/>
        </w:rPr>
        <w:t>Crown Holdings, Inc. (NYSE: CCK) today announced its financial results for the first quarter ended March 31, 2023.</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2"/>
        </w:rPr>
      </w:pPr>
      <w:r>
        <w:rPr>
          <w:rFonts w:ascii="Times New Roman;sans-serif" w:hAnsi="Times New Roman;sans-serif"/>
          <w:b w:val="false"/>
          <w:color w:val="000000"/>
          <w:sz w:val="22"/>
        </w:rPr>
        <w:t>Net sales in the first quarter were $2,974 million compared to $3,162 million in the first quarter of 2022 reflecting higher beverage can volumes in Americas Beverage, offset by lower volumes across most other businesses, the pass through of approximately $100 million in lower steel and aluminum costs and unfavorable foreign currency translation of $36 million.</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Income from operations was $269 million in the first quarter compared to $344 million in the first quarter of 2022. Segment income in the first quarter of 2023 was $320 million compared to $383 million in the prior year first quarter as benefits from the contractual recovery of prior years’ inflationary cost increases in European Beverage and cost reduction initiatives in Transit Packaging were offset by $60 million of year over year inventory impact of steel repricing in the Other segment and lower volumes. </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Commenting on the quarter, Timothy J. Donahue, Chairman, President and Chief Executive Officer, stated, “Operating results for the Company during the first quarter exceeded our earlier estimates as better than anticipated results in European Beverage and Transit Packaging more than offset softer than expected overall volumes. The benefits from actions taken in 2022 to negotiate more comprehensive raw material and other inflationary pass-through provisions in European Beverage and a significant overhead reduction program initiated in Transit Packaging were clearly visible in the first quarter and will continue to yield benefits throughout the balance of the year.</w:t>
      </w:r>
    </w:p>
    <w:p>
      <w:pPr>
        <w:pStyle w:val="TextBody"/>
        <w:spacing w:before="0" w:after="0"/>
        <w:jc w:val="both"/>
        <w:rPr/>
      </w:pPr>
      <w:r>
        <w:rPr/>
      </w:r>
    </w:p>
    <w:p>
      <w:pPr>
        <w:pStyle w:val="TextBody"/>
        <w:spacing w:lineRule="auto" w:line="268" w:before="0" w:after="0"/>
        <w:jc w:val="both"/>
        <w:rPr/>
      </w:pPr>
      <w:r>
        <w:rPr>
          <w:color w:val="000000"/>
        </w:rPr>
        <w:t>“</w:t>
      </w:r>
      <w:r>
        <w:rPr>
          <w:rFonts w:ascii="Times New Roman;sans-serif" w:hAnsi="Times New Roman;sans-serif"/>
          <w:b w:val="false"/>
          <w:color w:val="000000"/>
          <w:sz w:val="22"/>
        </w:rPr>
        <w:t>Volumes in Americas Beverage were up 6% during the quarter with North America up 4%, despite lighter than expected consumer promotional activity to date. On April 1</w:t>
      </w:r>
      <w:r>
        <w:rPr>
          <w:rFonts w:ascii="Times New Roman;sans-serif" w:hAnsi="Times New Roman;sans-serif"/>
          <w:b w:val="false"/>
          <w:color w:val="000000"/>
          <w:sz w:val="14"/>
        </w:rPr>
        <w:t>st</w:t>
      </w:r>
      <w:r>
        <w:rPr>
          <w:rFonts w:ascii="Times New Roman;sans-serif" w:hAnsi="Times New Roman;sans-serif"/>
          <w:b w:val="false"/>
          <w:color w:val="000000"/>
          <w:sz w:val="22"/>
        </w:rPr>
        <w:t>, the inflation-recovery mechanisms built into our North American beverage can contracts commenced, allowing us to begin to recover cost increases experienced during the past year.</w:t>
      </w:r>
    </w:p>
    <w:p>
      <w:pPr>
        <w:pStyle w:val="TextBody"/>
        <w:spacing w:before="0" w:after="0"/>
        <w:jc w:val="both"/>
        <w:rPr/>
      </w:pPr>
      <w:r>
        <w:rPr/>
      </w:r>
    </w:p>
    <w:p>
      <w:pPr>
        <w:pStyle w:val="TextBody"/>
        <w:spacing w:lineRule="auto" w:line="268" w:before="0" w:after="0"/>
        <w:jc w:val="both"/>
        <w:rPr>
          <w:color w:val="000000"/>
        </w:rPr>
      </w:pPr>
      <w:r>
        <w:rPr>
          <w:color w:val="000000"/>
        </w:rPr>
        <w:t>“</w:t>
      </w:r>
      <w:r>
        <w:rPr>
          <w:rFonts w:ascii="Times New Roman;sans-serif" w:hAnsi="Times New Roman;sans-serif"/>
          <w:b w:val="false"/>
          <w:color w:val="000000"/>
          <w:sz w:val="22"/>
        </w:rPr>
        <w:t>Our strategy from 2019 has been to responsibly deploy capital into our global beverage can operations to profitably expand production capacity in support of growing customer demand. As we near completion of the multi-year beverage can expansion program, we will remain keenly focused on supporting customers’ needs from our global platform and will use expected increasing cash flow to pay down debt and return capital to shareholders. In the near term, consumer demand may continue to be impacted by inflationary pressures; however, we believe the beverage can remains the preferred package for new product launches with unmatched sustainability benefits.”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Interest expense was $102 million in the first quarter of 2023 compared to $54 million in the first quarter of 2022 reflecting higher outstanding debt and higher interest rates.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Net income attributable to Crown Holdings in the first quarter was $102 million compared to $216 million in the first quarter of 2022. Reported diluted earnings per share were $0.85 in the first quarter of 2023 compared to $1.74 in 2022. Adjusted diluted earnings per share were $1.20 compared to $2.01 in 2022 and compared to the quarterly guidance range of $1.00 to $1.10.</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the first quarter of 2023, the Company received an $83 million distribution from its European tinplate equity interest, Eviosys, bringing cumulative distributions to $116 million since the Company sold the business in August 2021. </w:t>
      </w:r>
    </w:p>
    <w:p>
      <w:pPr>
        <w:pStyle w:val="TextBody"/>
        <w:spacing w:before="0" w:after="0"/>
        <w:jc w:val="both"/>
        <w:rPr/>
      </w:pPr>
      <w:r>
        <w:rPr/>
      </w:r>
    </w:p>
    <w:p>
      <w:pPr>
        <w:pStyle w:val="TextBody"/>
        <w:spacing w:lineRule="auto" w:line="268" w:before="0" w:after="0"/>
        <w:jc w:val="both"/>
        <w:rPr>
          <w:rFonts w:ascii="Times New Roman;sans-serif" w:hAnsi="Times New Roman;sans-serif"/>
          <w:b/>
          <w:color w:val="000000"/>
          <w:sz w:val="22"/>
        </w:rPr>
      </w:pPr>
      <w:r>
        <w:rPr>
          <w:rFonts w:ascii="Times New Roman;sans-serif" w:hAnsi="Times New Roman;sans-serif"/>
          <w:b/>
          <w:color w:val="000000"/>
          <w:sz w:val="22"/>
        </w:rPr>
        <w:t>Outlook</w:t>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continue to expect full year improved operating results in global beverage as well as in Transit Packaging.</w:t>
      </w:r>
    </w:p>
    <w:p>
      <w:pPr>
        <w:pStyle w:val="TextBody"/>
        <w:spacing w:before="0" w:after="0"/>
        <w:rPr/>
      </w:pPr>
      <w:r>
        <w:rPr/>
      </w:r>
    </w:p>
    <w:p>
      <w:pPr>
        <w:pStyle w:val="TextBody"/>
        <w:spacing w:lineRule="auto" w:line="268"/>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affirm our previously issued guidance including adjusted annual EBITDA growth of 8-12% and 2023 adjusted diluted earnings per share to be in the range of $6.20 to $6.40, including a $1.20 per diluted share year over year impact from </w:t>
      </w:r>
      <w:r>
        <w:br w:type="page"/>
      </w:r>
    </w:p>
    <w:p>
      <w:pPr>
        <w:pStyle w:val="TextBody"/>
        <w:spacing w:before="120" w:after="12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1 of 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1 of 10</w:t>
                      </w:r>
                    </w:p>
                  </w:txbxContent>
                </v:textbox>
              </v:rect>
            </w:pict>
          </mc:Fallback>
        </mc:AlternateContent>
      </w:r>
    </w:p>
    <w:tbl>
      <w:tblPr>
        <w:tblW w:w="5738" w:type="dxa"/>
        <w:jc w:val="center"/>
        <w:tblInd w:w="0" w:type="dxa"/>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spacing w:before="0" w:after="0"/>
              <w:jc w:val="left"/>
              <w:rPr/>
            </w:pPr>
            <w:r>
              <w:rPr/>
            </w:r>
          </w:p>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6" w:type="dxa"/>
            <w:gridSpan w:val="3"/>
            <w:tcBorders/>
            <w:shd w:fill="auto" w:val="clear"/>
            <w:tcMar>
              <w:top w:w="0" w:type="dxa"/>
              <w:left w:w="0" w:type="dxa"/>
              <w:bottom w:w="0" w:type="dxa"/>
              <w:right w:w="0" w:type="dxa"/>
            </w:tcMar>
            <w:vAlign w:val="center"/>
          </w:tcPr>
          <w:p>
            <w:pPr>
              <w:pStyle w:val="TableContents"/>
              <w:spacing w:before="0" w:after="0"/>
              <w:jc w:val="right"/>
              <w:rPr/>
            </w:pPr>
            <w:r>
              <w:rPr/>
              <w:drawing>
                <wp:inline distT="0" distB="63500" distL="0" distR="0">
                  <wp:extent cx="1724025" cy="55245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1724025" cy="552450"/>
                          </a:xfrm>
                          <a:prstGeom prst="rect">
                            <a:avLst/>
                          </a:prstGeom>
                        </pic:spPr>
                      </pic:pic>
                    </a:graphicData>
                  </a:graphic>
                </wp:inline>
              </w:drawing>
            </w:r>
          </w:p>
        </w:tc>
      </w:tr>
    </w:tbl>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additional noncash pension and higher net interest expense. The Company expects the adjusted effective income tax rate to be between 24% and 25% and adjusted free cash flow to be approximately $500 million after $900 million in capital expenditures. </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Second quarter adjusted diluted earnings per share is expected to be in the range of $1.60 to $1.70 which includes headwinds from higher interest and pension expense.</w:t>
      </w:r>
    </w:p>
    <w:p>
      <w:pPr>
        <w:pStyle w:val="TextBody"/>
        <w:spacing w:before="0" w:after="0"/>
        <w:rPr/>
      </w:pPr>
      <w:r>
        <w:rPr/>
      </w:r>
    </w:p>
    <w:p>
      <w:pPr>
        <w:pStyle w:val="TextBody"/>
        <w:spacing w:lineRule="auto" w:line="268" w:before="0" w:after="0"/>
        <w:rPr>
          <w:rFonts w:ascii="Times New Roman;sans-serif" w:hAnsi="Times New Roman;sans-serif"/>
          <w:b/>
          <w:color w:val="000000"/>
          <w:sz w:val="22"/>
        </w:rPr>
      </w:pPr>
      <w:r>
        <w:rPr>
          <w:rFonts w:ascii="Times New Roman;sans-serif" w:hAnsi="Times New Roman;sans-serif"/>
          <w:b/>
          <w:color w:val="000000"/>
          <w:sz w:val="22"/>
        </w:rPr>
        <w:t>Non-GAAP Measures</w:t>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Segment income, adjusted free cash flow, adjusted net leverage ratio, adjusted net income, the adjusted effective tax rate, adjusted diluted earnings per share, net interest expense, EBITDA and adjusted EBITDA are not defined terms under U.S. generally accepted accounting principles (non-GAAP measures). Non-GAAP measures should not be considered in isolation or as a substitute for income from operations, cash flow, leverage ratio, net income, effective tax rates, diluted earnings per share or interest expense and interest income prepared in accordance with U.S. GAAP and may not be comparable to calculations of similarly titled measures by other companies.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views segment income as the principal measure of the performance of its operations and adjusted free cash flow and adjusted net leverage ratio as the principal measures of its liquidity. The Company considers all of these measures in the allocation of resources. Adjusted free cash flow has certain limitations, however, including that it does not represent the residual cash flow available for discretionary expenditures since other non-discretionary expenditures, such as mandatory debt service requirements, are not deducted from the measure. The amount of mandatory versus discretionary expenditures can vary significantly between periods. The Company believes that adjusted free cash flow and adjusted net leverage ratio provide meaningful measures of liquidity and a useful basis for assessing the Company’s ability to fund its activities, including the financing of acquisitions, debt repayments, share repurchases or dividends. The Company believes that adjusted net income, the adjusted effective tax rate and adjusted diluted earnings per share are useful in evaluating the Company’s operations as these measures are adjusted for items that affect comparability between periods. Segment income, adjusted free cash flow, adjusted net leverage ratio, adjusted net income, the adjusted effective tax rate, adjusted diluted earnings per share, net interest expense, EBITDA and adjusted EBITDA are derived from the Company’s Consolidated Statements of Operations, Cash Flows and Consolidated Balance Sheets, as applicable, and reconciliations to segment income, adjusted free cash flow, adjusted net leverage ratio, adjusted net income, the adjusted effective tax rate, adjusted diluted earnings per share and adjusted EBITDA can be found within this release. Reconciliations of estimated adjusted diluted earnings per share for the second quarter and full year of 2023 to estimated diluted earnings per share on a GAAP basis are not provided in this release due to the unavailability of estimates of the following, the timing and magnitude of which the Company is unable to reliably forecast without unreasonable efforts, which are excluded from estimated adjusted diluted earnings per share and could have a significant impact on earnings per share on a GAAP basis: gains or losses on the sale of businesses or other assets, restructuring and other costs, asset impairment charges, asbestos-related charges, losses from early extinguishment of debt, pension settlement and curtailment charges, the tax and noncontrolling interest impact of the items above, and the impact of tax law changes or other tax matters. We have not provided a reconciliation of the range of anticipated growth of projected adjusted EBITDA to the most comparable GAAP measures due to the inherent difficulty in forecasting and quantifying certain amounts that are necessary for such reconciliation, including restructuring and other charges which are event-driven.</w:t>
      </w:r>
    </w:p>
    <w:p>
      <w:pPr>
        <w:pStyle w:val="TextBody"/>
        <w:spacing w:before="0" w:after="0"/>
        <w:rPr/>
      </w:pPr>
      <w:r>
        <w:rPr/>
      </w:r>
    </w:p>
    <w:p>
      <w:pPr>
        <w:pStyle w:val="TextBody"/>
        <w:spacing w:lineRule="auto" w:line="268" w:before="0" w:after="0"/>
        <w:rPr>
          <w:rFonts w:ascii="Times New Roman;sans-serif" w:hAnsi="Times New Roman;sans-serif"/>
          <w:b/>
          <w:color w:val="000000"/>
          <w:sz w:val="22"/>
        </w:rPr>
      </w:pPr>
      <w:r>
        <w:rPr>
          <w:rFonts w:ascii="Times New Roman;sans-serif" w:hAnsi="Times New Roman;sans-serif"/>
          <w:b/>
          <w:color w:val="000000"/>
          <w:sz w:val="22"/>
        </w:rPr>
        <w:t>Conference Call</w:t>
      </w:r>
    </w:p>
    <w:p>
      <w:pPr>
        <w:pStyle w:val="TextBody"/>
        <w:spacing w:lineRule="auto" w:line="268" w:before="0" w:after="0"/>
        <w:jc w:val="both"/>
        <w:rPr/>
      </w:pPr>
      <w:r>
        <w:rPr>
          <w:rFonts w:ascii="Times New Roman;sans-serif" w:hAnsi="Times New Roman;sans-serif"/>
          <w:b w:val="false"/>
          <w:color w:val="000000"/>
          <w:sz w:val="22"/>
        </w:rPr>
        <w:t xml:space="preserve">The Company will hold a conference call tomorrow, April 25, 2023 at 9:00 a.m. (EDT) to discuss this news release. Forward-looking and other material information may be discussed on the conference call. The dial-in numbers for the conference call are 630-395-0194 or toll-free 888-324-8108 and the access password is “packaging.” A live webcast of the call will be made available to the public on the internet at the Company’s website, </w:t>
      </w:r>
      <w:r>
        <w:rPr>
          <w:rFonts w:ascii="Times New Roman;sans-serif" w:hAnsi="Times New Roman;sans-serif"/>
          <w:b w:val="false"/>
          <w:color w:val="0000FF"/>
          <w:sz w:val="22"/>
        </w:rPr>
        <w:t>www.crowncork.com</w:t>
      </w:r>
      <w:r>
        <w:rPr>
          <w:rFonts w:ascii="Times New Roman;sans-serif" w:hAnsi="Times New Roman;sans-serif"/>
          <w:b w:val="false"/>
          <w:color w:val="000000"/>
          <w:sz w:val="22"/>
        </w:rPr>
        <w:t>. A replay of the conference call will be available for a one-week period ending at midnight on May 2, 2023. The telephone numbers for the replay are 203-369-0185 or toll free 866-361-4937.</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68"/>
        <w:rPr>
          <w:rFonts w:ascii="Times New Roman;sans-serif" w:hAnsi="Times New Roman;sans-serif"/>
          <w:b/>
          <w:color w:val="000000"/>
          <w:sz w:val="22"/>
        </w:rPr>
      </w:pPr>
      <w:r>
        <w:rPr>
          <w:rFonts w:ascii="Times New Roman;sans-serif" w:hAnsi="Times New Roman;sans-serif"/>
          <w:b/>
          <w:color w:val="000000"/>
          <w:sz w:val="22"/>
        </w:rPr>
        <w:t>Cautionary Note Regarding Forward-Looking Statements</w:t>
      </w:r>
      <w:r>
        <w:br w:type="page"/>
      </w:r>
    </w:p>
    <w:p>
      <w:pPr>
        <w:pStyle w:val="TextBody"/>
        <w:spacing w:before="120" w:after="12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2 of 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2 of 10</w:t>
                      </w:r>
                    </w:p>
                  </w:txbxContent>
                </v:textbox>
              </v:rect>
            </w:pict>
          </mc:Fallback>
        </mc:AlternateContent>
      </w:r>
    </w:p>
    <w:tbl>
      <w:tblPr>
        <w:tblW w:w="5738" w:type="dxa"/>
        <w:jc w:val="center"/>
        <w:tblInd w:w="0" w:type="dxa"/>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spacing w:before="0" w:after="0"/>
              <w:jc w:val="left"/>
              <w:rPr/>
            </w:pPr>
            <w:r>
              <w:rPr/>
            </w:r>
          </w:p>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6" w:type="dxa"/>
            <w:gridSpan w:val="3"/>
            <w:tcBorders/>
            <w:shd w:fill="auto" w:val="clear"/>
            <w:tcMar>
              <w:top w:w="0" w:type="dxa"/>
              <w:left w:w="0" w:type="dxa"/>
              <w:bottom w:w="0" w:type="dxa"/>
              <w:right w:w="0" w:type="dxa"/>
            </w:tcMar>
            <w:vAlign w:val="center"/>
          </w:tcPr>
          <w:p>
            <w:pPr>
              <w:pStyle w:val="TableContents"/>
              <w:spacing w:before="0" w:after="0"/>
              <w:jc w:val="right"/>
              <w:rPr/>
            </w:pPr>
            <w:r>
              <w:rPr/>
              <w:drawing>
                <wp:inline distT="0" distB="63500" distL="0" distR="0">
                  <wp:extent cx="1724025" cy="552450"/>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1724025" cy="552450"/>
                          </a:xfrm>
                          <a:prstGeom prst="rect">
                            <a:avLst/>
                          </a:prstGeom>
                        </pic:spPr>
                      </pic:pic>
                    </a:graphicData>
                  </a:graphic>
                </wp:inline>
              </w:drawing>
            </w:r>
          </w:p>
        </w:tc>
      </w:tr>
    </w:tbl>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Except for historical information, all other information in this press release consists of forward-looking statements. These forward-looking statements involve a number of risks, uncertainties and other factors, including the Company’s ability to continue to operate its plants, distribute its products, and maintain its supply chain; the future impact of currency translation; the continuation of performance and market trends in 2023, including consumer preference for beverage cans and increasing global beverage can demand; the future impact of inflation, including the potential for higher interest rates and energy prices and the Company’s ability to recover raw material and other inflationary costs; future demand for food cans; the Company’s ability to successfully complete its previously announced capacity expansion projects and begin production within expected timelines; and the impact of overhead reduction efforts in the Transit Packaging business, that may cause actual results to be materially different from those expressed or implied in the forward-looking statements. Important factors that could cause the statements made in this press release or the actual results of operations or financial condition of the Company to differ are discussed under the caption "Forward Looking Statements" in the Company's Form 10-K Annual Report for the year ended December 31, 2022 and in subsequent filings made prior to or after the date hereof. The Company does not intend to review or revise any particular forward-looking statement in light of future events.</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Crown Holdings, Inc., through its subsidiaries, is a worldwide leader in the design, manufacture and sale of packaging products for consumer goods and industrial products. World headquarters are located in Tampa, Florida. </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2"/>
        </w:rPr>
      </w:pPr>
      <w:r>
        <w:rPr>
          <w:rFonts w:ascii="Times New Roman;sans-serif" w:hAnsi="Times New Roman;sans-serif"/>
          <w:b w:val="false"/>
          <w:color w:val="000000"/>
          <w:sz w:val="22"/>
        </w:rPr>
        <w:t>For more information, contact:</w:t>
      </w:r>
    </w:p>
    <w:p>
      <w:pPr>
        <w:pStyle w:val="TextBody"/>
        <w:spacing w:lineRule="auto" w:line="268" w:before="0" w:after="0"/>
        <w:rPr>
          <w:rFonts w:ascii="Times New Roman;sans-serif" w:hAnsi="Times New Roman;sans-serif"/>
          <w:b w:val="false"/>
          <w:color w:val="000000"/>
          <w:sz w:val="22"/>
        </w:rPr>
      </w:pPr>
      <w:r>
        <w:rPr>
          <w:rFonts w:ascii="Times New Roman;sans-serif" w:hAnsi="Times New Roman;sans-serif"/>
          <w:b w:val="false"/>
          <w:color w:val="000000"/>
          <w:sz w:val="22"/>
        </w:rPr>
        <w:t>Kevin C. Clothier, Senior Vice President and Chief Financial Officer, (215) 698-5281</w:t>
      </w:r>
    </w:p>
    <w:p>
      <w:pPr>
        <w:pStyle w:val="TextBody"/>
        <w:spacing w:lineRule="auto" w:line="268" w:before="0" w:after="0"/>
        <w:rPr>
          <w:rFonts w:ascii="Times New Roman;sans-serif" w:hAnsi="Times New Roman;sans-serif"/>
          <w:b w:val="false"/>
          <w:color w:val="000000"/>
          <w:sz w:val="22"/>
        </w:rPr>
      </w:pPr>
      <w:r>
        <w:rPr>
          <w:rFonts w:ascii="Times New Roman;sans-serif" w:hAnsi="Times New Roman;sans-serif"/>
          <w:b w:val="false"/>
          <w:color w:val="000000"/>
          <w:sz w:val="22"/>
        </w:rPr>
        <w:t>Thomas T. Fischer, Vice President, Investor Relations and Corporate Affairs, (215) 552-3720</w:t>
      </w:r>
    </w:p>
    <w:p>
      <w:pPr>
        <w:pStyle w:val="TextBody"/>
        <w:spacing w:before="0" w:after="0"/>
        <w:rPr/>
      </w:pPr>
      <w:r>
        <w:rPr/>
      </w:r>
    </w:p>
    <w:p>
      <w:pPr>
        <w:pStyle w:val="TextBody"/>
        <w:spacing w:before="0" w:after="0"/>
        <w:rPr/>
      </w:pPr>
      <w:r>
        <w:rPr/>
      </w:r>
    </w:p>
    <w:p>
      <w:pPr>
        <w:pStyle w:val="TextBody"/>
        <w:spacing w:lineRule="auto" w:line="268" w:before="0" w:after="0"/>
        <w:rPr>
          <w:rFonts w:ascii="Times New Roman;sans-serif" w:hAnsi="Times New Roman;sans-serif"/>
          <w:b/>
          <w:color w:val="000000"/>
          <w:sz w:val="22"/>
        </w:rPr>
      </w:pPr>
      <w:r>
        <w:rPr>
          <w:rFonts w:ascii="Times New Roman;sans-serif" w:hAnsi="Times New Roman;sans-serif"/>
          <w:b/>
          <w:color w:val="000000"/>
          <w:sz w:val="22"/>
        </w:rPr>
        <w:t>Unaudited Consolidated Statements of Operations, Balance Sheets, Statements of Cash Flows, Segment Information and Supplemental Data follow.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0"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3 of 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3 of 10</w:t>
                      </w:r>
                    </w:p>
                  </w:txbxContent>
                </v:textbox>
              </v:rect>
            </w:pict>
          </mc:Fallback>
        </mc:AlternateContent>
      </w:r>
    </w:p>
    <w:tbl>
      <w:tblPr>
        <w:tblW w:w="5738" w:type="dxa"/>
        <w:jc w:val="center"/>
        <w:tblInd w:w="0" w:type="dxa"/>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spacing w:before="0" w:after="0"/>
              <w:jc w:val="left"/>
              <w:rPr/>
            </w:pPr>
            <w:r>
              <w:rPr/>
            </w:r>
          </w:p>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6" w:type="dxa"/>
            <w:gridSpan w:val="3"/>
            <w:tcBorders/>
            <w:shd w:fill="auto" w:val="clear"/>
            <w:tcMar>
              <w:top w:w="0" w:type="dxa"/>
              <w:left w:w="0" w:type="dxa"/>
              <w:bottom w:w="0" w:type="dxa"/>
              <w:right w:w="0" w:type="dxa"/>
            </w:tcMar>
            <w:vAlign w:val="center"/>
          </w:tcPr>
          <w:p>
            <w:pPr>
              <w:pStyle w:val="TableContents"/>
              <w:spacing w:before="0" w:after="0"/>
              <w:jc w:val="right"/>
              <w:rPr/>
            </w:pPr>
            <w:r>
              <w:rPr/>
              <w:drawing>
                <wp:inline distT="0" distB="63500" distL="0" distR="0">
                  <wp:extent cx="1724025" cy="552450"/>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1724025" cy="552450"/>
                          </a:xfrm>
                          <a:prstGeom prst="rect">
                            <a:avLst/>
                          </a:prstGeom>
                        </pic:spPr>
                      </pic:pic>
                    </a:graphicData>
                  </a:graphic>
                </wp:inline>
              </w:drawing>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Consolidated Statements of Operations (Unaudited)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share and per share data)</w:t>
      </w:r>
    </w:p>
    <w:tbl>
      <w:tblPr>
        <w:tblW w:w="7802" w:type="dxa"/>
        <w:jc w:val="center"/>
        <w:tblInd w:w="0" w:type="dxa"/>
        <w:tblCellMar>
          <w:top w:w="28" w:type="dxa"/>
          <w:left w:w="28" w:type="dxa"/>
          <w:bottom w:w="28" w:type="dxa"/>
          <w:right w:w="28" w:type="dxa"/>
        </w:tblCellMar>
      </w:tblPr>
      <w:tblGrid>
        <w:gridCol w:w="1534"/>
        <w:gridCol w:w="1347"/>
        <w:gridCol w:w="1363"/>
        <w:gridCol w:w="346"/>
        <w:gridCol w:w="840"/>
        <w:gridCol w:w="141"/>
        <w:gridCol w:w="141"/>
        <w:gridCol w:w="141"/>
        <w:gridCol w:w="141"/>
        <w:gridCol w:w="346"/>
        <w:gridCol w:w="840"/>
        <w:gridCol w:w="141"/>
        <w:gridCol w:w="109"/>
        <w:gridCol w:w="109"/>
        <w:gridCol w:w="109"/>
        <w:gridCol w:w="154"/>
      </w:tblGrid>
      <w:tr>
        <w:trPr/>
        <w:tc>
          <w:tcPr>
            <w:tcW w:w="1534" w:type="dxa"/>
            <w:tcBorders/>
            <w:shd w:fill="auto" w:val="clear"/>
            <w:vAlign w:val="center"/>
          </w:tcPr>
          <w:p>
            <w:pPr>
              <w:pStyle w:val="TableContents"/>
              <w:spacing w:before="0" w:after="283"/>
              <w:rPr>
                <w:sz w:val="4"/>
                <w:szCs w:val="4"/>
              </w:rPr>
            </w:pPr>
            <w:r>
              <w:rPr>
                <w:sz w:val="4"/>
                <w:szCs w:val="4"/>
              </w:rPr>
            </w:r>
          </w:p>
        </w:tc>
        <w:tc>
          <w:tcPr>
            <w:tcW w:w="1347" w:type="dxa"/>
            <w:tcBorders/>
            <w:shd w:fill="auto" w:val="clear"/>
            <w:vAlign w:val="center"/>
          </w:tcPr>
          <w:p>
            <w:pPr>
              <w:pStyle w:val="TableContents"/>
              <w:spacing w:before="0" w:after="283"/>
              <w:rPr>
                <w:sz w:val="4"/>
                <w:szCs w:val="4"/>
              </w:rPr>
            </w:pPr>
            <w:r>
              <w:rPr>
                <w:sz w:val="4"/>
                <w:szCs w:val="4"/>
              </w:rPr>
            </w:r>
          </w:p>
        </w:tc>
        <w:tc>
          <w:tcPr>
            <w:tcW w:w="1363"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244" w:type="dxa"/>
            <w:gridSpan w:val="3"/>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3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8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2,974</w:t>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8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3,162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 sold</w:t>
            </w:r>
          </w:p>
        </w:tc>
        <w:tc>
          <w:tcPr>
            <w:tcW w:w="132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w:t>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32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administrative expense</w:t>
            </w:r>
          </w:p>
        </w:tc>
        <w:tc>
          <w:tcPr>
            <w:tcW w:w="132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w:t>
            </w:r>
          </w:p>
        </w:tc>
        <w:tc>
          <w:tcPr>
            <w:tcW w:w="132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Income from operations</w:t>
            </w:r>
            <w:r>
              <w:rPr>
                <w:color w:val="000000"/>
              </w:rPr>
              <w:t xml:space="preserve"> </w:t>
            </w:r>
            <w:r>
              <w:rPr>
                <w:rFonts w:ascii="Times New Roman;sans-serif" w:hAnsi="Times New Roman;sans-serif"/>
                <w:b/>
                <w:color w:val="000000"/>
                <w:sz w:val="13"/>
              </w:rPr>
              <w:t>(1)</w:t>
            </w:r>
            <w:r>
              <w:rPr>
                <w:color w:val="000000"/>
              </w:rPr>
              <w:t xml:space="preserve"> </w:t>
            </w:r>
          </w:p>
        </w:tc>
        <w:tc>
          <w:tcPr>
            <w:tcW w:w="1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269</w:t>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344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pension and postretirement</w:t>
            </w:r>
          </w:p>
        </w:tc>
        <w:tc>
          <w:tcPr>
            <w:tcW w:w="132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w:t>
            </w:r>
          </w:p>
        </w:tc>
        <w:tc>
          <w:tcPr>
            <w:tcW w:w="132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before interest and taxes</w:t>
            </w:r>
          </w:p>
        </w:tc>
        <w:tc>
          <w:tcPr>
            <w:tcW w:w="1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254</w:t>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358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32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32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 before income taxes</w:t>
            </w:r>
          </w:p>
        </w:tc>
        <w:tc>
          <w:tcPr>
            <w:tcW w:w="1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161</w:t>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307</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32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Equity earnings </w:t>
            </w:r>
          </w:p>
        </w:tc>
        <w:tc>
          <w:tcPr>
            <w:tcW w:w="132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122</w:t>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90"/>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32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Crown Holdings</w:t>
            </w:r>
          </w:p>
        </w:tc>
        <w:tc>
          <w:tcPr>
            <w:tcW w:w="3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8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102</w:t>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8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share attributable to Crown</w:t>
              <w:br/>
              <w:t>  Holdings common shareholders:</w:t>
            </w:r>
          </w:p>
        </w:tc>
        <w:tc>
          <w:tcPr>
            <w:tcW w:w="1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Basic</w:t>
            </w:r>
          </w:p>
        </w:tc>
        <w:tc>
          <w:tcPr>
            <w:tcW w:w="3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0.86 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Diluted</w:t>
            </w:r>
          </w:p>
        </w:tc>
        <w:tc>
          <w:tcPr>
            <w:tcW w:w="34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0.85 </w:t>
            </w:r>
          </w:p>
        </w:tc>
        <w:tc>
          <w:tcPr>
            <w:tcW w:w="14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4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common shares outstanding:</w:t>
            </w:r>
          </w:p>
        </w:tc>
        <w:tc>
          <w:tcPr>
            <w:tcW w:w="1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Basic</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119,238,117 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123,644,811 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Diluted</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119,643,244 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124,430,160 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 common shares outstanding at quarter end</w:t>
            </w:r>
          </w:p>
        </w:tc>
        <w:tc>
          <w:tcPr>
            <w:tcW w:w="1186"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120,101,710 </w:t>
            </w:r>
          </w:p>
        </w:tc>
        <w:tc>
          <w:tcPr>
            <w:tcW w:w="141"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423"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86"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123,362,113 </w:t>
            </w:r>
          </w:p>
        </w:tc>
        <w:tc>
          <w:tcPr>
            <w:tcW w:w="141"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lineRule="auto" w:line="288" w:before="0" w:after="0"/>
        <w:ind w:left="0" w:right="0" w:hanging="162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Reconciliation from income from operations to segment income follows.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2"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4 of 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4 of 10</w:t>
                      </w:r>
                    </w:p>
                  </w:txbxContent>
                </v:textbox>
              </v:rect>
            </w:pict>
          </mc:Fallback>
        </mc:AlternateContent>
      </w:r>
    </w:p>
    <w:tbl>
      <w:tblPr>
        <w:tblW w:w="5738" w:type="dxa"/>
        <w:jc w:val="center"/>
        <w:tblInd w:w="0" w:type="dxa"/>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spacing w:before="0" w:after="0"/>
              <w:jc w:val="left"/>
              <w:rPr/>
            </w:pPr>
            <w:r>
              <w:rPr/>
            </w:r>
          </w:p>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6" w:type="dxa"/>
            <w:gridSpan w:val="3"/>
            <w:tcBorders/>
            <w:shd w:fill="auto" w:val="clear"/>
            <w:tcMar>
              <w:top w:w="0" w:type="dxa"/>
              <w:left w:w="0" w:type="dxa"/>
              <w:bottom w:w="0" w:type="dxa"/>
              <w:right w:w="0" w:type="dxa"/>
            </w:tcMar>
            <w:vAlign w:val="center"/>
          </w:tcPr>
          <w:p>
            <w:pPr>
              <w:pStyle w:val="TableContents"/>
              <w:spacing w:before="0" w:after="0"/>
              <w:jc w:val="right"/>
              <w:rPr/>
            </w:pPr>
            <w:r>
              <w:rPr/>
              <w:drawing>
                <wp:inline distT="0" distB="63500" distL="0" distR="0">
                  <wp:extent cx="1724025" cy="55245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1724025" cy="552450"/>
                          </a:xfrm>
                          <a:prstGeom prst="rect">
                            <a:avLst/>
                          </a:prstGeom>
                        </pic:spPr>
                      </pic:pic>
                    </a:graphicData>
                  </a:graphic>
                </wp:inline>
              </w:drawing>
            </w:r>
          </w:p>
        </w:tc>
      </w:tr>
    </w:tbl>
    <w:p>
      <w:pPr>
        <w:pStyle w:val="TextBody"/>
        <w:spacing w:before="0" w:after="0"/>
        <w:ind w:left="0" w:right="0" w:firstLine="720"/>
        <w:jc w:val="center"/>
        <w:rPr/>
      </w:pPr>
      <w:r>
        <w:rPr/>
      </w:r>
    </w:p>
    <w:p>
      <w:pPr>
        <w:pStyle w:val="TextBody"/>
        <w:spacing w:lineRule="auto" w:line="288" w:before="0" w:after="0"/>
        <w:ind w:left="0" w:right="0" w:firstLine="72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Consolidated Supplemental Financial Data (Unaudited)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Reconciliation from Income from Operations to Segment Income</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views segment income, as defined below, as a principal measure of performance of its operations and for the allocation of resources. Segment income is defined by the Company as income from operations adjusted to exclude intangibles amortization charges and provisions for restructuring and other.</w:t>
      </w:r>
    </w:p>
    <w:tbl>
      <w:tblPr>
        <w:tblW w:w="5381" w:type="dxa"/>
        <w:jc w:val="center"/>
        <w:tblInd w:w="0" w:type="dxa"/>
        <w:tblCellMar>
          <w:top w:w="28" w:type="dxa"/>
          <w:left w:w="28" w:type="dxa"/>
          <w:bottom w:w="28" w:type="dxa"/>
          <w:right w:w="28" w:type="dxa"/>
        </w:tblCellMar>
      </w:tblPr>
      <w:tblGrid>
        <w:gridCol w:w="765"/>
        <w:gridCol w:w="674"/>
        <w:gridCol w:w="676"/>
        <w:gridCol w:w="305"/>
        <w:gridCol w:w="695"/>
        <w:gridCol w:w="157"/>
        <w:gridCol w:w="157"/>
        <w:gridCol w:w="157"/>
        <w:gridCol w:w="157"/>
        <w:gridCol w:w="305"/>
        <w:gridCol w:w="695"/>
        <w:gridCol w:w="157"/>
        <w:gridCol w:w="109"/>
        <w:gridCol w:w="109"/>
        <w:gridCol w:w="109"/>
        <w:gridCol w:w="154"/>
      </w:tblGrid>
      <w:tr>
        <w:trPr/>
        <w:tc>
          <w:tcPr>
            <w:tcW w:w="765"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30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5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5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amortization</w:t>
            </w:r>
          </w:p>
        </w:tc>
        <w:tc>
          <w:tcPr>
            <w:tcW w:w="10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471"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471"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w:t>
            </w:r>
          </w:p>
        </w:tc>
        <w:tc>
          <w:tcPr>
            <w:tcW w:w="10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income</w:t>
            </w:r>
          </w:p>
        </w:tc>
        <w:tc>
          <w:tcPr>
            <w:tcW w:w="30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320</w:t>
            </w:r>
            <w:r>
              <w:rPr>
                <w:color w:val="000000"/>
              </w:rPr>
              <w:t> </w:t>
            </w:r>
          </w:p>
        </w:tc>
        <w:tc>
          <w:tcPr>
            <w:tcW w:w="15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383</w:t>
            </w:r>
            <w:r>
              <w:rPr>
                <w:color w:val="000000"/>
              </w:rPr>
              <w:t> </w:t>
            </w:r>
          </w:p>
        </w:tc>
        <w:tc>
          <w:tcPr>
            <w:tcW w:w="15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Segment Information</w:t>
      </w:r>
    </w:p>
    <w:tbl>
      <w:tblPr>
        <w:tblW w:w="4978" w:type="dxa"/>
        <w:jc w:val="center"/>
        <w:tblInd w:w="0" w:type="dxa"/>
        <w:tblCellMar>
          <w:top w:w="28" w:type="dxa"/>
          <w:left w:w="28" w:type="dxa"/>
          <w:bottom w:w="28" w:type="dxa"/>
          <w:right w:w="28" w:type="dxa"/>
        </w:tblCellMar>
      </w:tblPr>
      <w:tblGrid>
        <w:gridCol w:w="618"/>
        <w:gridCol w:w="544"/>
        <w:gridCol w:w="547"/>
        <w:gridCol w:w="264"/>
        <w:gridCol w:w="790"/>
        <w:gridCol w:w="136"/>
        <w:gridCol w:w="136"/>
        <w:gridCol w:w="136"/>
        <w:gridCol w:w="136"/>
        <w:gridCol w:w="264"/>
        <w:gridCol w:w="790"/>
        <w:gridCol w:w="136"/>
        <w:gridCol w:w="109"/>
        <w:gridCol w:w="109"/>
        <w:gridCol w:w="109"/>
        <w:gridCol w:w="154"/>
      </w:tblGrid>
      <w:tr>
        <w:trPr/>
        <w:tc>
          <w:tcPr>
            <w:tcW w:w="618"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Net Sales</w:t>
            </w:r>
          </w:p>
        </w:tc>
        <w:tc>
          <w:tcPr>
            <w:tcW w:w="27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9"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 Beverage</w:t>
            </w:r>
          </w:p>
        </w:tc>
        <w:tc>
          <w:tcPr>
            <w:tcW w:w="26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1,261 </w:t>
            </w:r>
          </w:p>
        </w:tc>
        <w:tc>
          <w:tcPr>
            <w:tcW w:w="13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13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Beverage</w:t>
            </w:r>
          </w:p>
        </w:tc>
        <w:tc>
          <w:tcPr>
            <w:tcW w:w="10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9"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10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 Packaging</w:t>
            </w:r>
          </w:p>
        </w:tc>
        <w:tc>
          <w:tcPr>
            <w:tcW w:w="10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9"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(1)</w:t>
            </w:r>
          </w:p>
        </w:tc>
        <w:tc>
          <w:tcPr>
            <w:tcW w:w="10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color w:val="000000"/>
                <w:sz w:val="20"/>
              </w:rPr>
              <w:t>Total net sales</w:t>
            </w:r>
          </w:p>
        </w:tc>
        <w:tc>
          <w:tcPr>
            <w:tcW w:w="26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2,974</w:t>
            </w:r>
            <w:r>
              <w:rPr>
                <w:color w:val="000000"/>
              </w:rPr>
              <w:t> </w:t>
            </w:r>
          </w:p>
        </w:tc>
        <w:tc>
          <w:tcPr>
            <w:tcW w:w="13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3,162</w:t>
            </w:r>
            <w:r>
              <w:rPr>
                <w:color w:val="000000"/>
              </w:rPr>
              <w:t> </w:t>
            </w:r>
          </w:p>
        </w:tc>
        <w:tc>
          <w:tcPr>
            <w:tcW w:w="13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100" w:after="283"/>
        <w:jc w:val="center"/>
        <w:rPr/>
      </w:pPr>
      <w:r>
        <w:rPr/>
      </w:r>
    </w:p>
    <w:tbl>
      <w:tblPr>
        <w:tblW w:w="5634" w:type="dxa"/>
        <w:jc w:val="center"/>
        <w:tblInd w:w="0" w:type="dxa"/>
        <w:tblCellMar>
          <w:top w:w="28" w:type="dxa"/>
          <w:left w:w="28" w:type="dxa"/>
          <w:bottom w:w="28" w:type="dxa"/>
          <w:right w:w="28" w:type="dxa"/>
        </w:tblCellMar>
      </w:tblPr>
      <w:tblGrid>
        <w:gridCol w:w="1166"/>
        <w:gridCol w:w="1028"/>
        <w:gridCol w:w="1030"/>
        <w:gridCol w:w="211"/>
        <w:gridCol w:w="481"/>
        <w:gridCol w:w="109"/>
        <w:gridCol w:w="109"/>
        <w:gridCol w:w="109"/>
        <w:gridCol w:w="109"/>
        <w:gridCol w:w="211"/>
        <w:gridCol w:w="481"/>
        <w:gridCol w:w="109"/>
        <w:gridCol w:w="109"/>
        <w:gridCol w:w="109"/>
        <w:gridCol w:w="109"/>
        <w:gridCol w:w="154"/>
      </w:tblGrid>
      <w:tr>
        <w:trPr/>
        <w:tc>
          <w:tcPr>
            <w:tcW w:w="1166"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Segment Income</w:t>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 Beverage</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Beverage</w:t>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24"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 Packaging</w:t>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24"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(1)</w:t>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unallocated items</w:t>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color w:val="000000"/>
                <w:sz w:val="20"/>
              </w:rPr>
              <w:t>Total segment income</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320</w:t>
            </w:r>
            <w:r>
              <w:rPr>
                <w:color w:val="000000"/>
              </w:rPr>
              <w:t>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383</w:t>
            </w:r>
            <w:r>
              <w:rPr>
                <w:color w:val="000000"/>
              </w:rPr>
              <w:t>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360"/>
        <w:jc w:val="both"/>
        <w:rPr/>
      </w:pPr>
      <w:r>
        <w:rPr/>
      </w:r>
    </w:p>
    <w:p>
      <w:pPr>
        <w:pStyle w:val="TextBody"/>
        <w:spacing w:lineRule="auto" w:line="268" w:before="0" w:after="0"/>
        <w:ind w:left="0" w:right="0" w:hanging="54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Includes the Company’s food can, aerosol can and closures businesses in North America, and beverage tooling and equipment operations in the U.S. and United Kingdom.</w:t>
      </w:r>
    </w:p>
    <w:p>
      <w:pPr>
        <w:pStyle w:val="TextBody"/>
        <w:spacing w:before="0" w:after="0"/>
        <w:ind w:left="0" w:right="0" w:hanging="270"/>
        <w:rPr/>
      </w:pPr>
      <w:r>
        <w:rPr/>
      </w:r>
    </w:p>
    <w:p>
      <w:pPr>
        <w:pStyle w:val="TextBody"/>
        <w:spacing w:before="0" w:after="0"/>
        <w:ind w:left="0" w:right="0" w:hanging="270"/>
        <w:rPr/>
      </w:pPr>
      <w:r>
        <w:rPr/>
      </w:r>
    </w:p>
    <w:p>
      <w:pPr>
        <w:pStyle w:val="TextBody"/>
        <w:spacing w:before="0" w:after="0"/>
        <w:ind w:left="0" w:right="0" w:hanging="270"/>
        <w:rPr/>
      </w:pPr>
      <w:r>
        <w:rPr/>
      </w:r>
    </w:p>
    <w:p>
      <w:pPr>
        <w:pStyle w:val="TextBody"/>
        <w:spacing w:before="0" w:after="0"/>
        <w:ind w:left="0" w:right="0" w:hanging="270"/>
        <w:jc w:val="both"/>
        <w:rPr/>
      </w:pPr>
      <w:r>
        <w:rPr/>
      </w:r>
    </w:p>
    <w:p>
      <w:pPr>
        <w:pStyle w:val="TextBody"/>
        <w:spacing w:before="0" w:after="0"/>
        <w:ind w:left="0" w:right="0" w:hanging="270"/>
        <w:jc w:val="both"/>
        <w:rPr/>
      </w:pPr>
      <w:r>
        <w:rPr/>
      </w:r>
    </w:p>
    <w:p>
      <w:pPr>
        <w:pStyle w:val="TextBody"/>
        <w:spacing w:before="0" w:after="0"/>
        <w:ind w:left="0" w:right="0" w:hanging="270"/>
        <w:jc w:val="both"/>
        <w:rPr/>
      </w:pPr>
      <w:r>
        <w:rPr/>
      </w:r>
    </w:p>
    <w:p>
      <w:pPr>
        <w:pStyle w:val="TextBody"/>
        <w:spacing w:before="0" w:after="0"/>
        <w:ind w:left="0" w:right="0" w:hanging="270"/>
        <w:jc w:val="both"/>
        <w:rPr/>
      </w:pPr>
      <w:r>
        <w:rPr/>
      </w:r>
    </w:p>
    <w:p>
      <w:pPr>
        <w:pStyle w:val="TextBody"/>
        <w:spacing w:before="0" w:after="0"/>
        <w:ind w:left="0" w:right="0" w:hanging="270"/>
        <w:jc w:val="both"/>
        <w:rPr/>
      </w:pPr>
      <w:r>
        <w:rPr/>
      </w:r>
    </w:p>
    <w:p>
      <w:pPr>
        <w:pStyle w:val="TextBody"/>
        <w:spacing w:before="0" w:after="0"/>
        <w:ind w:left="0" w:right="0" w:hanging="270"/>
        <w:jc w:val="both"/>
        <w:rPr/>
      </w:pPr>
      <w:r>
        <w:rPr/>
      </w:r>
    </w:p>
    <w:p>
      <w:pPr>
        <w:pStyle w:val="TextBody"/>
        <w:spacing w:before="0" w:after="0"/>
        <w:ind w:left="0" w:right="0" w:hanging="270"/>
        <w:jc w:val="both"/>
        <w:rPr/>
      </w:pPr>
      <w:r>
        <w:rPr/>
      </w:r>
    </w:p>
    <w:p>
      <w:pPr>
        <w:pStyle w:val="TextBody"/>
        <w:ind w:left="0" w:right="0" w:hanging="270"/>
        <w:jc w:val="both"/>
        <w:rPr/>
      </w:pPr>
      <w:r>
        <w:rPr/>
      </w:r>
      <w:r>
        <w:br w:type="page"/>
      </w:r>
    </w:p>
    <w:p>
      <w:pPr>
        <w:pStyle w:val="TextBody"/>
        <w:spacing w:before="120" w:after="120"/>
        <w:jc w:val="center"/>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4"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5 of 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5 of 10</w:t>
                      </w:r>
                    </w:p>
                  </w:txbxContent>
                </v:textbox>
              </v:rect>
            </w:pict>
          </mc:Fallback>
        </mc:AlternateContent>
      </w:r>
    </w:p>
    <w:tbl>
      <w:tblPr>
        <w:tblW w:w="5738" w:type="dxa"/>
        <w:jc w:val="center"/>
        <w:tblInd w:w="0" w:type="dxa"/>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spacing w:before="0" w:after="0"/>
              <w:jc w:val="left"/>
              <w:rPr/>
            </w:pPr>
            <w:r>
              <w:rPr/>
            </w:r>
          </w:p>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6" w:type="dxa"/>
            <w:gridSpan w:val="3"/>
            <w:tcBorders/>
            <w:shd w:fill="auto" w:val="clear"/>
            <w:tcMar>
              <w:top w:w="0" w:type="dxa"/>
              <w:left w:w="0" w:type="dxa"/>
              <w:bottom w:w="0" w:type="dxa"/>
              <w:right w:w="0" w:type="dxa"/>
            </w:tcMar>
            <w:vAlign w:val="center"/>
          </w:tcPr>
          <w:p>
            <w:pPr>
              <w:pStyle w:val="TableContents"/>
              <w:spacing w:before="0" w:after="0"/>
              <w:jc w:val="right"/>
              <w:rPr/>
            </w:pPr>
            <w:r>
              <w:rPr/>
              <w:drawing>
                <wp:inline distT="0" distB="63500" distL="0" distR="0">
                  <wp:extent cx="1724025" cy="552450"/>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7"/>
                          <a:stretch>
                            <a:fillRect/>
                          </a:stretch>
                        </pic:blipFill>
                        <pic:spPr bwMode="auto">
                          <a:xfrm>
                            <a:off x="0" y="0"/>
                            <a:ext cx="1724025" cy="552450"/>
                          </a:xfrm>
                          <a:prstGeom prst="rect">
                            <a:avLst/>
                          </a:prstGeom>
                        </pic:spPr>
                      </pic:pic>
                    </a:graphicData>
                  </a:graphic>
                </wp:inline>
              </w:drawing>
            </w:r>
          </w:p>
        </w:tc>
      </w:tr>
    </w:tbl>
    <w:p>
      <w:pPr>
        <w:pStyle w:val="TextBody"/>
        <w:spacing w:before="0" w:after="0"/>
        <w:ind w:left="0" w:right="0" w:hanging="270"/>
        <w:jc w:val="both"/>
        <w:rPr/>
      </w:pPr>
      <w:r>
        <w:rPr/>
      </w:r>
    </w:p>
    <w:p>
      <w:pPr>
        <w:pStyle w:val="TextBody"/>
        <w:spacing w:before="0" w:after="0"/>
        <w:ind w:left="0" w:right="0" w:hanging="270"/>
        <w:jc w:val="both"/>
        <w:rPr/>
      </w:pPr>
      <w:r>
        <w:rPr/>
      </w:r>
    </w:p>
    <w:p>
      <w:pPr>
        <w:pStyle w:val="TextBody"/>
        <w:spacing w:before="0" w:after="0"/>
        <w:ind w:left="0" w:right="0" w:hanging="270"/>
        <w:jc w:val="center"/>
        <w:rPr/>
      </w:pPr>
      <w:r>
        <w:rPr/>
      </w:r>
    </w:p>
    <w:p>
      <w:pPr>
        <w:pStyle w:val="TextBody"/>
        <w:spacing w:lineRule="auto" w:line="288" w:before="0" w:after="0"/>
        <w:ind w:left="0" w:right="0" w:hanging="27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Consolidated Supplemental Data (Unaudited)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per share data)</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Reconciliation from Net Income and Diluted Earnings Per Share to Adjusted Net Income and Adjusted Diluted Earnings Per Share</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The following table reconciles reported net income and diluted earnings per share attributable to the Company to adjusted net income and adjusted diluted earnings per share, as used elsewhere in this release.</w:t>
      </w:r>
      <w:r>
        <w:rPr>
          <w:color w:val="000000"/>
        </w:rPr>
        <w:t xml:space="preserve"> </w:t>
      </w:r>
    </w:p>
    <w:p>
      <w:pPr>
        <w:pStyle w:val="TextBody"/>
        <w:spacing w:before="0" w:after="0"/>
        <w:jc w:val="both"/>
        <w:rPr/>
      </w:pPr>
      <w:r>
        <w:rPr/>
      </w:r>
    </w:p>
    <w:tbl>
      <w:tblPr>
        <w:tblW w:w="10205" w:type="dxa"/>
        <w:jc w:val="center"/>
        <w:tblInd w:w="0" w:type="dxa"/>
        <w:tblCellMar>
          <w:top w:w="28" w:type="dxa"/>
          <w:left w:w="28" w:type="dxa"/>
          <w:bottom w:w="28" w:type="dxa"/>
          <w:right w:w="28" w:type="dxa"/>
        </w:tblCellMar>
      </w:tblPr>
      <w:tblGrid>
        <w:gridCol w:w="2155"/>
        <w:gridCol w:w="1806"/>
        <w:gridCol w:w="1816"/>
        <w:gridCol w:w="200"/>
        <w:gridCol w:w="200"/>
        <w:gridCol w:w="202"/>
        <w:gridCol w:w="126"/>
        <w:gridCol w:w="126"/>
        <w:gridCol w:w="126"/>
        <w:gridCol w:w="193"/>
        <w:gridCol w:w="193"/>
        <w:gridCol w:w="194"/>
        <w:gridCol w:w="126"/>
        <w:gridCol w:w="126"/>
        <w:gridCol w:w="126"/>
        <w:gridCol w:w="200"/>
        <w:gridCol w:w="200"/>
        <w:gridCol w:w="202"/>
        <w:gridCol w:w="126"/>
        <w:gridCol w:w="126"/>
        <w:gridCol w:w="126"/>
        <w:gridCol w:w="193"/>
        <w:gridCol w:w="193"/>
        <w:gridCol w:w="194"/>
        <w:gridCol w:w="109"/>
        <w:gridCol w:w="109"/>
        <w:gridCol w:w="109"/>
        <w:gridCol w:w="109"/>
        <w:gridCol w:w="109"/>
        <w:gridCol w:w="109"/>
        <w:gridCol w:w="109"/>
        <w:gridCol w:w="167"/>
      </w:tblGrid>
      <w:tr>
        <w:trPr/>
        <w:tc>
          <w:tcPr>
            <w:tcW w:w="2155" w:type="dxa"/>
            <w:tcBorders/>
            <w:shd w:fill="auto" w:val="clear"/>
            <w:vAlign w:val="center"/>
          </w:tcPr>
          <w:p>
            <w:pPr>
              <w:pStyle w:val="TableContents"/>
              <w:spacing w:before="0" w:after="283"/>
              <w:rPr>
                <w:sz w:val="4"/>
                <w:szCs w:val="4"/>
              </w:rPr>
            </w:pPr>
            <w:r>
              <w:rPr>
                <w:sz w:val="4"/>
                <w:szCs w:val="4"/>
              </w:rPr>
            </w:r>
          </w:p>
        </w:tc>
        <w:tc>
          <w:tcPr>
            <w:tcW w:w="1806" w:type="dxa"/>
            <w:tcBorders/>
            <w:shd w:fill="auto" w:val="clear"/>
            <w:vAlign w:val="center"/>
          </w:tcPr>
          <w:p>
            <w:pPr>
              <w:pStyle w:val="TableContents"/>
              <w:spacing w:before="0" w:after="283"/>
              <w:rPr>
                <w:sz w:val="4"/>
                <w:szCs w:val="4"/>
              </w:rPr>
            </w:pPr>
            <w:r>
              <w:rPr>
                <w:sz w:val="4"/>
                <w:szCs w:val="4"/>
              </w:rPr>
            </w:r>
          </w:p>
        </w:tc>
        <w:tc>
          <w:tcPr>
            <w:tcW w:w="1816"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5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8"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2" w:type="dxa"/>
            <w:gridSpan w:val="6"/>
            <w:tcBorders/>
            <w:shd w:fill="auto" w:val="clear"/>
          </w:tcPr>
          <w:p>
            <w:pPr>
              <w:pStyle w:val="TableContents"/>
              <w:spacing w:before="0" w:after="283"/>
              <w:rPr>
                <w:sz w:val="4"/>
                <w:szCs w:val="4"/>
              </w:rPr>
            </w:pPr>
            <w:r>
              <w:rPr>
                <w:sz w:val="4"/>
                <w:szCs w:val="4"/>
              </w:rPr>
            </w:r>
          </w:p>
        </w:tc>
      </w:tr>
      <w:tr>
        <w:trPr/>
        <w:tc>
          <w:tcPr>
            <w:tcW w:w="577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580" w:type="dxa"/>
            <w:gridSpan w:val="3"/>
            <w:tcBorders/>
            <w:shd w:fill="auto" w:val="clear"/>
            <w:vAlign w:val="center"/>
          </w:tcPr>
          <w:p>
            <w:pPr>
              <w:pStyle w:val="TableContents"/>
              <w:spacing w:before="0" w:after="283"/>
              <w:rPr>
                <w:sz w:val="4"/>
                <w:szCs w:val="4"/>
              </w:rPr>
            </w:pPr>
            <w:r>
              <w:rPr>
                <w:sz w:val="4"/>
                <w:szCs w:val="4"/>
              </w:rPr>
            </w:r>
          </w:p>
        </w:tc>
        <w:tc>
          <w:tcPr>
            <w:tcW w:w="2868" w:type="dxa"/>
            <w:gridSpan w:val="20"/>
            <w:tcBorders/>
            <w:shd w:fill="auto" w:val="clear"/>
          </w:tcPr>
          <w:p>
            <w:pPr>
              <w:pStyle w:val="TableContents"/>
              <w:spacing w:before="0" w:after="283"/>
              <w:rPr>
                <w:sz w:val="4"/>
                <w:szCs w:val="4"/>
              </w:rPr>
            </w:pPr>
            <w:r>
              <w:rPr>
                <w:sz w:val="4"/>
                <w:szCs w:val="4"/>
              </w:rPr>
            </w:r>
          </w:p>
        </w:tc>
      </w:tr>
      <w:tr>
        <w:trPr/>
        <w:tc>
          <w:tcPr>
            <w:tcW w:w="5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4" w:type="dxa"/>
            <w:gridSpan w:val="4"/>
            <w:tcBorders/>
            <w:shd w:fill="auto" w:val="clear"/>
          </w:tcPr>
          <w:p>
            <w:pPr>
              <w:pStyle w:val="TableContents"/>
              <w:spacing w:before="0" w:after="283"/>
              <w:rPr>
                <w:sz w:val="4"/>
                <w:szCs w:val="4"/>
              </w:rPr>
            </w:pPr>
            <w:r>
              <w:rPr>
                <w:sz w:val="4"/>
                <w:szCs w:val="4"/>
              </w:rPr>
            </w:r>
          </w:p>
        </w:tc>
      </w:tr>
      <w:tr>
        <w:trPr/>
        <w:tc>
          <w:tcPr>
            <w:tcW w:w="57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income/diluted earnings per share attributable to Crown Holdings, as reported </w:t>
            </w:r>
          </w:p>
        </w:tc>
        <w:tc>
          <w:tcPr>
            <w:tcW w:w="6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$102</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$0.85</w:t>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$216</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$1.74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57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Times New Roman;sans-serif" w:hAnsi="Times New Roman;sans-serif"/>
                <w:b w:val="false"/>
                <w:color w:val="000000"/>
                <w:sz w:val="20"/>
              </w:rPr>
              <w:t xml:space="preserve">Intangibles amortization </w:t>
            </w:r>
            <w:r>
              <w:rPr>
                <w:rFonts w:ascii="Times New Roman;sans-serif" w:hAnsi="Times New Roman;sans-serif"/>
                <w:b w:val="false"/>
                <w:color w:val="000000"/>
                <w:sz w:val="13"/>
              </w:rPr>
              <w:t>(1)</w:t>
            </w:r>
          </w:p>
        </w:tc>
        <w:tc>
          <w:tcPr>
            <w:tcW w:w="6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0.33</w:t>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577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580"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5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57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Times New Roman;sans-serif" w:hAnsi="Times New Roman;sans-serif"/>
                <w:b w:val="false"/>
                <w:color w:val="000000"/>
                <w:sz w:val="20"/>
              </w:rPr>
              <w:t xml:space="preserve">Restructuring and other </w:t>
            </w:r>
            <w:r>
              <w:rPr>
                <w:rFonts w:ascii="Times New Roman;sans-serif" w:hAnsi="Times New Roman;sans-serif"/>
                <w:b w:val="false"/>
                <w:color w:val="000000"/>
                <w:sz w:val="13"/>
              </w:rPr>
              <w:t>(2)</w:t>
            </w:r>
          </w:p>
        </w:tc>
        <w:tc>
          <w:tcPr>
            <w:tcW w:w="6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577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580"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5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577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580"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5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577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580"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5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577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580"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5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57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Times New Roman;sans-serif" w:hAnsi="Times New Roman;sans-serif"/>
                <w:b w:val="false"/>
                <w:color w:val="000000"/>
                <w:sz w:val="20"/>
              </w:rPr>
              <w:t xml:space="preserve">Income taxes </w:t>
            </w:r>
            <w:r>
              <w:rPr>
                <w:rFonts w:ascii="Times New Roman;sans-serif" w:hAnsi="Times New Roman;sans-serif"/>
                <w:b w:val="false"/>
                <w:color w:val="000000"/>
                <w:sz w:val="13"/>
              </w:rPr>
              <w:t>(3)</w:t>
            </w:r>
          </w:p>
        </w:tc>
        <w:tc>
          <w:tcPr>
            <w:tcW w:w="6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577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580"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5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57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Times New Roman;sans-serif" w:hAnsi="Times New Roman;sans-serif"/>
                <w:b w:val="false"/>
                <w:color w:val="000000"/>
                <w:sz w:val="20"/>
              </w:rPr>
              <w:t xml:space="preserve">Equity earnings </w:t>
            </w:r>
            <w:r>
              <w:rPr>
                <w:rFonts w:ascii="Times New Roman;sans-serif" w:hAnsi="Times New Roman;sans-serif"/>
                <w:b w:val="false"/>
                <w:color w:val="000000"/>
                <w:sz w:val="13"/>
              </w:rPr>
              <w:t>(4)</w:t>
            </w:r>
          </w:p>
        </w:tc>
        <w:tc>
          <w:tcPr>
            <w:tcW w:w="6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577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580"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5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577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580"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5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57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income/diluted earnings per share</w:t>
            </w:r>
          </w:p>
        </w:tc>
        <w:tc>
          <w:tcPr>
            <w:tcW w:w="6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$144</w:t>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$1.20</w:t>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$250</w:t>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5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57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Effective tax rate as reported</w:t>
            </w:r>
            <w:r>
              <w:rPr>
                <w:color w:val="000000"/>
              </w:rPr>
              <w:t xml:space="preserve"> </w:t>
            </w:r>
          </w:p>
        </w:tc>
        <w:tc>
          <w:tcPr>
            <w:tcW w:w="6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5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57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effective tax rate </w:t>
            </w:r>
          </w:p>
        </w:tc>
        <w:tc>
          <w:tcPr>
            <w:tcW w:w="6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Adjusted net income, adjusted diluted earnings per share and the adjusted effective tax rate are non-GAAP measures and are not meant to be considered in isolation or as a substitute for net income, diluted earnings per share and effective tax rates determined in accordance with U.S. generally accepted accounting principles. The Company believes these non-GAAP measures provide useful information to evaluate the performance of the Company’s ongoing business.</w:t>
      </w:r>
    </w:p>
    <w:p>
      <w:pPr>
        <w:pStyle w:val="TextBody"/>
        <w:spacing w:before="0" w:after="0"/>
        <w:rPr/>
      </w:pPr>
      <w:r>
        <w:rPr/>
      </w:r>
    </w:p>
    <w:p>
      <w:pPr>
        <w:pStyle w:val="TextBody"/>
        <w:spacing w:lineRule="auto" w:line="268" w:before="0" w:after="0"/>
        <w:ind w:left="0" w:right="0" w:hanging="360"/>
        <w:rPr/>
      </w:pPr>
      <w:r>
        <w:rPr>
          <w:rFonts w:ascii="Times New Roman;sans-serif" w:hAnsi="Times New Roman;sans-serif"/>
          <w:b w:val="false"/>
          <w:color w:val="000000"/>
          <w:sz w:val="13"/>
        </w:rPr>
        <w:t>(1)</w:t>
      </w:r>
      <w:r>
        <w:rPr>
          <w:rFonts w:ascii="Times New Roman;sans-serif" w:hAnsi="Times New Roman;sans-serif"/>
          <w:b w:val="false"/>
          <w:color w:val="000000"/>
          <w:sz w:val="20"/>
        </w:rPr>
        <w:t>In the first quarters of 2023 and 2022, the Company recorded charges of $40 million ($31 million net of tax) for intangibles amortization arising from prior acquisitions.</w:t>
      </w:r>
    </w:p>
    <w:p>
      <w:pPr>
        <w:pStyle w:val="TextBody"/>
        <w:spacing w:before="0" w:after="0"/>
        <w:rPr/>
      </w:pPr>
      <w:r>
        <w:rPr/>
      </w:r>
    </w:p>
    <w:p>
      <w:pPr>
        <w:pStyle w:val="TextBody"/>
        <w:spacing w:lineRule="auto" w:line="268" w:before="0" w:after="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In the first quarter of 2023, the Company recorded net restructuring and other charges of $11 million ($9 million net of tax) primarily related to business reorganization activities in Europe. In the first quarter of 2022, the Company recorded net restructuring and other gains of $1 million ($2 million net of tax).</w:t>
      </w:r>
    </w:p>
    <w:p>
      <w:pPr>
        <w:pStyle w:val="TextBody"/>
        <w:spacing w:lineRule="auto" w:line="268" w:before="0" w:after="0"/>
        <w:ind w:left="0" w:right="0" w:hanging="36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 xml:space="preserve">The Company recorded income tax benefits of $12 million and $7 million in the first quarters of 2023 and 2022, primarily related to the items described above. </w:t>
      </w:r>
    </w:p>
    <w:p>
      <w:pPr>
        <w:pStyle w:val="TextBody"/>
        <w:spacing w:before="0" w:after="0"/>
        <w:rPr/>
      </w:pPr>
      <w:r>
        <w:rPr/>
      </w:r>
    </w:p>
    <w:p>
      <w:pPr>
        <w:pStyle w:val="TextBody"/>
        <w:spacing w:lineRule="auto" w:line="268" w:before="0" w:after="0"/>
        <w:ind w:left="0" w:right="0" w:hanging="360"/>
        <w:rPr/>
      </w:pPr>
      <w:r>
        <w:rPr>
          <w:rFonts w:ascii="Times New Roman;sans-serif" w:hAnsi="Times New Roman;sans-serif"/>
          <w:b w:val="false"/>
          <w:color w:val="000000"/>
          <w:sz w:val="13"/>
        </w:rPr>
        <w:t>(4)</w:t>
      </w:r>
      <w:r>
        <w:rPr>
          <w:rFonts w:ascii="Times New Roman;sans-serif" w:hAnsi="Times New Roman;sans-serif"/>
          <w:b w:val="false"/>
          <w:color w:val="000000"/>
          <w:sz w:val="20"/>
        </w:rPr>
        <w:t>In the first quarters of 2023 and 2022, the Company recorded its proportional share of intangible amortization, net of tax, recorded by its equity method investment, Eviosys, in the line Equity earnings.</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jc w:val="center"/>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6"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6 of 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6 of 10</w:t>
                      </w:r>
                    </w:p>
                  </w:txbxContent>
                </v:textbox>
              </v:rect>
            </w:pict>
          </mc:Fallback>
        </mc:AlternateContent>
      </w:r>
    </w:p>
    <w:tbl>
      <w:tblPr>
        <w:tblW w:w="5738" w:type="dxa"/>
        <w:jc w:val="center"/>
        <w:tblInd w:w="0" w:type="dxa"/>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spacing w:before="0" w:after="0"/>
              <w:jc w:val="left"/>
              <w:rPr/>
            </w:pPr>
            <w:r>
              <w:rPr/>
            </w:r>
          </w:p>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6" w:type="dxa"/>
            <w:gridSpan w:val="3"/>
            <w:tcBorders/>
            <w:shd w:fill="auto" w:val="clear"/>
            <w:tcMar>
              <w:top w:w="0" w:type="dxa"/>
              <w:left w:w="0" w:type="dxa"/>
              <w:bottom w:w="0" w:type="dxa"/>
              <w:right w:w="0" w:type="dxa"/>
            </w:tcMar>
            <w:vAlign w:val="center"/>
          </w:tcPr>
          <w:p>
            <w:pPr>
              <w:pStyle w:val="TableContents"/>
              <w:spacing w:before="0" w:after="0"/>
              <w:jc w:val="right"/>
              <w:rPr/>
            </w:pPr>
            <w:r>
              <w:rPr/>
              <w:drawing>
                <wp:inline distT="0" distB="63500" distL="0" distR="0">
                  <wp:extent cx="1724025" cy="552450"/>
                  <wp:effectExtent l="0" t="0" r="0" b="0"/>
                  <wp:docPr id="1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7" descr=""/>
                          <pic:cNvPicPr>
                            <a:picLocks noChangeAspect="1" noChangeArrowheads="1"/>
                          </pic:cNvPicPr>
                        </pic:nvPicPr>
                        <pic:blipFill>
                          <a:blip r:embed="rId8"/>
                          <a:stretch>
                            <a:fillRect/>
                          </a:stretch>
                        </pic:blipFill>
                        <pic:spPr bwMode="auto">
                          <a:xfrm>
                            <a:off x="0" y="0"/>
                            <a:ext cx="1724025" cy="552450"/>
                          </a:xfrm>
                          <a:prstGeom prst="rect">
                            <a:avLst/>
                          </a:prstGeom>
                        </pic:spPr>
                      </pic:pic>
                    </a:graphicData>
                  </a:graphic>
                </wp:inline>
              </w:drawing>
            </w:r>
          </w:p>
        </w:tc>
      </w:tr>
    </w:tbl>
    <w:p>
      <w:pPr>
        <w:pStyle w:val="TextBody"/>
        <w:spacing w:before="0" w:after="0"/>
        <w:jc w:val="center"/>
        <w:rPr/>
      </w:pPr>
      <w:r>
        <w:rPr/>
      </w:r>
    </w:p>
    <w:tbl>
      <w:tblPr>
        <w:tblW w:w="7966" w:type="dxa"/>
        <w:jc w:val="center"/>
        <w:tblInd w:w="0" w:type="dxa"/>
        <w:tblCellMar>
          <w:top w:w="28" w:type="dxa"/>
          <w:left w:w="28" w:type="dxa"/>
          <w:bottom w:w="28" w:type="dxa"/>
          <w:right w:w="28" w:type="dxa"/>
        </w:tblCellMar>
      </w:tblPr>
      <w:tblGrid>
        <w:gridCol w:w="1363"/>
        <w:gridCol w:w="1198"/>
        <w:gridCol w:w="1203"/>
        <w:gridCol w:w="357"/>
        <w:gridCol w:w="1246"/>
        <w:gridCol w:w="184"/>
        <w:gridCol w:w="184"/>
        <w:gridCol w:w="184"/>
        <w:gridCol w:w="184"/>
        <w:gridCol w:w="357"/>
        <w:gridCol w:w="1246"/>
        <w:gridCol w:w="260"/>
      </w:tblGrid>
      <w:tr>
        <w:trPr/>
        <w:tc>
          <w:tcPr>
            <w:tcW w:w="1363" w:type="dxa"/>
            <w:tcBorders/>
            <w:shd w:fill="auto" w:val="clear"/>
            <w:vAlign w:val="center"/>
          </w:tcPr>
          <w:p>
            <w:pPr>
              <w:pStyle w:val="TableContents"/>
              <w:spacing w:before="0" w:after="283"/>
              <w:rPr>
                <w:sz w:val="4"/>
                <w:szCs w:val="4"/>
              </w:rPr>
            </w:pPr>
            <w:r>
              <w:rPr>
                <w:sz w:val="4"/>
                <w:szCs w:val="4"/>
              </w:rPr>
            </w:r>
          </w:p>
        </w:tc>
        <w:tc>
          <w:tcPr>
            <w:tcW w:w="1198" w:type="dxa"/>
            <w:tcBorders/>
            <w:shd w:fill="auto" w:val="clear"/>
            <w:vAlign w:val="center"/>
          </w:tcPr>
          <w:p>
            <w:pPr>
              <w:pStyle w:val="TableContents"/>
              <w:spacing w:before="0" w:after="283"/>
              <w:rPr>
                <w:sz w:val="4"/>
                <w:szCs w:val="4"/>
              </w:rPr>
            </w:pPr>
            <w:r>
              <w:rPr>
                <w:sz w:val="4"/>
                <w:szCs w:val="4"/>
              </w:rPr>
            </w:r>
          </w:p>
        </w:tc>
        <w:tc>
          <w:tcPr>
            <w:tcW w:w="1203"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r>
      <w:tr>
        <w:trPr/>
        <w:tc>
          <w:tcPr>
            <w:tcW w:w="7966"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Consolidated Balance Sheets (Condensed &amp; Unaudited)</w:t>
            </w:r>
          </w:p>
        </w:tc>
      </w:tr>
      <w:tr>
        <w:trPr/>
        <w:tc>
          <w:tcPr>
            <w:tcW w:w="7966"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w:t>
            </w:r>
          </w:p>
        </w:tc>
        <w:tc>
          <w:tcPr>
            <w:tcW w:w="17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7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7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7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Cash and cash equivalents</w:t>
            </w:r>
          </w:p>
        </w:tc>
        <w:tc>
          <w:tcPr>
            <w:tcW w:w="35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2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Receivables, net</w:t>
            </w:r>
          </w:p>
        </w:tc>
        <w:tc>
          <w:tcPr>
            <w:tcW w:w="16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1,957 </w:t>
            </w:r>
          </w:p>
        </w:tc>
        <w:tc>
          <w:tcPr>
            <w:tcW w:w="1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2,170 </w:t>
            </w:r>
          </w:p>
        </w:tc>
        <w:tc>
          <w:tcPr>
            <w:tcW w:w="2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Inventories</w:t>
            </w:r>
          </w:p>
        </w:tc>
        <w:tc>
          <w:tcPr>
            <w:tcW w:w="16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2,058 </w:t>
            </w:r>
          </w:p>
        </w:tc>
        <w:tc>
          <w:tcPr>
            <w:tcW w:w="1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2,063 </w:t>
            </w:r>
          </w:p>
        </w:tc>
        <w:tc>
          <w:tcPr>
            <w:tcW w:w="2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Prepaid expenses and other current assets</w:t>
            </w:r>
          </w:p>
        </w:tc>
        <w:tc>
          <w:tcPr>
            <w:tcW w:w="16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2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Current assets held for sale</w:t>
            </w:r>
          </w:p>
        </w:tc>
        <w:tc>
          <w:tcPr>
            <w:tcW w:w="17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color w:val="000000"/>
                <w:sz w:val="20"/>
              </w:rPr>
              <w:t>Total current assets</w:t>
            </w:r>
          </w:p>
        </w:tc>
        <w:tc>
          <w:tcPr>
            <w:tcW w:w="160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4,662</w:t>
            </w:r>
            <w:r>
              <w:rPr>
                <w:color w:val="000000"/>
              </w:rPr>
              <w:t> </w:t>
            </w:r>
          </w:p>
        </w:tc>
        <w:tc>
          <w:tcPr>
            <w:tcW w:w="18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5,062</w:t>
            </w:r>
            <w:r>
              <w:rPr>
                <w:color w:val="000000"/>
              </w:rPr>
              <w:t> </w:t>
            </w:r>
          </w:p>
        </w:tc>
        <w:tc>
          <w:tcPr>
            <w:tcW w:w="26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intangible assets, net</w:t>
            </w:r>
          </w:p>
        </w:tc>
        <w:tc>
          <w:tcPr>
            <w:tcW w:w="16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4,339 </w:t>
            </w:r>
          </w:p>
        </w:tc>
        <w:tc>
          <w:tcPr>
            <w:tcW w:w="1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4,483 </w:t>
            </w:r>
          </w:p>
        </w:tc>
        <w:tc>
          <w:tcPr>
            <w:tcW w:w="2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6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4,704 </w:t>
            </w:r>
          </w:p>
        </w:tc>
        <w:tc>
          <w:tcPr>
            <w:tcW w:w="1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4,083 </w:t>
            </w:r>
          </w:p>
        </w:tc>
        <w:tc>
          <w:tcPr>
            <w:tcW w:w="2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6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1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2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vAlign w:val="center"/>
          </w:tcPr>
          <w:p>
            <w:pPr>
              <w:pStyle w:val="TableContents"/>
              <w:spacing w:before="0" w:after="283"/>
              <w:rPr>
                <w:sz w:val="4"/>
                <w:szCs w:val="4"/>
              </w:rPr>
            </w:pPr>
            <w:r>
              <w:rPr>
                <w:sz w:val="4"/>
                <w:szCs w:val="4"/>
              </w:rPr>
            </w:r>
          </w:p>
        </w:tc>
        <w:tc>
          <w:tcPr>
            <w:tcW w:w="1787" w:type="dxa"/>
            <w:gridSpan w:val="3"/>
            <w:tcBorders/>
            <w:shd w:fill="auto" w:val="clear"/>
            <w:vAlign w:val="center"/>
          </w:tcPr>
          <w:p>
            <w:pPr>
              <w:pStyle w:val="TableContents"/>
              <w:spacing w:before="0" w:after="283"/>
              <w:rPr>
                <w:sz w:val="4"/>
                <w:szCs w:val="4"/>
              </w:rPr>
            </w:pPr>
            <w:r>
              <w:rPr>
                <w:sz w:val="4"/>
                <w:szCs w:val="4"/>
              </w:rPr>
            </w:r>
          </w:p>
        </w:tc>
        <w:tc>
          <w:tcPr>
            <w:tcW w:w="552" w:type="dxa"/>
            <w:gridSpan w:val="3"/>
            <w:tcBorders/>
            <w:shd w:fill="auto" w:val="clear"/>
            <w:vAlign w:val="center"/>
          </w:tcPr>
          <w:p>
            <w:pPr>
              <w:pStyle w:val="TableContents"/>
              <w:spacing w:before="0" w:after="283"/>
              <w:rPr>
                <w:sz w:val="4"/>
                <w:szCs w:val="4"/>
              </w:rPr>
            </w:pPr>
            <w:r>
              <w:rPr>
                <w:sz w:val="4"/>
                <w:szCs w:val="4"/>
              </w:rPr>
            </w:r>
          </w:p>
        </w:tc>
        <w:tc>
          <w:tcPr>
            <w:tcW w:w="1863" w:type="dxa"/>
            <w:gridSpan w:val="3"/>
            <w:tcBorders/>
            <w:shd w:fill="auto" w:val="cle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color w:val="000000"/>
                <w:sz w:val="20"/>
              </w:rPr>
              <w:t>Total assets</w:t>
            </w:r>
          </w:p>
        </w:tc>
        <w:tc>
          <w:tcPr>
            <w:tcW w:w="35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14,412</w:t>
            </w:r>
            <w:r>
              <w:rPr>
                <w:color w:val="000000"/>
              </w:rPr>
              <w:t> </w:t>
            </w:r>
          </w:p>
        </w:tc>
        <w:tc>
          <w:tcPr>
            <w:tcW w:w="18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14,430</w:t>
            </w:r>
            <w:r>
              <w:rPr>
                <w:color w:val="000000"/>
              </w:rPr>
              <w:t> </w:t>
            </w:r>
          </w:p>
        </w:tc>
        <w:tc>
          <w:tcPr>
            <w:tcW w:w="26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17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17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Short-term debt</w:t>
            </w:r>
          </w:p>
        </w:tc>
        <w:tc>
          <w:tcPr>
            <w:tcW w:w="35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Current maturities of long-term debt</w:t>
            </w:r>
          </w:p>
        </w:tc>
        <w:tc>
          <w:tcPr>
            <w:tcW w:w="16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2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Accounts payable and accrued liabilities</w:t>
            </w:r>
          </w:p>
        </w:tc>
        <w:tc>
          <w:tcPr>
            <w:tcW w:w="16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3,289 </w:t>
            </w:r>
          </w:p>
        </w:tc>
        <w:tc>
          <w:tcPr>
            <w:tcW w:w="1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3,856 </w:t>
            </w:r>
          </w:p>
        </w:tc>
        <w:tc>
          <w:tcPr>
            <w:tcW w:w="2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Current liabilities held for sale</w:t>
            </w:r>
          </w:p>
        </w:tc>
        <w:tc>
          <w:tcPr>
            <w:tcW w:w="17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Times New Roman;sans-serif" w:hAnsi="Times New Roman;sans-serif"/>
                <w:b/>
                <w:color w:val="000000"/>
                <w:sz w:val="20"/>
              </w:rPr>
              <w:t>Total current liabilities</w:t>
            </w:r>
          </w:p>
        </w:tc>
        <w:tc>
          <w:tcPr>
            <w:tcW w:w="160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3,576</w:t>
            </w:r>
            <w:r>
              <w:rPr>
                <w:color w:val="000000"/>
              </w:rPr>
              <w:t> </w:t>
            </w:r>
          </w:p>
        </w:tc>
        <w:tc>
          <w:tcPr>
            <w:tcW w:w="18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5,106</w:t>
            </w:r>
            <w:r>
              <w:rPr>
                <w:color w:val="000000"/>
              </w:rPr>
              <w:t> </w:t>
            </w:r>
          </w:p>
        </w:tc>
        <w:tc>
          <w:tcPr>
            <w:tcW w:w="26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excluding current maturities</w:t>
            </w:r>
          </w:p>
        </w:tc>
        <w:tc>
          <w:tcPr>
            <w:tcW w:w="16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7,046 </w:t>
            </w:r>
          </w:p>
        </w:tc>
        <w:tc>
          <w:tcPr>
            <w:tcW w:w="1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5,654 </w:t>
            </w:r>
          </w:p>
        </w:tc>
        <w:tc>
          <w:tcPr>
            <w:tcW w:w="2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6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1,308 </w:t>
            </w:r>
          </w:p>
        </w:tc>
        <w:tc>
          <w:tcPr>
            <w:tcW w:w="1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1,410 </w:t>
            </w:r>
          </w:p>
        </w:tc>
        <w:tc>
          <w:tcPr>
            <w:tcW w:w="2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vAlign w:val="center"/>
          </w:tcPr>
          <w:p>
            <w:pPr>
              <w:pStyle w:val="TableContents"/>
              <w:spacing w:before="0" w:after="283"/>
              <w:rPr>
                <w:sz w:val="4"/>
                <w:szCs w:val="4"/>
              </w:rPr>
            </w:pPr>
            <w:r>
              <w:rPr>
                <w:sz w:val="4"/>
                <w:szCs w:val="4"/>
              </w:rPr>
            </w:r>
          </w:p>
        </w:tc>
        <w:tc>
          <w:tcPr>
            <w:tcW w:w="1787" w:type="dxa"/>
            <w:gridSpan w:val="3"/>
            <w:tcBorders/>
            <w:shd w:fill="auto" w:val="clear"/>
            <w:vAlign w:val="center"/>
          </w:tcPr>
          <w:p>
            <w:pPr>
              <w:pStyle w:val="TableContents"/>
              <w:spacing w:before="0" w:after="283"/>
              <w:rPr>
                <w:sz w:val="4"/>
                <w:szCs w:val="4"/>
              </w:rPr>
            </w:pPr>
            <w:r>
              <w:rPr>
                <w:sz w:val="4"/>
                <w:szCs w:val="4"/>
              </w:rPr>
            </w:r>
          </w:p>
        </w:tc>
        <w:tc>
          <w:tcPr>
            <w:tcW w:w="552" w:type="dxa"/>
            <w:gridSpan w:val="3"/>
            <w:tcBorders/>
            <w:shd w:fill="auto" w:val="clear"/>
            <w:vAlign w:val="center"/>
          </w:tcPr>
          <w:p>
            <w:pPr>
              <w:pStyle w:val="TableContents"/>
              <w:spacing w:before="0" w:after="283"/>
              <w:rPr>
                <w:sz w:val="4"/>
                <w:szCs w:val="4"/>
              </w:rPr>
            </w:pPr>
            <w:r>
              <w:rPr>
                <w:sz w:val="4"/>
                <w:szCs w:val="4"/>
              </w:rPr>
            </w:r>
          </w:p>
        </w:tc>
        <w:tc>
          <w:tcPr>
            <w:tcW w:w="1863" w:type="dxa"/>
            <w:gridSpan w:val="3"/>
            <w:tcBorders/>
            <w:shd w:fill="auto" w:val="cle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6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2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Holdings shareholders' equity</w:t>
            </w:r>
          </w:p>
        </w:tc>
        <w:tc>
          <w:tcPr>
            <w:tcW w:w="16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2,030 </w:t>
            </w:r>
          </w:p>
        </w:tc>
        <w:tc>
          <w:tcPr>
            <w:tcW w:w="1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1,820 </w:t>
            </w:r>
          </w:p>
        </w:tc>
        <w:tc>
          <w:tcPr>
            <w:tcW w:w="2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60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2,482 </w:t>
            </w:r>
          </w:p>
        </w:tc>
        <w:tc>
          <w:tcPr>
            <w:tcW w:w="18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2,260 </w:t>
            </w:r>
          </w:p>
        </w:tc>
        <w:tc>
          <w:tcPr>
            <w:tcW w:w="26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Times New Roman;sans-serif" w:hAnsi="Times New Roman;sans-serif"/>
                <w:b/>
                <w:color w:val="000000"/>
                <w:sz w:val="20"/>
              </w:rPr>
              <w:t>Total liabilities and equity</w:t>
            </w:r>
          </w:p>
        </w:tc>
        <w:tc>
          <w:tcPr>
            <w:tcW w:w="35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4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14,412</w:t>
            </w:r>
            <w:r>
              <w:rPr>
                <w:color w:val="000000"/>
              </w:rPr>
              <w:t> </w:t>
            </w:r>
          </w:p>
        </w:tc>
        <w:tc>
          <w:tcPr>
            <w:tcW w:w="18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4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14,430</w:t>
            </w:r>
            <w:r>
              <w:rPr>
                <w:color w:val="000000"/>
              </w:rPr>
              <w:t> </w:t>
            </w:r>
          </w:p>
        </w:tc>
        <w:tc>
          <w:tcPr>
            <w:tcW w:w="26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ind w:left="0" w:right="0" w:hanging="360"/>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jc w:val="center"/>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7 of 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7 of 10</w:t>
                      </w:r>
                    </w:p>
                  </w:txbxContent>
                </v:textbox>
              </v:rect>
            </w:pict>
          </mc:Fallback>
        </mc:AlternateContent>
      </w:r>
    </w:p>
    <w:tbl>
      <w:tblPr>
        <w:tblW w:w="5738" w:type="dxa"/>
        <w:jc w:val="center"/>
        <w:tblInd w:w="0" w:type="dxa"/>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spacing w:before="0" w:after="0"/>
              <w:jc w:val="left"/>
              <w:rPr/>
            </w:pPr>
            <w:r>
              <w:rPr/>
            </w:r>
          </w:p>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6" w:type="dxa"/>
            <w:gridSpan w:val="3"/>
            <w:tcBorders/>
            <w:shd w:fill="auto" w:val="clear"/>
            <w:tcMar>
              <w:top w:w="0" w:type="dxa"/>
              <w:left w:w="0" w:type="dxa"/>
              <w:bottom w:w="0" w:type="dxa"/>
              <w:right w:w="0" w:type="dxa"/>
            </w:tcMar>
            <w:vAlign w:val="center"/>
          </w:tcPr>
          <w:p>
            <w:pPr>
              <w:pStyle w:val="TableContents"/>
              <w:spacing w:before="0" w:after="0"/>
              <w:jc w:val="right"/>
              <w:rPr/>
            </w:pPr>
            <w:r>
              <w:rPr/>
              <w:drawing>
                <wp:inline distT="0" distB="63500" distL="0" distR="0">
                  <wp:extent cx="1724025" cy="552450"/>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9"/>
                          <a:stretch>
                            <a:fillRect/>
                          </a:stretch>
                        </pic:blipFill>
                        <pic:spPr bwMode="auto">
                          <a:xfrm>
                            <a:off x="0" y="0"/>
                            <a:ext cx="1724025" cy="552450"/>
                          </a:xfrm>
                          <a:prstGeom prst="rect">
                            <a:avLst/>
                          </a:prstGeom>
                        </pic:spPr>
                      </pic:pic>
                    </a:graphicData>
                  </a:graphic>
                </wp:inline>
              </w:drawing>
            </w:r>
          </w:p>
        </w:tc>
      </w:tr>
    </w:tbl>
    <w:p>
      <w:pPr>
        <w:pStyle w:val="TextBody"/>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Consolidated Statements of Cash Flows (Condensed &amp; Unaudited)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bl>
      <w:tblPr>
        <w:tblW w:w="7059" w:type="dxa"/>
        <w:jc w:val="center"/>
        <w:tblInd w:w="0" w:type="dxa"/>
        <w:tblCellMar>
          <w:top w:w="28" w:type="dxa"/>
          <w:left w:w="28" w:type="dxa"/>
          <w:bottom w:w="28" w:type="dxa"/>
          <w:right w:w="28" w:type="dxa"/>
        </w:tblCellMar>
      </w:tblPr>
      <w:tblGrid>
        <w:gridCol w:w="1839"/>
        <w:gridCol w:w="1616"/>
        <w:gridCol w:w="1630"/>
        <w:gridCol w:w="211"/>
        <w:gridCol w:w="481"/>
        <w:gridCol w:w="109"/>
        <w:gridCol w:w="109"/>
        <w:gridCol w:w="109"/>
        <w:gridCol w:w="109"/>
        <w:gridCol w:w="211"/>
        <w:gridCol w:w="481"/>
        <w:gridCol w:w="154"/>
      </w:tblGrid>
      <w:tr>
        <w:trPr/>
        <w:tc>
          <w:tcPr>
            <w:tcW w:w="1839" w:type="dxa"/>
            <w:tcBorders/>
            <w:shd w:fill="auto" w:val="clear"/>
            <w:vAlign w:val="center"/>
          </w:tcPr>
          <w:p>
            <w:pPr>
              <w:pStyle w:val="TableContents"/>
              <w:spacing w:before="0" w:after="283"/>
              <w:rPr>
                <w:sz w:val="4"/>
                <w:szCs w:val="4"/>
              </w:rPr>
            </w:pPr>
            <w:r>
              <w:rPr>
                <w:sz w:val="4"/>
                <w:szCs w:val="4"/>
              </w:rPr>
            </w:r>
          </w:p>
        </w:tc>
        <w:tc>
          <w:tcPr>
            <w:tcW w:w="1616" w:type="dxa"/>
            <w:tcBorders/>
            <w:shd w:fill="auto" w:val="clear"/>
            <w:vAlign w:val="center"/>
          </w:tcPr>
          <w:p>
            <w:pPr>
              <w:pStyle w:val="TableContents"/>
              <w:spacing w:before="0" w:after="283"/>
              <w:rPr>
                <w:sz w:val="4"/>
                <w:szCs w:val="4"/>
              </w:rPr>
            </w:pPr>
            <w:r>
              <w:rPr>
                <w:sz w:val="4"/>
                <w:szCs w:val="4"/>
              </w:rPr>
            </w:r>
          </w:p>
        </w:tc>
        <w:tc>
          <w:tcPr>
            <w:tcW w:w="163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8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Net income </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Depreciation and amortization</w:t>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Restructuring and other</w:t>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5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Pension expense</w:t>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Pension contributions</w:t>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Stock-based compensation</w:t>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50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Times New Roman;sans-serif" w:hAnsi="Times New Roman;sans-serif"/>
                <w:b w:val="false"/>
                <w:color w:val="000000"/>
                <w:sz w:val="20"/>
              </w:rPr>
              <w:t xml:space="preserve">Working capital changes and other </w:t>
            </w:r>
            <w:r>
              <w:rPr>
                <w:rFonts w:ascii="Times New Roman;sans-serif" w:hAnsi="Times New Roman;sans-serif"/>
                <w:b/>
                <w:color w:val="000000"/>
                <w:sz w:val="13"/>
              </w:rPr>
              <w:t>(3)</w:t>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Times New Roman;sans-serif" w:hAnsi="Times New Roman;sans-serif"/>
                <w:b/>
                <w:color w:val="000000"/>
                <w:sz w:val="20"/>
              </w:rPr>
              <w:t xml:space="preserve">Net cash used for operating activities </w:t>
            </w:r>
            <w:r>
              <w:rPr>
                <w:rFonts w:ascii="Times New Roman;sans-serif" w:hAnsi="Times New Roman;sans-serif"/>
                <w:b/>
                <w:color w:val="000000"/>
                <w:sz w:val="13"/>
              </w:rPr>
              <w:t>(1)</w:t>
            </w:r>
          </w:p>
        </w:tc>
        <w:tc>
          <w:tcPr>
            <w:tcW w:w="69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(235)</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(301)</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Capital expenditures</w:t>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Acquisitions and divestitures</w:t>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5085"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50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Times New Roman;sans-serif" w:hAnsi="Times New Roman;sans-serif"/>
                <w:b w:val="false"/>
                <w:color w:val="000000"/>
                <w:sz w:val="20"/>
              </w:rPr>
              <w:t xml:space="preserve">Eviosys distribution </w:t>
            </w:r>
            <w:r>
              <w:rPr>
                <w:rFonts w:ascii="Times New Roman;sans-serif" w:hAnsi="Times New Roman;sans-serif"/>
                <w:b/>
                <w:color w:val="000000"/>
                <w:sz w:val="13"/>
              </w:rPr>
              <w:t>(3)</w:t>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Other</w:t>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Times New Roman;sans-serif" w:hAnsi="Times New Roman;sans-serif"/>
                <w:b/>
                <w:color w:val="000000"/>
                <w:sz w:val="20"/>
              </w:rPr>
              <w:t>Net cash used for investing activities</w:t>
            </w:r>
          </w:p>
        </w:tc>
        <w:tc>
          <w:tcPr>
            <w:tcW w:w="69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(161)</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(117)</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Net change in debt </w:t>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5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Dividends paid to shareholders</w:t>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Common stock repurchased</w:t>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Dividends paid to noncontrolling interests</w:t>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Other, net</w:t>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Times New Roman;sans-serif" w:hAnsi="Times New Roman;sans-serif"/>
                <w:b/>
                <w:color w:val="000000"/>
                <w:sz w:val="20"/>
              </w:rPr>
              <w:t>Net cash provided by financing activities</w:t>
            </w:r>
          </w:p>
        </w:tc>
        <w:tc>
          <w:tcPr>
            <w:tcW w:w="69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262</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321</w:t>
            </w:r>
            <w:r>
              <w:rPr>
                <w:color w:val="000000"/>
              </w:rPr>
              <w:t>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and cash equivalents</w:t>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January 1</w:t>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 xml:space="preserve">Cash, cash equivalents and restricted cash at March 31 </w:t>
            </w:r>
            <w:r>
              <w:rPr>
                <w:rFonts w:ascii="Times New Roman;sans-serif" w:hAnsi="Times New Roman;sans-serif"/>
                <w:b/>
                <w:color w:val="000000"/>
                <w:sz w:val="13"/>
              </w:rPr>
              <w:t>(2)</w:t>
            </w:r>
          </w:p>
        </w:tc>
        <w:tc>
          <w:tcPr>
            <w:tcW w:w="211" w:type="dxa"/>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502</w:t>
            </w:r>
            <w:r>
              <w:rPr>
                <w:color w:val="000000"/>
              </w:rPr>
              <w:t> </w:t>
            </w:r>
          </w:p>
        </w:tc>
        <w:tc>
          <w:tcPr>
            <w:tcW w:w="109" w:type="dxa"/>
            <w:tcBorders>
              <w:bottom w:val="doub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460</w:t>
            </w:r>
            <w:r>
              <w:rPr>
                <w:color w:val="000000"/>
              </w:rPr>
              <w:t> </w:t>
            </w:r>
          </w:p>
        </w:tc>
        <w:tc>
          <w:tcPr>
            <w:tcW w:w="154" w:type="dxa"/>
            <w:tcBorders>
              <w:bottom w:val="doub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0" w:after="0"/>
        <w:ind w:left="0" w:right="0" w:hanging="360"/>
        <w:rPr/>
      </w:pPr>
      <w:r>
        <w:rPr>
          <w:rFonts w:ascii="Times New Roman;sans-serif" w:hAnsi="Times New Roman;sans-serif"/>
          <w:b w:val="false"/>
          <w:color w:val="000000"/>
          <w:sz w:val="13"/>
        </w:rPr>
        <w:t>(1)</w:t>
      </w:r>
      <w:r>
        <w:rPr>
          <w:rFonts w:ascii="Times New Roman;sans-serif" w:hAnsi="Times New Roman;sans-serif"/>
          <w:b w:val="false"/>
          <w:color w:val="000000"/>
          <w:sz w:val="20"/>
        </w:rPr>
        <w:t>Adjusted free cash flow is defined by the Company as net cash from operating activities less capital expenditures and certain other items.</w:t>
      </w:r>
      <w:r>
        <w:rPr>
          <w:color w:val="000000"/>
        </w:rPr>
        <w:t xml:space="preserve"> </w:t>
      </w:r>
      <w:r>
        <w:rPr>
          <w:rFonts w:ascii="Times New Roman;sans-serif" w:hAnsi="Times New Roman;sans-serif"/>
          <w:b w:val="false"/>
          <w:color w:val="000000"/>
          <w:sz w:val="20"/>
        </w:rPr>
        <w:t>A reconciliation of net cash used for operating activities to adjusted free cash flow for the three months ended March 31, 2023 and 2022 follows.</w:t>
      </w:r>
    </w:p>
    <w:p>
      <w:pPr>
        <w:pStyle w:val="TextBody"/>
        <w:spacing w:before="0" w:after="0"/>
        <w:rPr/>
      </w:pPr>
      <w:r>
        <w:rPr/>
      </w:r>
    </w:p>
    <w:p>
      <w:pPr>
        <w:pStyle w:val="TextBody"/>
        <w:spacing w:lineRule="auto" w:line="268" w:before="0" w:after="0"/>
        <w:ind w:left="0" w:right="0" w:hanging="360"/>
        <w:rPr/>
      </w:pPr>
      <w:r>
        <w:rPr>
          <w:rFonts w:ascii="Times New Roman;sans-serif" w:hAnsi="Times New Roman;sans-serif"/>
          <w:b w:val="false"/>
          <w:color w:val="000000"/>
          <w:sz w:val="13"/>
        </w:rPr>
        <w:t>(2)</w:t>
      </w:r>
      <w:r>
        <w:rPr>
          <w:rFonts w:ascii="Times New Roman;sans-serif" w:hAnsi="Times New Roman;sans-serif"/>
          <w:b w:val="false"/>
          <w:color w:val="000000"/>
          <w:sz w:val="20"/>
        </w:rPr>
        <w:t>Cash and cash equivalents include $99 million and $71 million of restricted cash at March 31, 2023 and 2022.</w:t>
      </w:r>
    </w:p>
    <w:p>
      <w:pPr>
        <w:pStyle w:val="TextBody"/>
        <w:spacing w:before="0" w:after="0"/>
        <w:rPr/>
      </w:pPr>
      <w:r>
        <w:rPr/>
      </w:r>
    </w:p>
    <w:p>
      <w:pPr>
        <w:pStyle w:val="TextBody"/>
        <w:spacing w:lineRule="auto" w:line="268" w:before="0" w:after="0"/>
        <w:ind w:left="0" w:right="0" w:hanging="360"/>
        <w:rPr/>
      </w:pPr>
      <w:r>
        <w:rPr>
          <w:rFonts w:ascii="Times New Roman;sans-serif" w:hAnsi="Times New Roman;sans-serif"/>
          <w:b w:val="false"/>
          <w:color w:val="000000"/>
          <w:sz w:val="13"/>
        </w:rPr>
        <w:t>(3)</w:t>
      </w:r>
      <w:r>
        <w:rPr>
          <w:rFonts w:ascii="Times New Roman;sans-serif" w:hAnsi="Times New Roman;sans-serif"/>
          <w:b w:val="false"/>
          <w:color w:val="000000"/>
          <w:sz w:val="20"/>
        </w:rPr>
        <w:t>Working capital changes and other includes $27 million of the total $83 million distribution from Eviosys.</w:t>
      </w:r>
    </w:p>
    <w:p>
      <w:pPr>
        <w:pStyle w:val="TextBody"/>
        <w:spacing w:before="0" w:after="0"/>
        <w:rPr/>
      </w:pPr>
      <w:r>
        <w:rPr/>
      </w:r>
    </w:p>
    <w:p>
      <w:pPr>
        <w:pStyle w:val="TextBody"/>
        <w:rPr/>
      </w:pPr>
      <w:r>
        <w:rPr/>
      </w:r>
      <w:r>
        <w:br w:type="page"/>
      </w:r>
    </w:p>
    <w:p>
      <w:pPr>
        <w:pStyle w:val="TextBody"/>
        <w:spacing w:before="120" w:after="120"/>
        <w:jc w:val="center"/>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8 of 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8 of 10</w:t>
                      </w:r>
                    </w:p>
                  </w:txbxContent>
                </v:textbox>
              </v:rect>
            </w:pict>
          </mc:Fallback>
        </mc:AlternateContent>
      </w:r>
    </w:p>
    <w:tbl>
      <w:tblPr>
        <w:tblW w:w="5738" w:type="dxa"/>
        <w:jc w:val="center"/>
        <w:tblInd w:w="0" w:type="dxa"/>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spacing w:before="0" w:after="0"/>
              <w:jc w:val="left"/>
              <w:rPr/>
            </w:pPr>
            <w:r>
              <w:rPr/>
            </w:r>
          </w:p>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6" w:type="dxa"/>
            <w:gridSpan w:val="3"/>
            <w:tcBorders/>
            <w:shd w:fill="auto" w:val="clear"/>
            <w:tcMar>
              <w:top w:w="0" w:type="dxa"/>
              <w:left w:w="0" w:type="dxa"/>
              <w:bottom w:w="0" w:type="dxa"/>
              <w:right w:w="0" w:type="dxa"/>
            </w:tcMar>
            <w:vAlign w:val="center"/>
          </w:tcPr>
          <w:p>
            <w:pPr>
              <w:pStyle w:val="TableContents"/>
              <w:spacing w:before="0" w:after="0"/>
              <w:jc w:val="right"/>
              <w:rPr/>
            </w:pPr>
            <w:r>
              <w:rPr/>
              <w:drawing>
                <wp:inline distT="0" distB="63500" distL="0" distR="0">
                  <wp:extent cx="1724025" cy="55245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0"/>
                          <a:stretch>
                            <a:fillRect/>
                          </a:stretch>
                        </pic:blipFill>
                        <pic:spPr bwMode="auto">
                          <a:xfrm>
                            <a:off x="0" y="0"/>
                            <a:ext cx="1724025" cy="552450"/>
                          </a:xfrm>
                          <a:prstGeom prst="rect">
                            <a:avLst/>
                          </a:prstGeom>
                        </pic:spPr>
                      </pic:pic>
                    </a:graphicData>
                  </a:graphic>
                </wp:inline>
              </w:drawing>
            </w:r>
          </w:p>
        </w:tc>
      </w:tr>
    </w:tbl>
    <w:tbl>
      <w:tblPr>
        <w:tblW w:w="6776" w:type="dxa"/>
        <w:jc w:val="left"/>
        <w:tblInd w:w="0" w:type="dxa"/>
        <w:tblCellMar>
          <w:top w:w="28" w:type="dxa"/>
          <w:left w:w="28" w:type="dxa"/>
          <w:bottom w:w="28" w:type="dxa"/>
          <w:right w:w="28" w:type="dxa"/>
        </w:tblCellMar>
      </w:tblPr>
      <w:tblGrid>
        <w:gridCol w:w="1269"/>
        <w:gridCol w:w="1116"/>
        <w:gridCol w:w="1124"/>
        <w:gridCol w:w="287"/>
        <w:gridCol w:w="736"/>
        <w:gridCol w:w="148"/>
        <w:gridCol w:w="148"/>
        <w:gridCol w:w="148"/>
        <w:gridCol w:w="148"/>
        <w:gridCol w:w="287"/>
        <w:gridCol w:w="736"/>
        <w:gridCol w:w="148"/>
        <w:gridCol w:w="109"/>
        <w:gridCol w:w="109"/>
        <w:gridCol w:w="109"/>
        <w:gridCol w:w="154"/>
      </w:tblGrid>
      <w:tr>
        <w:trPr/>
        <w:tc>
          <w:tcPr>
            <w:tcW w:w="1269"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09"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444"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5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5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for operating activities</w:t>
            </w:r>
          </w:p>
        </w:tc>
        <w:tc>
          <w:tcPr>
            <w:tcW w:w="28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(235)</w:t>
            </w:r>
          </w:p>
        </w:tc>
        <w:tc>
          <w:tcPr>
            <w:tcW w:w="14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(301)</w:t>
            </w:r>
          </w:p>
        </w:tc>
        <w:tc>
          <w:tcPr>
            <w:tcW w:w="14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U.K. pension settlement </w:t>
            </w:r>
            <w:r>
              <w:rPr>
                <w:rFonts w:ascii="Times New Roman;sans-serif" w:hAnsi="Times New Roman;sans-serif"/>
                <w:b w:val="false"/>
                <w:color w:val="000000"/>
                <w:sz w:val="13"/>
              </w:rPr>
              <w:t>(4)</w:t>
            </w:r>
          </w:p>
        </w:tc>
        <w:tc>
          <w:tcPr>
            <w:tcW w:w="102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Interest included in investing activities </w:t>
            </w:r>
            <w:r>
              <w:rPr>
                <w:rFonts w:ascii="Times New Roman;sans-serif" w:hAnsi="Times New Roman;sans-serif"/>
                <w:b w:val="false"/>
                <w:color w:val="000000"/>
                <w:sz w:val="13"/>
              </w:rPr>
              <w:t>(5)</w:t>
            </w:r>
          </w:p>
        </w:tc>
        <w:tc>
          <w:tcPr>
            <w:tcW w:w="102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02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09"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444"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Insurance receivable </w:t>
            </w:r>
            <w:r>
              <w:rPr>
                <w:rFonts w:ascii="Times New Roman;sans-serif" w:hAnsi="Times New Roman;sans-serif"/>
                <w:b w:val="false"/>
                <w:color w:val="000000"/>
                <w:sz w:val="13"/>
              </w:rPr>
              <w:t>(6)</w:t>
            </w:r>
          </w:p>
        </w:tc>
        <w:tc>
          <w:tcPr>
            <w:tcW w:w="102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free cash flow</w:t>
            </w:r>
          </w:p>
        </w:tc>
        <w:tc>
          <w:tcPr>
            <w:tcW w:w="28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(479)</w:t>
            </w:r>
          </w:p>
        </w:tc>
        <w:tc>
          <w:tcPr>
            <w:tcW w:w="14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(429)</w:t>
            </w:r>
          </w:p>
        </w:tc>
        <w:tc>
          <w:tcPr>
            <w:tcW w:w="14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ind w:left="0" w:right="0" w:hanging="360"/>
        <w:rPr/>
      </w:pPr>
      <w:r>
        <w:rPr>
          <w:rFonts w:ascii="Times New Roman;sans-serif" w:hAnsi="Times New Roman;sans-serif"/>
          <w:b w:val="false"/>
          <w:color w:val="000000"/>
          <w:sz w:val="13"/>
        </w:rPr>
        <w:t>(4)</w:t>
      </w:r>
      <w:r>
        <w:rPr>
          <w:rFonts w:ascii="Times New Roman;sans-serif" w:hAnsi="Times New Roman;sans-serif"/>
          <w:b w:val="false"/>
          <w:color w:val="000000"/>
          <w:sz w:val="20"/>
        </w:rPr>
        <w:t>In September 2021, the Company made a contribution of £196 million to its U.K. defined pension plan in advance of a full settlement of the plan’s obligations in November 2021. The Company has been repaid £103 million of the contribution as of March 31, 2023 and expects to receive another £24 million as the plan sells its remaining illiquid assets.</w:t>
      </w:r>
    </w:p>
    <w:p>
      <w:pPr>
        <w:pStyle w:val="TextBody"/>
        <w:spacing w:before="0" w:after="0"/>
        <w:rPr/>
      </w:pPr>
      <w:r>
        <w:rPr/>
      </w:r>
    </w:p>
    <w:p>
      <w:pPr>
        <w:pStyle w:val="TextBody"/>
        <w:spacing w:lineRule="auto" w:line="268" w:before="0" w:after="0"/>
        <w:ind w:left="0" w:right="0" w:hanging="360"/>
        <w:rPr/>
      </w:pPr>
      <w:r>
        <w:rPr>
          <w:rFonts w:ascii="Times New Roman;sans-serif" w:hAnsi="Times New Roman;sans-serif"/>
          <w:b w:val="false"/>
          <w:color w:val="000000"/>
          <w:sz w:val="13"/>
        </w:rPr>
        <w:t>(5)</w:t>
      </w:r>
      <w:r>
        <w:rPr>
          <w:rFonts w:ascii="Times New Roman;sans-serif" w:hAnsi="Times New Roman;sans-serif"/>
          <w:b w:val="false"/>
          <w:color w:val="000000"/>
          <w:sz w:val="20"/>
        </w:rPr>
        <w:t>Interest benefit of cross currency swaps included in investing activities.</w:t>
      </w:r>
    </w:p>
    <w:p>
      <w:pPr>
        <w:pStyle w:val="TextBody"/>
        <w:spacing w:before="0" w:after="0"/>
        <w:rPr/>
      </w:pPr>
      <w:r>
        <w:rPr/>
      </w:r>
    </w:p>
    <w:p>
      <w:pPr>
        <w:pStyle w:val="TextBody"/>
        <w:spacing w:lineRule="auto" w:line="268" w:before="0" w:after="0"/>
        <w:ind w:left="0" w:right="0" w:hanging="360"/>
        <w:rPr/>
      </w:pPr>
      <w:r>
        <w:rPr>
          <w:rFonts w:ascii="Times New Roman;sans-serif" w:hAnsi="Times New Roman;sans-serif"/>
          <w:b w:val="false"/>
          <w:color w:val="000000"/>
          <w:sz w:val="13"/>
        </w:rPr>
        <w:t>(6)</w:t>
      </w:r>
      <w:r>
        <w:rPr>
          <w:rFonts w:ascii="Times New Roman;sans-serif" w:hAnsi="Times New Roman;sans-serif"/>
          <w:b w:val="false"/>
          <w:color w:val="000000"/>
          <w:sz w:val="20"/>
        </w:rPr>
        <w:t>Insurance proceeds received in the first quarter of 2023 related to the December 2021 tornado at the Bowling Green plant.</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ind w:left="0" w:right="0" w:hanging="270"/>
        <w:jc w:val="center"/>
        <w:rPr/>
      </w:pPr>
      <w:r>
        <w:rPr/>
      </w:r>
    </w:p>
    <w:p>
      <w:pPr>
        <w:pStyle w:val="TextBody"/>
        <w:spacing w:before="0" w:after="0"/>
        <w:jc w:val="center"/>
        <w:rPr/>
      </w:pPr>
      <w:r>
        <w:rPr/>
      </w:r>
    </w:p>
    <w:p>
      <w:pPr>
        <w:pStyle w:val="TextBody"/>
        <w:jc w:val="center"/>
        <w:rPr/>
      </w:pPr>
      <w:r>
        <w:rPr/>
      </w:r>
      <w:r>
        <w:br w:type="page"/>
      </w:r>
    </w:p>
    <w:p>
      <w:pPr>
        <w:pStyle w:val="TextBody"/>
        <w:spacing w:before="120" w:after="120"/>
        <w:jc w:val="center"/>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9 of 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9 of 10</w:t>
                      </w:r>
                    </w:p>
                  </w:txbxContent>
                </v:textbox>
              </v:rect>
            </w:pict>
          </mc:Fallback>
        </mc:AlternateContent>
      </w:r>
    </w:p>
    <w:tbl>
      <w:tblPr>
        <w:tblW w:w="5738" w:type="dxa"/>
        <w:jc w:val="center"/>
        <w:tblInd w:w="0" w:type="dxa"/>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spacing w:before="0" w:after="0"/>
              <w:jc w:val="left"/>
              <w:rPr/>
            </w:pPr>
            <w:r>
              <w:rPr/>
            </w:r>
          </w:p>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6" w:type="dxa"/>
            <w:gridSpan w:val="3"/>
            <w:tcBorders/>
            <w:shd w:fill="auto" w:val="clear"/>
            <w:tcMar>
              <w:top w:w="0" w:type="dxa"/>
              <w:left w:w="0" w:type="dxa"/>
              <w:bottom w:w="0" w:type="dxa"/>
              <w:right w:w="0" w:type="dxa"/>
            </w:tcMar>
            <w:vAlign w:val="center"/>
          </w:tcPr>
          <w:p>
            <w:pPr>
              <w:pStyle w:val="TableContents"/>
              <w:spacing w:before="0" w:after="0"/>
              <w:jc w:val="right"/>
              <w:rPr/>
            </w:pPr>
            <w:r>
              <w:rPr/>
              <w:drawing>
                <wp:inline distT="0" distB="63500" distL="0" distR="0">
                  <wp:extent cx="1724025" cy="552450"/>
                  <wp:effectExtent l="0" t="0" r="0" b="0"/>
                  <wp:docPr id="2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0" descr=""/>
                          <pic:cNvPicPr>
                            <a:picLocks noChangeAspect="1" noChangeArrowheads="1"/>
                          </pic:cNvPicPr>
                        </pic:nvPicPr>
                        <pic:blipFill>
                          <a:blip r:embed="rId11"/>
                          <a:stretch>
                            <a:fillRect/>
                          </a:stretch>
                        </pic:blipFill>
                        <pic:spPr bwMode="auto">
                          <a:xfrm>
                            <a:off x="0" y="0"/>
                            <a:ext cx="1724025" cy="552450"/>
                          </a:xfrm>
                          <a:prstGeom prst="rect">
                            <a:avLst/>
                          </a:prstGeom>
                        </pic:spPr>
                      </pic:pic>
                    </a:graphicData>
                  </a:graphic>
                </wp:inline>
              </w:drawing>
            </w:r>
          </w:p>
        </w:tc>
      </w:tr>
    </w:tbl>
    <w:p>
      <w:pPr>
        <w:pStyle w:val="TextBody"/>
        <w:spacing w:lineRule="auto" w:line="26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Consolidated Supplemental Data (Unaudited)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p>
      <w:pPr>
        <w:pStyle w:val="TextBody"/>
        <w:spacing w:before="0" w:after="0"/>
        <w:rPr/>
      </w:pPr>
      <w:r>
        <w:rPr/>
      </w:r>
    </w:p>
    <w:p>
      <w:pPr>
        <w:pStyle w:val="TextBody"/>
        <w:spacing w:lineRule="auto" w:line="276" w:before="0" w:after="0"/>
        <w:rPr/>
      </w:pPr>
      <w:r>
        <w:rPr>
          <w:rFonts w:ascii="Times New Roman;sans-serif" w:hAnsi="Times New Roman;sans-serif"/>
          <w:b/>
          <w:color w:val="000000"/>
          <w:sz w:val="20"/>
          <w:u w:val="single"/>
        </w:rPr>
        <w:t>Impact of Foreign Currency Translation – Favorable/(Unfavorable)</w:t>
      </w:r>
      <w:r>
        <w:rPr>
          <w:color w:val="000000"/>
        </w:rPr>
        <w:t xml:space="preserve"> </w:t>
      </w:r>
      <w:r>
        <w:rPr>
          <w:rFonts w:ascii="Times New Roman;sans-serif" w:hAnsi="Times New Roman;sans-serif"/>
          <w:b/>
          <w:color w:val="000000"/>
          <w:sz w:val="13"/>
        </w:rPr>
        <w:t>(1)</w:t>
      </w:r>
    </w:p>
    <w:p>
      <w:pPr>
        <w:pStyle w:val="TextBody"/>
        <w:spacing w:before="0" w:after="0"/>
        <w:rPr/>
      </w:pPr>
      <w:r>
        <w:rPr/>
      </w:r>
    </w:p>
    <w:tbl>
      <w:tblPr>
        <w:tblW w:w="5049" w:type="dxa"/>
        <w:jc w:val="left"/>
        <w:tblInd w:w="0" w:type="dxa"/>
        <w:tblCellMar>
          <w:top w:w="28" w:type="dxa"/>
          <w:left w:w="28" w:type="dxa"/>
          <w:bottom w:w="28" w:type="dxa"/>
          <w:right w:w="28" w:type="dxa"/>
        </w:tblCellMar>
      </w:tblPr>
      <w:tblGrid>
        <w:gridCol w:w="631"/>
        <w:gridCol w:w="554"/>
        <w:gridCol w:w="555"/>
        <w:gridCol w:w="243"/>
        <w:gridCol w:w="502"/>
        <w:gridCol w:w="124"/>
        <w:gridCol w:w="117"/>
        <w:gridCol w:w="117"/>
        <w:gridCol w:w="117"/>
        <w:gridCol w:w="534"/>
        <w:gridCol w:w="686"/>
        <w:gridCol w:w="279"/>
        <w:gridCol w:w="109"/>
        <w:gridCol w:w="109"/>
        <w:gridCol w:w="109"/>
        <w:gridCol w:w="109"/>
        <w:gridCol w:w="154"/>
      </w:tblGrid>
      <w:tr>
        <w:trPr/>
        <w:tc>
          <w:tcPr>
            <w:tcW w:w="631"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9" w:type="dxa"/>
            <w:gridSpan w:val="9"/>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Net Sales</w:t>
            </w:r>
          </w:p>
        </w:tc>
        <w:tc>
          <w:tcPr>
            <w:tcW w:w="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Segment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Americas Beverage</w:t>
            </w:r>
          </w:p>
        </w:tc>
        <w:tc>
          <w:tcPr>
            <w:tcW w:w="24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2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European Beverage</w:t>
            </w:r>
          </w:p>
        </w:tc>
        <w:tc>
          <w:tcPr>
            <w:tcW w:w="745" w:type="dxa"/>
            <w:gridSpan w:val="2"/>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2"/>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745" w:type="dxa"/>
            <w:gridSpan w:val="2"/>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Transit Packaging</w:t>
            </w:r>
          </w:p>
        </w:tc>
        <w:tc>
          <w:tcPr>
            <w:tcW w:w="745" w:type="dxa"/>
            <w:gridSpan w:val="2"/>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2"/>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745" w:type="dxa"/>
            <w:gridSpan w:val="2"/>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2"/>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0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color w:val="000000"/>
                <w:sz w:val="20"/>
              </w:rPr>
            </w:pPr>
            <w:r>
              <w:rPr>
                <w:rFonts w:ascii="Times New Roman;sans-serif" w:hAnsi="Times New Roman;sans-serif"/>
                <w:b/>
                <w:color w:val="000000"/>
                <w:sz w:val="20"/>
              </w:rPr>
              <w:t>(36)</w:t>
            </w:r>
          </w:p>
        </w:tc>
        <w:tc>
          <w:tcPr>
            <w:tcW w:w="12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8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color w:val="000000"/>
                <w:sz w:val="20"/>
              </w:rPr>
            </w:pPr>
            <w:r>
              <w:rPr>
                <w:rFonts w:ascii="Times New Roman;sans-serif" w:hAnsi="Times New Roman;sans-serif"/>
                <w:b/>
                <w:color w:val="000000"/>
                <w:sz w:val="20"/>
              </w:rPr>
              <w:t>(5)</w:t>
            </w:r>
          </w:p>
        </w:tc>
        <w:tc>
          <w:tcPr>
            <w:tcW w:w="27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lineRule="auto" w:line="268" w:before="0" w:after="0"/>
        <w:ind w:left="0" w:right="0" w:hanging="360"/>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The impact of foreign currency translation represents the difference between actual current year U.S. dollar results and pro forma amounts assuming constant foreign currency exchange rates for translation in both periods. In order to compute the difference, the Company compares actual U.S. dollar results to an amount calculated by dividing the current U.S. dollar results by current year average foreign exchange rates and then multiplying those amounts by the applicable prior year average foreign exchange rates. </w:t>
      </w:r>
    </w:p>
    <w:p>
      <w:pPr>
        <w:pStyle w:val="TextBody"/>
        <w:spacing w:before="0" w:after="0"/>
        <w:ind w:left="0" w:right="0" w:hanging="360"/>
        <w:jc w:val="both"/>
        <w:rPr/>
      </w:pPr>
      <w:r>
        <w:rPr/>
      </w:r>
    </w:p>
    <w:p>
      <w:pPr>
        <w:pStyle w:val="TextBody"/>
        <w:spacing w:before="0" w:after="0"/>
        <w:jc w:val="both"/>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6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Reconciliation of Adjusted EBITDA and Adjusted Net Leverage Ratio</w:t>
      </w:r>
    </w:p>
    <w:tbl>
      <w:tblPr>
        <w:tblW w:w="9815" w:type="dxa"/>
        <w:jc w:val="left"/>
        <w:tblInd w:w="0" w:type="dxa"/>
        <w:tblCellMar>
          <w:top w:w="28" w:type="dxa"/>
          <w:left w:w="28" w:type="dxa"/>
          <w:bottom w:w="28" w:type="dxa"/>
          <w:right w:w="28" w:type="dxa"/>
        </w:tblCellMar>
      </w:tblPr>
      <w:tblGrid>
        <w:gridCol w:w="870"/>
        <w:gridCol w:w="764"/>
        <w:gridCol w:w="766"/>
        <w:gridCol w:w="217"/>
        <w:gridCol w:w="496"/>
        <w:gridCol w:w="112"/>
        <w:gridCol w:w="109"/>
        <w:gridCol w:w="109"/>
        <w:gridCol w:w="109"/>
        <w:gridCol w:w="217"/>
        <w:gridCol w:w="496"/>
        <w:gridCol w:w="112"/>
        <w:gridCol w:w="109"/>
        <w:gridCol w:w="109"/>
        <w:gridCol w:w="109"/>
        <w:gridCol w:w="306"/>
        <w:gridCol w:w="916"/>
        <w:gridCol w:w="158"/>
        <w:gridCol w:w="109"/>
        <w:gridCol w:w="109"/>
        <w:gridCol w:w="109"/>
        <w:gridCol w:w="721"/>
        <w:gridCol w:w="2157"/>
        <w:gridCol w:w="526"/>
      </w:tblGrid>
      <w:tr>
        <w:trPr/>
        <w:tc>
          <w:tcPr>
            <w:tcW w:w="870"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157"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Full Year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March 31, 2023</w:t>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w:t>
            </w:r>
          </w:p>
        </w:tc>
        <w:tc>
          <w:tcPr>
            <w:tcW w:w="21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269</w:t>
            </w:r>
            <w:r>
              <w:rPr>
                <w:color w:val="000000"/>
              </w:rPr>
              <w:t> </w:t>
            </w:r>
          </w:p>
        </w:tc>
        <w:tc>
          <w:tcPr>
            <w:tcW w:w="11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344</w:t>
            </w:r>
            <w:r>
              <w:rPr>
                <w:color w:val="000000"/>
              </w:rPr>
              <w:t> </w:t>
            </w:r>
          </w:p>
        </w:tc>
        <w:tc>
          <w:tcPr>
            <w:tcW w:w="11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1,336</w:t>
            </w:r>
            <w:r>
              <w:rPr>
                <w:color w:val="000000"/>
              </w:rPr>
              <w:t> </w:t>
            </w:r>
          </w:p>
        </w:tc>
        <w:tc>
          <w:tcPr>
            <w:tcW w:w="15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15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1,261</w:t>
            </w:r>
            <w:r>
              <w:rPr>
                <w:color w:val="000000"/>
              </w:rPr>
              <w:t> </w:t>
            </w:r>
          </w:p>
        </w:tc>
        <w:tc>
          <w:tcPr>
            <w:tcW w:w="52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amortization</w:t>
            </w:r>
          </w:p>
        </w:tc>
        <w:tc>
          <w:tcPr>
            <w:tcW w:w="71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5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auto" w:val="clear"/>
            <w:vAlign w:val="center"/>
          </w:tcPr>
          <w:p>
            <w:pPr>
              <w:pStyle w:val="TableContents"/>
              <w:spacing w:before="0" w:after="283"/>
              <w:rPr>
                <w:sz w:val="4"/>
                <w:szCs w:val="4"/>
              </w:rPr>
            </w:pPr>
            <w:r>
              <w:rPr>
                <w:sz w:val="4"/>
                <w:szCs w:val="4"/>
              </w:rPr>
            </w:r>
          </w:p>
        </w:tc>
        <w:tc>
          <w:tcPr>
            <w:tcW w:w="8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04" w:type="dxa"/>
            <w:gridSpan w:val="3"/>
            <w:tcBorders/>
            <w:shd w:fill="auto" w:val="cle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w:t>
            </w:r>
          </w:p>
        </w:tc>
        <w:tc>
          <w:tcPr>
            <w:tcW w:w="71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5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income</w:t>
            </w:r>
          </w:p>
        </w:tc>
        <w:tc>
          <w:tcPr>
            <w:tcW w:w="71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1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1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1,443 </w:t>
            </w:r>
          </w:p>
        </w:tc>
        <w:tc>
          <w:tcPr>
            <w:tcW w:w="15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1,380 </w:t>
            </w:r>
          </w:p>
        </w:tc>
        <w:tc>
          <w:tcPr>
            <w:tcW w:w="52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auto" w:val="clear"/>
            <w:vAlign w:val="center"/>
          </w:tcPr>
          <w:p>
            <w:pPr>
              <w:pStyle w:val="TableContents"/>
              <w:spacing w:before="0" w:after="283"/>
              <w:rPr>
                <w:sz w:val="4"/>
                <w:szCs w:val="4"/>
              </w:rPr>
            </w:pPr>
            <w:r>
              <w:rPr>
                <w:sz w:val="4"/>
                <w:szCs w:val="4"/>
              </w:rPr>
            </w:r>
          </w:p>
        </w:tc>
        <w:tc>
          <w:tcPr>
            <w:tcW w:w="8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04" w:type="dxa"/>
            <w:gridSpan w:val="3"/>
            <w:tcBorders/>
            <w:shd w:fill="auto" w:val="cle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71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5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1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403</w:t>
            </w:r>
            <w:r>
              <w:rPr>
                <w:color w:val="000000"/>
              </w:rPr>
              <w:t> </w:t>
            </w:r>
          </w:p>
        </w:tc>
        <w:tc>
          <w:tcPr>
            <w:tcW w:w="11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458</w:t>
            </w:r>
            <w:r>
              <w:rPr>
                <w:color w:val="000000"/>
              </w:rPr>
              <w:t> </w:t>
            </w:r>
          </w:p>
        </w:tc>
        <w:tc>
          <w:tcPr>
            <w:tcW w:w="11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1,744</w:t>
            </w:r>
            <w:r>
              <w:rPr>
                <w:color w:val="000000"/>
              </w:rPr>
              <w:t> </w:t>
            </w:r>
          </w:p>
        </w:tc>
        <w:tc>
          <w:tcPr>
            <w:tcW w:w="15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15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1,689</w:t>
            </w:r>
            <w:r>
              <w:rPr>
                <w:color w:val="000000"/>
              </w:rPr>
              <w:t> </w:t>
            </w:r>
          </w:p>
        </w:tc>
        <w:tc>
          <w:tcPr>
            <w:tcW w:w="52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6,977 </w:t>
            </w:r>
          </w:p>
        </w:tc>
        <w:tc>
          <w:tcPr>
            <w:tcW w:w="1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5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7,333 </w:t>
            </w:r>
          </w:p>
        </w:tc>
        <w:tc>
          <w:tcPr>
            <w:tcW w:w="5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cash</w:t>
            </w:r>
          </w:p>
        </w:tc>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5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debt </w:t>
            </w:r>
          </w:p>
        </w:tc>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6,427</w:t>
            </w:r>
            <w:r>
              <w:rPr>
                <w:color w:val="000000"/>
              </w:rPr>
              <w:t> </w:t>
            </w:r>
          </w:p>
        </w:tc>
        <w:tc>
          <w:tcPr>
            <w:tcW w:w="15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15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6,930</w:t>
            </w:r>
            <w:r>
              <w:rPr>
                <w:color w:val="000000"/>
              </w:rPr>
              <w:t> </w:t>
            </w:r>
          </w:p>
        </w:tc>
        <w:tc>
          <w:tcPr>
            <w:tcW w:w="52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leverage ratio</w:t>
            </w:r>
          </w:p>
        </w:tc>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3.7x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4.1x</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10 of 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10 of 10</w:t>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image" Target="media/image3.gif"/><Relationship Id="rId5" Type="http://schemas.openxmlformats.org/officeDocument/2006/relationships/image" Target="media/image4.gif"/><Relationship Id="rId6" Type="http://schemas.openxmlformats.org/officeDocument/2006/relationships/image" Target="media/image5.gif"/><Relationship Id="rId7" Type="http://schemas.openxmlformats.org/officeDocument/2006/relationships/image" Target="media/image6.gif"/><Relationship Id="rId8" Type="http://schemas.openxmlformats.org/officeDocument/2006/relationships/image" Target="media/image7.gif"/><Relationship Id="rId9" Type="http://schemas.openxmlformats.org/officeDocument/2006/relationships/image" Target="media/image8.gif"/><Relationship Id="rId10" Type="http://schemas.openxmlformats.org/officeDocument/2006/relationships/image" Target="media/image9.gif"/><Relationship Id="rId11" Type="http://schemas.openxmlformats.org/officeDocument/2006/relationships/image" Target="media/image10.gif"/><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3803</Words>
  <CharactersWithSpaces>24383</CharactersWithSpaces>
  <Paragraphs>652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