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UNITED STATES SECURITIES AND EXCHANGE COMMISSION Washington, D.C. 20549</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CROWN HOLDINGS,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228368106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 12/31/2018</w:t>
      </w:r>
    </w:p>
    <w:p>
      <w:pPr>
        <w:spacing w:after="0" w:line="207"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13d-1(b) [ ] Rule 13d-1(c) [ ] Rule 13d-1(d)</w:t>
      </w:r>
    </w:p>
    <w:p>
      <w:pPr>
        <w:spacing w:after="0" w:line="207" w:lineRule="exact"/>
        <w:rPr>
          <w:sz w:val="24"/>
          <w:szCs w:val="24"/>
          <w:color w:val="auto"/>
        </w:rPr>
      </w:pPr>
    </w:p>
    <w:p>
      <w:pPr>
        <w:jc w:val="both"/>
        <w:ind w:right="2839" w:firstLine="8"/>
        <w:spacing w:after="0" w:line="275"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228368106</w:t>
      </w:r>
    </w:p>
    <w:p>
      <w:pPr>
        <w:spacing w:after="0" w:line="207" w:lineRule="exact"/>
        <w:rPr>
          <w:sz w:val="24"/>
          <w:szCs w:val="24"/>
          <w:color w:val="auto"/>
        </w:rPr>
      </w:pPr>
    </w:p>
    <w:p>
      <w:pPr>
        <w:ind w:right="283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 OR I.R.S. IDENTIFICATION NO. OF ABOVE PERSON Janus Henderson Group plc EIN #00-0000000</w:t>
      </w:r>
    </w:p>
    <w:p>
      <w:pPr>
        <w:spacing w:after="0" w:line="208" w:lineRule="exact"/>
        <w:rPr>
          <w:rFonts w:ascii="Courier New" w:cs="Courier New" w:eastAsia="Courier New" w:hAnsi="Courier New"/>
          <w:sz w:val="18"/>
          <w:szCs w:val="18"/>
          <w:color w:val="auto"/>
        </w:rPr>
      </w:pPr>
    </w:p>
    <w:p>
      <w:pPr>
        <w:ind w:right="261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 ___ b. ___ 3. SEC USE ONLY</w:t>
      </w:r>
    </w:p>
    <w:p>
      <w:pPr>
        <w:spacing w:after="0" w:line="203" w:lineRule="exact"/>
        <w:rPr>
          <w:sz w:val="24"/>
          <w:szCs w:val="24"/>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Jersey, Channel Islands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7,256,215**</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7,256,215**</w:t>
      </w:r>
    </w:p>
    <w:p>
      <w:pPr>
        <w:spacing w:after="0" w:line="206" w:lineRule="exact"/>
        <w:rPr>
          <w:rFonts w:ascii="Courier New" w:cs="Courier New" w:eastAsia="Courier New" w:hAnsi="Courier New"/>
          <w:sz w:val="18"/>
          <w:szCs w:val="18"/>
          <w:color w:val="auto"/>
        </w:rPr>
      </w:pPr>
    </w:p>
    <w:p>
      <w:pPr>
        <w:ind w:right="3579" w:firstLine="8"/>
        <w:spacing w:after="0" w:line="235"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7,256,215**</w:t>
      </w:r>
    </w:p>
    <w:p>
      <w:pPr>
        <w:spacing w:after="0" w:line="208" w:lineRule="exact"/>
        <w:rPr>
          <w:rFonts w:ascii="Courier New" w:cs="Courier New" w:eastAsia="Courier New" w:hAnsi="Courier New"/>
          <w:sz w:val="18"/>
          <w:szCs w:val="18"/>
          <w:color w:val="auto"/>
        </w:rPr>
      </w:pPr>
    </w:p>
    <w:p>
      <w:pPr>
        <w:ind w:right="2619" w:firstLine="8"/>
        <w:spacing w:after="0" w:line="23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See Item 4 of this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(a). Name of Issuer: CROWN HOLDINGS, INC. ("Crown")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770 Township Line Road Yardley, PA 19067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 (a).-(c). Name, Principal Business Address, and Citizenship of</w:t>
      </w:r>
    </w:p>
    <w:p>
      <w:pPr>
        <w:spacing w:after="0" w:line="238" w:lineRule="auto"/>
        <w:rPr>
          <w:sz w:val="20"/>
          <w:szCs w:val="20"/>
          <w:color w:val="auto"/>
        </w:rPr>
      </w:pPr>
      <w:r>
        <w:rPr>
          <w:rFonts w:ascii="Courier New" w:cs="Courier New" w:eastAsia="Courier New" w:hAnsi="Courier New"/>
          <w:sz w:val="18"/>
          <w:szCs w:val="18"/>
          <w:color w:val="auto"/>
        </w:rPr>
        <w:t>Persons Filing:</w:t>
      </w:r>
    </w:p>
    <w:p>
      <w:pPr>
        <w:spacing w:after="0" w:line="207" w:lineRule="exact"/>
        <w:rPr>
          <w:sz w:val="24"/>
          <w:szCs w:val="24"/>
          <w:color w:val="auto"/>
        </w:rPr>
      </w:pPr>
    </w:p>
    <w:p>
      <w:pPr>
        <w:ind w:right="2839" w:firstLine="8"/>
        <w:spacing w:after="0" w:line="235"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Henderson Group plc 201 Bishopsgate EC2M 3AE, United Kingdom Citizenship: Jersey, Channel Islands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 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 CUSIP Number: 228368106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3.</w:t>
      </w:r>
    </w:p>
    <w:p>
      <w:pPr>
        <w:sectPr>
          <w:pgSz w:w="11900" w:h="16855" w:orient="portrait"/>
          <w:cols w:equalWidth="0" w:num="1">
            <w:col w:w="10219"/>
          </w:cols>
          <w:pgMar w:left="240" w:top="250" w:right="1440" w:bottom="0" w:gutter="0" w:footer="0" w:header="0"/>
        </w:sectPr>
      </w:pPr>
    </w:p>
    <w:bookmarkStart w:id="1" w:name="page2"/>
    <w:bookmarkEnd w:id="1"/>
    <w:p>
      <w:pPr>
        <w:ind w:right="2619"/>
        <w:spacing w:after="0" w:line="237" w:lineRule="auto"/>
        <w:rPr>
          <w:sz w:val="20"/>
          <w:szCs w:val="20"/>
          <w:color w:val="auto"/>
        </w:rPr>
      </w:pPr>
      <w:r>
        <w:rPr>
          <w:rFonts w:ascii="Courier New" w:cs="Courier New" w:eastAsia="Courier New" w:hAnsi="Courier New"/>
          <w:sz w:val="18"/>
          <w:szCs w:val="18"/>
          <w:color w:val="auto"/>
        </w:rPr>
        <w:t>This statement is filed pursuant to Rule 13d-1 (b) or 13d-2(b) and the person filing, Janus Henderson Group plc ("Janus Henderson") is a parent holding company/control person in accordance with Section 240.13d-1(b)(ii)(G). See Item 4 for additional information.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The information in items 1 and 5 through 11 on the cover page(s) on Schedule 13G is hereby incorporated by reference.</w:t>
      </w:r>
    </w:p>
    <w:p>
      <w:pPr>
        <w:spacing w:after="0" w:line="208" w:lineRule="exact"/>
        <w:rPr>
          <w:sz w:val="20"/>
          <w:szCs w:val="20"/>
          <w:color w:val="auto"/>
        </w:rPr>
      </w:pPr>
    </w:p>
    <w:p>
      <w:pPr>
        <w:ind w:right="2619"/>
        <w:spacing w:after="0" w:line="270" w:lineRule="auto"/>
        <w:rPr>
          <w:sz w:val="20"/>
          <w:szCs w:val="20"/>
          <w:color w:val="auto"/>
        </w:rPr>
      </w:pPr>
      <w:r>
        <w:rPr>
          <w:rFonts w:ascii="Courier New" w:cs="Courier New" w:eastAsia="Courier New" w:hAnsi="Courier New"/>
          <w:sz w:val="16"/>
          <w:szCs w:val="16"/>
          <w:color w:val="auto"/>
        </w:rPr>
        <w:t>Janus Henderson has an indirect 97.11% ownership stake in Intech Investment Management LLC ("Intech") and a 100% ownership stake in Janus Capital Management LLC ("Janus Capital"), Janus Capital International Limited ("JCIL"), Perkins Investment Management LLC ("Perkins"), Geneva Capital Management LLC ("Geneva"), Henderson Global Investors Limited ("HGIL") and Janus Henderson Global Investors Australia Institutional Funds Management Limited ("JHGIAIFML"),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w:t>
      </w:r>
    </w:p>
    <w:p>
      <w:pPr>
        <w:spacing w:after="0" w:line="185"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HGIL may be deemed to be the beneficial owner of 14,706 shares or 0.0% of the shares outstanding of Crown Common Stock held by such Managed Portfolios. However, HGIL does not have the right to receive any dividends from, or the proceeds from the sale of, the securities held in the Managed Portfolios and disclaims any ownership associated with such rights.</w:t>
      </w:r>
    </w:p>
    <w:p>
      <w:pPr>
        <w:spacing w:after="0" w:line="211"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Intech may be deemed to be the beneficial owner of 9,300 shares or 0.0% of the shares outstanding of Crown Common Stock held by such Managed Portfolios. However, Intech does not have the right to receive any dividends from, or the proceeds from the sale of, the securities held in the Managed Portfolios and disclaims any ownership associated with such rights.</w:t>
      </w:r>
    </w:p>
    <w:p>
      <w:pPr>
        <w:spacing w:after="0" w:line="211"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JCIL may be deemed to be the beneficial owner of 12,961 shares or 0.0% of the shares outstanding of Crown Common Stock held by such Managed Portfolios. However, JCIL does not have the right to receive any dividends from, or the proceeds from the sale of, the securities held in the Managed Portfolios and disclaims any ownership associated with such rights.</w:t>
      </w:r>
    </w:p>
    <w:p>
      <w:pPr>
        <w:spacing w:after="0" w:line="211"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Janus Capital may be deemed to be the beneficial owner of 4,839,047 shares or 3.6% of the shares outstanding of Crown Common Stock held by such Managed Portfolios. However, Janus Capital does not have the right to receive any dividends from, or the proceeds from the sale of, the securities held in the Managed Portfolios and disclaims any ownership associated with such rights.</w:t>
      </w:r>
    </w:p>
    <w:p>
      <w:pPr>
        <w:spacing w:after="0" w:line="211"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Perkins may be deemed to be the beneficial owner of 2,380,201 shares or 1.8% of the shares outstanding of Crown Common Stock held by such Managed Portfolios. However, Perkins does not have the right to receive any dividends from, or the proceeds from the sale of, the securities held in the Managed Portfolios and disclaims any ownership associated with such rights.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Ownership of More than Five Percent on Behalf of Another Person</w:t>
      </w:r>
    </w:p>
    <w:p>
      <w:pPr>
        <w:spacing w:after="0" w:line="224"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The Managed Portfolios, set forth in Item 4 above, have the right to receive all dividends from, and the proceeds from the sale of, the securities held in their respective accounts.</w:t>
      </w:r>
    </w:p>
    <w:p>
      <w:pPr>
        <w:spacing w:after="0" w:line="209"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The interest of any one such person does not exceed 5% of the class of securities.</w:t>
      </w:r>
    </w:p>
    <w:p>
      <w:pPr>
        <w:spacing w:after="0" w:line="208" w:lineRule="exact"/>
        <w:rPr>
          <w:sz w:val="20"/>
          <w:szCs w:val="20"/>
          <w:color w:val="auto"/>
        </w:rPr>
      </w:pPr>
    </w:p>
    <w:p>
      <w:pPr>
        <w:ind w:right="2839"/>
        <w:spacing w:after="0" w:line="290" w:lineRule="auto"/>
        <w:rPr>
          <w:sz w:val="20"/>
          <w:szCs w:val="20"/>
          <w:color w:val="auto"/>
        </w:rPr>
      </w:pPr>
      <w:r>
        <w:rPr>
          <w:rFonts w:ascii="Courier New" w:cs="Courier New" w:eastAsia="Courier New" w:hAnsi="Courier New"/>
          <w:sz w:val="16"/>
          <w:szCs w:val="16"/>
          <w:color w:val="auto"/>
        </w:rPr>
        <w:t>These shares were acquired in the ordinary course of business, and not with the purpose of changing or influencing control of the Issuer.</w:t>
      </w:r>
    </w:p>
    <w:p>
      <w:pPr>
        <w:sectPr>
          <w:pgSz w:w="11900" w:h="16838" w:orient="portrait"/>
          <w:cols w:equalWidth="0" w:num="1">
            <w:col w:w="10219"/>
          </w:cols>
          <w:pgMar w:left="240" w:top="344" w:right="1440" w:bottom="0" w:gutter="0" w:footer="0" w:header="0"/>
        </w:sectPr>
      </w:pPr>
    </w:p>
    <w:bookmarkStart w:id="2" w:name="page3"/>
    <w:bookmarkEnd w:id="2"/>
    <w:p>
      <w:pPr>
        <w:ind w:right="293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70" w:lineRule="exact"/>
        <w:rPr>
          <w:sz w:val="20"/>
          <w:szCs w:val="20"/>
          <w:color w:val="auto"/>
        </w:rPr>
      </w:pPr>
    </w:p>
    <w:p>
      <w:pPr>
        <w:ind w:right="2839"/>
        <w:spacing w:after="0" w:line="279" w:lineRule="auto"/>
        <w:rPr>
          <w:sz w:val="20"/>
          <w:szCs w:val="20"/>
          <w:color w:val="auto"/>
        </w:rPr>
      </w:pPr>
      <w:r>
        <w:rPr>
          <w:rFonts w:ascii="Courier New" w:cs="Courier New" w:eastAsia="Courier New" w:hAnsi="Courier New"/>
          <w:sz w:val="16"/>
          <w:szCs w:val="16"/>
          <w:color w:val="auto"/>
        </w:rPr>
        <w:t>Intech, Janus Capital, JCIL, Perkins, Geneva, HGIL and JHGIAIFML are indirect subsidiaries of Janus Henderson and are registered investment advisers furnishing investment advice to Managed Portfolios.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Bruce Koepfgen</w:t>
      </w:r>
    </w:p>
    <w:p>
      <w:pPr>
        <w:spacing w:after="0" w:line="238" w:lineRule="auto"/>
        <w:rPr>
          <w:sz w:val="20"/>
          <w:szCs w:val="20"/>
          <w:color w:val="auto"/>
        </w:rPr>
      </w:pPr>
      <w:r>
        <w:rPr>
          <w:rFonts w:ascii="Courier New" w:cs="Courier New" w:eastAsia="Courier New" w:hAnsi="Courier New"/>
          <w:sz w:val="18"/>
          <w:szCs w:val="18"/>
          <w:color w:val="auto"/>
        </w:rPr>
        <w:t>Bruce Koepfgen, Head of North America</w:t>
      </w:r>
    </w:p>
    <w:p>
      <w:pPr>
        <w:spacing w:after="0"/>
        <w:rPr>
          <w:sz w:val="20"/>
          <w:szCs w:val="20"/>
          <w:color w:val="auto"/>
        </w:rPr>
      </w:pPr>
      <w:r>
        <w:rPr>
          <w:rFonts w:ascii="Courier New" w:cs="Courier New" w:eastAsia="Courier New" w:hAnsi="Courier New"/>
          <w:sz w:val="18"/>
          <w:szCs w:val="18"/>
          <w:color w:val="auto"/>
        </w:rPr>
        <w:t>Date 2/12/2019</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2019-12-21T01:48:51Z</dcterms:created>
  <dcterms:modified xsi:type="dcterms:W3CDTF">2019-12-21T01:48:51Z</dcterms:modified>
</cp:coreProperties>
</file>