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CROWN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228368106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12/31/2019</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228368106</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Henderson Group plc EIN #00-0000000</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203"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Jersey, Channel Islands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6,899,079**</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6,899,079**</w:t>
      </w:r>
    </w:p>
    <w:p>
      <w:pPr>
        <w:spacing w:after="0" w:line="206"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6,899,079**</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(a). Name of Issuer: CROWN HOLDINGS, INC. ("Crown")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770 Township Line Road Yardley, PA 19067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 Name, Principal Business Address, and Citizenship of</w:t>
      </w:r>
    </w:p>
    <w:p>
      <w:pPr>
        <w:spacing w:after="0" w:line="238" w:lineRule="auto"/>
        <w:rPr>
          <w:sz w:val="20"/>
          <w:szCs w:val="20"/>
          <w:color w:val="auto"/>
        </w:rPr>
      </w:pPr>
      <w:r>
        <w:rPr>
          <w:rFonts w:ascii="Courier New" w:cs="Courier New" w:eastAsia="Courier New" w:hAnsi="Courier New"/>
          <w:sz w:val="18"/>
          <w:szCs w:val="18"/>
          <w:color w:val="auto"/>
        </w:rPr>
        <w:t>Persons Filing:</w:t>
      </w:r>
    </w:p>
    <w:p>
      <w:pPr>
        <w:spacing w:after="0" w:line="207" w:lineRule="exact"/>
        <w:rPr>
          <w:sz w:val="24"/>
          <w:szCs w:val="24"/>
          <w:color w:val="auto"/>
        </w:rPr>
      </w:pPr>
    </w:p>
    <w:p>
      <w:pPr>
        <w:ind w:right="283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 EC2M 3AE, United Kingdom Citizenship: Jersey, Channel Islands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 CUSIP Number: 228368106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w:t>
      </w:r>
    </w:p>
    <w:p>
      <w:pPr>
        <w:sectPr>
          <w:pgSz w:w="11900" w:h="16855" w:orient="portrait"/>
          <w:cols w:equalWidth="0" w:num="1">
            <w:col w:w="10219"/>
          </w:cols>
          <w:pgMar w:left="240" w:top="250" w:right="1440" w:bottom="0" w:gutter="0" w:footer="0" w:header="0"/>
        </w:sectPr>
      </w:pPr>
    </w:p>
    <w:bookmarkStart w:id="1" w:name="page2"/>
    <w:bookmarkEnd w:id="1"/>
    <w:p>
      <w:pPr>
        <w:ind w:right="261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Janus Henderson has an indirect 97% ownership stake in Intech Investment Management LLC ("Intech") and a 100% ownership stake in Janus Capital Management LLC ("JCM"), Perkins Investment Management LLC ("Perkins"), Geneva Capital Management LLC ("Geneva"), Henderson Global Investors Limited ("HGIL")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18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HGIL may be deemed to be the beneficial owner of 15,278 shares or 0.0% of the shares outstanding of Crown Common Stock held by such Managed Portfolios. However, HGIL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Intech may be deemed to be the beneficial owner of 401,217 shares or 0.3% of the shares outstanding of Crown Common Stock held by such Managed Portfolios. However, Intech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JCM may be deemed to be the beneficial owner of 6,482,584 shares or 4.8% of the shares outstanding of Crown Common Stock held by such Managed Portfolios. However, JCM does not have the right to receive any dividends from, or the proceeds from the sale of, the securities held in the Managed Portfolios and disclaims any ownership associated with such rights.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70"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Intech, JCM, Perkins, Geneva, HGIL and JHIAIFML are indirect subsidiaries of Janus Henderson and are registered investment advisers furnishing investment advice to Managed Portfolios.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ectPr>
          <w:pgSz w:w="11900" w:h="16838" w:orient="portrait"/>
          <w:cols w:equalWidth="0" w:num="1">
            <w:col w:w="10219"/>
          </w:cols>
          <w:pgMar w:left="240" w:top="344" w:right="1440" w:bottom="0" w:gutter="0" w:footer="0" w:header="0"/>
        </w:sectPr>
      </w:pPr>
    </w:p>
    <w:bookmarkStart w:id="2" w:name="page3"/>
    <w:bookmarkEnd w:id="2"/>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Kristin Mariani</w:t>
      </w:r>
    </w:p>
    <w:p>
      <w:pPr>
        <w:spacing w:after="0" w:line="238" w:lineRule="auto"/>
        <w:rPr>
          <w:sz w:val="20"/>
          <w:szCs w:val="20"/>
          <w:color w:val="auto"/>
        </w:rPr>
      </w:pPr>
      <w:r>
        <w:rPr>
          <w:rFonts w:ascii="Courier New" w:cs="Courier New" w:eastAsia="Courier New" w:hAnsi="Courier New"/>
          <w:sz w:val="18"/>
          <w:szCs w:val="18"/>
          <w:color w:val="auto"/>
        </w:rPr>
        <w:t>Kristin Mariani, Global Head of Investment Compliance</w:t>
      </w:r>
    </w:p>
    <w:p>
      <w:pPr>
        <w:spacing w:after="0"/>
        <w:rPr>
          <w:sz w:val="20"/>
          <w:szCs w:val="20"/>
          <w:color w:val="auto"/>
        </w:rPr>
      </w:pPr>
      <w:r>
        <w:rPr>
          <w:rFonts w:ascii="Courier New" w:cs="Courier New" w:eastAsia="Courier New" w:hAnsi="Courier New"/>
          <w:sz w:val="18"/>
          <w:szCs w:val="18"/>
          <w:color w:val="auto"/>
        </w:rPr>
        <w:t>Date 2/13/2020</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2020-02-13T16:09:46Z</dcterms:created>
  <dcterms:modified xsi:type="dcterms:W3CDTF">2020-02-13T16:09:46Z</dcterms:modified>
</cp:coreProperties>
</file>