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23, 2020</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256"/>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ind w:right="130"/>
              <w:spacing w:after="0"/>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08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( 215 )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ind w:left="500"/>
              <w:spacing w:after="0"/>
              <w:rPr>
                <w:sz w:val="20"/>
                <w:szCs w:val="20"/>
                <w:color w:val="auto"/>
              </w:rPr>
            </w:pPr>
            <w:r>
              <w:rPr>
                <w:rFonts w:ascii="Arial" w:cs="Arial" w:eastAsia="Arial" w:hAnsi="Arial"/>
                <w:sz w:val="16"/>
                <w:szCs w:val="16"/>
                <w:color w:val="auto"/>
              </w:rPr>
              <w:t>Trading Symbols</w:t>
            </w:r>
          </w:p>
        </w:tc>
        <w:tc>
          <w:tcPr>
            <w:tcW w:w="5480" w:type="dxa"/>
            <w:vAlign w:val="bottom"/>
          </w:tcPr>
          <w:p>
            <w:pPr>
              <w:ind w:left="180"/>
              <w:spacing w:after="0"/>
              <w:rPr>
                <w:sz w:val="20"/>
                <w:szCs w:val="20"/>
                <w:color w:val="auto"/>
              </w:rPr>
            </w:pPr>
            <w:r>
              <w:rPr>
                <w:rFonts w:ascii="Arial" w:cs="Arial" w:eastAsia="Arial" w:hAnsi="Arial"/>
                <w:sz w:val="16"/>
                <w:szCs w:val="16"/>
                <w:color w:val="auto"/>
              </w:rPr>
              <w:t>Name of each exchange on which registered</w:t>
            </w:r>
          </w:p>
        </w:tc>
        <w:tc>
          <w:tcPr>
            <w:tcW w:w="1360" w:type="dxa"/>
            <w:vAlign w:val="bottom"/>
          </w:tcPr>
          <w:p>
            <w:pPr>
              <w:spacing w:after="0"/>
              <w:rPr>
                <w:sz w:val="17"/>
                <w:szCs w:val="17"/>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260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800" w:type="dxa"/>
            <w:vAlign w:val="bottom"/>
          </w:tcPr>
          <w:p>
            <w:pPr>
              <w:ind w:left="500"/>
              <w:spacing w:after="0"/>
              <w:rPr>
                <w:sz w:val="20"/>
                <w:szCs w:val="20"/>
                <w:color w:val="auto"/>
              </w:rPr>
            </w:pPr>
            <w:r>
              <w:rPr>
                <w:rFonts w:ascii="Arial" w:cs="Arial" w:eastAsia="Arial" w:hAnsi="Arial"/>
                <w:sz w:val="16"/>
                <w:szCs w:val="16"/>
                <w:color w:val="auto"/>
              </w:rPr>
              <w:t>CCK</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18"/>
                <w:szCs w:val="18"/>
                <w:color w:val="auto"/>
              </w:rPr>
            </w:pPr>
          </w:p>
        </w:tc>
      </w:tr>
      <w:tr>
        <w:trPr>
          <w:trHeight w:val="257"/>
        </w:trPr>
        <w:tc>
          <w:tcPr>
            <w:tcW w:w="2600" w:type="dxa"/>
            <w:vAlign w:val="bottom"/>
          </w:tcPr>
          <w:p>
            <w:pPr>
              <w:ind w:left="40"/>
              <w:spacing w:after="0"/>
              <w:rPr>
                <w:sz w:val="20"/>
                <w:szCs w:val="20"/>
                <w:color w:val="auto"/>
              </w:rPr>
            </w:pPr>
            <w:r>
              <w:rPr>
                <w:rFonts w:ascii="Arial" w:cs="Arial" w:eastAsia="Arial" w:hAnsi="Arial"/>
                <w:sz w:val="16"/>
                <w:szCs w:val="16"/>
                <w:color w:val="auto"/>
              </w:rPr>
              <w:t>7 3/8% Debentures Due 2026</w:t>
            </w:r>
          </w:p>
        </w:tc>
        <w:tc>
          <w:tcPr>
            <w:tcW w:w="1800" w:type="dxa"/>
            <w:vAlign w:val="bottom"/>
          </w:tcPr>
          <w:p>
            <w:pPr>
              <w:ind w:left="500"/>
              <w:spacing w:after="0"/>
              <w:rPr>
                <w:sz w:val="20"/>
                <w:szCs w:val="20"/>
                <w:color w:val="auto"/>
              </w:rPr>
            </w:pPr>
            <w:r>
              <w:rPr>
                <w:rFonts w:ascii="Arial" w:cs="Arial" w:eastAsia="Arial" w:hAnsi="Arial"/>
                <w:sz w:val="16"/>
                <w:szCs w:val="16"/>
                <w:color w:val="auto"/>
              </w:rPr>
              <w:t>CCK26</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22"/>
                <w:szCs w:val="22"/>
                <w:color w:val="auto"/>
              </w:rPr>
            </w:pPr>
          </w:p>
        </w:tc>
      </w:tr>
      <w:tr>
        <w:trPr>
          <w:trHeight w:val="256"/>
        </w:trPr>
        <w:tc>
          <w:tcPr>
            <w:tcW w:w="2600" w:type="dxa"/>
            <w:vAlign w:val="bottom"/>
          </w:tcPr>
          <w:p>
            <w:pPr>
              <w:ind w:left="40"/>
              <w:spacing w:after="0"/>
              <w:rPr>
                <w:sz w:val="20"/>
                <w:szCs w:val="20"/>
                <w:color w:val="auto"/>
              </w:rPr>
            </w:pPr>
            <w:r>
              <w:rPr>
                <w:rFonts w:ascii="Arial" w:cs="Arial" w:eastAsia="Arial" w:hAnsi="Arial"/>
                <w:sz w:val="16"/>
                <w:szCs w:val="16"/>
                <w:color w:val="auto"/>
              </w:rPr>
              <w:t>7 1/2% Debentures Due 2096</w:t>
            </w:r>
          </w:p>
        </w:tc>
        <w:tc>
          <w:tcPr>
            <w:tcW w:w="1800" w:type="dxa"/>
            <w:vAlign w:val="bottom"/>
          </w:tcPr>
          <w:p>
            <w:pPr>
              <w:ind w:left="500"/>
              <w:spacing w:after="0"/>
              <w:rPr>
                <w:sz w:val="20"/>
                <w:szCs w:val="20"/>
                <w:color w:val="auto"/>
              </w:rPr>
            </w:pPr>
            <w:r>
              <w:rPr>
                <w:rFonts w:ascii="Arial" w:cs="Arial" w:eastAsia="Arial" w:hAnsi="Arial"/>
                <w:sz w:val="16"/>
                <w:szCs w:val="16"/>
                <w:color w:val="auto"/>
              </w:rPr>
              <w:t>CCK96</w:t>
            </w:r>
          </w:p>
        </w:tc>
        <w:tc>
          <w:tcPr>
            <w:tcW w:w="5480" w:type="dxa"/>
            <w:vAlign w:val="bottom"/>
          </w:tcPr>
          <w:p>
            <w:pPr>
              <w:ind w:left="180"/>
              <w:spacing w:after="0"/>
              <w:rPr>
                <w:sz w:val="20"/>
                <w:szCs w:val="20"/>
                <w:color w:val="auto"/>
              </w:rPr>
            </w:pPr>
            <w:r>
              <w:rPr>
                <w:rFonts w:ascii="Arial" w:cs="Arial" w:eastAsia="Arial" w:hAnsi="Arial"/>
                <w:sz w:val="16"/>
                <w:szCs w:val="16"/>
                <w:color w:val="auto"/>
              </w:rPr>
              <w:t>New York Stock Exchange</w:t>
            </w:r>
          </w:p>
        </w:tc>
        <w:tc>
          <w:tcPr>
            <w:tcW w:w="1360" w:type="dxa"/>
            <w:vAlign w:val="bottom"/>
          </w:tcPr>
          <w:p>
            <w:pPr>
              <w:spacing w:after="0"/>
              <w:rPr>
                <w:sz w:val="22"/>
                <w:szCs w:val="22"/>
                <w:color w:val="auto"/>
              </w:rPr>
            </w:pPr>
          </w:p>
        </w:tc>
      </w:tr>
      <w:tr>
        <w:trPr>
          <w:trHeight w:val="350"/>
        </w:trPr>
        <w:tc>
          <w:tcPr>
            <w:tcW w:w="2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r>
        <w:trPr>
          <w:trHeight w:val="615"/>
        </w:trPr>
        <w:tc>
          <w:tcPr>
            <w:tcW w:w="26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-410845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5 - Corporate Governance and Management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66" w:lineRule="exact"/>
        <w:rPr>
          <w:sz w:val="20"/>
          <w:szCs w:val="20"/>
          <w:color w:val="auto"/>
        </w:rPr>
      </w:pPr>
    </w:p>
    <w:p>
      <w:pPr>
        <w:jc w:val="both"/>
        <w:ind w:left="660" w:hanging="652"/>
        <w:spacing w:after="0" w:line="25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 xml:space="preserve">Crown Holdings, Inc. (the “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held its Annual Meeting of Shareholders on April 23, 2020 (the “ </w:t>
      </w:r>
      <w:r>
        <w:rPr>
          <w:rFonts w:ascii="Arial" w:cs="Arial" w:eastAsia="Arial" w:hAnsi="Arial"/>
          <w:sz w:val="22"/>
          <w:szCs w:val="22"/>
          <w:u w:val="single" w:color="auto"/>
          <w:color w:val="auto"/>
        </w:rPr>
        <w:t>Annual</w:t>
      </w:r>
      <w:r>
        <w:rPr>
          <w:rFonts w:ascii="Arial" w:cs="Arial" w:eastAsia="Arial" w:hAnsi="Arial"/>
          <w:sz w:val="22"/>
          <w:szCs w:val="22"/>
          <w:color w:val="auto"/>
        </w:rPr>
        <w:t xml:space="preserve"> </w:t>
      </w:r>
      <w:r>
        <w:rPr>
          <w:rFonts w:ascii="Arial" w:cs="Arial" w:eastAsia="Arial" w:hAnsi="Arial"/>
          <w:sz w:val="22"/>
          <w:szCs w:val="22"/>
          <w:u w:val="single" w:color="auto"/>
          <w:color w:val="auto"/>
        </w:rPr>
        <w:t>Meeting</w:t>
      </w:r>
      <w:r>
        <w:rPr>
          <w:rFonts w:ascii="Arial" w:cs="Arial" w:eastAsia="Arial" w:hAnsi="Arial"/>
          <w:sz w:val="22"/>
          <w:szCs w:val="22"/>
          <w:color w:val="auto"/>
        </w:rPr>
        <w:t xml:space="preserve"> ”). As of March 3, 2020, the record date for the meeting, 135,696,867 shares of Common Stock, par value $5.00 per share, of the Company (“ </w:t>
      </w:r>
      <w:r>
        <w:rPr>
          <w:rFonts w:ascii="Arial" w:cs="Arial" w:eastAsia="Arial" w:hAnsi="Arial"/>
          <w:sz w:val="22"/>
          <w:szCs w:val="22"/>
          <w:u w:val="single" w:color="auto"/>
          <w:color w:val="auto"/>
        </w:rPr>
        <w:t>Common Stock</w:t>
      </w:r>
      <w:r>
        <w:rPr>
          <w:rFonts w:ascii="Arial" w:cs="Arial" w:eastAsia="Arial" w:hAnsi="Arial"/>
          <w:sz w:val="22"/>
          <w:szCs w:val="22"/>
          <w:color w:val="auto"/>
        </w:rPr>
        <w:t xml:space="preserve"> ”) were issued and outstanding. A quorum of 117,598,191 shares of Common Stock was present or represented at the meeting.</w:t>
      </w:r>
    </w:p>
    <w:p>
      <w:pPr>
        <w:spacing w:after="0" w:line="22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following individuals were nominated and elected to serve as directors:</w:t>
      </w:r>
    </w:p>
    <w:p>
      <w:pPr>
        <w:spacing w:after="0" w:line="260" w:lineRule="exact"/>
        <w:rPr>
          <w:rFonts w:ascii="Arial" w:cs="Arial" w:eastAsia="Arial" w:hAnsi="Arial"/>
          <w:sz w:val="22"/>
          <w:szCs w:val="22"/>
          <w:color w:val="auto"/>
        </w:rPr>
      </w:pPr>
    </w:p>
    <w:p>
      <w:pPr>
        <w:ind w:left="660" w:right="20"/>
        <w:spacing w:after="0" w:line="263" w:lineRule="auto"/>
        <w:rPr>
          <w:rFonts w:ascii="Arial" w:cs="Arial" w:eastAsia="Arial" w:hAnsi="Arial"/>
          <w:sz w:val="22"/>
          <w:szCs w:val="22"/>
          <w:color w:val="auto"/>
        </w:rPr>
      </w:pPr>
      <w:r>
        <w:rPr>
          <w:rFonts w:ascii="Arial" w:cs="Arial" w:eastAsia="Arial" w:hAnsi="Arial"/>
          <w:sz w:val="22"/>
          <w:szCs w:val="22"/>
          <w:color w:val="auto"/>
        </w:rPr>
        <w:t>John W. Conway, Timothy J. Donahue, Richard H. Fearon, Andrea J. Funk, Stephen J. Hagge, Rose Lee, James H. Miller, Josef M. Müller, B. Craig Owens, Caesar F. Sweitzer, Jim L. Turner and William S. Urkiel.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At the Annual Meeting, the Company’s shareholders voted on the four matters below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40" w:type="dxa"/>
            <w:vAlign w:val="bottom"/>
          </w:tcPr>
          <w:p>
            <w:pPr>
              <w:jc w:val="right"/>
              <w:ind w:right="112"/>
              <w:spacing w:after="0"/>
              <w:rPr>
                <w:sz w:val="20"/>
                <w:szCs w:val="20"/>
                <w:color w:val="auto"/>
              </w:rPr>
            </w:pPr>
            <w:r>
              <w:rPr>
                <w:rFonts w:ascii="Arial" w:cs="Arial" w:eastAsia="Arial" w:hAnsi="Arial"/>
                <w:sz w:val="22"/>
                <w:szCs w:val="22"/>
                <w:color w:val="auto"/>
              </w:rPr>
              <w:t>1)</w:t>
            </w:r>
          </w:p>
        </w:tc>
        <w:tc>
          <w:tcPr>
            <w:tcW w:w="3820" w:type="dxa"/>
            <w:vAlign w:val="bottom"/>
            <w:gridSpan w:val="3"/>
          </w:tcPr>
          <w:p>
            <w:pPr>
              <w:ind w:left="240"/>
              <w:spacing w:after="0"/>
              <w:rPr>
                <w:sz w:val="20"/>
                <w:szCs w:val="20"/>
                <w:color w:val="auto"/>
              </w:rPr>
            </w:pPr>
            <w:r>
              <w:rPr>
                <w:rFonts w:ascii="Arial" w:cs="Arial" w:eastAsia="Arial" w:hAnsi="Arial"/>
                <w:sz w:val="22"/>
                <w:szCs w:val="22"/>
                <w:color w:val="auto"/>
              </w:rPr>
              <w:t>Election of Directors.</w:t>
            </w: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68"/>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3"/>
              </w:rPr>
              <w:t>Votes</w:t>
            </w:r>
          </w:p>
        </w:tc>
        <w:tc>
          <w:tcPr>
            <w:tcW w:w="190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3"/>
              </w:rPr>
              <w:t>Votes</w:t>
            </w: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93"/>
              </w:rPr>
              <w:t>Broker</w:t>
            </w:r>
          </w:p>
        </w:tc>
        <w:tc>
          <w:tcPr>
            <w:tcW w:w="1280" w:type="dxa"/>
            <w:vAlign w:val="bottom"/>
          </w:tcPr>
          <w:p>
            <w:pPr>
              <w:spacing w:after="0"/>
              <w:rPr>
                <w:sz w:val="24"/>
                <w:szCs w:val="24"/>
                <w:color w:val="auto"/>
              </w:rPr>
            </w:pPr>
          </w:p>
        </w:tc>
      </w:tr>
      <w:tr>
        <w:trPr>
          <w:trHeight w:val="304"/>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tcBorders>
              <w:bottom w:val="single" w:sz="8" w:color="auto"/>
            </w:tcBorders>
          </w:tcPr>
          <w:p>
            <w:pPr>
              <w:ind w:left="720"/>
              <w:spacing w:after="0"/>
              <w:rPr>
                <w:sz w:val="20"/>
                <w:szCs w:val="20"/>
                <w:color w:val="auto"/>
              </w:rPr>
            </w:pPr>
            <w:r>
              <w:rPr>
                <w:rFonts w:ascii="Arial" w:cs="Arial" w:eastAsia="Arial" w:hAnsi="Arial"/>
                <w:sz w:val="22"/>
                <w:szCs w:val="22"/>
                <w:b w:val="1"/>
                <w:bCs w:val="1"/>
                <w:color w:val="auto"/>
              </w:rPr>
              <w:t>Directors</w:t>
            </w:r>
          </w:p>
        </w:tc>
        <w:tc>
          <w:tcPr>
            <w:tcW w:w="2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For</w:t>
            </w:r>
          </w:p>
        </w:tc>
        <w:tc>
          <w:tcPr>
            <w:tcW w:w="26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Withheld</w:t>
            </w:r>
          </w:p>
        </w:tc>
        <w:tc>
          <w:tcPr>
            <w:tcW w:w="2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Non-Vote</w:t>
            </w:r>
          </w:p>
        </w:tc>
        <w:tc>
          <w:tcPr>
            <w:tcW w:w="1280" w:type="dxa"/>
            <w:vAlign w:val="bottom"/>
          </w:tcPr>
          <w:p>
            <w:pPr>
              <w:spacing w:after="0"/>
              <w:rPr>
                <w:sz w:val="24"/>
                <w:szCs w:val="24"/>
                <w:color w:val="auto"/>
              </w:rPr>
            </w:pPr>
          </w:p>
        </w:tc>
      </w:tr>
      <w:tr>
        <w:trPr>
          <w:trHeight w:val="604"/>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John W. Conway</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109,560,509</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1,715,553</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Timothy J. Donahue</w:t>
            </w:r>
          </w:p>
        </w:tc>
        <w:tc>
          <w:tcPr>
            <w:tcW w:w="1620" w:type="dxa"/>
            <w:vAlign w:val="bottom"/>
          </w:tcPr>
          <w:p>
            <w:pPr>
              <w:jc w:val="center"/>
              <w:spacing w:after="0"/>
              <w:rPr>
                <w:sz w:val="20"/>
                <w:szCs w:val="20"/>
                <w:color w:val="auto"/>
              </w:rPr>
            </w:pPr>
            <w:r>
              <w:rPr>
                <w:rFonts w:ascii="Arial" w:cs="Arial" w:eastAsia="Arial" w:hAnsi="Arial"/>
                <w:sz w:val="22"/>
                <w:szCs w:val="22"/>
                <w:color w:val="auto"/>
                <w:w w:val="86"/>
              </w:rPr>
              <w:t>110,873,097</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402,965</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Richard H. Fearon</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83,228,168</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28,047,894</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Andrea J. Funk</w:t>
            </w:r>
          </w:p>
        </w:tc>
        <w:tc>
          <w:tcPr>
            <w:tcW w:w="1620" w:type="dxa"/>
            <w:vAlign w:val="bottom"/>
          </w:tcPr>
          <w:p>
            <w:pPr>
              <w:jc w:val="center"/>
              <w:spacing w:after="0"/>
              <w:rPr>
                <w:sz w:val="20"/>
                <w:szCs w:val="20"/>
                <w:color w:val="auto"/>
              </w:rPr>
            </w:pPr>
            <w:r>
              <w:rPr>
                <w:rFonts w:ascii="Arial" w:cs="Arial" w:eastAsia="Arial" w:hAnsi="Arial"/>
                <w:sz w:val="22"/>
                <w:szCs w:val="22"/>
                <w:color w:val="auto"/>
                <w:w w:val="86"/>
              </w:rPr>
              <w:t>111,025,905</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250,157</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Stephen J. Hagge</w:t>
            </w:r>
          </w:p>
        </w:tc>
        <w:tc>
          <w:tcPr>
            <w:tcW w:w="1620" w:type="dxa"/>
            <w:vAlign w:val="bottom"/>
          </w:tcPr>
          <w:p>
            <w:pPr>
              <w:jc w:val="center"/>
              <w:spacing w:after="0"/>
              <w:rPr>
                <w:sz w:val="20"/>
                <w:szCs w:val="20"/>
                <w:color w:val="auto"/>
              </w:rPr>
            </w:pPr>
            <w:r>
              <w:rPr>
                <w:rFonts w:ascii="Arial" w:cs="Arial" w:eastAsia="Arial" w:hAnsi="Arial"/>
                <w:sz w:val="22"/>
                <w:szCs w:val="22"/>
                <w:color w:val="auto"/>
                <w:w w:val="86"/>
              </w:rPr>
              <w:t>110,874,851</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5"/>
              </w:rPr>
              <w:t>401,211</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Rose Lee</w:t>
            </w:r>
          </w:p>
        </w:tc>
        <w:tc>
          <w:tcPr>
            <w:tcW w:w="1620" w:type="dxa"/>
            <w:vAlign w:val="bottom"/>
          </w:tcPr>
          <w:p>
            <w:pPr>
              <w:jc w:val="center"/>
              <w:spacing w:after="0"/>
              <w:rPr>
                <w:sz w:val="20"/>
                <w:szCs w:val="20"/>
                <w:color w:val="auto"/>
              </w:rPr>
            </w:pPr>
            <w:r>
              <w:rPr>
                <w:rFonts w:ascii="Arial" w:cs="Arial" w:eastAsia="Arial" w:hAnsi="Arial"/>
                <w:sz w:val="22"/>
                <w:szCs w:val="22"/>
                <w:color w:val="auto"/>
                <w:w w:val="86"/>
              </w:rPr>
              <w:t>110,346,919</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929,143</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James H. Miller</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108,645,275</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2,630,787</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Josef M. Müller</w:t>
            </w:r>
          </w:p>
        </w:tc>
        <w:tc>
          <w:tcPr>
            <w:tcW w:w="1620" w:type="dxa"/>
            <w:vAlign w:val="bottom"/>
          </w:tcPr>
          <w:p>
            <w:pPr>
              <w:jc w:val="center"/>
              <w:spacing w:after="0"/>
              <w:rPr>
                <w:sz w:val="20"/>
                <w:szCs w:val="20"/>
                <w:color w:val="auto"/>
              </w:rPr>
            </w:pPr>
            <w:r>
              <w:rPr>
                <w:rFonts w:ascii="Arial" w:cs="Arial" w:eastAsia="Arial" w:hAnsi="Arial"/>
                <w:sz w:val="22"/>
                <w:szCs w:val="22"/>
                <w:color w:val="auto"/>
                <w:w w:val="86"/>
              </w:rPr>
              <w:t>110,844,456</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431,606</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B. Craig Owens</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109,441,385</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1,834,677</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Caesar F. Sweitzer</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109,999,607</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1,276,455</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Jim L. Turner</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107,099,496</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4,176,566</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621"/>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gridSpan w:val="2"/>
          </w:tcPr>
          <w:p>
            <w:pPr>
              <w:ind w:left="20"/>
              <w:spacing w:after="0"/>
              <w:rPr>
                <w:sz w:val="20"/>
                <w:szCs w:val="20"/>
                <w:color w:val="auto"/>
              </w:rPr>
            </w:pPr>
            <w:r>
              <w:rPr>
                <w:rFonts w:ascii="Arial" w:cs="Arial" w:eastAsia="Arial" w:hAnsi="Arial"/>
                <w:sz w:val="22"/>
                <w:szCs w:val="22"/>
                <w:color w:val="auto"/>
              </w:rPr>
              <w:t>William S. Urkiel</w:t>
            </w:r>
          </w:p>
        </w:tc>
        <w:tc>
          <w:tcPr>
            <w:tcW w:w="1620" w:type="dxa"/>
            <w:vAlign w:val="bottom"/>
          </w:tcPr>
          <w:p>
            <w:pPr>
              <w:jc w:val="center"/>
              <w:spacing w:after="0"/>
              <w:rPr>
                <w:sz w:val="20"/>
                <w:szCs w:val="20"/>
                <w:color w:val="auto"/>
              </w:rPr>
            </w:pPr>
            <w:r>
              <w:rPr>
                <w:rFonts w:ascii="Arial" w:cs="Arial" w:eastAsia="Arial" w:hAnsi="Arial"/>
                <w:sz w:val="22"/>
                <w:szCs w:val="22"/>
                <w:color w:val="auto"/>
                <w:w w:val="88"/>
              </w:rPr>
              <w:t>107,171,514</w:t>
            </w:r>
          </w:p>
        </w:tc>
        <w:tc>
          <w:tcPr>
            <w:tcW w:w="2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4,104,548</w:t>
            </w:r>
          </w:p>
        </w:tc>
        <w:tc>
          <w:tcPr>
            <w:tcW w:w="2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2"/>
                <w:szCs w:val="22"/>
                <w:color w:val="auto"/>
                <w:w w:val="87"/>
              </w:rPr>
              <w:t>6,322,129</w:t>
            </w:r>
          </w:p>
        </w:tc>
        <w:tc>
          <w:tcPr>
            <w:tcW w:w="1280" w:type="dxa"/>
            <w:vAlign w:val="bottom"/>
          </w:tcPr>
          <w:p>
            <w:pPr>
              <w:spacing w:after="0"/>
              <w:rPr>
                <w:sz w:val="24"/>
                <w:szCs w:val="24"/>
                <w:color w:val="auto"/>
              </w:rPr>
            </w:pPr>
          </w:p>
        </w:tc>
      </w:tr>
      <w:tr>
        <w:trPr>
          <w:trHeight w:val="284"/>
        </w:trPr>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392"/>
              <w:spacing w:after="0"/>
              <w:rPr>
                <w:sz w:val="20"/>
                <w:szCs w:val="20"/>
                <w:color w:val="auto"/>
              </w:rPr>
            </w:pPr>
            <w:r>
              <w:rPr>
                <w:rFonts w:ascii="Arial" w:cs="Arial" w:eastAsia="Arial" w:hAnsi="Arial"/>
                <w:sz w:val="22"/>
                <w:szCs w:val="22"/>
                <w:color w:val="auto"/>
              </w:rPr>
              <w:t>2</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24"/>
        </w:trPr>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 w:name="page3"/>
    <w:bookmarkEnd w:id="2"/>
    <w:p>
      <w:pPr>
        <w:ind w:left="652" w:right="20" w:hanging="652"/>
        <w:spacing w:after="0" w:line="263" w:lineRule="auto"/>
        <w:tabs>
          <w:tab w:leader="none" w:pos="65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Company’s shareholders ratified the appointment of PricewaterhouseCoopers LLP as the Company’s independent auditor for the fiscal year ending December 31, 2020 pursuant to the following vote: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52" w:type="dxa"/>
        <w:tblCellMar>
          <w:top w:w="0" w:type="dxa"/>
          <w:left w:w="0" w:type="dxa"/>
          <w:bottom w:w="0" w:type="dxa"/>
          <w:right w:w="0" w:type="dxa"/>
        </w:tblCellMar>
      </w:tblPr>
      <w:tr>
        <w:trPr>
          <w:trHeight w:val="304"/>
        </w:trPr>
        <w:tc>
          <w:tcPr>
            <w:tcW w:w="206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6"/>
              </w:rPr>
              <w:t>Votes For</w:t>
            </w:r>
          </w:p>
        </w:tc>
        <w:tc>
          <w:tcPr>
            <w:tcW w:w="206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4"/>
              </w:rPr>
              <w:t>Votes Against</w:t>
            </w:r>
          </w:p>
        </w:tc>
        <w:tc>
          <w:tcPr>
            <w:tcW w:w="1920" w:type="dxa"/>
            <w:vAlign w:val="bottom"/>
          </w:tcPr>
          <w:p>
            <w:pPr>
              <w:jc w:val="center"/>
              <w:ind w:right="12"/>
              <w:spacing w:after="0"/>
              <w:rPr>
                <w:sz w:val="20"/>
                <w:szCs w:val="20"/>
                <w:color w:val="auto"/>
              </w:rPr>
            </w:pPr>
            <w:r>
              <w:rPr>
                <w:rFonts w:ascii="Arial" w:cs="Arial" w:eastAsia="Arial" w:hAnsi="Arial"/>
                <w:sz w:val="22"/>
                <w:szCs w:val="22"/>
                <w:b w:val="1"/>
                <w:bCs w:val="1"/>
                <w:color w:val="auto"/>
                <w:w w:val="86"/>
              </w:rPr>
              <w:t>Votes Abstaining</w:t>
            </w:r>
          </w:p>
        </w:tc>
        <w:tc>
          <w:tcPr>
            <w:tcW w:w="192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Broker Non-Vote</w:t>
            </w:r>
          </w:p>
        </w:tc>
      </w:tr>
      <w:tr>
        <w:trPr>
          <w:trHeight w:val="280"/>
        </w:trPr>
        <w:tc>
          <w:tcPr>
            <w:tcW w:w="1800" w:type="dxa"/>
            <w:vAlign w:val="bottom"/>
            <w:tcBorders>
              <w:top w:val="single" w:sz="8" w:color="auto"/>
            </w:tcBorders>
          </w:tcPr>
          <w:p>
            <w:pPr>
              <w:jc w:val="right"/>
              <w:ind w:right="272"/>
              <w:spacing w:after="0"/>
              <w:rPr>
                <w:sz w:val="20"/>
                <w:szCs w:val="20"/>
                <w:color w:val="auto"/>
              </w:rPr>
            </w:pPr>
            <w:r>
              <w:rPr>
                <w:rFonts w:ascii="Arial" w:cs="Arial" w:eastAsia="Arial" w:hAnsi="Arial"/>
                <w:sz w:val="22"/>
                <w:szCs w:val="22"/>
                <w:color w:val="auto"/>
              </w:rPr>
              <w:t>110,789,496</w:t>
            </w:r>
          </w:p>
        </w:tc>
        <w:tc>
          <w:tcPr>
            <w:tcW w:w="260" w:type="dxa"/>
            <w:vAlign w:val="bottom"/>
          </w:tcPr>
          <w:p>
            <w:pPr>
              <w:spacing w:after="0"/>
              <w:rPr>
                <w:sz w:val="24"/>
                <w:szCs w:val="24"/>
                <w:color w:val="auto"/>
              </w:rPr>
            </w:pPr>
          </w:p>
        </w:tc>
        <w:tc>
          <w:tcPr>
            <w:tcW w:w="1800" w:type="dxa"/>
            <w:vAlign w:val="bottom"/>
            <w:tcBorders>
              <w:top w:val="single" w:sz="8" w:color="auto"/>
            </w:tcBorders>
          </w:tcPr>
          <w:p>
            <w:pPr>
              <w:jc w:val="right"/>
              <w:ind w:right="352"/>
              <w:spacing w:after="0"/>
              <w:rPr>
                <w:sz w:val="20"/>
                <w:szCs w:val="20"/>
                <w:color w:val="auto"/>
              </w:rPr>
            </w:pPr>
            <w:r>
              <w:rPr>
                <w:rFonts w:ascii="Arial" w:cs="Arial" w:eastAsia="Arial" w:hAnsi="Arial"/>
                <w:sz w:val="22"/>
                <w:szCs w:val="22"/>
                <w:color w:val="auto"/>
              </w:rPr>
              <w:t>6,761,190</w:t>
            </w:r>
          </w:p>
        </w:tc>
        <w:tc>
          <w:tcPr>
            <w:tcW w:w="260" w:type="dxa"/>
            <w:vAlign w:val="bottom"/>
          </w:tcPr>
          <w:p>
            <w:pPr>
              <w:spacing w:after="0"/>
              <w:rPr>
                <w:sz w:val="24"/>
                <w:szCs w:val="24"/>
                <w:color w:val="auto"/>
              </w:rPr>
            </w:pPr>
          </w:p>
        </w:tc>
        <w:tc>
          <w:tcPr>
            <w:tcW w:w="1920" w:type="dxa"/>
            <w:vAlign w:val="bottom"/>
            <w:tcBorders>
              <w:top w:val="single" w:sz="8" w:color="auto"/>
            </w:tcBorders>
          </w:tcPr>
          <w:p>
            <w:pPr>
              <w:jc w:val="right"/>
              <w:ind w:right="612"/>
              <w:spacing w:after="0"/>
              <w:rPr>
                <w:sz w:val="20"/>
                <w:szCs w:val="20"/>
                <w:color w:val="auto"/>
              </w:rPr>
            </w:pPr>
            <w:r>
              <w:rPr>
                <w:rFonts w:ascii="Arial" w:cs="Arial" w:eastAsia="Arial" w:hAnsi="Arial"/>
                <w:sz w:val="22"/>
                <w:szCs w:val="22"/>
                <w:color w:val="auto"/>
              </w:rPr>
              <w:t>47,505</w:t>
            </w:r>
          </w:p>
        </w:tc>
        <w:tc>
          <w:tcPr>
            <w:tcW w:w="1920" w:type="dxa"/>
            <w:vAlign w:val="bottom"/>
            <w:tcBorders>
              <w:top w:val="single" w:sz="8" w:color="auto"/>
            </w:tcBorders>
          </w:tcPr>
          <w:p>
            <w:pPr>
              <w:jc w:val="center"/>
              <w:ind w:left="32"/>
              <w:spacing w:after="0"/>
              <w:rPr>
                <w:sz w:val="20"/>
                <w:szCs w:val="20"/>
                <w:color w:val="auto"/>
              </w:rPr>
            </w:pPr>
            <w:r>
              <w:rPr>
                <w:rFonts w:ascii="Arial" w:cs="Arial" w:eastAsia="Arial" w:hAnsi="Arial"/>
                <w:sz w:val="22"/>
                <w:szCs w:val="22"/>
                <w:color w:val="auto"/>
                <w:w w:val="99"/>
              </w:rPr>
              <w:t>—</w:t>
            </w:r>
          </w:p>
        </w:tc>
      </w:tr>
    </w:tbl>
    <w:p>
      <w:pPr>
        <w:spacing w:after="0" w:line="200" w:lineRule="exact"/>
        <w:rPr>
          <w:sz w:val="20"/>
          <w:szCs w:val="20"/>
          <w:color w:val="auto"/>
        </w:rPr>
      </w:pPr>
    </w:p>
    <w:p>
      <w:pPr>
        <w:spacing w:after="0" w:line="322" w:lineRule="exact"/>
        <w:rPr>
          <w:sz w:val="20"/>
          <w:szCs w:val="20"/>
          <w:color w:val="auto"/>
        </w:rPr>
      </w:pPr>
    </w:p>
    <w:p>
      <w:pPr>
        <w:ind w:left="652" w:hanging="652"/>
        <w:spacing w:after="0" w:line="263" w:lineRule="auto"/>
        <w:tabs>
          <w:tab w:leader="none" w:pos="652"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Company’s shareholders approved, by non-binding advisory vote, the resolution on executive compensation (as further described in the Company’s 2020 Proxy Statement) pursuant to the following vote: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52" w:type="dxa"/>
        <w:tblCellMar>
          <w:top w:w="0" w:type="dxa"/>
          <w:left w:w="0" w:type="dxa"/>
          <w:bottom w:w="0" w:type="dxa"/>
          <w:right w:w="0" w:type="dxa"/>
        </w:tblCellMar>
      </w:tblPr>
      <w:tr>
        <w:trPr>
          <w:trHeight w:val="304"/>
        </w:trPr>
        <w:tc>
          <w:tcPr>
            <w:tcW w:w="206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6"/>
              </w:rPr>
              <w:t>Votes For</w:t>
            </w:r>
          </w:p>
        </w:tc>
        <w:tc>
          <w:tcPr>
            <w:tcW w:w="206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4"/>
              </w:rPr>
              <w:t>Votes Against</w:t>
            </w:r>
          </w:p>
        </w:tc>
        <w:tc>
          <w:tcPr>
            <w:tcW w:w="2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6"/>
              </w:rPr>
              <w:t>Votes Abstaining</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0"/>
              </w:rPr>
              <w:t>Broker Non-Vote</w:t>
            </w:r>
          </w:p>
        </w:tc>
      </w:tr>
      <w:tr>
        <w:trPr>
          <w:trHeight w:val="280"/>
        </w:trPr>
        <w:tc>
          <w:tcPr>
            <w:tcW w:w="1800" w:type="dxa"/>
            <w:vAlign w:val="bottom"/>
            <w:tcBorders>
              <w:top w:val="single" w:sz="8" w:color="auto"/>
            </w:tcBorders>
          </w:tcPr>
          <w:p>
            <w:pPr>
              <w:jc w:val="right"/>
              <w:ind w:right="252"/>
              <w:spacing w:after="0"/>
              <w:rPr>
                <w:sz w:val="20"/>
                <w:szCs w:val="20"/>
                <w:color w:val="auto"/>
              </w:rPr>
            </w:pPr>
            <w:r>
              <w:rPr>
                <w:rFonts w:ascii="Arial" w:cs="Arial" w:eastAsia="Arial" w:hAnsi="Arial"/>
                <w:sz w:val="22"/>
                <w:szCs w:val="22"/>
                <w:color w:val="auto"/>
              </w:rPr>
              <w:t>107,622,369</w:t>
            </w:r>
          </w:p>
        </w:tc>
        <w:tc>
          <w:tcPr>
            <w:tcW w:w="260" w:type="dxa"/>
            <w:vAlign w:val="bottom"/>
          </w:tcPr>
          <w:p>
            <w:pPr>
              <w:spacing w:after="0"/>
              <w:rPr>
                <w:sz w:val="24"/>
                <w:szCs w:val="24"/>
                <w:color w:val="auto"/>
              </w:rPr>
            </w:pPr>
          </w:p>
        </w:tc>
        <w:tc>
          <w:tcPr>
            <w:tcW w:w="1800" w:type="dxa"/>
            <w:vAlign w:val="bottom"/>
            <w:tcBorders>
              <w:top w:val="single" w:sz="8" w:color="auto"/>
            </w:tcBorders>
          </w:tcPr>
          <w:p>
            <w:pPr>
              <w:jc w:val="right"/>
              <w:ind w:right="352"/>
              <w:spacing w:after="0"/>
              <w:rPr>
                <w:sz w:val="20"/>
                <w:szCs w:val="20"/>
                <w:color w:val="auto"/>
              </w:rPr>
            </w:pPr>
            <w:r>
              <w:rPr>
                <w:rFonts w:ascii="Arial" w:cs="Arial" w:eastAsia="Arial" w:hAnsi="Arial"/>
                <w:sz w:val="22"/>
                <w:szCs w:val="22"/>
                <w:color w:val="auto"/>
              </w:rPr>
              <w:t>3,519,060</w:t>
            </w:r>
          </w:p>
        </w:tc>
        <w:tc>
          <w:tcPr>
            <w:tcW w:w="260" w:type="dxa"/>
            <w:vAlign w:val="bottom"/>
          </w:tcPr>
          <w:p>
            <w:pPr>
              <w:spacing w:after="0"/>
              <w:rPr>
                <w:sz w:val="24"/>
                <w:szCs w:val="24"/>
                <w:color w:val="auto"/>
              </w:rPr>
            </w:pPr>
          </w:p>
        </w:tc>
        <w:tc>
          <w:tcPr>
            <w:tcW w:w="1800" w:type="dxa"/>
            <w:vAlign w:val="bottom"/>
            <w:tcBorders>
              <w:top w:val="single" w:sz="8" w:color="auto"/>
            </w:tcBorders>
          </w:tcPr>
          <w:p>
            <w:pPr>
              <w:jc w:val="right"/>
              <w:ind w:right="432"/>
              <w:spacing w:after="0"/>
              <w:rPr>
                <w:sz w:val="20"/>
                <w:szCs w:val="20"/>
                <w:color w:val="auto"/>
              </w:rPr>
            </w:pPr>
            <w:r>
              <w:rPr>
                <w:rFonts w:ascii="Arial" w:cs="Arial" w:eastAsia="Arial" w:hAnsi="Arial"/>
                <w:sz w:val="22"/>
                <w:szCs w:val="22"/>
                <w:color w:val="auto"/>
              </w:rPr>
              <w:t>134,633</w:t>
            </w:r>
          </w:p>
        </w:tc>
        <w:tc>
          <w:tcPr>
            <w:tcW w:w="280" w:type="dxa"/>
            <w:vAlign w:val="bottom"/>
          </w:tcPr>
          <w:p>
            <w:pPr>
              <w:spacing w:after="0"/>
              <w:rPr>
                <w:sz w:val="24"/>
                <w:szCs w:val="24"/>
                <w:color w:val="auto"/>
              </w:rPr>
            </w:pPr>
          </w:p>
        </w:tc>
        <w:tc>
          <w:tcPr>
            <w:tcW w:w="1780" w:type="dxa"/>
            <w:vAlign w:val="bottom"/>
            <w:tcBorders>
              <w:top w:val="single" w:sz="8" w:color="auto"/>
            </w:tcBorders>
          </w:tcPr>
          <w:p>
            <w:pPr>
              <w:jc w:val="right"/>
              <w:ind w:right="352"/>
              <w:spacing w:after="0"/>
              <w:rPr>
                <w:sz w:val="20"/>
                <w:szCs w:val="20"/>
                <w:color w:val="auto"/>
              </w:rPr>
            </w:pPr>
            <w:r>
              <w:rPr>
                <w:rFonts w:ascii="Arial" w:cs="Arial" w:eastAsia="Arial" w:hAnsi="Arial"/>
                <w:sz w:val="22"/>
                <w:szCs w:val="22"/>
                <w:color w:val="auto"/>
              </w:rPr>
              <w:t>6,322,129</w:t>
            </w:r>
          </w:p>
        </w:tc>
      </w:tr>
    </w:tbl>
    <w:p>
      <w:pPr>
        <w:spacing w:after="0" w:line="200" w:lineRule="exact"/>
        <w:rPr>
          <w:sz w:val="20"/>
          <w:szCs w:val="20"/>
          <w:color w:val="auto"/>
        </w:rPr>
      </w:pPr>
    </w:p>
    <w:p>
      <w:pPr>
        <w:spacing w:after="0" w:line="322" w:lineRule="exact"/>
        <w:rPr>
          <w:sz w:val="20"/>
          <w:szCs w:val="20"/>
          <w:color w:val="auto"/>
        </w:rPr>
      </w:pPr>
    </w:p>
    <w:p>
      <w:pPr>
        <w:ind w:left="732" w:right="540" w:hanging="732"/>
        <w:spacing w:after="0" w:line="263" w:lineRule="auto"/>
        <w:tabs>
          <w:tab w:leader="none" w:pos="732"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Company’s shareholders did not approve the shareholder proposal requesting the Board of Directors to adopt a policy for an independent Board Chairman pursuant to the following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52" w:type="dxa"/>
        <w:tblCellMar>
          <w:top w:w="0" w:type="dxa"/>
          <w:left w:w="0" w:type="dxa"/>
          <w:bottom w:w="0" w:type="dxa"/>
          <w:right w:w="0" w:type="dxa"/>
        </w:tblCellMar>
      </w:tblPr>
      <w:tr>
        <w:trPr>
          <w:trHeight w:val="253"/>
        </w:trPr>
        <w:tc>
          <w:tcPr>
            <w:tcW w:w="206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3"/>
              </w:rPr>
              <w:t>Votes</w:t>
            </w:r>
          </w:p>
        </w:tc>
        <w:tc>
          <w:tcPr>
            <w:tcW w:w="206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0"/>
              </w:rPr>
              <w:t>Votes</w:t>
            </w:r>
          </w:p>
        </w:tc>
        <w:tc>
          <w:tcPr>
            <w:tcW w:w="208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3"/>
              </w:rPr>
              <w:t>Votes</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93"/>
              </w:rPr>
              <w:t>Broker</w:t>
            </w:r>
          </w:p>
        </w:tc>
      </w:tr>
      <w:tr>
        <w:trPr>
          <w:trHeight w:val="304"/>
        </w:trPr>
        <w:tc>
          <w:tcPr>
            <w:tcW w:w="206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5"/>
              </w:rPr>
              <w:t>For</w:t>
            </w:r>
          </w:p>
        </w:tc>
        <w:tc>
          <w:tcPr>
            <w:tcW w:w="206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9"/>
              </w:rPr>
              <w:t>Against</w:t>
            </w:r>
          </w:p>
        </w:tc>
        <w:tc>
          <w:tcPr>
            <w:tcW w:w="2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7"/>
              </w:rPr>
              <w:t>Abstaining</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auto"/>
                <w:w w:val="87"/>
              </w:rPr>
              <w:t>Non-Vote</w:t>
            </w:r>
          </w:p>
        </w:tc>
      </w:tr>
      <w:tr>
        <w:trPr>
          <w:trHeight w:val="280"/>
        </w:trPr>
        <w:tc>
          <w:tcPr>
            <w:tcW w:w="18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41,098,415</w:t>
            </w:r>
          </w:p>
        </w:tc>
        <w:tc>
          <w:tcPr>
            <w:tcW w:w="26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7"/>
              </w:rPr>
              <w:t>69,931,411</w:t>
            </w:r>
          </w:p>
        </w:tc>
        <w:tc>
          <w:tcPr>
            <w:tcW w:w="26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7"/>
              </w:rPr>
              <w:t>246,236</w:t>
            </w:r>
          </w:p>
        </w:tc>
        <w:tc>
          <w:tcPr>
            <w:tcW w:w="280" w:type="dxa"/>
            <w:vAlign w:val="bottom"/>
          </w:tcPr>
          <w:p>
            <w:pPr>
              <w:spacing w:after="0"/>
              <w:rPr>
                <w:sz w:val="24"/>
                <w:szCs w:val="24"/>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7"/>
              </w:rPr>
              <w:t>6,322,129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341630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77"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172" w:lineRule="exact"/>
        <w:rPr>
          <w:sz w:val="20"/>
          <w:szCs w:val="20"/>
          <w:color w:val="auto"/>
        </w:rPr>
      </w:pPr>
    </w:p>
    <w:p>
      <w:pPr>
        <w:ind w:firstLine="432"/>
        <w:spacing w:after="0" w:line="263"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60" w:type="dxa"/>
        <w:tblCellMar>
          <w:top w:w="0" w:type="dxa"/>
          <w:left w:w="0" w:type="dxa"/>
          <w:bottom w:w="0" w:type="dxa"/>
          <w:right w:w="0" w:type="dxa"/>
        </w:tblCellMar>
      </w:tblPr>
      <w:tr>
        <w:trPr>
          <w:trHeight w:val="274"/>
        </w:trPr>
        <w:tc>
          <w:tcPr>
            <w:tcW w:w="3300" w:type="dxa"/>
            <w:vAlign w:val="bottom"/>
          </w:tcPr>
          <w:p>
            <w:pPr>
              <w:spacing w:after="0"/>
              <w:rPr>
                <w:sz w:val="20"/>
                <w:szCs w:val="20"/>
                <w:color w:val="auto"/>
              </w:rPr>
            </w:pPr>
            <w:r>
              <w:rPr>
                <w:rFonts w:ascii="Arial" w:cs="Arial" w:eastAsia="Arial" w:hAnsi="Arial"/>
                <w:sz w:val="22"/>
                <w:szCs w:val="22"/>
                <w:color w:val="auto"/>
              </w:rPr>
              <w:t>Dated: April 28, 2020</w:t>
            </w:r>
          </w:p>
        </w:tc>
        <w:tc>
          <w:tcPr>
            <w:tcW w:w="6000" w:type="dxa"/>
            <w:vAlign w:val="bottom"/>
            <w:gridSpan w:val="3"/>
          </w:tcPr>
          <w:p>
            <w:pPr>
              <w:ind w:left="1400"/>
              <w:spacing w:after="0"/>
              <w:rPr>
                <w:sz w:val="20"/>
                <w:szCs w:val="20"/>
                <w:color w:val="auto"/>
              </w:rPr>
            </w:pPr>
            <w:r>
              <w:rPr>
                <w:rFonts w:ascii="Arial" w:cs="Arial" w:eastAsia="Arial" w:hAnsi="Arial"/>
                <w:sz w:val="22"/>
                <w:szCs w:val="22"/>
                <w:color w:val="auto"/>
              </w:rPr>
              <w:t>CROWN HOLDINGS, INC.</w:t>
            </w:r>
          </w:p>
        </w:tc>
      </w:tr>
      <w:tr>
        <w:trPr>
          <w:trHeight w:val="516"/>
        </w:trPr>
        <w:tc>
          <w:tcPr>
            <w:tcW w:w="3300" w:type="dxa"/>
            <w:vAlign w:val="bottom"/>
          </w:tcPr>
          <w:p>
            <w:pPr>
              <w:spacing w:after="0"/>
              <w:rPr>
                <w:sz w:val="24"/>
                <w:szCs w:val="24"/>
                <w:color w:val="auto"/>
              </w:rPr>
            </w:pPr>
          </w:p>
        </w:tc>
        <w:tc>
          <w:tcPr>
            <w:tcW w:w="2520" w:type="dxa"/>
            <w:vAlign w:val="bottom"/>
          </w:tcPr>
          <w:p>
            <w:pPr>
              <w:ind w:left="1400"/>
              <w:spacing w:after="0"/>
              <w:rPr>
                <w:sz w:val="20"/>
                <w:szCs w:val="20"/>
                <w:color w:val="auto"/>
              </w:rPr>
            </w:pPr>
            <w:r>
              <w:rPr>
                <w:rFonts w:ascii="Arial" w:cs="Arial" w:eastAsia="Arial" w:hAnsi="Arial"/>
                <w:sz w:val="22"/>
                <w:szCs w:val="22"/>
                <w:color w:val="auto"/>
              </w:rPr>
              <w:t>By:</w:t>
            </w:r>
          </w:p>
        </w:tc>
        <w:tc>
          <w:tcPr>
            <w:tcW w:w="3480" w:type="dxa"/>
            <w:vAlign w:val="bottom"/>
            <w:gridSpan w:val="2"/>
          </w:tcPr>
          <w:p>
            <w:pPr>
              <w:spacing w:after="0"/>
              <w:rPr>
                <w:sz w:val="20"/>
                <w:szCs w:val="20"/>
                <w:color w:val="auto"/>
              </w:rPr>
            </w:pPr>
            <w:r>
              <w:rPr>
                <w:rFonts w:ascii="Arial" w:cs="Arial" w:eastAsia="Arial" w:hAnsi="Arial"/>
                <w:sz w:val="22"/>
                <w:szCs w:val="22"/>
                <w:color w:val="auto"/>
              </w:rPr>
              <w:t>/s/  David A. Beaver</w:t>
            </w:r>
          </w:p>
        </w:tc>
      </w:tr>
      <w:tr>
        <w:trPr>
          <w:trHeight w:val="328"/>
        </w:trPr>
        <w:tc>
          <w:tcPr>
            <w:tcW w:w="3300" w:type="dxa"/>
            <w:vAlign w:val="bottom"/>
          </w:tcPr>
          <w:p>
            <w:pPr>
              <w:spacing w:after="0"/>
              <w:rPr>
                <w:sz w:val="24"/>
                <w:szCs w:val="24"/>
                <w:color w:val="auto"/>
              </w:rPr>
            </w:pPr>
          </w:p>
        </w:tc>
        <w:tc>
          <w:tcPr>
            <w:tcW w:w="2520" w:type="dxa"/>
            <w:vAlign w:val="bottom"/>
          </w:tcPr>
          <w:p>
            <w:pPr>
              <w:ind w:left="1400"/>
              <w:spacing w:after="0"/>
              <w:rPr>
                <w:sz w:val="20"/>
                <w:szCs w:val="20"/>
                <w:color w:val="auto"/>
              </w:rPr>
            </w:pPr>
            <w:r>
              <w:rPr>
                <w:rFonts w:ascii="Arial" w:cs="Arial" w:eastAsia="Arial" w:hAnsi="Arial"/>
                <w:sz w:val="22"/>
                <w:szCs w:val="22"/>
                <w:color w:val="auto"/>
              </w:rPr>
              <w:t>Name:</w:t>
            </w:r>
          </w:p>
        </w:tc>
        <w:tc>
          <w:tcPr>
            <w:tcW w:w="18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David A. Beaver</w:t>
            </w:r>
          </w:p>
        </w:tc>
        <w:tc>
          <w:tcPr>
            <w:tcW w:w="1600" w:type="dxa"/>
            <w:vAlign w:val="bottom"/>
          </w:tcPr>
          <w:p>
            <w:pPr>
              <w:spacing w:after="0"/>
              <w:rPr>
                <w:sz w:val="24"/>
                <w:szCs w:val="24"/>
                <w:color w:val="auto"/>
              </w:rPr>
            </w:pPr>
          </w:p>
        </w:tc>
      </w:tr>
      <w:tr>
        <w:trPr>
          <w:trHeight w:val="297"/>
        </w:trPr>
        <w:tc>
          <w:tcPr>
            <w:tcW w:w="3300" w:type="dxa"/>
            <w:vAlign w:val="bottom"/>
          </w:tcPr>
          <w:p>
            <w:pPr>
              <w:spacing w:after="0"/>
              <w:rPr>
                <w:sz w:val="24"/>
                <w:szCs w:val="24"/>
                <w:color w:val="auto"/>
              </w:rPr>
            </w:pPr>
          </w:p>
        </w:tc>
        <w:tc>
          <w:tcPr>
            <w:tcW w:w="2520" w:type="dxa"/>
            <w:vAlign w:val="bottom"/>
          </w:tcPr>
          <w:p>
            <w:pPr>
              <w:ind w:left="1400"/>
              <w:spacing w:after="0"/>
              <w:rPr>
                <w:sz w:val="20"/>
                <w:szCs w:val="20"/>
                <w:color w:val="auto"/>
              </w:rPr>
            </w:pPr>
            <w:r>
              <w:rPr>
                <w:rFonts w:ascii="Arial" w:cs="Arial" w:eastAsia="Arial" w:hAnsi="Arial"/>
                <w:sz w:val="22"/>
                <w:szCs w:val="22"/>
                <w:color w:val="auto"/>
              </w:rPr>
              <w:t>Title:</w:t>
            </w:r>
          </w:p>
        </w:tc>
        <w:tc>
          <w:tcPr>
            <w:tcW w:w="3480" w:type="dxa"/>
            <w:vAlign w:val="bottom"/>
            <w:gridSpan w:val="2"/>
          </w:tcPr>
          <w:p>
            <w:pPr>
              <w:spacing w:after="0"/>
              <w:rPr>
                <w:sz w:val="20"/>
                <w:szCs w:val="20"/>
                <w:color w:val="auto"/>
              </w:rPr>
            </w:pPr>
            <w:r>
              <w:rPr>
                <w:rFonts w:ascii="Arial" w:cs="Arial" w:eastAsia="Arial" w:hAnsi="Arial"/>
                <w:sz w:val="22"/>
                <w:szCs w:val="22"/>
                <w:color w:val="auto"/>
                <w:w w:val="88"/>
              </w:rPr>
              <w:t>Vice President and Corporate Controller</w:t>
            </w:r>
          </w:p>
        </w:tc>
      </w:tr>
    </w:tbl>
    <w:p>
      <w:pPr>
        <w:spacing w:after="0" w:line="200" w:lineRule="exact"/>
        <w:rPr>
          <w:sz w:val="20"/>
          <w:szCs w:val="20"/>
          <w:color w:val="auto"/>
        </w:rPr>
      </w:pPr>
    </w:p>
    <w:p>
      <w:pPr>
        <w:sectPr>
          <w:pgSz w:w="11900" w:h="16838" w:orient="portrait"/>
          <w:cols w:equalWidth="0" w:num="1">
            <w:col w:w="11160"/>
          </w:cols>
          <w:pgMar w:left="320" w:top="558" w:right="419" w:bottom="8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sectPr>
      <w:pgSz w:w="11900" w:h="16838" w:orient="portrait"/>
      <w:cols w:equalWidth="0" w:num="1">
        <w:col w:w="11160"/>
      </w:cols>
      <w:pgMar w:left="320" w:top="558" w:right="419" w:bottom="8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2020-04-28T09:57:52Z</dcterms:created>
  <dcterms:modified xsi:type="dcterms:W3CDTF">2020-04-28T09:57:52Z</dcterms:modified>
</cp:coreProperties>
</file>